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AAAC60" w14:textId="0B07F368" w:rsidR="00B22D55" w:rsidRPr="009A3E96" w:rsidRDefault="009A3E96" w:rsidP="00B22D55">
      <w:pPr>
        <w:pStyle w:val="Heading1"/>
        <w:rPr>
          <w:color w:val="FFFFFF" w:themeColor="background1"/>
          <w:sz w:val="16"/>
          <w:szCs w:val="16"/>
        </w:rPr>
      </w:pPr>
      <w:bookmarkStart w:id="0" w:name="ChapterTitle"/>
      <w:r>
        <w:rPr>
          <w:noProof/>
          <w:color w:val="FFFFFF" w:themeColor="background1"/>
          <w:sz w:val="16"/>
          <w:szCs w:val="16"/>
        </w:rPr>
        <w:drawing>
          <wp:anchor distT="0" distB="0" distL="114300" distR="114300" simplePos="0" relativeHeight="251662336" behindDoc="0" locked="0" layoutInCell="1" allowOverlap="1" wp14:anchorId="7616201D" wp14:editId="28840A84">
            <wp:simplePos x="0" y="0"/>
            <wp:positionH relativeFrom="column">
              <wp:posOffset>-1139959</wp:posOffset>
            </wp:positionH>
            <wp:positionV relativeFrom="page">
              <wp:posOffset>635</wp:posOffset>
            </wp:positionV>
            <wp:extent cx="7560000" cy="1069200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chnical-supplements-superannuation8.pn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Pr="009A3E96">
        <w:rPr>
          <w:color w:val="FFFFFF" w:themeColor="background1"/>
          <w:sz w:val="16"/>
          <w:szCs w:val="16"/>
        </w:rPr>
        <w:t>Economies of scale in superannuation</w:t>
      </w:r>
    </w:p>
    <w:p w14:paraId="194E1204" w14:textId="458936B7" w:rsidR="00B22D55" w:rsidRPr="009A3E96" w:rsidRDefault="00B22D55" w:rsidP="00B22D55">
      <w:pPr>
        <w:pStyle w:val="BodyText"/>
        <w:rPr>
          <w:color w:val="FF0000"/>
          <w:sz w:val="16"/>
          <w:szCs w:val="16"/>
        </w:rPr>
      </w:pPr>
      <w:r w:rsidRPr="009A3E96">
        <w:rPr>
          <w:color w:val="FFFFFF" w:themeColor="background1"/>
          <w:sz w:val="16"/>
          <w:szCs w:val="16"/>
        </w:rPr>
        <w:t xml:space="preserve">Technical Supplement </w:t>
      </w:r>
      <w:r w:rsidR="009A3E96" w:rsidRPr="009A3E96">
        <w:rPr>
          <w:color w:val="FFFFFF" w:themeColor="background1"/>
          <w:sz w:val="16"/>
          <w:szCs w:val="16"/>
        </w:rPr>
        <w:t>8</w:t>
      </w:r>
      <w:r w:rsidRPr="009A3E96">
        <w:rPr>
          <w:color w:val="FFFFFF" w:themeColor="background1"/>
          <w:sz w:val="16"/>
          <w:szCs w:val="16"/>
        </w:rPr>
        <w:t>, Superannuation: Assessing Efficiency and Competitiveness, Productiv</w:t>
      </w:r>
      <w:r w:rsidR="009A3E96" w:rsidRPr="009A3E96">
        <w:rPr>
          <w:color w:val="FFFFFF" w:themeColor="background1"/>
          <w:sz w:val="16"/>
          <w:szCs w:val="16"/>
        </w:rPr>
        <w:t>ity Commission Inquiry Report</w:t>
      </w:r>
      <w:r w:rsidRPr="009A3E96">
        <w:rPr>
          <w:color w:val="FF0000"/>
        </w:rPr>
        <w:br w:type="page"/>
      </w:r>
    </w:p>
    <w:p w14:paraId="6315EC35" w14:textId="77777777" w:rsidR="00B22D55" w:rsidRDefault="00B22D55" w:rsidP="00B22D55">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2018</w:t>
      </w:r>
    </w:p>
    <w:p w14:paraId="5B139567" w14:textId="77777777" w:rsidR="00B22D55" w:rsidRDefault="00B22D55" w:rsidP="00B22D55">
      <w:pPr>
        <w:pStyle w:val="BodyText"/>
        <w:spacing w:after="120"/>
      </w:pPr>
      <w:bookmarkStart w:id="1" w:name="ISSN"/>
      <w:bookmarkEnd w:id="1"/>
      <w:r w:rsidRPr="00862D8F">
        <w:rPr>
          <w:noProof/>
          <w:sz w:val="22"/>
          <w:szCs w:val="22"/>
        </w:rPr>
        <w:drawing>
          <wp:inline distT="0" distB="0" distL="0" distR="0" wp14:anchorId="3E681099" wp14:editId="395194F3">
            <wp:extent cx="843280" cy="295043"/>
            <wp:effectExtent l="0" t="0" r="0" b="0"/>
            <wp:docPr id="1" name="Picture 1"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19577CB1" w14:textId="77777777" w:rsidR="00B22D55" w:rsidRPr="00167915" w:rsidRDefault="00B22D55" w:rsidP="00B22D55">
      <w:pPr>
        <w:pStyle w:val="Copyrightbodytext"/>
        <w:rPr>
          <w:sz w:val="20"/>
        </w:rPr>
      </w:pPr>
      <w:r w:rsidRPr="00167915">
        <w:rPr>
          <w:sz w:val="20"/>
        </w:rPr>
        <w:t xml:space="preserve">Except for the Commonwealth Coat of Arms and content supplied by third parties, this copyright work is licensed under a Creative Commons Attribution 3.0 Australia licence. To view a copy of this licence, visit </w:t>
      </w:r>
      <w:hyperlink r:id="rId10" w:history="1">
        <w:hyperlink r:id="rId11" w:history="1">
          <w:r w:rsidRPr="00167915">
            <w:rPr>
              <w:sz w:val="20"/>
            </w:rPr>
            <w:t>http://creativecommons.org/licenses/by/3.0/au</w:t>
          </w:r>
        </w:hyperlink>
      </w:hyperlink>
      <w:r w:rsidRPr="00167915">
        <w:rPr>
          <w:sz w:val="20"/>
        </w:rPr>
        <w:t>. In essence, you are free to copy, communicate and adapt the work, as long as you attribute the work to the Productivity Commission (but not in any way that suggests the Commission endorses you or your use) and abide by the other licence terms.</w:t>
      </w:r>
    </w:p>
    <w:p w14:paraId="4C5757D5" w14:textId="77777777" w:rsidR="00B22D55" w:rsidRPr="008A3857" w:rsidRDefault="00B22D55" w:rsidP="00B22D55">
      <w:pPr>
        <w:pStyle w:val="Copyrightsubtitle"/>
      </w:pPr>
      <w:r w:rsidRPr="008A3857">
        <w:t>Use of the Commonwealth Coat of Arms</w:t>
      </w:r>
    </w:p>
    <w:p w14:paraId="4DD175CC" w14:textId="77777777" w:rsidR="00B22D55" w:rsidRPr="00167915" w:rsidRDefault="00B22D55" w:rsidP="00B22D55">
      <w:pPr>
        <w:pStyle w:val="Copyrightbodytext"/>
        <w:rPr>
          <w:sz w:val="20"/>
        </w:rPr>
      </w:pPr>
      <w:r w:rsidRPr="00167915">
        <w:rPr>
          <w:sz w:val="20"/>
        </w:rPr>
        <w:t>Terms of use for the Coat of Arms are available from the Department of the Prime Minister and Cabinet’s website:</w:t>
      </w:r>
      <w:r w:rsidRPr="00167915">
        <w:rPr>
          <w:spacing w:val="-6"/>
          <w:sz w:val="20"/>
        </w:rPr>
        <w:t xml:space="preserve"> </w:t>
      </w:r>
      <w:hyperlink r:id="rId12" w:history="1">
        <w:r w:rsidRPr="00167915">
          <w:rPr>
            <w:rStyle w:val="Hyperlink"/>
            <w:sz w:val="20"/>
          </w:rPr>
          <w:t>https://</w:t>
        </w:r>
        <w:proofErr w:type="spellStart"/>
        <w:r w:rsidRPr="00167915">
          <w:rPr>
            <w:rStyle w:val="Hyperlink"/>
            <w:sz w:val="20"/>
          </w:rPr>
          <w:t>www.pmc.gov.au</w:t>
        </w:r>
        <w:proofErr w:type="spellEnd"/>
        <w:r w:rsidRPr="00167915">
          <w:rPr>
            <w:rStyle w:val="Hyperlink"/>
            <w:sz w:val="20"/>
          </w:rPr>
          <w:t>/government/commonwealth-coat-arms</w:t>
        </w:r>
      </w:hyperlink>
    </w:p>
    <w:p w14:paraId="77A0F0C4" w14:textId="77777777" w:rsidR="00B22D55" w:rsidRPr="008A3857" w:rsidRDefault="00B22D55" w:rsidP="00B22D55">
      <w:pPr>
        <w:pStyle w:val="Copyrightsubtitle"/>
      </w:pPr>
      <w:r w:rsidRPr="008A3857">
        <w:t>Third party copyright</w:t>
      </w:r>
    </w:p>
    <w:p w14:paraId="7441915A" w14:textId="77777777" w:rsidR="00B22D55" w:rsidRPr="00167915" w:rsidRDefault="00B22D55" w:rsidP="00B22D55">
      <w:pPr>
        <w:pStyle w:val="Copyrightbodytext"/>
        <w:rPr>
          <w:sz w:val="20"/>
        </w:rPr>
      </w:pPr>
      <w:r w:rsidRPr="00167915">
        <w:rPr>
          <w:sz w:val="20"/>
        </w:rPr>
        <w:t>Wherever a third party holds copyright in this material, the copyright remains with that party. Their permission may be required to use the material, please contact them directly.</w:t>
      </w:r>
    </w:p>
    <w:p w14:paraId="1272172B" w14:textId="77777777" w:rsidR="00B22D55" w:rsidRPr="008A3857" w:rsidRDefault="00B22D55" w:rsidP="00B22D55">
      <w:pPr>
        <w:pStyle w:val="Copyrightsubtitle"/>
      </w:pPr>
      <w:r w:rsidRPr="008A3857">
        <w:t>Attribution</w:t>
      </w:r>
    </w:p>
    <w:p w14:paraId="3DEF8EA2" w14:textId="78C508CC" w:rsidR="00B22D55" w:rsidRPr="00167915" w:rsidRDefault="00B22D55" w:rsidP="00B22D55">
      <w:pPr>
        <w:pStyle w:val="Copyrightbodytext"/>
        <w:rPr>
          <w:sz w:val="20"/>
        </w:rPr>
      </w:pPr>
      <w:r w:rsidRPr="00167915">
        <w:rPr>
          <w:sz w:val="20"/>
        </w:rPr>
        <w:t xml:space="preserve">This work should be attributed as follows, </w:t>
      </w:r>
      <w:r w:rsidRPr="00167915">
        <w:rPr>
          <w:i/>
          <w:sz w:val="20"/>
        </w:rPr>
        <w:t xml:space="preserve">Source: Productivity Commission, </w:t>
      </w:r>
      <w:r w:rsidR="00511331" w:rsidRPr="00167915">
        <w:rPr>
          <w:i/>
          <w:sz w:val="20"/>
        </w:rPr>
        <w:t>Economies of scale in superannuation</w:t>
      </w:r>
      <w:r w:rsidRPr="00167915">
        <w:rPr>
          <w:i/>
          <w:sz w:val="20"/>
        </w:rPr>
        <w:t xml:space="preserve">, Technical Supplement </w:t>
      </w:r>
      <w:r w:rsidR="00511331" w:rsidRPr="00167915">
        <w:rPr>
          <w:i/>
          <w:sz w:val="20"/>
        </w:rPr>
        <w:t>8</w:t>
      </w:r>
      <w:r w:rsidRPr="00167915">
        <w:rPr>
          <w:sz w:val="20"/>
        </w:rPr>
        <w:t>.</w:t>
      </w:r>
    </w:p>
    <w:p w14:paraId="2A3FB7AB" w14:textId="09C10897" w:rsidR="00B22D55" w:rsidRPr="00167915" w:rsidRDefault="00B22D55" w:rsidP="00B22D55">
      <w:pPr>
        <w:pStyle w:val="Copyrightbodytext"/>
        <w:spacing w:before="120"/>
        <w:rPr>
          <w:spacing w:val="-4"/>
          <w:sz w:val="20"/>
        </w:rPr>
      </w:pPr>
      <w:r w:rsidRPr="00167915">
        <w:rPr>
          <w:spacing w:val="-4"/>
          <w:sz w:val="20"/>
        </w:rPr>
        <w:t xml:space="preserve">If you have adapted, modified or transformed this work in anyway, please use the following, </w:t>
      </w:r>
      <w:r w:rsidRPr="00167915">
        <w:rPr>
          <w:i/>
          <w:spacing w:val="-4"/>
          <w:sz w:val="20"/>
        </w:rPr>
        <w:t xml:space="preserve">Source: based on Productivity Commission data, </w:t>
      </w:r>
      <w:r w:rsidR="00511331" w:rsidRPr="00167915">
        <w:rPr>
          <w:i/>
          <w:spacing w:val="-4"/>
          <w:sz w:val="20"/>
        </w:rPr>
        <w:t>Economies of scale in superannuation</w:t>
      </w:r>
      <w:r w:rsidRPr="00167915">
        <w:rPr>
          <w:i/>
          <w:spacing w:val="-4"/>
          <w:sz w:val="20"/>
        </w:rPr>
        <w:t xml:space="preserve">, Technical Supplement </w:t>
      </w:r>
      <w:r w:rsidR="00511331" w:rsidRPr="00167915">
        <w:rPr>
          <w:i/>
          <w:spacing w:val="-4"/>
          <w:sz w:val="20"/>
        </w:rPr>
        <w:t>8</w:t>
      </w:r>
      <w:r w:rsidRPr="00167915">
        <w:rPr>
          <w:spacing w:val="-4"/>
          <w:sz w:val="20"/>
        </w:rPr>
        <w:t>.</w:t>
      </w:r>
    </w:p>
    <w:p w14:paraId="6975D44A" w14:textId="77777777" w:rsidR="00B22D55" w:rsidRPr="008A3857" w:rsidRDefault="00B22D55" w:rsidP="00B22D55">
      <w:pPr>
        <w:pStyle w:val="Copyrightsubtitle"/>
      </w:pPr>
      <w:r w:rsidRPr="008A3857">
        <w:t xml:space="preserve">An appropriate </w:t>
      </w:r>
      <w:r>
        <w:t>reference</w:t>
      </w:r>
      <w:r w:rsidRPr="008A3857">
        <w:t xml:space="preserve"> for this publication is:</w:t>
      </w:r>
    </w:p>
    <w:p w14:paraId="685E0B6C" w14:textId="3AA36CCF" w:rsidR="00B22D55" w:rsidRPr="00167915" w:rsidRDefault="00B22D55" w:rsidP="00B22D55">
      <w:pPr>
        <w:pStyle w:val="Copyrightbodytext"/>
        <w:rPr>
          <w:sz w:val="20"/>
        </w:rPr>
      </w:pPr>
      <w:r w:rsidRPr="00167915">
        <w:rPr>
          <w:sz w:val="20"/>
        </w:rPr>
        <w:t>Productivity Commission 2018</w:t>
      </w:r>
      <w:r w:rsidR="000D1CCE" w:rsidRPr="00167915">
        <w:rPr>
          <w:sz w:val="20"/>
        </w:rPr>
        <w:t xml:space="preserve">, </w:t>
      </w:r>
      <w:r w:rsidR="00511331" w:rsidRPr="00167915">
        <w:rPr>
          <w:sz w:val="20"/>
        </w:rPr>
        <w:t>Economies of scale in superannuation</w:t>
      </w:r>
      <w:r w:rsidRPr="00167915">
        <w:rPr>
          <w:sz w:val="20"/>
        </w:rPr>
        <w:t xml:space="preserve">, Technical Supplement </w:t>
      </w:r>
      <w:r w:rsidR="00511331" w:rsidRPr="00167915">
        <w:rPr>
          <w:sz w:val="20"/>
        </w:rPr>
        <w:t>8</w:t>
      </w:r>
      <w:r w:rsidRPr="00167915">
        <w:rPr>
          <w:sz w:val="20"/>
        </w:rPr>
        <w:t xml:space="preserve"> to the </w:t>
      </w:r>
      <w:r w:rsidR="0036719B" w:rsidRPr="00167915">
        <w:rPr>
          <w:sz w:val="20"/>
        </w:rPr>
        <w:t>Inquiry</w:t>
      </w:r>
      <w:r w:rsidRPr="00167915">
        <w:rPr>
          <w:sz w:val="20"/>
        </w:rPr>
        <w:t xml:space="preserve"> Report </w:t>
      </w:r>
      <w:r w:rsidRPr="00167915">
        <w:rPr>
          <w:i/>
          <w:sz w:val="20"/>
        </w:rPr>
        <w:t>Superannuation: Assessing Efficiency and Competitiveness</w:t>
      </w:r>
      <w:r w:rsidRPr="00167915">
        <w:rPr>
          <w:sz w:val="20"/>
        </w:rPr>
        <w:t xml:space="preserve">, Canberra, </w:t>
      </w:r>
      <w:r w:rsidR="0036719B" w:rsidRPr="00167915">
        <w:rPr>
          <w:sz w:val="20"/>
        </w:rPr>
        <w:t>December</w:t>
      </w:r>
      <w:r w:rsidRPr="00167915">
        <w:rPr>
          <w:sz w:val="20"/>
        </w:rPr>
        <w:t>.</w:t>
      </w:r>
    </w:p>
    <w:p w14:paraId="7AE927B1" w14:textId="77777777" w:rsidR="00B22D55" w:rsidRPr="008A3857" w:rsidRDefault="00B22D55" w:rsidP="00B22D55">
      <w:pPr>
        <w:pStyle w:val="Copyrightsubtitle"/>
      </w:pPr>
      <w:bookmarkStart w:id="2" w:name="JEL"/>
      <w:bookmarkEnd w:id="2"/>
      <w:r w:rsidRPr="008A3857">
        <w:t>Publications enquiries</w:t>
      </w:r>
    </w:p>
    <w:p w14:paraId="5DA49BFF" w14:textId="77777777" w:rsidR="00B22D55" w:rsidRPr="00167915" w:rsidRDefault="00B22D55" w:rsidP="00B22D55">
      <w:pPr>
        <w:pStyle w:val="Copyrightbodytext"/>
        <w:rPr>
          <w:sz w:val="20"/>
        </w:rPr>
      </w:pPr>
      <w:r w:rsidRPr="00167915">
        <w:rPr>
          <w:sz w:val="20"/>
        </w:rPr>
        <w:t xml:space="preserve">Media, Publications and Web, phone: (03) 9653 2244 or email: </w:t>
      </w:r>
      <w:proofErr w:type="spellStart"/>
      <w:r w:rsidRPr="00167915">
        <w:rPr>
          <w:sz w:val="20"/>
        </w:rPr>
        <w:t>mpw@pc.gov.au</w:t>
      </w:r>
      <w:proofErr w:type="spellEnd"/>
    </w:p>
    <w:p w14:paraId="0F0178A8" w14:textId="77777777" w:rsidR="00B22D55" w:rsidRDefault="00B22D55" w:rsidP="00B22D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22D55" w14:paraId="7BD690EC" w14:textId="77777777" w:rsidTr="00B54007">
        <w:trPr>
          <w:tblHeader/>
        </w:trPr>
        <w:tc>
          <w:tcPr>
            <w:tcW w:w="5000" w:type="pct"/>
            <w:tcBorders>
              <w:top w:val="single" w:sz="6" w:space="0" w:color="78A22F"/>
              <w:left w:val="nil"/>
              <w:bottom w:val="nil"/>
              <w:right w:val="nil"/>
            </w:tcBorders>
            <w:shd w:val="clear" w:color="auto" w:fill="F2F2F2" w:themeFill="background1" w:themeFillShade="F2"/>
          </w:tcPr>
          <w:p w14:paraId="467E718A" w14:textId="77777777" w:rsidR="00B22D55" w:rsidRPr="008A3857" w:rsidRDefault="00B22D55" w:rsidP="00B54007">
            <w:pPr>
              <w:pStyle w:val="BoxTitle"/>
              <w:rPr>
                <w:sz w:val="22"/>
              </w:rPr>
            </w:pPr>
            <w:r w:rsidRPr="008A3857">
              <w:rPr>
                <w:sz w:val="22"/>
              </w:rPr>
              <w:t>The Productivity Commission</w:t>
            </w:r>
          </w:p>
        </w:tc>
      </w:tr>
      <w:tr w:rsidR="00B22D55" w14:paraId="1E298EEE" w14:textId="77777777" w:rsidTr="00B54007">
        <w:tc>
          <w:tcPr>
            <w:tcW w:w="5000" w:type="pct"/>
            <w:tcBorders>
              <w:top w:val="nil"/>
              <w:left w:val="nil"/>
              <w:bottom w:val="nil"/>
              <w:right w:val="nil"/>
            </w:tcBorders>
            <w:shd w:val="clear" w:color="auto" w:fill="F2F2F2" w:themeFill="background1" w:themeFillShade="F2"/>
          </w:tcPr>
          <w:p w14:paraId="7182AD1C" w14:textId="77777777" w:rsidR="00B22D55" w:rsidRDefault="00B22D55" w:rsidP="00B54007">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3D380348" w14:textId="77777777" w:rsidR="00B22D55" w:rsidRDefault="00B22D55" w:rsidP="00B54007">
            <w:pPr>
              <w:pStyle w:val="Box"/>
            </w:pPr>
            <w:r w:rsidRPr="00BB5DCF">
              <w:t>The Commission’s independence is underpinned by an Act of Parliament. Its processes and outputs are open to public scrutiny and are driven by concern for the wellbeing of the community as a whole.</w:t>
            </w:r>
          </w:p>
          <w:p w14:paraId="28E2C197" w14:textId="77777777" w:rsidR="00B22D55" w:rsidRDefault="00B22D55" w:rsidP="00B54007">
            <w:pPr>
              <w:pStyle w:val="Box"/>
            </w:pPr>
            <w:r w:rsidRPr="00BB5DCF">
              <w:rPr>
                <w:szCs w:val="24"/>
              </w:rPr>
              <w:t>Further information on the Productivity Commission can be obtained from the Commission’s website (</w:t>
            </w:r>
            <w:proofErr w:type="spellStart"/>
            <w:r w:rsidR="002F0937">
              <w:fldChar w:fldCharType="begin"/>
            </w:r>
            <w:r w:rsidR="002F0937">
              <w:instrText xml:space="preserve"> HYPERLINK "http://www.pc.gov.au/" </w:instrText>
            </w:r>
            <w:r w:rsidR="002F0937">
              <w:fldChar w:fldCharType="separate"/>
            </w:r>
            <w:r w:rsidRPr="00805FD7">
              <w:t>www.pc.gov.au</w:t>
            </w:r>
            <w:proofErr w:type="spellEnd"/>
            <w:r w:rsidR="002F0937">
              <w:fldChar w:fldCharType="end"/>
            </w:r>
            <w:r w:rsidRPr="00BB5DCF">
              <w:rPr>
                <w:szCs w:val="24"/>
              </w:rPr>
              <w:t>)</w:t>
            </w:r>
            <w:r>
              <w:rPr>
                <w:szCs w:val="24"/>
              </w:rPr>
              <w:t>.</w:t>
            </w:r>
          </w:p>
        </w:tc>
      </w:tr>
      <w:tr w:rsidR="00B22D55" w14:paraId="7B1AAC6C" w14:textId="77777777" w:rsidTr="00B54007">
        <w:tc>
          <w:tcPr>
            <w:tcW w:w="5000" w:type="pct"/>
            <w:tcBorders>
              <w:top w:val="nil"/>
              <w:left w:val="nil"/>
              <w:bottom w:val="single" w:sz="6" w:space="0" w:color="78A22F"/>
              <w:right w:val="nil"/>
            </w:tcBorders>
            <w:shd w:val="clear" w:color="auto" w:fill="F2F2F2" w:themeFill="background1" w:themeFillShade="F2"/>
          </w:tcPr>
          <w:p w14:paraId="3B5D0878" w14:textId="77777777" w:rsidR="00B22D55" w:rsidRDefault="00B22D55" w:rsidP="00B54007">
            <w:pPr>
              <w:pStyle w:val="Box"/>
              <w:spacing w:before="0" w:line="120" w:lineRule="exact"/>
            </w:pPr>
          </w:p>
        </w:tc>
      </w:tr>
    </w:tbl>
    <w:p w14:paraId="49559A5A" w14:textId="77777777" w:rsidR="00B22D55" w:rsidRDefault="00B22D55" w:rsidP="00B22D55">
      <w:pPr>
        <w:pStyle w:val="BodyText"/>
        <w:sectPr w:rsidR="00B22D55" w:rsidSect="00B22D55">
          <w:pgSz w:w="11907" w:h="16840" w:code="9"/>
          <w:pgMar w:top="1304" w:right="1304" w:bottom="567" w:left="1814" w:header="1701" w:footer="397" w:gutter="0"/>
          <w:pgNumType w:fmt="lowerRoman" w:start="1"/>
          <w:cols w:space="720"/>
          <w:titlePg/>
        </w:sectPr>
      </w:pPr>
      <w:bookmarkStart w:id="3" w:name="cov"/>
      <w:bookmarkEnd w:id="3"/>
    </w:p>
    <w:p w14:paraId="2FDBE611" w14:textId="77777777" w:rsidR="0011262F" w:rsidRDefault="0011262F" w:rsidP="0011262F">
      <w:pPr>
        <w:pStyle w:val="Heading1"/>
        <w:spacing w:after="960"/>
      </w:pPr>
      <w:bookmarkStart w:id="4" w:name="_Toc532997271"/>
      <w:bookmarkStart w:id="5" w:name="_Toc534642290"/>
      <w:bookmarkEnd w:id="0"/>
      <w:r>
        <w:lastRenderedPageBreak/>
        <w:t>8</w:t>
      </w:r>
      <w:r>
        <w:tab/>
        <w:t>Technical supplement: economies of scale in superannuation</w:t>
      </w:r>
      <w:bookmarkEnd w:id="4"/>
      <w:bookmarkEnd w:id="5"/>
    </w:p>
    <w:p w14:paraId="2215EEEC" w14:textId="77777777" w:rsidR="0011262F" w:rsidRDefault="0011262F" w:rsidP="0011262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1262F" w14:paraId="267FF774" w14:textId="77777777" w:rsidTr="00B54007">
        <w:trPr>
          <w:tblHeader/>
        </w:trPr>
        <w:tc>
          <w:tcPr>
            <w:tcW w:w="5000" w:type="pct"/>
            <w:tcBorders>
              <w:top w:val="single" w:sz="6" w:space="0" w:color="78A22F"/>
              <w:left w:val="nil"/>
              <w:bottom w:val="nil"/>
              <w:right w:val="nil"/>
            </w:tcBorders>
            <w:shd w:val="clear" w:color="auto" w:fill="F2F2F2"/>
          </w:tcPr>
          <w:p w14:paraId="3E7B97EB" w14:textId="77777777" w:rsidR="0011262F" w:rsidRDefault="0011262F" w:rsidP="00B54007">
            <w:pPr>
              <w:pStyle w:val="BoxTitle"/>
            </w:pPr>
            <w:r>
              <w:t>Key points</w:t>
            </w:r>
          </w:p>
        </w:tc>
      </w:tr>
      <w:tr w:rsidR="0011262F" w14:paraId="35E3F2E1" w14:textId="77777777" w:rsidTr="00B54007">
        <w:tc>
          <w:tcPr>
            <w:tcW w:w="5000" w:type="pct"/>
            <w:tcBorders>
              <w:top w:val="nil"/>
              <w:left w:val="nil"/>
              <w:bottom w:val="nil"/>
              <w:right w:val="nil"/>
            </w:tcBorders>
            <w:shd w:val="clear" w:color="auto" w:fill="F2F2F2"/>
          </w:tcPr>
          <w:p w14:paraId="1644D1E5" w14:textId="77777777" w:rsidR="0011262F" w:rsidRPr="00273A45" w:rsidRDefault="0011262F" w:rsidP="00B54007">
            <w:pPr>
              <w:pStyle w:val="BoxListBullet"/>
              <w:rPr>
                <w:spacing w:val="-2"/>
              </w:rPr>
            </w:pPr>
            <w:r>
              <w:rPr>
                <w:spacing w:val="-2"/>
              </w:rPr>
              <w:t>The Commission’s further analysis confirms that e</w:t>
            </w:r>
            <w:r w:rsidRPr="00F834A9">
              <w:rPr>
                <w:spacing w:val="-2"/>
              </w:rPr>
              <w:t xml:space="preserve">vidence of economies of scale </w:t>
            </w:r>
            <w:r>
              <w:rPr>
                <w:spacing w:val="-2"/>
              </w:rPr>
              <w:t xml:space="preserve">in the superannuation system </w:t>
            </w:r>
            <w:r w:rsidRPr="00F834A9">
              <w:rPr>
                <w:spacing w:val="-2"/>
              </w:rPr>
              <w:t>is compelling</w:t>
            </w:r>
            <w:r>
              <w:rPr>
                <w:spacing w:val="-2"/>
              </w:rPr>
              <w:t>. H</w:t>
            </w:r>
            <w:r w:rsidRPr="00273A45">
              <w:rPr>
                <w:spacing w:val="-2"/>
              </w:rPr>
              <w:t>olding other cost drivers</w:t>
            </w:r>
            <w:r>
              <w:rPr>
                <w:spacing w:val="-2"/>
              </w:rPr>
              <w:t xml:space="preserve"> constant</w:t>
            </w:r>
            <w:r w:rsidRPr="00273A45">
              <w:rPr>
                <w:spacing w:val="-2"/>
              </w:rPr>
              <w:t xml:space="preserve">, larger scale is strongly associated with lower average </w:t>
            </w:r>
            <w:r>
              <w:rPr>
                <w:spacing w:val="-2"/>
              </w:rPr>
              <w:t>system expenses (as distinct from fees charged)</w:t>
            </w:r>
            <w:r w:rsidRPr="00273A45">
              <w:rPr>
                <w:spacing w:val="-2"/>
              </w:rPr>
              <w:t>.</w:t>
            </w:r>
          </w:p>
          <w:p w14:paraId="6934ECDF" w14:textId="77777777" w:rsidR="0011262F" w:rsidRDefault="0011262F" w:rsidP="00B54007">
            <w:pPr>
              <w:pStyle w:val="BoxListBullet2"/>
              <w:ind w:left="567" w:hanging="283"/>
            </w:pPr>
            <w:r>
              <w:t xml:space="preserve">This relationship is especially pronounced for administration expenses, where realised scale gains are greater than they are for investment expenses, and across all segments. On the investment side, the relationship is strong for the system as a whole; but more so for </w:t>
            </w:r>
            <w:r w:rsidRPr="00E3447B">
              <w:t>public sector and retail funds</w:t>
            </w:r>
            <w:r>
              <w:t xml:space="preserve"> than for industry and corporate funds.</w:t>
            </w:r>
          </w:p>
          <w:p w14:paraId="2E700712" w14:textId="77777777" w:rsidR="0011262F" w:rsidRDefault="0011262F" w:rsidP="00B54007">
            <w:pPr>
              <w:pStyle w:val="BoxListBullet"/>
            </w:pPr>
            <w:r>
              <w:t>Significant scale benefits have been realised over the past 13 years, particularly on the administration side. But significant unrealised economies remain.</w:t>
            </w:r>
          </w:p>
          <w:p w14:paraId="1ACC1223" w14:textId="77777777" w:rsidR="0011262F" w:rsidRPr="003D5D43" w:rsidRDefault="0011262F" w:rsidP="00B54007">
            <w:pPr>
              <w:pStyle w:val="BoxListBullet2"/>
              <w:ind w:left="567" w:hanging="283"/>
              <w:rPr>
                <w:spacing w:val="-2"/>
                <w:lang w:eastAsia="en-US"/>
              </w:rPr>
            </w:pPr>
            <w:r w:rsidRPr="00F91973">
              <w:rPr>
                <w:spacing w:val="-2"/>
              </w:rPr>
              <w:t>Holding constant</w:t>
            </w:r>
            <w:r w:rsidRPr="00AE5FF8">
              <w:rPr>
                <w:spacing w:val="-2"/>
              </w:rPr>
              <w:t xml:space="preserve"> other cost drivers, the ‘marginal’ (or </w:t>
            </w:r>
            <w:r w:rsidRPr="003D5D43">
              <w:rPr>
                <w:spacing w:val="-2"/>
              </w:rPr>
              <w:t>incremental</w:t>
            </w:r>
            <w:r w:rsidRPr="00DD547D">
              <w:rPr>
                <w:spacing w:val="-2"/>
              </w:rPr>
              <w:t xml:space="preserve">) gains in system savings (accruing from increases in scale in any year) </w:t>
            </w:r>
            <w:r w:rsidRPr="001B14F8">
              <w:rPr>
                <w:spacing w:val="-2"/>
              </w:rPr>
              <w:t>are estim</w:t>
            </w:r>
            <w:r w:rsidRPr="00F91973">
              <w:rPr>
                <w:spacing w:val="-2"/>
              </w:rPr>
              <w:t xml:space="preserve">ated to </w:t>
            </w:r>
            <w:r>
              <w:rPr>
                <w:spacing w:val="-2"/>
              </w:rPr>
              <w:t xml:space="preserve">have </w:t>
            </w:r>
            <w:r w:rsidRPr="00AE5FF8">
              <w:rPr>
                <w:spacing w:val="-2"/>
              </w:rPr>
              <w:t>average</w:t>
            </w:r>
            <w:r>
              <w:rPr>
                <w:spacing w:val="-2"/>
              </w:rPr>
              <w:t>d</w:t>
            </w:r>
            <w:r w:rsidRPr="00AE5FF8">
              <w:rPr>
                <w:spacing w:val="-2"/>
              </w:rPr>
              <w:t xml:space="preserve"> about $340</w:t>
            </w:r>
            <w:r>
              <w:rPr>
                <w:spacing w:val="-2"/>
              </w:rPr>
              <w:t> </w:t>
            </w:r>
            <w:r w:rsidRPr="00AE5FF8">
              <w:rPr>
                <w:spacing w:val="-2"/>
              </w:rPr>
              <w:t>million each year</w:t>
            </w:r>
            <w:r w:rsidRPr="003D5D43">
              <w:rPr>
                <w:spacing w:val="-2"/>
              </w:rPr>
              <w:t>, or</w:t>
            </w:r>
            <w:r w:rsidRPr="00DD547D">
              <w:rPr>
                <w:spacing w:val="-2"/>
              </w:rPr>
              <w:t xml:space="preserve"> $4.5 billion in total </w:t>
            </w:r>
            <w:r>
              <w:rPr>
                <w:spacing w:val="-2"/>
              </w:rPr>
              <w:t>from</w:t>
            </w:r>
            <w:r w:rsidRPr="00F91973">
              <w:rPr>
                <w:spacing w:val="-2"/>
              </w:rPr>
              <w:t xml:space="preserve"> </w:t>
            </w:r>
            <w:r w:rsidRPr="00AE5FF8">
              <w:rPr>
                <w:spacing w:val="-2"/>
              </w:rPr>
              <w:t>2004 to 2017.</w:t>
            </w:r>
            <w:r w:rsidRPr="00AE5FF8" w:rsidDel="002D147C">
              <w:rPr>
                <w:spacing w:val="-2"/>
              </w:rPr>
              <w:t xml:space="preserve"> </w:t>
            </w:r>
            <w:r w:rsidRPr="00AE5FF8">
              <w:rPr>
                <w:spacing w:val="-2"/>
              </w:rPr>
              <w:t xml:space="preserve">These are </w:t>
            </w:r>
            <w:r>
              <w:rPr>
                <w:spacing w:val="-2"/>
              </w:rPr>
              <w:t>sizeable</w:t>
            </w:r>
            <w:r w:rsidRPr="00F91973">
              <w:rPr>
                <w:spacing w:val="-2"/>
              </w:rPr>
              <w:t xml:space="preserve"> </w:t>
            </w:r>
            <w:r w:rsidRPr="00AE5FF8">
              <w:rPr>
                <w:spacing w:val="-2"/>
              </w:rPr>
              <w:t>savings relative to recorded expenses of about $2.5</w:t>
            </w:r>
            <w:r>
              <w:rPr>
                <w:spacing w:val="-2"/>
              </w:rPr>
              <w:t> </w:t>
            </w:r>
            <w:r w:rsidRPr="00AE5FF8">
              <w:rPr>
                <w:spacing w:val="-2"/>
              </w:rPr>
              <w:t>billion in 2004 and just over $9</w:t>
            </w:r>
            <w:r>
              <w:rPr>
                <w:spacing w:val="-2"/>
              </w:rPr>
              <w:t> </w:t>
            </w:r>
            <w:r w:rsidRPr="00AE5FF8">
              <w:rPr>
                <w:spacing w:val="-2"/>
              </w:rPr>
              <w:t>billion in 2017</w:t>
            </w:r>
            <w:r w:rsidRPr="003D5D43">
              <w:rPr>
                <w:spacing w:val="-2"/>
                <w:lang w:eastAsia="en-US"/>
              </w:rPr>
              <w:t>.</w:t>
            </w:r>
          </w:p>
          <w:p w14:paraId="21E07EF7" w14:textId="77777777" w:rsidR="0011262F" w:rsidRPr="006734EF" w:rsidRDefault="0011262F" w:rsidP="00B54007">
            <w:pPr>
              <w:pStyle w:val="BoxListBullet2"/>
              <w:ind w:left="567" w:hanging="283"/>
              <w:rPr>
                <w:spacing w:val="-2"/>
              </w:rPr>
            </w:pPr>
            <w:r>
              <w:rPr>
                <w:spacing w:val="-2"/>
                <w:lang w:eastAsia="en-US"/>
              </w:rPr>
              <w:t xml:space="preserve">Data limitations rule out estimation of </w:t>
            </w:r>
            <w:r w:rsidRPr="00B95D60">
              <w:rPr>
                <w:spacing w:val="-2"/>
                <w:lang w:eastAsia="en-US"/>
              </w:rPr>
              <w:t>realised</w:t>
            </w:r>
            <w:r>
              <w:rPr>
                <w:spacing w:val="-2"/>
                <w:lang w:eastAsia="en-US"/>
              </w:rPr>
              <w:t xml:space="preserve"> ‘cumulative’ savings </w:t>
            </w:r>
            <w:r w:rsidRPr="00B95D60">
              <w:rPr>
                <w:spacing w:val="-2"/>
                <w:lang w:eastAsia="en-US"/>
              </w:rPr>
              <w:t>(</w:t>
            </w:r>
            <w:r>
              <w:rPr>
                <w:spacing w:val="-2"/>
                <w:lang w:eastAsia="en-US"/>
              </w:rPr>
              <w:t>scale benefits that persist beyond the year in which gains are first realised), but no doubt they have been material.</w:t>
            </w:r>
          </w:p>
          <w:p w14:paraId="3C7390B0" w14:textId="77777777" w:rsidR="0011262F" w:rsidRPr="00FB6015" w:rsidRDefault="0011262F" w:rsidP="00B54007">
            <w:pPr>
              <w:pStyle w:val="BoxListBullet2"/>
              <w:ind w:left="567" w:hanging="283"/>
              <w:rPr>
                <w:spacing w:val="-4"/>
              </w:rPr>
            </w:pPr>
            <w:r w:rsidRPr="00FB6015">
              <w:rPr>
                <w:spacing w:val="-4"/>
              </w:rPr>
              <w:t>Large cost savings can still be realised, especially from further consolidation. For example, the Commission has (conservatively) estimated that annual cost savings of at least $1.8 billion could be realised if the 50 highest cost funds merged with the 10 lowest cost funds.</w:t>
            </w:r>
          </w:p>
          <w:p w14:paraId="38828A4D" w14:textId="77777777" w:rsidR="0011262F" w:rsidRPr="00E025C7" w:rsidRDefault="0011262F" w:rsidP="00B54007">
            <w:pPr>
              <w:pStyle w:val="BoxListBullet2"/>
              <w:ind w:left="567" w:hanging="283"/>
              <w:rPr>
                <w:spacing w:val="-2"/>
              </w:rPr>
            </w:pPr>
            <w:r w:rsidRPr="00E025C7">
              <w:rPr>
                <w:spacing w:val="-2"/>
              </w:rPr>
              <w:t>E</w:t>
            </w:r>
            <w:r w:rsidRPr="00E025C7" w:rsidDel="00323C19">
              <w:rPr>
                <w:spacing w:val="-2"/>
              </w:rPr>
              <w:t xml:space="preserve">ven </w:t>
            </w:r>
            <w:r>
              <w:rPr>
                <w:spacing w:val="-2"/>
              </w:rPr>
              <w:t>modest economies</w:t>
            </w:r>
            <w:r w:rsidRPr="00E025C7" w:rsidDel="00323C19">
              <w:rPr>
                <w:spacing w:val="-2"/>
              </w:rPr>
              <w:t xml:space="preserve"> </w:t>
            </w:r>
            <w:r>
              <w:rPr>
                <w:spacing w:val="-2"/>
              </w:rPr>
              <w:t>can</w:t>
            </w:r>
            <w:r w:rsidRPr="00E025C7">
              <w:rPr>
                <w:spacing w:val="-2"/>
              </w:rPr>
              <w:t xml:space="preserve"> </w:t>
            </w:r>
            <w:r w:rsidRPr="00E025C7" w:rsidDel="00323C19">
              <w:rPr>
                <w:spacing w:val="-2"/>
              </w:rPr>
              <w:t>material</w:t>
            </w:r>
            <w:r w:rsidRPr="00E025C7">
              <w:rPr>
                <w:spacing w:val="-2"/>
              </w:rPr>
              <w:t>ly reduce costs</w:t>
            </w:r>
            <w:r w:rsidRPr="00E025C7" w:rsidDel="00323C19">
              <w:rPr>
                <w:spacing w:val="-2"/>
              </w:rPr>
              <w:t xml:space="preserve">. </w:t>
            </w:r>
            <w:r w:rsidRPr="00E025C7">
              <w:rPr>
                <w:spacing w:val="-2"/>
              </w:rPr>
              <w:t>A</w:t>
            </w:r>
            <w:r w:rsidRPr="00E025C7" w:rsidDel="00323C19">
              <w:rPr>
                <w:spacing w:val="-2"/>
              </w:rPr>
              <w:t xml:space="preserve"> </w:t>
            </w:r>
            <w:r w:rsidRPr="00E025C7">
              <w:rPr>
                <w:spacing w:val="-2"/>
              </w:rPr>
              <w:t>one</w:t>
            </w:r>
            <w:r w:rsidRPr="00E025C7" w:rsidDel="00323C19">
              <w:rPr>
                <w:spacing w:val="-2"/>
              </w:rPr>
              <w:t xml:space="preserve"> basis point reduction in administration expense ratios </w:t>
            </w:r>
            <w:r w:rsidRPr="00E025C7">
              <w:rPr>
                <w:spacing w:val="-2"/>
              </w:rPr>
              <w:t xml:space="preserve">for funds with more </w:t>
            </w:r>
            <w:r>
              <w:rPr>
                <w:spacing w:val="-2"/>
              </w:rPr>
              <w:t xml:space="preserve">than </w:t>
            </w:r>
            <w:r w:rsidRPr="00E025C7">
              <w:rPr>
                <w:spacing w:val="-2"/>
              </w:rPr>
              <w:t xml:space="preserve">$10 billion in assets would </w:t>
            </w:r>
            <w:r>
              <w:rPr>
                <w:spacing w:val="-2"/>
              </w:rPr>
              <w:t xml:space="preserve">result in annual savings of </w:t>
            </w:r>
            <w:r w:rsidRPr="00E025C7">
              <w:rPr>
                <w:spacing w:val="-2"/>
              </w:rPr>
              <w:t>a</w:t>
            </w:r>
            <w:r>
              <w:rPr>
                <w:spacing w:val="-2"/>
              </w:rPr>
              <w:t>bout</w:t>
            </w:r>
            <w:r w:rsidRPr="00E025C7" w:rsidDel="00323C19">
              <w:rPr>
                <w:spacing w:val="-2"/>
              </w:rPr>
              <w:t xml:space="preserve"> $</w:t>
            </w:r>
            <w:r w:rsidRPr="00E025C7">
              <w:rPr>
                <w:spacing w:val="-2"/>
              </w:rPr>
              <w:t>130</w:t>
            </w:r>
            <w:r w:rsidRPr="00E025C7" w:rsidDel="00323C19">
              <w:rPr>
                <w:spacing w:val="-2"/>
              </w:rPr>
              <w:t> million</w:t>
            </w:r>
            <w:r w:rsidRPr="00E025C7">
              <w:rPr>
                <w:spacing w:val="-2"/>
              </w:rPr>
              <w:t>.</w:t>
            </w:r>
          </w:p>
          <w:p w14:paraId="03008810" w14:textId="77777777" w:rsidR="0011262F" w:rsidRDefault="0011262F" w:rsidP="00B54007">
            <w:pPr>
              <w:pStyle w:val="BoxListBullet"/>
            </w:pPr>
            <w:r>
              <w:t>Scale benefits can also manifest in investment performance — through increasing returns to scale. Net returns are positively related to size for not</w:t>
            </w:r>
            <w:r>
              <w:noBreakHyphen/>
              <w:t>for</w:t>
            </w:r>
            <w:r>
              <w:noBreakHyphen/>
              <w:t>profit funds</w:t>
            </w:r>
            <w:r w:rsidRPr="009E4030">
              <w:rPr>
                <w:spacing w:val="-2"/>
              </w:rPr>
              <w:t xml:space="preserve">. </w:t>
            </w:r>
            <w:r>
              <w:rPr>
                <w:spacing w:val="-2"/>
              </w:rPr>
              <w:t>No corresponding correlation was found for for</w:t>
            </w:r>
            <w:r>
              <w:rPr>
                <w:spacing w:val="-2"/>
              </w:rPr>
              <w:noBreakHyphen/>
              <w:t>profit funds.</w:t>
            </w:r>
          </w:p>
          <w:p w14:paraId="46708A5B" w14:textId="77777777" w:rsidR="0011262F" w:rsidRDefault="0011262F" w:rsidP="00B54007">
            <w:pPr>
              <w:pStyle w:val="BoxListBullet"/>
            </w:pPr>
            <w:r>
              <w:t xml:space="preserve">There is little evidence that scale benefits have been systematically passed through to members in the form of lower fees (albeit this finding is based on analysis of only 70 per cent of the system). </w:t>
            </w:r>
          </w:p>
          <w:p w14:paraId="667895E8" w14:textId="77777777" w:rsidR="0011262F" w:rsidRDefault="0011262F" w:rsidP="00B54007">
            <w:pPr>
              <w:pStyle w:val="BoxListBullet2"/>
              <w:ind w:left="567" w:hanging="283"/>
            </w:pPr>
            <w:r>
              <w:t>Despite the realisation of economies of scale since 2004, fees charged to members by the median fund did not fall. Though some funds have likely passed through at least some of the scale gains.</w:t>
            </w:r>
          </w:p>
          <w:p w14:paraId="3B1BD5C0" w14:textId="77777777" w:rsidR="0011262F" w:rsidRDefault="0011262F" w:rsidP="00B54007">
            <w:pPr>
              <w:pStyle w:val="BoxListBullet2"/>
              <w:ind w:left="567" w:hanging="283"/>
            </w:pPr>
            <w:r>
              <w:t>Not</w:t>
            </w:r>
            <w:r>
              <w:noBreakHyphen/>
              <w:t>for</w:t>
            </w:r>
            <w:r>
              <w:noBreakHyphen/>
              <w:t>profit funds, on average, may have passed through some scale economies in higher returns (by investing more heavily in (higher</w:t>
            </w:r>
            <w:r>
              <w:noBreakHyphen/>
              <w:t>cost) unlisted assets and securing higher returns as a result), but data limitations preclude a firm finding.</w:t>
            </w:r>
          </w:p>
        </w:tc>
      </w:tr>
      <w:tr w:rsidR="0011262F" w14:paraId="099BCC72" w14:textId="77777777" w:rsidTr="00B54007">
        <w:tc>
          <w:tcPr>
            <w:tcW w:w="5000" w:type="pct"/>
            <w:tcBorders>
              <w:top w:val="nil"/>
              <w:left w:val="nil"/>
              <w:bottom w:val="nil"/>
              <w:right w:val="nil"/>
            </w:tcBorders>
            <w:shd w:val="clear" w:color="auto" w:fill="F2F2F2"/>
          </w:tcPr>
          <w:p w14:paraId="04E96A33" w14:textId="77777777" w:rsidR="0011262F" w:rsidRDefault="0011262F" w:rsidP="00B54007">
            <w:pPr>
              <w:pStyle w:val="Continued"/>
            </w:pPr>
            <w:r>
              <w:t>(continued next page)</w:t>
            </w:r>
          </w:p>
        </w:tc>
      </w:tr>
      <w:tr w:rsidR="0011262F" w14:paraId="251B9673" w14:textId="77777777" w:rsidTr="00B54007">
        <w:tc>
          <w:tcPr>
            <w:tcW w:w="5000" w:type="pct"/>
            <w:tcBorders>
              <w:top w:val="nil"/>
              <w:left w:val="nil"/>
              <w:bottom w:val="single" w:sz="6" w:space="0" w:color="78A22F"/>
              <w:right w:val="nil"/>
            </w:tcBorders>
            <w:shd w:val="clear" w:color="auto" w:fill="F2F2F2"/>
          </w:tcPr>
          <w:p w14:paraId="38FEE172" w14:textId="77777777" w:rsidR="0011262F" w:rsidRDefault="0011262F" w:rsidP="00B54007">
            <w:pPr>
              <w:pStyle w:val="Box"/>
              <w:spacing w:before="0" w:line="120" w:lineRule="exact"/>
            </w:pPr>
          </w:p>
        </w:tc>
      </w:tr>
      <w:tr w:rsidR="0011262F" w:rsidRPr="000863A5" w14:paraId="562F6ABA" w14:textId="77777777" w:rsidTr="00B54007">
        <w:tc>
          <w:tcPr>
            <w:tcW w:w="5000" w:type="pct"/>
            <w:tcBorders>
              <w:top w:val="single" w:sz="6" w:space="0" w:color="78A22F"/>
              <w:left w:val="nil"/>
              <w:bottom w:val="nil"/>
              <w:right w:val="nil"/>
            </w:tcBorders>
          </w:tcPr>
          <w:p w14:paraId="2E6790EC" w14:textId="77777777" w:rsidR="0011262F" w:rsidRPr="00626D32" w:rsidRDefault="0011262F" w:rsidP="00B54007">
            <w:pPr>
              <w:pStyle w:val="BoxSpaceBelow"/>
            </w:pPr>
          </w:p>
        </w:tc>
      </w:tr>
    </w:tbl>
    <w:p w14:paraId="741E35DD" w14:textId="77777777" w:rsidR="0011262F" w:rsidRDefault="0011262F" w:rsidP="0011262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1262F" w14:paraId="536A1B68" w14:textId="77777777" w:rsidTr="00B54007">
        <w:trPr>
          <w:tblHeader/>
        </w:trPr>
        <w:tc>
          <w:tcPr>
            <w:tcW w:w="5000" w:type="pct"/>
            <w:tcBorders>
              <w:top w:val="single" w:sz="6" w:space="0" w:color="78A22F"/>
              <w:left w:val="nil"/>
              <w:bottom w:val="nil"/>
              <w:right w:val="nil"/>
            </w:tcBorders>
            <w:shd w:val="clear" w:color="auto" w:fill="F2F2F2"/>
          </w:tcPr>
          <w:p w14:paraId="46054663" w14:textId="77777777" w:rsidR="0011262F" w:rsidRDefault="0011262F" w:rsidP="00B54007">
            <w:pPr>
              <w:pStyle w:val="BoxTitle"/>
            </w:pPr>
            <w:r>
              <w:t xml:space="preserve">Key points </w:t>
            </w:r>
            <w:r w:rsidRPr="009D59E3">
              <w:rPr>
                <w:b w:val="0"/>
                <w:sz w:val="18"/>
                <w:szCs w:val="18"/>
              </w:rPr>
              <w:t>(continued)</w:t>
            </w:r>
          </w:p>
        </w:tc>
      </w:tr>
      <w:tr w:rsidR="0011262F" w14:paraId="2DC8BA23" w14:textId="77777777" w:rsidTr="00B54007">
        <w:tc>
          <w:tcPr>
            <w:tcW w:w="5000" w:type="pct"/>
            <w:tcBorders>
              <w:top w:val="nil"/>
              <w:left w:val="nil"/>
              <w:bottom w:val="nil"/>
              <w:right w:val="nil"/>
            </w:tcBorders>
            <w:shd w:val="clear" w:color="auto" w:fill="F2F2F2"/>
          </w:tcPr>
          <w:p w14:paraId="28AA3DA6" w14:textId="77777777" w:rsidR="0011262F" w:rsidRDefault="0011262F" w:rsidP="00B54007">
            <w:pPr>
              <w:pStyle w:val="BoxListBullet2"/>
              <w:ind w:left="567" w:hanging="283"/>
            </w:pPr>
            <w:r>
              <w:t>Scale benefits may also have been ‘passed through’ in the form of member services, increases in reserves or the costs of new regulatory requirements but this cannot be tested nor established due to data constraints.</w:t>
            </w:r>
          </w:p>
          <w:p w14:paraId="260BCD1E" w14:textId="77777777" w:rsidR="0011262F" w:rsidRDefault="0011262F" w:rsidP="00B54007">
            <w:pPr>
              <w:pStyle w:val="BoxListBullet"/>
            </w:pPr>
            <w:r w:rsidRPr="00133372">
              <w:rPr>
                <w:spacing w:val="-2"/>
              </w:rPr>
              <w:t xml:space="preserve">Use of a Bayesian framework permitted robust modelling despite </w:t>
            </w:r>
            <w:r>
              <w:rPr>
                <w:spacing w:val="-2"/>
              </w:rPr>
              <w:t>poor quality data</w:t>
            </w:r>
            <w:r w:rsidRPr="00133372">
              <w:rPr>
                <w:spacing w:val="-2"/>
              </w:rPr>
              <w:t xml:space="preserve">. </w:t>
            </w:r>
            <w:r>
              <w:rPr>
                <w:spacing w:val="-2"/>
              </w:rPr>
              <w:t>And t</w:t>
            </w:r>
            <w:r w:rsidRPr="00133372">
              <w:rPr>
                <w:spacing w:val="-2"/>
              </w:rPr>
              <w:t>wo issues that inevitably biased previous research — survivor and selection bias (information for funds that have exited and missing data, respectively) — are explicitly addressed.</w:t>
            </w:r>
          </w:p>
        </w:tc>
      </w:tr>
      <w:tr w:rsidR="0011262F" w14:paraId="07B877B7" w14:textId="77777777" w:rsidTr="00B54007">
        <w:tc>
          <w:tcPr>
            <w:tcW w:w="5000" w:type="pct"/>
            <w:tcBorders>
              <w:top w:val="nil"/>
              <w:left w:val="nil"/>
              <w:bottom w:val="single" w:sz="6" w:space="0" w:color="78A22F"/>
              <w:right w:val="nil"/>
            </w:tcBorders>
            <w:shd w:val="clear" w:color="auto" w:fill="F2F2F2"/>
          </w:tcPr>
          <w:p w14:paraId="08999A13" w14:textId="77777777" w:rsidR="0011262F" w:rsidRDefault="0011262F" w:rsidP="00B54007">
            <w:pPr>
              <w:pStyle w:val="Box"/>
              <w:spacing w:before="0" w:line="120" w:lineRule="exact"/>
            </w:pPr>
          </w:p>
        </w:tc>
      </w:tr>
      <w:tr w:rsidR="0011262F" w:rsidRPr="000863A5" w14:paraId="73E193C3" w14:textId="77777777" w:rsidTr="00B54007">
        <w:tc>
          <w:tcPr>
            <w:tcW w:w="5000" w:type="pct"/>
            <w:tcBorders>
              <w:top w:val="single" w:sz="6" w:space="0" w:color="78A22F"/>
              <w:left w:val="nil"/>
              <w:bottom w:val="nil"/>
              <w:right w:val="nil"/>
            </w:tcBorders>
          </w:tcPr>
          <w:p w14:paraId="4AD54C6B" w14:textId="77777777" w:rsidR="0011262F" w:rsidRPr="00626D32" w:rsidRDefault="0011262F" w:rsidP="00B54007">
            <w:pPr>
              <w:pStyle w:val="BoxSpaceBelow"/>
            </w:pPr>
          </w:p>
        </w:tc>
      </w:tr>
    </w:tbl>
    <w:p w14:paraId="2FEE9973" w14:textId="77777777" w:rsidR="0011262F" w:rsidRDefault="0011262F" w:rsidP="0011262F">
      <w:pPr>
        <w:pStyle w:val="BodyText"/>
      </w:pPr>
      <w:r>
        <w:t xml:space="preserve">This work responds to one criterion (of 22) developed by the Commission </w:t>
      </w:r>
      <w:r w:rsidRPr="001741B6">
        <w:rPr>
          <w:szCs w:val="24"/>
        </w:rPr>
        <w:t>(PC 2016)</w:t>
      </w:r>
      <w:r>
        <w:t xml:space="preserve"> for assessing the efficiency and competitiveness of Australia’s superannuation system — </w:t>
      </w:r>
      <w:r>
        <w:rPr>
          <w:i/>
        </w:rPr>
        <w:t>Are economies of scale realised and the benefits passed through to members?</w:t>
      </w:r>
    </w:p>
    <w:p w14:paraId="6F81A31F" w14:textId="77777777" w:rsidR="0011262F" w:rsidRPr="00243019" w:rsidRDefault="0011262F" w:rsidP="0011262F">
      <w:pPr>
        <w:pStyle w:val="BodyText"/>
      </w:pPr>
      <w:r w:rsidRPr="00243019">
        <w:t xml:space="preserve">‘Economies of scale’ exist if a fund’s costs per member account (or dollar of assets invested) fall as the fund gets larger. If </w:t>
      </w:r>
      <w:r>
        <w:t xml:space="preserve">such </w:t>
      </w:r>
      <w:r w:rsidRPr="00243019">
        <w:t>costs rise with size, a fund exhibits diseconomies of scale.</w:t>
      </w:r>
    </w:p>
    <w:p w14:paraId="5B5BCE00" w14:textId="77777777" w:rsidR="0011262F" w:rsidRPr="00243019" w:rsidRDefault="0011262F" w:rsidP="0011262F">
      <w:pPr>
        <w:pStyle w:val="BodyText"/>
      </w:pPr>
      <w:r w:rsidRPr="00243019">
        <w:t>Why might analysis of economies of scale provide insights into efficiency and competitiveness? Evidence that economies exist but are not being realised could signal a lack of competitive pressure on funds to reduce costs, or that funds face impediments to gaining scale (for example, barriers to exits or mergers) — contributing to inefficiency. Evidence that economies of scale have been achieved but the gains not passed through to members could also signal a lack of competitive pressure. That said, if funds adopt higher</w:t>
      </w:r>
      <w:r w:rsidRPr="00243019">
        <w:noBreakHyphen/>
        <w:t>cost, higher</w:t>
      </w:r>
      <w:r w:rsidRPr="00243019">
        <w:noBreakHyphen/>
        <w:t>return investment strategies as they grow</w:t>
      </w:r>
      <w:r>
        <w:t xml:space="preserve"> (achieving increasing returns to scale)</w:t>
      </w:r>
      <w:r w:rsidRPr="00243019">
        <w:t>, the benefits of scale might be seen in higher net returns rather than lower costs.</w:t>
      </w:r>
      <w:r>
        <w:t xml:space="preserve"> And funds might also have used any realised gains to fund expenditures that would otherwise have been funded by a fee increase — for example, member services, increases in reserves or to meet the cost of new regulatory requirements. (Unfortunately, lack of data deems such analysis elusive.)</w:t>
      </w:r>
    </w:p>
    <w:p w14:paraId="6BFACC02" w14:textId="77777777" w:rsidR="0011262F" w:rsidRDefault="0011262F" w:rsidP="0011262F">
      <w:pPr>
        <w:pStyle w:val="BodyText"/>
      </w:pPr>
      <w:r>
        <w:t>To gain insights into economies of scale in superannuation the Commission has considered five questions.</w:t>
      </w:r>
    </w:p>
    <w:p w14:paraId="0F716C27" w14:textId="77777777" w:rsidR="0011262F" w:rsidRPr="003F67BC" w:rsidRDefault="0011262F" w:rsidP="0011262F">
      <w:pPr>
        <w:pStyle w:val="ListNumber"/>
        <w:numPr>
          <w:ilvl w:val="0"/>
          <w:numId w:val="42"/>
        </w:numPr>
        <w:rPr>
          <w:i/>
        </w:rPr>
      </w:pPr>
      <w:r w:rsidRPr="003F67BC">
        <w:rPr>
          <w:i/>
        </w:rPr>
        <w:t>What is the relationship between average cost and scale for super funds?</w:t>
      </w:r>
    </w:p>
    <w:p w14:paraId="0D4EDEBA" w14:textId="77777777" w:rsidR="0011262F" w:rsidRPr="003F67BC" w:rsidRDefault="0011262F" w:rsidP="0011262F">
      <w:pPr>
        <w:pStyle w:val="ListNumber"/>
        <w:numPr>
          <w:ilvl w:val="0"/>
          <w:numId w:val="42"/>
        </w:numPr>
        <w:rPr>
          <w:i/>
        </w:rPr>
      </w:pPr>
      <w:r w:rsidRPr="003F67BC">
        <w:rPr>
          <w:i/>
        </w:rPr>
        <w:t>How large have the realised economies of scale been?</w:t>
      </w:r>
    </w:p>
    <w:p w14:paraId="25C32EC8" w14:textId="77777777" w:rsidR="0011262F" w:rsidRPr="003F67BC" w:rsidRDefault="0011262F" w:rsidP="0011262F">
      <w:pPr>
        <w:pStyle w:val="ListNumber"/>
        <w:numPr>
          <w:ilvl w:val="0"/>
          <w:numId w:val="42"/>
        </w:numPr>
        <w:rPr>
          <w:i/>
        </w:rPr>
      </w:pPr>
      <w:r w:rsidRPr="003F67BC">
        <w:rPr>
          <w:i/>
        </w:rPr>
        <w:t>What is the scope of unrealised economies of scale?</w:t>
      </w:r>
    </w:p>
    <w:p w14:paraId="4BE684C0" w14:textId="77777777" w:rsidR="0011262F" w:rsidRPr="00E23E95" w:rsidRDefault="0011262F" w:rsidP="0011262F">
      <w:pPr>
        <w:pStyle w:val="ListNumber"/>
        <w:numPr>
          <w:ilvl w:val="0"/>
          <w:numId w:val="42"/>
        </w:numPr>
      </w:pPr>
      <w:r w:rsidRPr="003F67BC">
        <w:rPr>
          <w:i/>
        </w:rPr>
        <w:t>To what extent have benefits from scale economies been passed through to members?</w:t>
      </w:r>
    </w:p>
    <w:p w14:paraId="657F8846" w14:textId="77777777" w:rsidR="0011262F" w:rsidRPr="003F67BC" w:rsidRDefault="0011262F" w:rsidP="0011262F">
      <w:pPr>
        <w:pStyle w:val="ListNumber"/>
        <w:numPr>
          <w:ilvl w:val="0"/>
          <w:numId w:val="42"/>
        </w:numPr>
        <w:rPr>
          <w:i/>
        </w:rPr>
      </w:pPr>
      <w:r w:rsidRPr="003F67BC">
        <w:rPr>
          <w:i/>
        </w:rPr>
        <w:t>What is the relationship between returns (in total, and relative to a fund’s benchmark) and scale?</w:t>
      </w:r>
    </w:p>
    <w:p w14:paraId="689BCD0E" w14:textId="77777777" w:rsidR="0011262F" w:rsidRDefault="0011262F" w:rsidP="0011262F">
      <w:pPr>
        <w:pStyle w:val="BodyText"/>
        <w:rPr>
          <w:noProof/>
          <w:spacing w:val="-2"/>
        </w:rPr>
      </w:pPr>
      <w:r>
        <w:rPr>
          <w:spacing w:val="-2"/>
        </w:rPr>
        <w:t>In reaching answers to these questions, this technical supplement summarises p</w:t>
      </w:r>
      <w:r w:rsidRPr="0049360C">
        <w:rPr>
          <w:noProof/>
          <w:spacing w:val="-2"/>
        </w:rPr>
        <w:t xml:space="preserve">revious findings </w:t>
      </w:r>
      <w:r>
        <w:rPr>
          <w:noProof/>
          <w:spacing w:val="-2"/>
        </w:rPr>
        <w:t>(</w:t>
      </w:r>
      <w:r w:rsidRPr="0049360C">
        <w:rPr>
          <w:noProof/>
          <w:spacing w:val="-2"/>
        </w:rPr>
        <w:t>section </w:t>
      </w:r>
      <w:r>
        <w:rPr>
          <w:noProof/>
          <w:spacing w:val="-2"/>
        </w:rPr>
        <w:t>8.1),</w:t>
      </w:r>
      <w:r w:rsidRPr="0049360C">
        <w:rPr>
          <w:noProof/>
          <w:spacing w:val="-2"/>
        </w:rPr>
        <w:t xml:space="preserve"> </w:t>
      </w:r>
      <w:r>
        <w:rPr>
          <w:noProof/>
          <w:spacing w:val="-2"/>
        </w:rPr>
        <w:t xml:space="preserve">describes the estimation datasets </w:t>
      </w:r>
      <w:r>
        <w:rPr>
          <w:spacing w:val="-2"/>
        </w:rPr>
        <w:t>and methodology (</w:t>
      </w:r>
      <w:r w:rsidRPr="0049360C">
        <w:rPr>
          <w:noProof/>
          <w:spacing w:val="-2"/>
        </w:rPr>
        <w:t>section </w:t>
      </w:r>
      <w:r>
        <w:rPr>
          <w:noProof/>
          <w:spacing w:val="-2"/>
        </w:rPr>
        <w:t>8.2)</w:t>
      </w:r>
      <w:r w:rsidRPr="0049360C">
        <w:rPr>
          <w:noProof/>
          <w:spacing w:val="-2"/>
        </w:rPr>
        <w:t xml:space="preserve">, </w:t>
      </w:r>
      <w:r>
        <w:rPr>
          <w:noProof/>
          <w:spacing w:val="-2"/>
        </w:rPr>
        <w:t xml:space="preserve">then documents the Commission’s </w:t>
      </w:r>
      <w:r w:rsidRPr="0049360C">
        <w:rPr>
          <w:noProof/>
          <w:spacing w:val="-2"/>
        </w:rPr>
        <w:t xml:space="preserve">findings </w:t>
      </w:r>
      <w:r>
        <w:rPr>
          <w:noProof/>
          <w:spacing w:val="-2"/>
        </w:rPr>
        <w:t>(</w:t>
      </w:r>
      <w:r w:rsidRPr="0049360C">
        <w:rPr>
          <w:noProof/>
          <w:spacing w:val="-2"/>
        </w:rPr>
        <w:t>section </w:t>
      </w:r>
      <w:r>
        <w:rPr>
          <w:noProof/>
          <w:spacing w:val="-2"/>
        </w:rPr>
        <w:t>8.3)</w:t>
      </w:r>
      <w:r w:rsidRPr="0049360C">
        <w:rPr>
          <w:noProof/>
          <w:spacing w:val="-2"/>
        </w:rPr>
        <w:t>.</w:t>
      </w:r>
      <w:r>
        <w:rPr>
          <w:noProof/>
          <w:spacing w:val="-2"/>
        </w:rPr>
        <w:t xml:space="preserve"> Analysis of question 5 is presented at the end of section 8.3.</w:t>
      </w:r>
    </w:p>
    <w:p w14:paraId="3C1673F1" w14:textId="77777777" w:rsidR="0011262F" w:rsidRPr="00655794" w:rsidRDefault="0011262F" w:rsidP="0011262F">
      <w:pPr>
        <w:pStyle w:val="BodyText"/>
      </w:pPr>
      <w:r w:rsidRPr="00655794">
        <w:lastRenderedPageBreak/>
        <w:t>Throughout th</w:t>
      </w:r>
      <w:r>
        <w:t>is</w:t>
      </w:r>
      <w:r w:rsidRPr="00655794">
        <w:t xml:space="preserve"> </w:t>
      </w:r>
      <w:r>
        <w:t>supplement</w:t>
      </w:r>
      <w:r w:rsidRPr="00655794">
        <w:t>, the term ‘costs’ is used in references to the general concept of costs, ‘expenses’ is used in references to administration and investment expenses (reflecting the way these costs are labelled in the data used in th</w:t>
      </w:r>
      <w:r>
        <w:t>is</w:t>
      </w:r>
      <w:r w:rsidRPr="00655794">
        <w:t xml:space="preserve"> </w:t>
      </w:r>
      <w:r>
        <w:t>supplement</w:t>
      </w:r>
      <w:r w:rsidRPr="00655794">
        <w:t>); the term ‘fees’</w:t>
      </w:r>
      <w:r>
        <w:t xml:space="preserve"> </w:t>
      </w:r>
      <w:r w:rsidRPr="00655794">
        <w:t xml:space="preserve">is used to represent the prices charged to members; and the ‘system’ is defined to include only </w:t>
      </w:r>
      <w:r w:rsidRPr="005706AA">
        <w:rPr>
          <w:spacing w:val="-2"/>
        </w:rPr>
        <w:t>Australian Prudential Regulation Authority</w:t>
      </w:r>
      <w:r w:rsidRPr="00655794">
        <w:t xml:space="preserve"> </w:t>
      </w:r>
      <w:r>
        <w:t>(</w:t>
      </w:r>
      <w:r w:rsidRPr="00655794">
        <w:t>APRA</w:t>
      </w:r>
      <w:r>
        <w:t>)</w:t>
      </w:r>
      <w:r w:rsidRPr="00655794">
        <w:noBreakHyphen/>
        <w:t>regulated funds.</w:t>
      </w:r>
      <w:r>
        <w:rPr>
          <w:rStyle w:val="FootnoteReference"/>
        </w:rPr>
        <w:footnoteReference w:id="2"/>
      </w:r>
    </w:p>
    <w:p w14:paraId="446AC6EF" w14:textId="77777777" w:rsidR="0011262F" w:rsidRPr="0049360C" w:rsidRDefault="0011262F" w:rsidP="0011262F">
      <w:pPr>
        <w:pStyle w:val="BodyText"/>
        <w:rPr>
          <w:spacing w:val="-2"/>
        </w:rPr>
      </w:pPr>
      <w:r w:rsidRPr="00243019">
        <w:t xml:space="preserve">In keeping with requirements under the Commission’s Act, the methodology and </w:t>
      </w:r>
      <w:r>
        <w:t>findings</w:t>
      </w:r>
      <w:r w:rsidRPr="00243019">
        <w:t xml:space="preserve"> </w:t>
      </w:r>
      <w:r>
        <w:rPr>
          <w:noProof/>
          <w:spacing w:val="-2"/>
        </w:rPr>
        <w:t>have been subject to external technical peer review by Associate Professor Liana Jacobi.</w:t>
      </w:r>
      <w:r w:rsidRPr="00861568">
        <w:rPr>
          <w:rStyle w:val="FootnoteReference"/>
        </w:rPr>
        <w:footnoteReference w:id="3"/>
      </w:r>
      <w:r>
        <w:rPr>
          <w:noProof/>
          <w:spacing w:val="-2"/>
        </w:rPr>
        <w:t xml:space="preserve"> The Commission was also advised by Jim Savage, and the work benefited from consultation with industry participants, including feedback received through a technical workshop.</w:t>
      </w:r>
      <w:r w:rsidRPr="00861568">
        <w:rPr>
          <w:rStyle w:val="FootnoteReference"/>
        </w:rPr>
        <w:footnoteReference w:id="4"/>
      </w:r>
      <w:r w:rsidRPr="00742C34">
        <w:rPr>
          <w:noProof/>
          <w:spacing w:val="-2"/>
          <w:vertAlign w:val="superscript"/>
        </w:rPr>
        <w:t>,</w:t>
      </w:r>
      <w:r>
        <w:rPr>
          <w:rStyle w:val="FootnoteReference"/>
          <w:noProof/>
          <w:spacing w:val="-2"/>
        </w:rPr>
        <w:footnoteReference w:id="5"/>
      </w:r>
    </w:p>
    <w:p w14:paraId="4F5E8542" w14:textId="77777777" w:rsidR="0011262F" w:rsidRDefault="0011262F" w:rsidP="0011262F">
      <w:pPr>
        <w:pStyle w:val="Heading2"/>
      </w:pPr>
      <w:bookmarkStart w:id="6" w:name="_Toc532997272"/>
      <w:bookmarkStart w:id="7" w:name="_Toc534642291"/>
      <w:r>
        <w:t>8.</w:t>
      </w:r>
      <w:r>
        <w:rPr>
          <w:noProof/>
        </w:rPr>
        <w:t>1</w:t>
      </w:r>
      <w:r>
        <w:tab/>
        <w:t>Previous studies have found evidence of economies of scale but have some gaps</w:t>
      </w:r>
      <w:bookmarkEnd w:id="6"/>
      <w:bookmarkEnd w:id="7"/>
    </w:p>
    <w:p w14:paraId="782B04EC" w14:textId="77777777" w:rsidR="0011262F" w:rsidRDefault="0011262F" w:rsidP="0011262F">
      <w:pPr>
        <w:pStyle w:val="BodyText"/>
      </w:pPr>
      <w:r>
        <w:t>Several Australian researchers have attempted to measure economies of scale in superannuation (table 8.1), adopting various definitions of costs, potential explanatory variables and estimation methods. All found at least some confirming evidence. However, these analyses typically focused primarily on the first research question posed above — </w:t>
      </w:r>
      <w:r>
        <w:rPr>
          <w:i/>
        </w:rPr>
        <w:t>W</w:t>
      </w:r>
      <w:r w:rsidRPr="00AD5627">
        <w:rPr>
          <w:i/>
        </w:rPr>
        <w:t xml:space="preserve">hat is the </w:t>
      </w:r>
      <w:r>
        <w:rPr>
          <w:i/>
        </w:rPr>
        <w:t xml:space="preserve">relationship between </w:t>
      </w:r>
      <w:r w:rsidRPr="00AD5627">
        <w:rPr>
          <w:i/>
        </w:rPr>
        <w:t xml:space="preserve">average </w:t>
      </w:r>
      <w:r>
        <w:rPr>
          <w:i/>
        </w:rPr>
        <w:t>cost and scale for super funds?</w:t>
      </w:r>
      <w:r>
        <w:t xml:space="preserve"> None considered the question of pass through. And some key estimation issues were not addressed.</w:t>
      </w:r>
    </w:p>
    <w:p w14:paraId="2568CAAC" w14:textId="77777777" w:rsidR="0011262F" w:rsidRDefault="0011262F" w:rsidP="0011262F">
      <w:pPr>
        <w:pStyle w:val="BodyText"/>
      </w:pPr>
      <w:r>
        <w:t>None of the studies accounted for funds that have exited the industry (potential survivorship bias). Evidence suggests that those funds were small and high cost, meaning estimates of the relationship between fund size and costs generated using information only for remaining funds will be understated. Nor did these studies</w:t>
      </w:r>
      <w:r w:rsidDel="00CC4ECD">
        <w:t xml:space="preserve"> </w:t>
      </w:r>
      <w:r>
        <w:t>address the implications of gaps in the data (potential selection bias).</w:t>
      </w:r>
      <w:r w:rsidDel="009245D9">
        <w:t xml:space="preserve"> </w:t>
      </w:r>
    </w:p>
    <w:p w14:paraId="4033E28E" w14:textId="77777777" w:rsidR="0011262F" w:rsidRDefault="0011262F" w:rsidP="0011262F">
      <w:pPr>
        <w:pStyle w:val="BodyText"/>
      </w:pPr>
      <w:r>
        <w:t>The Commission has estimated a cost model to quantify the extent of unused scale economies and examine the pass</w:t>
      </w:r>
      <w:r>
        <w:noBreakHyphen/>
        <w:t>through of realised scale economies that addresses these estimation issues. Details of the approach follow discussion of the dataset.</w:t>
      </w:r>
    </w:p>
    <w:p w14:paraId="218732A9" w14:textId="77777777" w:rsidR="0011262F" w:rsidRDefault="0011262F" w:rsidP="0011262F">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1262F" w14:paraId="11064940" w14:textId="77777777" w:rsidTr="00B54007">
        <w:tc>
          <w:tcPr>
            <w:tcW w:w="5000" w:type="pct"/>
            <w:tcBorders>
              <w:top w:val="single" w:sz="6" w:space="0" w:color="78A22F"/>
              <w:left w:val="nil"/>
              <w:bottom w:val="nil"/>
              <w:right w:val="nil"/>
            </w:tcBorders>
            <w:shd w:val="clear" w:color="auto" w:fill="auto"/>
          </w:tcPr>
          <w:p w14:paraId="5AAF4566" w14:textId="77777777" w:rsidR="0011262F" w:rsidRPr="00784A05" w:rsidRDefault="0011262F" w:rsidP="00B54007">
            <w:pPr>
              <w:pStyle w:val="TableTitle"/>
            </w:pPr>
            <w:r>
              <w:rPr>
                <w:b w:val="0"/>
              </w:rPr>
              <w:t xml:space="preserve">Table </w:t>
            </w:r>
            <w:bookmarkStart w:id="8" w:name="OLE_LINK6"/>
            <w:r>
              <w:rPr>
                <w:b w:val="0"/>
              </w:rPr>
              <w:t>8.</w:t>
            </w:r>
            <w:r>
              <w:rPr>
                <w:b w:val="0"/>
                <w:noProof/>
              </w:rPr>
              <w:t>1</w:t>
            </w:r>
            <w:bookmarkEnd w:id="8"/>
            <w:r>
              <w:tab/>
              <w:t>Recent studies on economies of scale in superannuation</w:t>
            </w:r>
            <w:r w:rsidRPr="0079469E">
              <w:rPr>
                <w:rStyle w:val="NoteLabel"/>
              </w:rPr>
              <w:t>a</w:t>
            </w:r>
          </w:p>
        </w:tc>
      </w:tr>
      <w:tr w:rsidR="0011262F" w14:paraId="5320AE02" w14:textId="77777777" w:rsidTr="00B54007">
        <w:tc>
          <w:tcPr>
            <w:tcW w:w="5000" w:type="pct"/>
            <w:tcBorders>
              <w:top w:val="nil"/>
              <w:left w:val="nil"/>
              <w:bottom w:val="nil"/>
              <w:right w:val="nil"/>
            </w:tcBorders>
            <w:shd w:val="clear" w:color="auto" w:fill="auto"/>
          </w:tcPr>
          <w:tbl>
            <w:tblPr>
              <w:tblW w:w="0" w:type="auto"/>
              <w:tblCellMar>
                <w:top w:w="28" w:type="dxa"/>
                <w:left w:w="0" w:type="dxa"/>
                <w:right w:w="0" w:type="dxa"/>
              </w:tblCellMar>
              <w:tblLook w:val="0000" w:firstRow="0" w:lastRow="0" w:firstColumn="0" w:lastColumn="0" w:noHBand="0" w:noVBand="0"/>
            </w:tblPr>
            <w:tblGrid>
              <w:gridCol w:w="1505"/>
              <w:gridCol w:w="3740"/>
              <w:gridCol w:w="3260"/>
            </w:tblGrid>
            <w:tr w:rsidR="0011262F" w14:paraId="4D7593D1" w14:textId="77777777" w:rsidTr="00B54007">
              <w:trPr>
                <w:tblHeader/>
              </w:trPr>
              <w:tc>
                <w:tcPr>
                  <w:tcW w:w="0" w:type="auto"/>
                  <w:tcBorders>
                    <w:top w:val="single" w:sz="6" w:space="0" w:color="BFBFBF"/>
                    <w:bottom w:val="single" w:sz="6" w:space="0" w:color="BFBFBF"/>
                  </w:tcBorders>
                  <w:shd w:val="clear" w:color="auto" w:fill="auto"/>
                  <w:tcMar>
                    <w:top w:w="28" w:type="dxa"/>
                  </w:tcMar>
                </w:tcPr>
                <w:p w14:paraId="3934E502" w14:textId="77777777" w:rsidR="0011262F" w:rsidRDefault="0011262F" w:rsidP="00B54007">
                  <w:pPr>
                    <w:pStyle w:val="TableColumnHeading"/>
                    <w:jc w:val="left"/>
                  </w:pPr>
                </w:p>
              </w:tc>
              <w:tc>
                <w:tcPr>
                  <w:tcW w:w="3740" w:type="dxa"/>
                  <w:tcBorders>
                    <w:top w:val="single" w:sz="6" w:space="0" w:color="BFBFBF"/>
                    <w:bottom w:val="single" w:sz="6" w:space="0" w:color="BFBFBF"/>
                  </w:tcBorders>
                </w:tcPr>
                <w:p w14:paraId="3D423F84" w14:textId="77777777" w:rsidR="0011262F" w:rsidRDefault="0011262F" w:rsidP="00B54007">
                  <w:pPr>
                    <w:pStyle w:val="TableColumnHeading"/>
                    <w:jc w:val="left"/>
                  </w:pPr>
                  <w:r>
                    <w:t>Study details</w:t>
                  </w:r>
                </w:p>
              </w:tc>
              <w:tc>
                <w:tcPr>
                  <w:tcW w:w="3260" w:type="dxa"/>
                  <w:tcBorders>
                    <w:top w:val="single" w:sz="6" w:space="0" w:color="BFBFBF"/>
                    <w:bottom w:val="single" w:sz="6" w:space="0" w:color="BFBFBF"/>
                  </w:tcBorders>
                  <w:shd w:val="clear" w:color="auto" w:fill="auto"/>
                  <w:tcMar>
                    <w:top w:w="28" w:type="dxa"/>
                  </w:tcMar>
                </w:tcPr>
                <w:p w14:paraId="318B70DD" w14:textId="77777777" w:rsidR="0011262F" w:rsidRDefault="0011262F" w:rsidP="00B54007">
                  <w:pPr>
                    <w:pStyle w:val="TableColumnHeading"/>
                    <w:ind w:right="28"/>
                    <w:jc w:val="left"/>
                  </w:pPr>
                  <w:r>
                    <w:t>Findings</w:t>
                  </w:r>
                </w:p>
              </w:tc>
            </w:tr>
            <w:tr w:rsidR="0011262F" w14:paraId="3DE0C9DF" w14:textId="77777777" w:rsidTr="00B54007">
              <w:tc>
                <w:tcPr>
                  <w:tcW w:w="0" w:type="auto"/>
                  <w:tcBorders>
                    <w:top w:val="single" w:sz="6" w:space="0" w:color="BFBFBF"/>
                  </w:tcBorders>
                  <w:shd w:val="clear" w:color="auto" w:fill="auto"/>
                </w:tcPr>
                <w:p w14:paraId="32B4A858" w14:textId="77777777" w:rsidR="0011262F" w:rsidRDefault="0011262F" w:rsidP="00B54007">
                  <w:pPr>
                    <w:pStyle w:val="TableBodyText"/>
                    <w:jc w:val="left"/>
                  </w:pPr>
                  <w:r>
                    <w:t xml:space="preserve">Cummings </w:t>
                  </w:r>
                  <w:r w:rsidRPr="000B08A2">
                    <w:rPr>
                      <w:rFonts w:cs="Arial"/>
                    </w:rPr>
                    <w:t>(2016)</w:t>
                  </w:r>
                </w:p>
              </w:tc>
              <w:tc>
                <w:tcPr>
                  <w:tcW w:w="3740" w:type="dxa"/>
                  <w:tcBorders>
                    <w:top w:val="single" w:sz="6" w:space="0" w:color="BFBFBF"/>
                  </w:tcBorders>
                </w:tcPr>
                <w:p w14:paraId="57AB15A1" w14:textId="77777777" w:rsidR="0011262F" w:rsidRDefault="0011262F" w:rsidP="00B54007">
                  <w:pPr>
                    <w:pStyle w:val="TableBodyText"/>
                    <w:jc w:val="left"/>
                  </w:pPr>
                  <w:r>
                    <w:t>Data from 280 funds, 2004–10.</w:t>
                  </w:r>
                </w:p>
                <w:p w14:paraId="59699D46" w14:textId="77777777" w:rsidR="0011262F" w:rsidRDefault="0011262F" w:rsidP="00B54007">
                  <w:pPr>
                    <w:pStyle w:val="TableBodyText"/>
                    <w:jc w:val="left"/>
                  </w:pPr>
                  <w:r>
                    <w:t>Relationship between fund size and investment returns, and investment and operating expenses controlling for assets, average account balance, and retail and not</w:t>
                  </w:r>
                  <w:r>
                    <w:noBreakHyphen/>
                    <w:t>for</w:t>
                  </w:r>
                  <w:r>
                    <w:noBreakHyphen/>
                    <w:t>profit status.</w:t>
                  </w:r>
                </w:p>
                <w:p w14:paraId="43C373D3" w14:textId="77777777" w:rsidR="0011262F" w:rsidRDefault="0011262F" w:rsidP="00B54007">
                  <w:pPr>
                    <w:pStyle w:val="TableBodyText"/>
                    <w:jc w:val="left"/>
                  </w:pPr>
                  <w:r>
                    <w:t>Ordinary Least Squares (</w:t>
                  </w:r>
                  <w:proofErr w:type="spellStart"/>
                  <w:r>
                    <w:t>OLS</w:t>
                  </w:r>
                  <w:proofErr w:type="spellEnd"/>
                  <w:r>
                    <w:t>) regression analysis.</w:t>
                  </w:r>
                </w:p>
              </w:tc>
              <w:tc>
                <w:tcPr>
                  <w:tcW w:w="3260" w:type="dxa"/>
                  <w:tcBorders>
                    <w:top w:val="single" w:sz="6" w:space="0" w:color="BFBFBF"/>
                  </w:tcBorders>
                  <w:shd w:val="clear" w:color="auto" w:fill="auto"/>
                </w:tcPr>
                <w:p w14:paraId="3C3F46FC" w14:textId="77777777" w:rsidR="0011262F" w:rsidRDefault="0011262F" w:rsidP="00B54007">
                  <w:pPr>
                    <w:pStyle w:val="TableBodyText"/>
                    <w:ind w:right="28"/>
                    <w:jc w:val="left"/>
                  </w:pPr>
                  <w:r>
                    <w:t>Economies of scale exist in operation and investment (through improved diversification) for not</w:t>
                  </w:r>
                  <w:r>
                    <w:noBreakHyphen/>
                    <w:t>for</w:t>
                  </w:r>
                  <w:r>
                    <w:noBreakHyphen/>
                    <w:t>profit funds.</w:t>
                  </w:r>
                </w:p>
                <w:p w14:paraId="62930983" w14:textId="77777777" w:rsidR="0011262F" w:rsidRDefault="0011262F" w:rsidP="00B54007">
                  <w:pPr>
                    <w:pStyle w:val="TableBodyText"/>
                    <w:ind w:right="28"/>
                    <w:jc w:val="left"/>
                  </w:pPr>
                  <w:r>
                    <w:t>Economies of scale exist for operation costs, but not investment costs for retail funds (due to platform structure of the funds).</w:t>
                  </w:r>
                </w:p>
              </w:tc>
            </w:tr>
            <w:tr w:rsidR="0011262F" w14:paraId="1619DC1D" w14:textId="77777777" w:rsidTr="00B54007">
              <w:tc>
                <w:tcPr>
                  <w:tcW w:w="0" w:type="auto"/>
                  <w:shd w:val="pct5" w:color="auto" w:fill="auto"/>
                </w:tcPr>
                <w:p w14:paraId="73AD3D56" w14:textId="77777777" w:rsidR="0011262F" w:rsidRDefault="0011262F" w:rsidP="00B54007">
                  <w:pPr>
                    <w:pStyle w:val="TableBodyText"/>
                    <w:jc w:val="left"/>
                  </w:pPr>
                  <w:r>
                    <w:t xml:space="preserve">Higgs and Worthington </w:t>
                  </w:r>
                  <w:r w:rsidRPr="000B08A2">
                    <w:rPr>
                      <w:rFonts w:cs="Arial"/>
                    </w:rPr>
                    <w:t>(2012)</w:t>
                  </w:r>
                </w:p>
              </w:tc>
              <w:tc>
                <w:tcPr>
                  <w:tcW w:w="3740" w:type="dxa"/>
                  <w:shd w:val="pct5" w:color="auto" w:fill="auto"/>
                </w:tcPr>
                <w:p w14:paraId="5816F777" w14:textId="77777777" w:rsidR="0011262F" w:rsidRDefault="0011262F" w:rsidP="00B54007">
                  <w:pPr>
                    <w:pStyle w:val="TableBodyText"/>
                    <w:jc w:val="left"/>
                  </w:pPr>
                  <w:r>
                    <w:t>Largest 200 funds in 2011.</w:t>
                  </w:r>
                </w:p>
                <w:p w14:paraId="04206760" w14:textId="77777777" w:rsidR="0011262F" w:rsidRDefault="0011262F" w:rsidP="00B54007">
                  <w:pPr>
                    <w:pStyle w:val="TableBodyText"/>
                    <w:jc w:val="left"/>
                  </w:pPr>
                  <w:r>
                    <w:t>Relationship between fund size and operating and investment expenses, and between fund size and scope economies from insourcing, controlling for assets, members, net contributions and net rollovers (operating expenses) and assets, investment options, % defined benefits, 5 year average return (investment expenses).</w:t>
                  </w:r>
                </w:p>
                <w:p w14:paraId="6A2A8ADD" w14:textId="77777777" w:rsidR="0011262F" w:rsidRDefault="0011262F" w:rsidP="00B54007">
                  <w:pPr>
                    <w:pStyle w:val="TableBodyText"/>
                    <w:jc w:val="left"/>
                  </w:pPr>
                  <w:proofErr w:type="spellStart"/>
                  <w:r>
                    <w:t>OLS</w:t>
                  </w:r>
                  <w:proofErr w:type="spellEnd"/>
                  <w:r>
                    <w:t xml:space="preserve"> regression analysis.</w:t>
                  </w:r>
                </w:p>
              </w:tc>
              <w:tc>
                <w:tcPr>
                  <w:tcW w:w="3260" w:type="dxa"/>
                  <w:shd w:val="pct5" w:color="auto" w:fill="auto"/>
                </w:tcPr>
                <w:p w14:paraId="7D1E3AF0" w14:textId="77777777" w:rsidR="0011262F" w:rsidRDefault="0011262F" w:rsidP="00B54007">
                  <w:pPr>
                    <w:pStyle w:val="TableBodyText"/>
                    <w:ind w:right="28"/>
                    <w:jc w:val="left"/>
                  </w:pPr>
                  <w:r>
                    <w:t>Economies of scale exist in operation and investment up to at least 300 per cent of mean fund size.</w:t>
                  </w:r>
                </w:p>
                <w:p w14:paraId="0BC816A8" w14:textId="77777777" w:rsidR="0011262F" w:rsidRDefault="0011262F" w:rsidP="00B54007">
                  <w:pPr>
                    <w:pStyle w:val="TableBodyText"/>
                    <w:ind w:right="28"/>
                    <w:jc w:val="left"/>
                  </w:pPr>
                  <w:r>
                    <w:t>Economies of scope are weak, only exist at extremely large fund size and only for operation — there are generally cost savings in contracting out.</w:t>
                  </w:r>
                </w:p>
              </w:tc>
            </w:tr>
            <w:tr w:rsidR="0011262F" w14:paraId="6731C02F" w14:textId="77777777" w:rsidTr="00B54007">
              <w:tc>
                <w:tcPr>
                  <w:tcW w:w="0" w:type="auto"/>
                  <w:shd w:val="clear" w:color="auto" w:fill="auto"/>
                </w:tcPr>
                <w:p w14:paraId="0D9AFE72" w14:textId="318F5DB8" w:rsidR="0011262F" w:rsidRDefault="0011262F" w:rsidP="00B54007">
                  <w:pPr>
                    <w:pStyle w:val="TableBodyText"/>
                    <w:jc w:val="left"/>
                  </w:pPr>
                  <w:proofErr w:type="spellStart"/>
                  <w:r>
                    <w:t>Sy</w:t>
                  </w:r>
                  <w:proofErr w:type="spellEnd"/>
                  <w:r>
                    <w:t xml:space="preserve"> </w:t>
                  </w:r>
                  <w:r w:rsidRPr="000B08A2">
                    <w:rPr>
                      <w:rFonts w:cs="Arial"/>
                    </w:rPr>
                    <w:t>(2012)</w:t>
                  </w:r>
                </w:p>
              </w:tc>
              <w:tc>
                <w:tcPr>
                  <w:tcW w:w="3740" w:type="dxa"/>
                </w:tcPr>
                <w:p w14:paraId="0E201DBB" w14:textId="77777777" w:rsidR="0011262F" w:rsidRDefault="0011262F" w:rsidP="00B54007">
                  <w:pPr>
                    <w:pStyle w:val="TableBodyText"/>
                    <w:jc w:val="left"/>
                  </w:pPr>
                  <w:r>
                    <w:t>Data from all APRA-regulated funds between 2004–11 with positive expenses, more than 100 members, and greater than $10 million in assets.</w:t>
                  </w:r>
                </w:p>
                <w:p w14:paraId="012138E6" w14:textId="77777777" w:rsidR="0011262F" w:rsidRDefault="0011262F" w:rsidP="00B54007">
                  <w:pPr>
                    <w:pStyle w:val="TableBodyText"/>
                    <w:jc w:val="left"/>
                  </w:pPr>
                  <w:r>
                    <w:t>Relationship between fund size and total direct reported expenses controlling for assets, members, public-offer status, and retail and not</w:t>
                  </w:r>
                  <w:r>
                    <w:noBreakHyphen/>
                    <w:t>for</w:t>
                  </w:r>
                  <w:r>
                    <w:noBreakHyphen/>
                    <w:t>profit status.</w:t>
                  </w:r>
                </w:p>
                <w:p w14:paraId="7290783D" w14:textId="77777777" w:rsidR="0011262F" w:rsidRDefault="0011262F" w:rsidP="00B54007">
                  <w:pPr>
                    <w:pStyle w:val="TableBodyText"/>
                    <w:jc w:val="left"/>
                  </w:pPr>
                  <w:proofErr w:type="spellStart"/>
                  <w:r>
                    <w:t>OLS</w:t>
                  </w:r>
                  <w:proofErr w:type="spellEnd"/>
                  <w:r>
                    <w:t xml:space="preserve"> regression analysis.</w:t>
                  </w:r>
                </w:p>
              </w:tc>
              <w:tc>
                <w:tcPr>
                  <w:tcW w:w="3260" w:type="dxa"/>
                  <w:shd w:val="clear" w:color="auto" w:fill="auto"/>
                </w:tcPr>
                <w:p w14:paraId="2B61AE34" w14:textId="77777777" w:rsidR="0011262F" w:rsidRDefault="0011262F" w:rsidP="00B54007">
                  <w:pPr>
                    <w:pStyle w:val="TableBodyText"/>
                    <w:ind w:right="28"/>
                    <w:jc w:val="left"/>
                  </w:pPr>
                  <w:r>
                    <w:t>No economies of scale for retail funds (but there are data problems because of related</w:t>
                  </w:r>
                  <w:r>
                    <w:noBreakHyphen/>
                    <w:t>party transactions).</w:t>
                  </w:r>
                </w:p>
                <w:p w14:paraId="5D64D170" w14:textId="77777777" w:rsidR="0011262F" w:rsidRDefault="0011262F" w:rsidP="00B54007">
                  <w:pPr>
                    <w:pStyle w:val="TableBodyText"/>
                    <w:ind w:right="28"/>
                    <w:jc w:val="left"/>
                  </w:pPr>
                  <w:r>
                    <w:t>No relationship between retail fund size and fees (due to dissipation of rent to upstream intermediaries).</w:t>
                  </w:r>
                </w:p>
                <w:p w14:paraId="7FC399A3" w14:textId="77777777" w:rsidR="0011262F" w:rsidRDefault="0011262F" w:rsidP="00B54007">
                  <w:pPr>
                    <w:pStyle w:val="TableBodyText"/>
                    <w:ind w:right="28"/>
                    <w:jc w:val="left"/>
                  </w:pPr>
                  <w:r>
                    <w:t>Weak economies of scale for non</w:t>
                  </w:r>
                  <w:r>
                    <w:noBreakHyphen/>
                    <w:t>profit funds (high extent of outsourcing reduces the fixed cost base from which fund level economies can arise).</w:t>
                  </w:r>
                </w:p>
                <w:p w14:paraId="0DEA0E42" w14:textId="77777777" w:rsidR="0011262F" w:rsidRDefault="0011262F" w:rsidP="00B54007">
                  <w:pPr>
                    <w:pStyle w:val="TableBodyText"/>
                    <w:ind w:right="28"/>
                    <w:jc w:val="left"/>
                  </w:pPr>
                  <w:r>
                    <w:t>Natural asset growth is a much bigger source of scale than consolidation.</w:t>
                  </w:r>
                </w:p>
              </w:tc>
            </w:tr>
            <w:tr w:rsidR="0011262F" w:rsidRPr="00E203CF" w14:paraId="5F6F2F64" w14:textId="77777777" w:rsidTr="00B54007">
              <w:tc>
                <w:tcPr>
                  <w:tcW w:w="0" w:type="auto"/>
                  <w:shd w:val="clear" w:color="auto" w:fill="F2F2F2" w:themeFill="background1" w:themeFillShade="F2"/>
                </w:tcPr>
                <w:p w14:paraId="7AA6AC7A" w14:textId="77777777" w:rsidR="0011262F" w:rsidRDefault="0011262F" w:rsidP="00B54007">
                  <w:pPr>
                    <w:pStyle w:val="TableBodyText"/>
                    <w:jc w:val="left"/>
                  </w:pPr>
                  <w:r>
                    <w:t xml:space="preserve">Rice Warner </w:t>
                  </w:r>
                  <w:r w:rsidRPr="008D4B9C">
                    <w:rPr>
                      <w:rFonts w:cs="Arial"/>
                    </w:rPr>
                    <w:t>(2014)</w:t>
                  </w:r>
                </w:p>
              </w:tc>
              <w:tc>
                <w:tcPr>
                  <w:tcW w:w="3740" w:type="dxa"/>
                  <w:shd w:val="clear" w:color="auto" w:fill="F2F2F2" w:themeFill="background1" w:themeFillShade="F2"/>
                </w:tcPr>
                <w:p w14:paraId="6733C99E" w14:textId="77777777" w:rsidR="0011262F" w:rsidRDefault="0011262F" w:rsidP="00B54007">
                  <w:pPr>
                    <w:pStyle w:val="TableBodyText"/>
                    <w:jc w:val="left"/>
                  </w:pPr>
                  <w:r>
                    <w:t>Relationship between fund size and fees, based on APRA and own expenses data for selected funds.</w:t>
                  </w:r>
                </w:p>
                <w:p w14:paraId="48CA91A2" w14:textId="77777777" w:rsidR="0011262F" w:rsidRDefault="0011262F" w:rsidP="00B54007">
                  <w:pPr>
                    <w:pStyle w:val="TableBodyText"/>
                    <w:jc w:val="left"/>
                  </w:pPr>
                  <w:r>
                    <w:t>Plots of expenses against fund size.</w:t>
                  </w:r>
                </w:p>
              </w:tc>
              <w:tc>
                <w:tcPr>
                  <w:tcW w:w="3260" w:type="dxa"/>
                  <w:shd w:val="clear" w:color="auto" w:fill="F2F2F2" w:themeFill="background1" w:themeFillShade="F2"/>
                </w:tcPr>
                <w:p w14:paraId="1E41C886" w14:textId="77777777" w:rsidR="0011262F" w:rsidRDefault="0011262F" w:rsidP="00B54007">
                  <w:pPr>
                    <w:pStyle w:val="TableBodyText"/>
                    <w:jc w:val="left"/>
                  </w:pPr>
                  <w:r>
                    <w:t>Economies of scale exist in operation (from growing number of members and average account balances) and in investment (from larger mandates).</w:t>
                  </w:r>
                </w:p>
                <w:p w14:paraId="5CB679E5" w14:textId="77777777" w:rsidR="0011262F" w:rsidRDefault="0011262F" w:rsidP="00B54007">
                  <w:pPr>
                    <w:pStyle w:val="TableBodyText"/>
                    <w:jc w:val="left"/>
                  </w:pPr>
                  <w:r>
                    <w:t>Limited benefits from scale in operation beyond 400 000 members; investment scale largely exhausted at $10 billion of funds under management.</w:t>
                  </w:r>
                </w:p>
              </w:tc>
            </w:tr>
            <w:tr w:rsidR="0011262F" w14:paraId="5B7988B0" w14:textId="77777777" w:rsidTr="00B54007">
              <w:tc>
                <w:tcPr>
                  <w:tcW w:w="0" w:type="auto"/>
                  <w:tcBorders>
                    <w:bottom w:val="single" w:sz="6" w:space="0" w:color="BFBFBF"/>
                  </w:tcBorders>
                  <w:shd w:val="clear" w:color="auto" w:fill="auto"/>
                </w:tcPr>
                <w:p w14:paraId="4779EA11" w14:textId="77777777" w:rsidR="0011262F" w:rsidRDefault="0011262F" w:rsidP="00B54007">
                  <w:pPr>
                    <w:pStyle w:val="TableBodyText"/>
                    <w:jc w:val="left"/>
                  </w:pPr>
                  <w:proofErr w:type="spellStart"/>
                  <w:r>
                    <w:t>Minifie</w:t>
                  </w:r>
                  <w:proofErr w:type="spellEnd"/>
                  <w:r>
                    <w:t xml:space="preserve">, Cameron and Savage </w:t>
                  </w:r>
                  <w:r w:rsidRPr="009B3559">
                    <w:rPr>
                      <w:rFonts w:cs="Arial"/>
                    </w:rPr>
                    <w:t>(2015)</w:t>
                  </w:r>
                  <w:r>
                    <w:t xml:space="preserve"> </w:t>
                  </w:r>
                </w:p>
              </w:tc>
              <w:tc>
                <w:tcPr>
                  <w:tcW w:w="3740" w:type="dxa"/>
                  <w:tcBorders>
                    <w:bottom w:val="single" w:sz="6" w:space="0" w:color="BFBFBF"/>
                  </w:tcBorders>
                </w:tcPr>
                <w:p w14:paraId="2B1566BE" w14:textId="77777777" w:rsidR="0011262F" w:rsidRDefault="0011262F" w:rsidP="00B54007">
                  <w:pPr>
                    <w:pStyle w:val="TableBodyText"/>
                    <w:jc w:val="left"/>
                  </w:pPr>
                  <w:r>
                    <w:t>Relationship between fund size and administration fees.</w:t>
                  </w:r>
                </w:p>
                <w:p w14:paraId="6F135552" w14:textId="77777777" w:rsidR="0011262F" w:rsidRPr="002A1F46" w:rsidRDefault="0011262F" w:rsidP="00B54007">
                  <w:pPr>
                    <w:pStyle w:val="TableBodyText"/>
                    <w:jc w:val="left"/>
                    <w:rPr>
                      <w:rStyle w:val="DraftingNote"/>
                      <w:b w:val="0"/>
                    </w:rPr>
                  </w:pPr>
                  <w:proofErr w:type="spellStart"/>
                  <w:r>
                    <w:t>OLS</w:t>
                  </w:r>
                  <w:proofErr w:type="spellEnd"/>
                  <w:r>
                    <w:t xml:space="preserve"> regression analysis.</w:t>
                  </w:r>
                </w:p>
              </w:tc>
              <w:tc>
                <w:tcPr>
                  <w:tcW w:w="3260" w:type="dxa"/>
                  <w:tcBorders>
                    <w:bottom w:val="single" w:sz="6" w:space="0" w:color="BFBFBF"/>
                  </w:tcBorders>
                  <w:shd w:val="clear" w:color="auto" w:fill="auto"/>
                </w:tcPr>
                <w:p w14:paraId="53BD23DF" w14:textId="77777777" w:rsidR="0011262F" w:rsidRDefault="0011262F" w:rsidP="00B54007">
                  <w:pPr>
                    <w:pStyle w:val="TableBodyText"/>
                    <w:ind w:right="28"/>
                    <w:jc w:val="left"/>
                  </w:pPr>
                  <w:r>
                    <w:t>Fixed administration costs are one third of total fund costs and are the key source of scale.</w:t>
                  </w:r>
                </w:p>
                <w:p w14:paraId="1A16103C" w14:textId="77777777" w:rsidR="0011262F" w:rsidRDefault="0011262F" w:rsidP="00B54007">
                  <w:pPr>
                    <w:pStyle w:val="TableBodyText"/>
                    <w:ind w:right="28"/>
                    <w:jc w:val="left"/>
                  </w:pPr>
                  <w:r>
                    <w:t>Consolidation of 50 largest funds into 25 funds would save one sixth of total costs ($270 million).</w:t>
                  </w:r>
                </w:p>
              </w:tc>
            </w:tr>
          </w:tbl>
          <w:p w14:paraId="607DBF4C" w14:textId="77777777" w:rsidR="0011262F" w:rsidRDefault="0011262F" w:rsidP="00B54007">
            <w:pPr>
              <w:pStyle w:val="Box"/>
            </w:pPr>
          </w:p>
        </w:tc>
      </w:tr>
      <w:tr w:rsidR="0011262F" w14:paraId="1D7D4C61" w14:textId="77777777" w:rsidTr="00B54007">
        <w:tc>
          <w:tcPr>
            <w:tcW w:w="5000" w:type="pct"/>
            <w:tcBorders>
              <w:top w:val="nil"/>
              <w:left w:val="nil"/>
              <w:bottom w:val="nil"/>
              <w:right w:val="nil"/>
            </w:tcBorders>
            <w:shd w:val="clear" w:color="auto" w:fill="auto"/>
          </w:tcPr>
          <w:p w14:paraId="27C0760B" w14:textId="77777777" w:rsidR="0011262F" w:rsidRDefault="0011262F" w:rsidP="00B54007">
            <w:pPr>
              <w:pStyle w:val="Note"/>
              <w:rPr>
                <w:i/>
              </w:rPr>
            </w:pPr>
            <w:proofErr w:type="spellStart"/>
            <w:r w:rsidRPr="008E77FE">
              <w:rPr>
                <w:rStyle w:val="NoteLabel"/>
              </w:rPr>
              <w:t>a</w:t>
            </w:r>
            <w:proofErr w:type="spellEnd"/>
            <w:r>
              <w:t xml:space="preserve"> Most of the studies presented in this table classify superannuation fund costs into operational and investment expenses, but some use the terms ‘operational’ and ‘administration’ interchangeably. </w:t>
            </w:r>
          </w:p>
        </w:tc>
      </w:tr>
      <w:tr w:rsidR="0011262F" w14:paraId="5E1DD75F" w14:textId="77777777" w:rsidTr="00B54007">
        <w:tc>
          <w:tcPr>
            <w:tcW w:w="5000" w:type="pct"/>
            <w:tcBorders>
              <w:top w:val="nil"/>
              <w:left w:val="nil"/>
              <w:bottom w:val="single" w:sz="6" w:space="0" w:color="78A22F"/>
              <w:right w:val="nil"/>
            </w:tcBorders>
            <w:shd w:val="clear" w:color="auto" w:fill="auto"/>
          </w:tcPr>
          <w:p w14:paraId="6AE7EA8B" w14:textId="77777777" w:rsidR="0011262F" w:rsidRDefault="0011262F" w:rsidP="00B54007">
            <w:pPr>
              <w:pStyle w:val="Box"/>
              <w:spacing w:before="0" w:line="120" w:lineRule="exact"/>
            </w:pPr>
          </w:p>
        </w:tc>
      </w:tr>
      <w:tr w:rsidR="0011262F" w:rsidRPr="000863A5" w14:paraId="51CAFF6F" w14:textId="77777777" w:rsidTr="00B54007">
        <w:tc>
          <w:tcPr>
            <w:tcW w:w="5000" w:type="pct"/>
            <w:tcBorders>
              <w:top w:val="single" w:sz="6" w:space="0" w:color="78A22F"/>
              <w:left w:val="nil"/>
              <w:bottom w:val="nil"/>
              <w:right w:val="nil"/>
            </w:tcBorders>
          </w:tcPr>
          <w:p w14:paraId="39DC4189" w14:textId="77777777" w:rsidR="0011262F" w:rsidRPr="00626D32" w:rsidRDefault="0011262F" w:rsidP="00B54007">
            <w:pPr>
              <w:pStyle w:val="BoxSpaceBelow"/>
            </w:pPr>
          </w:p>
        </w:tc>
      </w:tr>
    </w:tbl>
    <w:p w14:paraId="73B616EB" w14:textId="77777777" w:rsidR="0011262F" w:rsidRDefault="0011262F" w:rsidP="0011262F">
      <w:pPr>
        <w:pStyle w:val="Heading2"/>
      </w:pPr>
      <w:bookmarkStart w:id="9" w:name="OLE_LINK16"/>
      <w:bookmarkStart w:id="10" w:name="_Toc532997273"/>
      <w:bookmarkStart w:id="11" w:name="_Toc534642292"/>
      <w:bookmarkStart w:id="12" w:name="OLE_LINK3"/>
      <w:r>
        <w:rPr>
          <w:spacing w:val="-4"/>
        </w:rPr>
        <w:lastRenderedPageBreak/>
        <w:t>8.</w:t>
      </w:r>
      <w:r>
        <w:rPr>
          <w:noProof/>
          <w:spacing w:val="-4"/>
        </w:rPr>
        <w:t>2</w:t>
      </w:r>
      <w:bookmarkEnd w:id="9"/>
      <w:r w:rsidRPr="009977E9">
        <w:rPr>
          <w:spacing w:val="-4"/>
        </w:rPr>
        <w:tab/>
      </w:r>
      <w:r w:rsidRPr="00E07613">
        <w:rPr>
          <w:spacing w:val="-2"/>
        </w:rPr>
        <w:t xml:space="preserve">Sufficient data </w:t>
      </w:r>
      <w:r>
        <w:rPr>
          <w:spacing w:val="-2"/>
        </w:rPr>
        <w:t xml:space="preserve">are </w:t>
      </w:r>
      <w:r w:rsidRPr="00E07613">
        <w:rPr>
          <w:spacing w:val="-2"/>
        </w:rPr>
        <w:t>available</w:t>
      </w:r>
      <w:r>
        <w:rPr>
          <w:spacing w:val="-2"/>
        </w:rPr>
        <w:t xml:space="preserve"> but</w:t>
      </w:r>
      <w:r w:rsidRPr="00E07613">
        <w:rPr>
          <w:spacing w:val="-2"/>
        </w:rPr>
        <w:t xml:space="preserve"> quality creates challenges</w:t>
      </w:r>
      <w:bookmarkEnd w:id="10"/>
      <w:bookmarkEnd w:id="11"/>
    </w:p>
    <w:bookmarkEnd w:id="12"/>
    <w:p w14:paraId="2B9A2E28" w14:textId="77777777" w:rsidR="0011262F" w:rsidRPr="005706AA" w:rsidRDefault="0011262F" w:rsidP="0011262F">
      <w:pPr>
        <w:pStyle w:val="BodyText"/>
        <w:rPr>
          <w:spacing w:val="-2"/>
        </w:rPr>
      </w:pPr>
      <w:r w:rsidRPr="005706AA">
        <w:rPr>
          <w:spacing w:val="-2"/>
        </w:rPr>
        <w:t xml:space="preserve">Data collected and published by the Australian Prudential Regulation Authority </w:t>
      </w:r>
      <w:r w:rsidRPr="00174A20">
        <w:rPr>
          <w:szCs w:val="24"/>
        </w:rPr>
        <w:t>(APRA 2018)</w:t>
      </w:r>
      <w:r w:rsidRPr="005706AA">
        <w:rPr>
          <w:spacing w:val="-2"/>
        </w:rPr>
        <w:t xml:space="preserve"> and the research firm </w:t>
      </w:r>
      <w:proofErr w:type="spellStart"/>
      <w:r w:rsidRPr="005706AA">
        <w:rPr>
          <w:spacing w:val="-2"/>
        </w:rPr>
        <w:t>SuperRatings</w:t>
      </w:r>
      <w:proofErr w:type="spellEnd"/>
      <w:r w:rsidRPr="005706AA">
        <w:rPr>
          <w:spacing w:val="-2"/>
        </w:rPr>
        <w:t xml:space="preserve"> (SR) were used in the analysis.</w:t>
      </w:r>
    </w:p>
    <w:p w14:paraId="54E986E0" w14:textId="77777777" w:rsidR="0011262F" w:rsidRPr="005706AA" w:rsidRDefault="0011262F" w:rsidP="0011262F">
      <w:pPr>
        <w:pStyle w:val="Heading3"/>
        <w:rPr>
          <w:spacing w:val="-2"/>
        </w:rPr>
      </w:pPr>
      <w:r w:rsidRPr="005706AA">
        <w:rPr>
          <w:spacing w:val="-2"/>
        </w:rPr>
        <w:t>Data are available for a reasonably large panel of funds</w:t>
      </w:r>
    </w:p>
    <w:p w14:paraId="1DE8311E" w14:textId="77777777" w:rsidR="0011262F" w:rsidRDefault="0011262F" w:rsidP="0011262F">
      <w:pPr>
        <w:pStyle w:val="BodyText"/>
      </w:pPr>
      <w:r>
        <w:t>A fund</w:t>
      </w:r>
      <w:r>
        <w:noBreakHyphen/>
        <w:t>level</w:t>
      </w:r>
      <w:r w:rsidDel="00571A40">
        <w:t xml:space="preserve"> </w:t>
      </w:r>
      <w:r>
        <w:t>panel dataset was formed using APRA data for 2004 to 2016.</w:t>
      </w:r>
      <w:r w:rsidRPr="006007B3">
        <w:rPr>
          <w:rStyle w:val="FootnoteReference"/>
        </w:rPr>
        <w:footnoteReference w:id="6"/>
      </w:r>
      <w:r>
        <w:t xml:space="preserve"> The panel is unbalanced </w:t>
      </w:r>
      <w:r w:rsidRPr="00243019">
        <w:t xml:space="preserve">— that is, data from some funds </w:t>
      </w:r>
      <w:r>
        <w:t>are</w:t>
      </w:r>
      <w:r w:rsidRPr="00243019">
        <w:t xml:space="preserve"> not available for the whole period (typically due to fund mergers or exits).</w:t>
      </w:r>
    </w:p>
    <w:p w14:paraId="6FB11B65" w14:textId="77777777" w:rsidR="0011262F" w:rsidRDefault="0011262F" w:rsidP="0011262F">
      <w:pPr>
        <w:pStyle w:val="ListBullet"/>
      </w:pPr>
      <w:r>
        <w:t xml:space="preserve">Eighteen eligible rollover funds </w:t>
      </w:r>
      <w:r w:rsidDel="00AE2B07">
        <w:t xml:space="preserve">and </w:t>
      </w:r>
      <w:r>
        <w:t>three ‘risk</w:t>
      </w:r>
      <w:r>
        <w:noBreakHyphen/>
        <w:t>only’ funds (run solely to provide insurance) were excluded because they have distinctly different objectives, and therefore operate differently, from other institutional super funds.</w:t>
      </w:r>
    </w:p>
    <w:p w14:paraId="7874E72D" w14:textId="77777777" w:rsidR="0011262F" w:rsidRDefault="0011262F" w:rsidP="0011262F">
      <w:pPr>
        <w:pStyle w:val="ListBullet"/>
      </w:pPr>
      <w:r>
        <w:t>Funds with fewer than three fund–year observations were also excluded because a robust economies of scale relationship cannot be observed with fewer than three observations. Significant consolidation of corporate funds between 2004 and 2006 (from 751 to 198) made up most of these cases.</w:t>
      </w:r>
    </w:p>
    <w:p w14:paraId="37D5A25C" w14:textId="77777777" w:rsidR="0011262F" w:rsidRDefault="0011262F" w:rsidP="0011262F">
      <w:pPr>
        <w:pStyle w:val="ListBullet"/>
      </w:pPr>
      <w:r>
        <w:t>And observations for some funds in some years (fund–year observations) were excluded because they lacked data points for all of the variables: member accounts, asset allocation, annual returns and total assets.</w:t>
      </w:r>
      <w:r w:rsidRPr="006007B3">
        <w:rPr>
          <w:rStyle w:val="FootnoteReference"/>
        </w:rPr>
        <w:footnoteReference w:id="7"/>
      </w:r>
    </w:p>
    <w:p w14:paraId="19C26463" w14:textId="77777777" w:rsidR="0011262F" w:rsidRDefault="0011262F" w:rsidP="0011262F">
      <w:pPr>
        <w:pStyle w:val="BodyText"/>
      </w:pPr>
      <w:r>
        <w:t>The estimation dataset included 494 funds (table 8.2) accounting for 4138 fund–year observations</w:t>
      </w:r>
      <w:r w:rsidRPr="00B50D6C">
        <w:t xml:space="preserve"> </w:t>
      </w:r>
      <w:r>
        <w:t>and representing the majority of the system in terms of assets (from 89 to 100 per cent across the time period, table 8.3). About 60 per cent of the (494) funds were in the panel for at least seven years.</w:t>
      </w:r>
    </w:p>
    <w:p w14:paraId="5191EFF2" w14:textId="77777777" w:rsidR="0011262F" w:rsidRDefault="0011262F" w:rsidP="0011262F">
      <w:pPr>
        <w:pStyle w:val="BodyText"/>
      </w:pPr>
      <w:r>
        <w:t>Because APRA data lack information about fees charged to members — data needed to explore the pass through of benefits to members — SR data were purchased and linked with the APRA panel.</w:t>
      </w:r>
    </w:p>
    <w:p w14:paraId="66AF09C7" w14:textId="77777777" w:rsidR="0011262F" w:rsidRPr="00BF3706" w:rsidRDefault="0011262F" w:rsidP="0011262F">
      <w:pPr>
        <w:pStyle w:val="BodyText"/>
        <w:rPr>
          <w:spacing w:val="-2"/>
        </w:rPr>
      </w:pPr>
      <w:r w:rsidRPr="00BF3706">
        <w:rPr>
          <w:spacing w:val="-2"/>
        </w:rPr>
        <w:t>One downside, however, is that</w:t>
      </w:r>
      <w:r>
        <w:rPr>
          <w:spacing w:val="-2"/>
        </w:rPr>
        <w:t xml:space="preserve"> not all</w:t>
      </w:r>
      <w:r w:rsidRPr="00BF3706">
        <w:rPr>
          <w:spacing w:val="-2"/>
        </w:rPr>
        <w:t xml:space="preserve"> funds </w:t>
      </w:r>
      <w:r>
        <w:rPr>
          <w:spacing w:val="-2"/>
        </w:rPr>
        <w:t>provide data to SR</w:t>
      </w:r>
      <w:r w:rsidRPr="00BF3706">
        <w:rPr>
          <w:spacing w:val="-2"/>
        </w:rPr>
        <w:t>. As a result, the data capture a relatively small</w:t>
      </w:r>
      <w:r>
        <w:rPr>
          <w:spacing w:val="-2"/>
        </w:rPr>
        <w:t>er</w:t>
      </w:r>
      <w:r w:rsidRPr="00BF3706">
        <w:rPr>
          <w:spacing w:val="-2"/>
        </w:rPr>
        <w:t xml:space="preserve"> subset of funds in the institutional system (table </w:t>
      </w:r>
      <w:r>
        <w:rPr>
          <w:spacing w:val="-2"/>
        </w:rPr>
        <w:t>8.4</w:t>
      </w:r>
      <w:r w:rsidRPr="00BF3706">
        <w:rPr>
          <w:spacing w:val="-2"/>
        </w:rPr>
        <w:t>), and smaller, higher</w:t>
      </w:r>
      <w:r w:rsidRPr="00BF3706">
        <w:rPr>
          <w:spacing w:val="-2"/>
        </w:rPr>
        <w:noBreakHyphen/>
        <w:t>cost funds are underrepresented. In 2015</w:t>
      </w:r>
      <w:r w:rsidRPr="00BF3706">
        <w:rPr>
          <w:spacing w:val="-2"/>
        </w:rPr>
        <w:noBreakHyphen/>
        <w:t xml:space="preserve">16, for example, funds in the APRA panel </w:t>
      </w:r>
      <w:r>
        <w:rPr>
          <w:spacing w:val="-2"/>
        </w:rPr>
        <w:t>had</w:t>
      </w:r>
      <w:r w:rsidRPr="00BF3706">
        <w:rPr>
          <w:spacing w:val="-2"/>
        </w:rPr>
        <w:t xml:space="preserve"> </w:t>
      </w:r>
      <w:r>
        <w:rPr>
          <w:spacing w:val="-2"/>
        </w:rPr>
        <w:t xml:space="preserve">average </w:t>
      </w:r>
      <w:r w:rsidRPr="00BF3706">
        <w:rPr>
          <w:spacing w:val="-2"/>
        </w:rPr>
        <w:t xml:space="preserve">assets of $2.2 billion and </w:t>
      </w:r>
      <w:r>
        <w:rPr>
          <w:spacing w:val="-2"/>
        </w:rPr>
        <w:t xml:space="preserve">average </w:t>
      </w:r>
      <w:r w:rsidRPr="00BF3706">
        <w:rPr>
          <w:spacing w:val="-2"/>
        </w:rPr>
        <w:t>expenses of $16.2 million</w:t>
      </w:r>
      <w:r>
        <w:rPr>
          <w:spacing w:val="-2"/>
        </w:rPr>
        <w:t xml:space="preserve">; those in the SR panel held average assets of </w:t>
      </w:r>
      <w:r w:rsidRPr="00BF3706">
        <w:rPr>
          <w:spacing w:val="-2"/>
        </w:rPr>
        <w:t>$9.9</w:t>
      </w:r>
      <w:r>
        <w:rPr>
          <w:spacing w:val="-2"/>
        </w:rPr>
        <w:t> </w:t>
      </w:r>
      <w:r w:rsidRPr="00BF3706">
        <w:rPr>
          <w:spacing w:val="-2"/>
        </w:rPr>
        <w:t xml:space="preserve">billion and </w:t>
      </w:r>
      <w:r>
        <w:rPr>
          <w:spacing w:val="-2"/>
        </w:rPr>
        <w:t xml:space="preserve">had average expenses of </w:t>
      </w:r>
      <w:r w:rsidRPr="00BF3706">
        <w:rPr>
          <w:spacing w:val="-2"/>
        </w:rPr>
        <w:t>$64.1</w:t>
      </w:r>
      <w:r>
        <w:rPr>
          <w:spacing w:val="-2"/>
        </w:rPr>
        <w:t> </w:t>
      </w:r>
      <w:r w:rsidRPr="00BF3706">
        <w:rPr>
          <w:spacing w:val="-2"/>
        </w:rPr>
        <w:t xml:space="preserve">million. Additional selection bias is introduced into the analysis through use of these data. That said, </w:t>
      </w:r>
      <w:r>
        <w:rPr>
          <w:spacing w:val="-2"/>
        </w:rPr>
        <w:t xml:space="preserve">the SR </w:t>
      </w:r>
      <w:r w:rsidRPr="00BF3706">
        <w:rPr>
          <w:spacing w:val="-2"/>
        </w:rPr>
        <w:t xml:space="preserve">sample </w:t>
      </w:r>
      <w:r w:rsidRPr="00BF3706">
        <w:rPr>
          <w:spacing w:val="-2"/>
        </w:rPr>
        <w:lastRenderedPageBreak/>
        <w:t>account</w:t>
      </w:r>
      <w:r>
        <w:rPr>
          <w:spacing w:val="-2"/>
        </w:rPr>
        <w:t>ed</w:t>
      </w:r>
      <w:r w:rsidRPr="00BF3706">
        <w:rPr>
          <w:spacing w:val="-2"/>
        </w:rPr>
        <w:t xml:space="preserve"> for 42 per cent of assets and 71 per cent of member accounts in the system as at 30</w:t>
      </w:r>
      <w:r>
        <w:rPr>
          <w:spacing w:val="-2"/>
        </w:rPr>
        <w:t> </w:t>
      </w:r>
      <w:r w:rsidRPr="00BF3706">
        <w:rPr>
          <w:spacing w:val="-2"/>
        </w:rPr>
        <w:t>June 2017, making it reasonably representative.</w:t>
      </w:r>
    </w:p>
    <w:p w14:paraId="64170297" w14:textId="77777777" w:rsidR="0011262F" w:rsidRDefault="0011262F" w:rsidP="0011262F">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1262F" w14:paraId="0E7D8083" w14:textId="77777777" w:rsidTr="00B54007">
        <w:trPr>
          <w:tblHeader/>
        </w:trPr>
        <w:tc>
          <w:tcPr>
            <w:tcW w:w="5000" w:type="pct"/>
            <w:tcBorders>
              <w:top w:val="single" w:sz="6" w:space="0" w:color="78A22F"/>
              <w:left w:val="nil"/>
              <w:bottom w:val="nil"/>
              <w:right w:val="nil"/>
            </w:tcBorders>
            <w:shd w:val="clear" w:color="auto" w:fill="auto"/>
          </w:tcPr>
          <w:p w14:paraId="61CB38E4" w14:textId="77777777" w:rsidR="0011262F" w:rsidRDefault="0011262F" w:rsidP="00B54007">
            <w:pPr>
              <w:pStyle w:val="TableTitle"/>
              <w:rPr>
                <w:rStyle w:val="NoteLabel"/>
                <w:b/>
              </w:rPr>
            </w:pPr>
            <w:r>
              <w:rPr>
                <w:b w:val="0"/>
              </w:rPr>
              <w:t xml:space="preserve">Table </w:t>
            </w:r>
            <w:bookmarkStart w:id="13" w:name="OLE_LINK9"/>
            <w:r>
              <w:rPr>
                <w:b w:val="0"/>
              </w:rPr>
              <w:t>8.</w:t>
            </w:r>
            <w:r>
              <w:rPr>
                <w:b w:val="0"/>
                <w:noProof/>
              </w:rPr>
              <w:t>2</w:t>
            </w:r>
            <w:bookmarkEnd w:id="13"/>
            <w:r>
              <w:tab/>
              <w:t>Funds captured in the panel built from APRA data</w:t>
            </w:r>
            <w:proofErr w:type="spellStart"/>
            <w:r w:rsidRPr="00DF3CD4">
              <w:rPr>
                <w:rStyle w:val="NoteLabel"/>
              </w:rPr>
              <w:t>a</w:t>
            </w:r>
            <w:r>
              <w:rPr>
                <w:rStyle w:val="NoteLabel"/>
              </w:rPr>
              <w:t>,b</w:t>
            </w:r>
            <w:proofErr w:type="spellEnd"/>
          </w:p>
          <w:p w14:paraId="4C525B18" w14:textId="77777777" w:rsidR="0011262F" w:rsidRPr="00784A05" w:rsidRDefault="0011262F" w:rsidP="00B54007">
            <w:pPr>
              <w:pStyle w:val="Subtitle"/>
            </w:pPr>
            <w:r>
              <w:t>Number of funds by segment, 2004–2016</w:t>
            </w:r>
          </w:p>
        </w:tc>
      </w:tr>
      <w:tr w:rsidR="0011262F" w14:paraId="1316D719" w14:textId="77777777" w:rsidTr="00B5400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3"/>
              <w:gridCol w:w="1701"/>
              <w:gridCol w:w="1701"/>
              <w:gridCol w:w="1582"/>
              <w:gridCol w:w="1818"/>
            </w:tblGrid>
            <w:tr w:rsidR="0011262F" w14:paraId="1AD36D12" w14:textId="77777777" w:rsidTr="00B54007">
              <w:trPr>
                <w:tblHeader/>
              </w:trPr>
              <w:tc>
                <w:tcPr>
                  <w:tcW w:w="1001" w:type="pct"/>
                  <w:tcBorders>
                    <w:top w:val="single" w:sz="6" w:space="0" w:color="BFBFBF"/>
                    <w:bottom w:val="single" w:sz="6" w:space="0" w:color="BFBFBF"/>
                  </w:tcBorders>
                  <w:shd w:val="clear" w:color="auto" w:fill="auto"/>
                  <w:tcMar>
                    <w:top w:w="28" w:type="dxa"/>
                  </w:tcMar>
                </w:tcPr>
                <w:p w14:paraId="7FB7DE6E" w14:textId="77777777" w:rsidR="0011262F" w:rsidRDefault="0011262F" w:rsidP="00B54007">
                  <w:pPr>
                    <w:pStyle w:val="TableColumnHeading"/>
                    <w:jc w:val="left"/>
                  </w:pPr>
                  <w:r>
                    <w:br/>
                    <w:t>Segment</w:t>
                  </w:r>
                </w:p>
              </w:tc>
              <w:tc>
                <w:tcPr>
                  <w:tcW w:w="1000" w:type="pct"/>
                  <w:tcBorders>
                    <w:top w:val="single" w:sz="6" w:space="0" w:color="BFBFBF"/>
                    <w:bottom w:val="single" w:sz="6" w:space="0" w:color="BFBFBF"/>
                  </w:tcBorders>
                </w:tcPr>
                <w:p w14:paraId="4BDD0EAE" w14:textId="77777777" w:rsidR="0011262F" w:rsidRDefault="0011262F" w:rsidP="00B54007">
                  <w:pPr>
                    <w:pStyle w:val="TableColumnHeading"/>
                  </w:pPr>
                  <w:r>
                    <w:br/>
                    <w:t>2004</w:t>
                  </w:r>
                  <w:r>
                    <w:noBreakHyphen/>
                    <w:t>05</w:t>
                  </w:r>
                </w:p>
              </w:tc>
              <w:tc>
                <w:tcPr>
                  <w:tcW w:w="1000" w:type="pct"/>
                  <w:tcBorders>
                    <w:top w:val="single" w:sz="6" w:space="0" w:color="BFBFBF"/>
                    <w:bottom w:val="single" w:sz="6" w:space="0" w:color="BFBFBF"/>
                  </w:tcBorders>
                  <w:shd w:val="clear" w:color="auto" w:fill="auto"/>
                  <w:tcMar>
                    <w:top w:w="28" w:type="dxa"/>
                  </w:tcMar>
                </w:tcPr>
                <w:p w14:paraId="7A8918A0" w14:textId="77777777" w:rsidR="0011262F" w:rsidRDefault="0011262F" w:rsidP="00B54007">
                  <w:pPr>
                    <w:pStyle w:val="TableColumnHeading"/>
                  </w:pPr>
                  <w:r>
                    <w:br/>
                    <w:t>2009</w:t>
                  </w:r>
                  <w:r>
                    <w:noBreakHyphen/>
                    <w:t>10</w:t>
                  </w:r>
                </w:p>
              </w:tc>
              <w:tc>
                <w:tcPr>
                  <w:tcW w:w="930" w:type="pct"/>
                  <w:tcBorders>
                    <w:top w:val="single" w:sz="6" w:space="0" w:color="BFBFBF"/>
                    <w:bottom w:val="single" w:sz="6" w:space="0" w:color="BFBFBF"/>
                  </w:tcBorders>
                </w:tcPr>
                <w:p w14:paraId="7882B625" w14:textId="77777777" w:rsidR="0011262F" w:rsidRDefault="0011262F" w:rsidP="00B54007">
                  <w:pPr>
                    <w:pStyle w:val="TableColumnHeading"/>
                    <w:ind w:right="28"/>
                  </w:pPr>
                  <w:r>
                    <w:br/>
                    <w:t>2015</w:t>
                  </w:r>
                  <w:r>
                    <w:noBreakHyphen/>
                    <w:t>16</w:t>
                  </w:r>
                </w:p>
              </w:tc>
              <w:tc>
                <w:tcPr>
                  <w:tcW w:w="1069" w:type="pct"/>
                  <w:tcBorders>
                    <w:top w:val="single" w:sz="6" w:space="0" w:color="BFBFBF"/>
                    <w:bottom w:val="single" w:sz="6" w:space="0" w:color="BFBFBF"/>
                  </w:tcBorders>
                  <w:shd w:val="clear" w:color="auto" w:fill="auto"/>
                  <w:tcMar>
                    <w:top w:w="28" w:type="dxa"/>
                  </w:tcMar>
                </w:tcPr>
                <w:p w14:paraId="4992ABBE" w14:textId="77777777" w:rsidR="0011262F" w:rsidRDefault="0011262F" w:rsidP="00B54007">
                  <w:pPr>
                    <w:pStyle w:val="TableColumnHeading"/>
                    <w:ind w:right="28"/>
                  </w:pPr>
                  <w:r>
                    <w:t>Number of unique funds in the sample</w:t>
                  </w:r>
                  <w:r w:rsidRPr="004A16A8">
                    <w:rPr>
                      <w:rStyle w:val="NoteLabel"/>
                    </w:rPr>
                    <w:t>c</w:t>
                  </w:r>
                </w:p>
              </w:tc>
            </w:tr>
            <w:tr w:rsidR="0011262F" w14:paraId="15A08CD1" w14:textId="77777777" w:rsidTr="00B54007">
              <w:tc>
                <w:tcPr>
                  <w:tcW w:w="1001" w:type="pct"/>
                  <w:tcBorders>
                    <w:top w:val="single" w:sz="6" w:space="0" w:color="BFBFBF"/>
                  </w:tcBorders>
                  <w:shd w:val="clear" w:color="auto" w:fill="F2F2F2" w:themeFill="background1" w:themeFillShade="F2"/>
                </w:tcPr>
                <w:p w14:paraId="3C0C053C" w14:textId="77777777" w:rsidR="0011262F" w:rsidRPr="00BA0DB4" w:rsidRDefault="0011262F" w:rsidP="00B54007">
                  <w:pPr>
                    <w:pStyle w:val="TableUnitsRow"/>
                    <w:jc w:val="left"/>
                    <w:rPr>
                      <w:b/>
                    </w:rPr>
                  </w:pPr>
                  <w:r>
                    <w:rPr>
                      <w:b/>
                    </w:rPr>
                    <w:t>Funds captured</w:t>
                  </w:r>
                </w:p>
              </w:tc>
              <w:tc>
                <w:tcPr>
                  <w:tcW w:w="1000" w:type="pct"/>
                  <w:tcBorders>
                    <w:top w:val="single" w:sz="6" w:space="0" w:color="BFBFBF"/>
                  </w:tcBorders>
                  <w:shd w:val="clear" w:color="auto" w:fill="F2F2F2" w:themeFill="background1" w:themeFillShade="F2"/>
                </w:tcPr>
                <w:p w14:paraId="3431A364" w14:textId="77777777" w:rsidR="0011262F" w:rsidRDefault="0011262F" w:rsidP="00B54007">
                  <w:pPr>
                    <w:pStyle w:val="TableUnitsRow"/>
                  </w:pPr>
                </w:p>
              </w:tc>
              <w:tc>
                <w:tcPr>
                  <w:tcW w:w="1000" w:type="pct"/>
                  <w:tcBorders>
                    <w:top w:val="single" w:sz="6" w:space="0" w:color="BFBFBF"/>
                  </w:tcBorders>
                  <w:shd w:val="clear" w:color="auto" w:fill="F2F2F2" w:themeFill="background1" w:themeFillShade="F2"/>
                </w:tcPr>
                <w:p w14:paraId="6F560FF0" w14:textId="77777777" w:rsidR="0011262F" w:rsidRDefault="0011262F" w:rsidP="00B54007">
                  <w:pPr>
                    <w:pStyle w:val="TableUnitsRow"/>
                  </w:pPr>
                </w:p>
              </w:tc>
              <w:tc>
                <w:tcPr>
                  <w:tcW w:w="930" w:type="pct"/>
                  <w:tcBorders>
                    <w:top w:val="single" w:sz="6" w:space="0" w:color="BFBFBF"/>
                  </w:tcBorders>
                  <w:shd w:val="clear" w:color="auto" w:fill="F2F2F2" w:themeFill="background1" w:themeFillShade="F2"/>
                </w:tcPr>
                <w:p w14:paraId="53AE5782" w14:textId="77777777" w:rsidR="0011262F" w:rsidRDefault="0011262F" w:rsidP="00B54007">
                  <w:pPr>
                    <w:pStyle w:val="TableUnitsRow"/>
                    <w:ind w:right="28"/>
                  </w:pPr>
                </w:p>
              </w:tc>
              <w:tc>
                <w:tcPr>
                  <w:tcW w:w="1069" w:type="pct"/>
                  <w:tcBorders>
                    <w:top w:val="single" w:sz="6" w:space="0" w:color="BFBFBF"/>
                  </w:tcBorders>
                  <w:shd w:val="clear" w:color="auto" w:fill="F2F2F2" w:themeFill="background1" w:themeFillShade="F2"/>
                </w:tcPr>
                <w:p w14:paraId="625FF0AA" w14:textId="77777777" w:rsidR="0011262F" w:rsidRDefault="0011262F" w:rsidP="00B54007">
                  <w:pPr>
                    <w:pStyle w:val="TableUnitsRow"/>
                    <w:ind w:right="28"/>
                  </w:pPr>
                </w:p>
              </w:tc>
            </w:tr>
            <w:tr w:rsidR="0011262F" w14:paraId="0F27EF14" w14:textId="77777777" w:rsidTr="00B54007">
              <w:tc>
                <w:tcPr>
                  <w:tcW w:w="1001" w:type="pct"/>
                  <w:tcBorders>
                    <w:top w:val="single" w:sz="6" w:space="0" w:color="BFBFBF"/>
                  </w:tcBorders>
                </w:tcPr>
                <w:p w14:paraId="4B46E659" w14:textId="77777777" w:rsidR="0011262F" w:rsidRDefault="0011262F" w:rsidP="00B54007">
                  <w:pPr>
                    <w:pStyle w:val="TableUnitsRow"/>
                    <w:jc w:val="left"/>
                  </w:pPr>
                  <w:r>
                    <w:t>Corporate</w:t>
                  </w:r>
                </w:p>
              </w:tc>
              <w:tc>
                <w:tcPr>
                  <w:tcW w:w="1000" w:type="pct"/>
                  <w:tcBorders>
                    <w:top w:val="single" w:sz="6" w:space="0" w:color="BFBFBF"/>
                  </w:tcBorders>
                  <w:vAlign w:val="center"/>
                </w:tcPr>
                <w:p w14:paraId="79FFB58D" w14:textId="77777777" w:rsidR="0011262F" w:rsidRDefault="0011262F" w:rsidP="00B54007">
                  <w:pPr>
                    <w:pStyle w:val="TableUnitsRow"/>
                  </w:pPr>
                  <w:r w:rsidRPr="00C71513">
                    <w:t>181</w:t>
                  </w:r>
                </w:p>
              </w:tc>
              <w:tc>
                <w:tcPr>
                  <w:tcW w:w="1000" w:type="pct"/>
                  <w:tcBorders>
                    <w:top w:val="single" w:sz="6" w:space="0" w:color="BFBFBF"/>
                  </w:tcBorders>
                  <w:vAlign w:val="center"/>
                </w:tcPr>
                <w:p w14:paraId="61E4DE87" w14:textId="77777777" w:rsidR="0011262F" w:rsidRDefault="0011262F" w:rsidP="00B54007">
                  <w:pPr>
                    <w:pStyle w:val="TableUnitsRow"/>
                  </w:pPr>
                  <w:r w:rsidRPr="00C71513">
                    <w:t>74</w:t>
                  </w:r>
                </w:p>
              </w:tc>
              <w:tc>
                <w:tcPr>
                  <w:tcW w:w="930" w:type="pct"/>
                  <w:tcBorders>
                    <w:top w:val="single" w:sz="6" w:space="0" w:color="BFBFBF"/>
                  </w:tcBorders>
                  <w:vAlign w:val="center"/>
                </w:tcPr>
                <w:p w14:paraId="2439C812" w14:textId="77777777" w:rsidR="0011262F" w:rsidRDefault="0011262F" w:rsidP="00B54007">
                  <w:pPr>
                    <w:pStyle w:val="TableUnitsRow"/>
                  </w:pPr>
                  <w:r w:rsidRPr="00C71513">
                    <w:t>27</w:t>
                  </w:r>
                </w:p>
              </w:tc>
              <w:tc>
                <w:tcPr>
                  <w:tcW w:w="1069" w:type="pct"/>
                  <w:tcBorders>
                    <w:top w:val="single" w:sz="6" w:space="0" w:color="BFBFBF"/>
                  </w:tcBorders>
                </w:tcPr>
                <w:p w14:paraId="57BD2B03" w14:textId="77777777" w:rsidR="0011262F" w:rsidRDefault="0011262F" w:rsidP="00B54007">
                  <w:pPr>
                    <w:pStyle w:val="TableUnitsRow"/>
                  </w:pPr>
                  <w:r>
                    <w:t>138</w:t>
                  </w:r>
                </w:p>
              </w:tc>
            </w:tr>
            <w:tr w:rsidR="0011262F" w14:paraId="5F07ACB3" w14:textId="77777777" w:rsidTr="00B54007">
              <w:tc>
                <w:tcPr>
                  <w:tcW w:w="1001" w:type="pct"/>
                </w:tcPr>
                <w:p w14:paraId="0A0B95B4" w14:textId="77777777" w:rsidR="0011262F" w:rsidRDefault="0011262F" w:rsidP="00B54007">
                  <w:pPr>
                    <w:pStyle w:val="TableUnitsRow"/>
                    <w:jc w:val="left"/>
                  </w:pPr>
                  <w:r>
                    <w:t>Industry</w:t>
                  </w:r>
                </w:p>
              </w:tc>
              <w:tc>
                <w:tcPr>
                  <w:tcW w:w="1000" w:type="pct"/>
                  <w:vAlign w:val="center"/>
                </w:tcPr>
                <w:p w14:paraId="797AE025" w14:textId="77777777" w:rsidR="0011262F" w:rsidRDefault="0011262F" w:rsidP="00B54007">
                  <w:pPr>
                    <w:pStyle w:val="TableUnitsRow"/>
                  </w:pPr>
                  <w:r w:rsidRPr="00C71513">
                    <w:t>67</w:t>
                  </w:r>
                </w:p>
              </w:tc>
              <w:tc>
                <w:tcPr>
                  <w:tcW w:w="1000" w:type="pct"/>
                  <w:vAlign w:val="center"/>
                </w:tcPr>
                <w:p w14:paraId="79F5EFC3" w14:textId="77777777" w:rsidR="0011262F" w:rsidRDefault="0011262F" w:rsidP="00B54007">
                  <w:pPr>
                    <w:pStyle w:val="TableUnitsRow"/>
                  </w:pPr>
                  <w:r w:rsidRPr="00C71513">
                    <w:t>58</w:t>
                  </w:r>
                </w:p>
              </w:tc>
              <w:tc>
                <w:tcPr>
                  <w:tcW w:w="930" w:type="pct"/>
                  <w:vAlign w:val="center"/>
                </w:tcPr>
                <w:p w14:paraId="6AFC03A6" w14:textId="77777777" w:rsidR="0011262F" w:rsidRDefault="0011262F" w:rsidP="00B54007">
                  <w:pPr>
                    <w:pStyle w:val="TableUnitsRow"/>
                  </w:pPr>
                  <w:r w:rsidRPr="00C71513">
                    <w:t>41</w:t>
                  </w:r>
                </w:p>
              </w:tc>
              <w:tc>
                <w:tcPr>
                  <w:tcW w:w="1069" w:type="pct"/>
                </w:tcPr>
                <w:p w14:paraId="6124E23A" w14:textId="77777777" w:rsidR="0011262F" w:rsidRDefault="0011262F" w:rsidP="00B54007">
                  <w:pPr>
                    <w:pStyle w:val="TableBodyText"/>
                  </w:pPr>
                  <w:r>
                    <w:t>65</w:t>
                  </w:r>
                </w:p>
              </w:tc>
            </w:tr>
            <w:tr w:rsidR="0011262F" w14:paraId="030A8311" w14:textId="77777777" w:rsidTr="00B54007">
              <w:tc>
                <w:tcPr>
                  <w:tcW w:w="1001" w:type="pct"/>
                  <w:shd w:val="clear" w:color="auto" w:fill="auto"/>
                </w:tcPr>
                <w:p w14:paraId="447942DE" w14:textId="77777777" w:rsidR="0011262F" w:rsidRDefault="0011262F" w:rsidP="00B54007">
                  <w:pPr>
                    <w:pStyle w:val="TableUnitsRow"/>
                    <w:jc w:val="left"/>
                  </w:pPr>
                  <w:r>
                    <w:t>Public sector</w:t>
                  </w:r>
                </w:p>
              </w:tc>
              <w:tc>
                <w:tcPr>
                  <w:tcW w:w="1000" w:type="pct"/>
                  <w:vAlign w:val="center"/>
                </w:tcPr>
                <w:p w14:paraId="7B071171" w14:textId="77777777" w:rsidR="0011262F" w:rsidRDefault="0011262F" w:rsidP="00B54007">
                  <w:pPr>
                    <w:pStyle w:val="TableUnitsRow"/>
                  </w:pPr>
                  <w:r w:rsidRPr="00C71513">
                    <w:t>21</w:t>
                  </w:r>
                </w:p>
              </w:tc>
              <w:tc>
                <w:tcPr>
                  <w:tcW w:w="1000" w:type="pct"/>
                  <w:shd w:val="clear" w:color="auto" w:fill="auto"/>
                  <w:vAlign w:val="center"/>
                </w:tcPr>
                <w:p w14:paraId="5935113D" w14:textId="77777777" w:rsidR="0011262F" w:rsidRDefault="0011262F" w:rsidP="00B54007">
                  <w:pPr>
                    <w:pStyle w:val="TableUnitsRow"/>
                  </w:pPr>
                  <w:r w:rsidRPr="00C71513">
                    <w:t>21</w:t>
                  </w:r>
                </w:p>
              </w:tc>
              <w:tc>
                <w:tcPr>
                  <w:tcW w:w="930" w:type="pct"/>
                  <w:vAlign w:val="center"/>
                </w:tcPr>
                <w:p w14:paraId="63E32E4B" w14:textId="77777777" w:rsidR="0011262F" w:rsidRDefault="0011262F" w:rsidP="00B54007">
                  <w:pPr>
                    <w:pStyle w:val="TableUnitsRow"/>
                  </w:pPr>
                  <w:r w:rsidRPr="00C71513">
                    <w:t>17</w:t>
                  </w:r>
                </w:p>
              </w:tc>
              <w:tc>
                <w:tcPr>
                  <w:tcW w:w="1069" w:type="pct"/>
                  <w:shd w:val="clear" w:color="auto" w:fill="auto"/>
                </w:tcPr>
                <w:p w14:paraId="1D73EAFC" w14:textId="77777777" w:rsidR="0011262F" w:rsidRDefault="0011262F" w:rsidP="00B54007">
                  <w:pPr>
                    <w:pStyle w:val="TableBodyText"/>
                  </w:pPr>
                  <w:r>
                    <w:t>23</w:t>
                  </w:r>
                </w:p>
              </w:tc>
            </w:tr>
            <w:tr w:rsidR="0011262F" w14:paraId="03AC7CC9" w14:textId="77777777" w:rsidTr="00B54007">
              <w:tc>
                <w:tcPr>
                  <w:tcW w:w="1001" w:type="pct"/>
                  <w:shd w:val="clear" w:color="auto" w:fill="auto"/>
                </w:tcPr>
                <w:p w14:paraId="4552DB86" w14:textId="77777777" w:rsidR="0011262F" w:rsidRDefault="0011262F" w:rsidP="00B54007">
                  <w:pPr>
                    <w:pStyle w:val="TableUnitsRow"/>
                    <w:jc w:val="left"/>
                  </w:pPr>
                  <w:r>
                    <w:t>Retail</w:t>
                  </w:r>
                </w:p>
              </w:tc>
              <w:tc>
                <w:tcPr>
                  <w:tcW w:w="1000" w:type="pct"/>
                  <w:vAlign w:val="center"/>
                </w:tcPr>
                <w:p w14:paraId="16BC6DF0" w14:textId="77777777" w:rsidR="0011262F" w:rsidRDefault="0011262F" w:rsidP="00B54007">
                  <w:pPr>
                    <w:pStyle w:val="TableUnitsRow"/>
                  </w:pPr>
                  <w:r w:rsidRPr="00C71513">
                    <w:t>165</w:t>
                  </w:r>
                </w:p>
              </w:tc>
              <w:tc>
                <w:tcPr>
                  <w:tcW w:w="1000" w:type="pct"/>
                  <w:shd w:val="clear" w:color="auto" w:fill="auto"/>
                  <w:vAlign w:val="center"/>
                </w:tcPr>
                <w:p w14:paraId="55D25AE4" w14:textId="77777777" w:rsidR="0011262F" w:rsidRDefault="0011262F" w:rsidP="00B54007">
                  <w:pPr>
                    <w:pStyle w:val="TableUnitsRow"/>
                  </w:pPr>
                  <w:r w:rsidRPr="00C71513">
                    <w:t>170</w:t>
                  </w:r>
                </w:p>
              </w:tc>
              <w:tc>
                <w:tcPr>
                  <w:tcW w:w="930" w:type="pct"/>
                  <w:vAlign w:val="center"/>
                </w:tcPr>
                <w:p w14:paraId="01F5BA58" w14:textId="77777777" w:rsidR="0011262F" w:rsidRDefault="0011262F" w:rsidP="00B54007">
                  <w:pPr>
                    <w:pStyle w:val="TableUnitsRow"/>
                  </w:pPr>
                  <w:r w:rsidRPr="00C71513">
                    <w:t>115</w:t>
                  </w:r>
                </w:p>
              </w:tc>
              <w:tc>
                <w:tcPr>
                  <w:tcW w:w="1069" w:type="pct"/>
                  <w:shd w:val="clear" w:color="auto" w:fill="auto"/>
                </w:tcPr>
                <w:p w14:paraId="4AFA6975" w14:textId="77777777" w:rsidR="0011262F" w:rsidRDefault="0011262F" w:rsidP="00B54007">
                  <w:pPr>
                    <w:pStyle w:val="TableBodyText"/>
                  </w:pPr>
                  <w:r>
                    <w:t>268</w:t>
                  </w:r>
                </w:p>
              </w:tc>
            </w:tr>
            <w:tr w:rsidR="0011262F" w14:paraId="2E902657" w14:textId="77777777" w:rsidTr="00B54007">
              <w:tc>
                <w:tcPr>
                  <w:tcW w:w="1001" w:type="pct"/>
                  <w:shd w:val="clear" w:color="auto" w:fill="auto"/>
                </w:tcPr>
                <w:p w14:paraId="0B3BD5E2" w14:textId="77777777" w:rsidR="0011262F" w:rsidRPr="00DF3CD4" w:rsidRDefault="0011262F" w:rsidP="00B54007">
                  <w:pPr>
                    <w:pStyle w:val="TableBodyText"/>
                    <w:jc w:val="left"/>
                    <w:rPr>
                      <w:b/>
                    </w:rPr>
                  </w:pPr>
                  <w:r>
                    <w:rPr>
                      <w:b/>
                    </w:rPr>
                    <w:t>Sub</w:t>
                  </w:r>
                  <w:r>
                    <w:rPr>
                      <w:b/>
                    </w:rPr>
                    <w:noBreakHyphen/>
                    <w:t>t</w:t>
                  </w:r>
                  <w:r w:rsidRPr="00DF3CD4">
                    <w:rPr>
                      <w:b/>
                    </w:rPr>
                    <w:t>otal</w:t>
                  </w:r>
                </w:p>
              </w:tc>
              <w:tc>
                <w:tcPr>
                  <w:tcW w:w="1000" w:type="pct"/>
                </w:tcPr>
                <w:p w14:paraId="1188EEAF" w14:textId="77777777" w:rsidR="0011262F" w:rsidRPr="00DF3CD4" w:rsidRDefault="0011262F" w:rsidP="00B54007">
                  <w:pPr>
                    <w:pStyle w:val="TableBodyText"/>
                    <w:rPr>
                      <w:b/>
                    </w:rPr>
                  </w:pPr>
                  <w:r>
                    <w:rPr>
                      <w:b/>
                    </w:rPr>
                    <w:t>434</w:t>
                  </w:r>
                </w:p>
              </w:tc>
              <w:tc>
                <w:tcPr>
                  <w:tcW w:w="1000" w:type="pct"/>
                  <w:shd w:val="clear" w:color="auto" w:fill="auto"/>
                </w:tcPr>
                <w:p w14:paraId="4D397029" w14:textId="77777777" w:rsidR="0011262F" w:rsidRPr="00DF3CD4" w:rsidRDefault="0011262F" w:rsidP="00B54007">
                  <w:pPr>
                    <w:pStyle w:val="TableBodyText"/>
                    <w:rPr>
                      <w:b/>
                    </w:rPr>
                  </w:pPr>
                  <w:r>
                    <w:rPr>
                      <w:b/>
                    </w:rPr>
                    <w:t>323</w:t>
                  </w:r>
                </w:p>
              </w:tc>
              <w:tc>
                <w:tcPr>
                  <w:tcW w:w="930" w:type="pct"/>
                </w:tcPr>
                <w:p w14:paraId="2F90C4C4" w14:textId="77777777" w:rsidR="0011262F" w:rsidRPr="00DF3CD4" w:rsidRDefault="0011262F" w:rsidP="00B54007">
                  <w:pPr>
                    <w:pStyle w:val="TableBodyText"/>
                    <w:rPr>
                      <w:b/>
                    </w:rPr>
                  </w:pPr>
                  <w:r>
                    <w:rPr>
                      <w:b/>
                    </w:rPr>
                    <w:t>200</w:t>
                  </w:r>
                </w:p>
              </w:tc>
              <w:tc>
                <w:tcPr>
                  <w:tcW w:w="1069" w:type="pct"/>
                  <w:shd w:val="clear" w:color="auto" w:fill="auto"/>
                </w:tcPr>
                <w:p w14:paraId="5FD94DF2" w14:textId="77777777" w:rsidR="0011262F" w:rsidRPr="00DF3CD4" w:rsidRDefault="0011262F" w:rsidP="00B54007">
                  <w:pPr>
                    <w:pStyle w:val="TableBodyText"/>
                    <w:rPr>
                      <w:b/>
                    </w:rPr>
                  </w:pPr>
                  <w:r>
                    <w:rPr>
                      <w:b/>
                    </w:rPr>
                    <w:t>494</w:t>
                  </w:r>
                </w:p>
              </w:tc>
            </w:tr>
            <w:tr w:rsidR="0011262F" w14:paraId="0301881D" w14:textId="77777777" w:rsidTr="00B54007">
              <w:tc>
                <w:tcPr>
                  <w:tcW w:w="2001" w:type="pct"/>
                  <w:gridSpan w:val="2"/>
                  <w:shd w:val="clear" w:color="auto" w:fill="F2F2F2" w:themeFill="background1" w:themeFillShade="F2"/>
                </w:tcPr>
                <w:p w14:paraId="6B1BA0E2" w14:textId="77777777" w:rsidR="0011262F" w:rsidRDefault="0011262F" w:rsidP="00B54007">
                  <w:pPr>
                    <w:pStyle w:val="TableBodyText"/>
                    <w:jc w:val="left"/>
                  </w:pPr>
                  <w:r>
                    <w:rPr>
                      <w:b/>
                    </w:rPr>
                    <w:t>Funds not captured</w:t>
                  </w:r>
                </w:p>
              </w:tc>
              <w:tc>
                <w:tcPr>
                  <w:tcW w:w="1000" w:type="pct"/>
                  <w:shd w:val="clear" w:color="auto" w:fill="F2F2F2" w:themeFill="background1" w:themeFillShade="F2"/>
                </w:tcPr>
                <w:p w14:paraId="1DF7F0AB" w14:textId="77777777" w:rsidR="0011262F" w:rsidRDefault="0011262F" w:rsidP="00B54007">
                  <w:pPr>
                    <w:pStyle w:val="TableBodyText"/>
                  </w:pPr>
                </w:p>
              </w:tc>
              <w:tc>
                <w:tcPr>
                  <w:tcW w:w="930" w:type="pct"/>
                  <w:shd w:val="clear" w:color="auto" w:fill="F2F2F2" w:themeFill="background1" w:themeFillShade="F2"/>
                </w:tcPr>
                <w:p w14:paraId="4BD89F9F" w14:textId="77777777" w:rsidR="0011262F" w:rsidRDefault="0011262F" w:rsidP="00B54007">
                  <w:pPr>
                    <w:pStyle w:val="TableBodyText"/>
                    <w:ind w:right="28"/>
                  </w:pPr>
                </w:p>
              </w:tc>
              <w:tc>
                <w:tcPr>
                  <w:tcW w:w="1069" w:type="pct"/>
                  <w:shd w:val="clear" w:color="auto" w:fill="F2F2F2" w:themeFill="background1" w:themeFillShade="F2"/>
                </w:tcPr>
                <w:p w14:paraId="507065E3" w14:textId="77777777" w:rsidR="0011262F" w:rsidRDefault="0011262F" w:rsidP="00B54007">
                  <w:pPr>
                    <w:pStyle w:val="TableBodyText"/>
                  </w:pPr>
                </w:p>
              </w:tc>
            </w:tr>
            <w:tr w:rsidR="0011262F" w14:paraId="11F1F02E" w14:textId="77777777" w:rsidTr="00B54007">
              <w:tc>
                <w:tcPr>
                  <w:tcW w:w="1001" w:type="pct"/>
                  <w:shd w:val="clear" w:color="auto" w:fill="auto"/>
                </w:tcPr>
                <w:p w14:paraId="6CCF816C" w14:textId="77777777" w:rsidR="0011262F" w:rsidRDefault="0011262F" w:rsidP="00B54007">
                  <w:pPr>
                    <w:pStyle w:val="TableUnitsRow"/>
                    <w:jc w:val="left"/>
                  </w:pPr>
                  <w:r>
                    <w:t>Corporate</w:t>
                  </w:r>
                </w:p>
              </w:tc>
              <w:tc>
                <w:tcPr>
                  <w:tcW w:w="1000" w:type="pct"/>
                  <w:vAlign w:val="center"/>
                </w:tcPr>
                <w:p w14:paraId="6FA4F19D" w14:textId="77777777" w:rsidR="0011262F" w:rsidRDefault="0011262F" w:rsidP="00B54007">
                  <w:pPr>
                    <w:pStyle w:val="TableUnitsRow"/>
                  </w:pPr>
                  <w:r w:rsidRPr="00C71513">
                    <w:t>342</w:t>
                  </w:r>
                </w:p>
              </w:tc>
              <w:tc>
                <w:tcPr>
                  <w:tcW w:w="1000" w:type="pct"/>
                  <w:shd w:val="clear" w:color="auto" w:fill="auto"/>
                  <w:vAlign w:val="center"/>
                </w:tcPr>
                <w:p w14:paraId="25D5FBAA" w14:textId="77777777" w:rsidR="0011262F" w:rsidRDefault="0011262F" w:rsidP="00B54007">
                  <w:pPr>
                    <w:pStyle w:val="TableUnitsRow"/>
                  </w:pPr>
                  <w:r w:rsidRPr="00C71513">
                    <w:t>1</w:t>
                  </w:r>
                </w:p>
              </w:tc>
              <w:tc>
                <w:tcPr>
                  <w:tcW w:w="930" w:type="pct"/>
                </w:tcPr>
                <w:p w14:paraId="1D246454" w14:textId="77777777" w:rsidR="0011262F" w:rsidRDefault="0011262F" w:rsidP="00B54007">
                  <w:pPr>
                    <w:pStyle w:val="TableUnitsRow"/>
                  </w:pPr>
                  <w:r>
                    <w:t>0</w:t>
                  </w:r>
                </w:p>
              </w:tc>
              <w:tc>
                <w:tcPr>
                  <w:tcW w:w="1069" w:type="pct"/>
                  <w:shd w:val="clear" w:color="auto" w:fill="auto"/>
                </w:tcPr>
                <w:p w14:paraId="1829AD81" w14:textId="77777777" w:rsidR="0011262F" w:rsidRDefault="0011262F" w:rsidP="00B54007">
                  <w:pPr>
                    <w:pStyle w:val="TableBodyText"/>
                  </w:pPr>
                  <w:r>
                    <w:t>693</w:t>
                  </w:r>
                </w:p>
              </w:tc>
            </w:tr>
            <w:tr w:rsidR="0011262F" w14:paraId="0BC85854" w14:textId="77777777" w:rsidTr="00B54007">
              <w:tc>
                <w:tcPr>
                  <w:tcW w:w="1001" w:type="pct"/>
                  <w:shd w:val="clear" w:color="auto" w:fill="auto"/>
                </w:tcPr>
                <w:p w14:paraId="0997BEAD" w14:textId="77777777" w:rsidR="0011262F" w:rsidRDefault="0011262F" w:rsidP="00B54007">
                  <w:pPr>
                    <w:pStyle w:val="TableUnitsRow"/>
                    <w:jc w:val="left"/>
                  </w:pPr>
                  <w:r>
                    <w:t>Industry</w:t>
                  </w:r>
                </w:p>
              </w:tc>
              <w:tc>
                <w:tcPr>
                  <w:tcW w:w="1000" w:type="pct"/>
                  <w:vAlign w:val="center"/>
                </w:tcPr>
                <w:p w14:paraId="1D7A9B89" w14:textId="77777777" w:rsidR="0011262F" w:rsidRDefault="0011262F" w:rsidP="00B54007">
                  <w:pPr>
                    <w:pStyle w:val="TableUnitsRow"/>
                  </w:pPr>
                  <w:r w:rsidRPr="00C71513">
                    <w:t>7</w:t>
                  </w:r>
                </w:p>
              </w:tc>
              <w:tc>
                <w:tcPr>
                  <w:tcW w:w="1000" w:type="pct"/>
                  <w:shd w:val="clear" w:color="auto" w:fill="auto"/>
                  <w:vAlign w:val="center"/>
                </w:tcPr>
                <w:p w14:paraId="03ADA273" w14:textId="77777777" w:rsidR="0011262F" w:rsidRDefault="0011262F" w:rsidP="00B54007">
                  <w:pPr>
                    <w:pStyle w:val="TableUnitsRow"/>
                  </w:pPr>
                  <w:r w:rsidRPr="00C71513">
                    <w:t>1</w:t>
                  </w:r>
                </w:p>
              </w:tc>
              <w:tc>
                <w:tcPr>
                  <w:tcW w:w="930" w:type="pct"/>
                </w:tcPr>
                <w:p w14:paraId="373DDACA" w14:textId="77777777" w:rsidR="0011262F" w:rsidRDefault="0011262F" w:rsidP="00B54007">
                  <w:pPr>
                    <w:pStyle w:val="TableUnitsRow"/>
                  </w:pPr>
                  <w:r>
                    <w:t>0</w:t>
                  </w:r>
                </w:p>
              </w:tc>
              <w:tc>
                <w:tcPr>
                  <w:tcW w:w="1069" w:type="pct"/>
                  <w:shd w:val="clear" w:color="auto" w:fill="auto"/>
                </w:tcPr>
                <w:p w14:paraId="5AFF3606" w14:textId="77777777" w:rsidR="0011262F" w:rsidRDefault="0011262F" w:rsidP="00B54007">
                  <w:pPr>
                    <w:pStyle w:val="TableBodyText"/>
                  </w:pPr>
                  <w:r>
                    <w:t>10</w:t>
                  </w:r>
                </w:p>
              </w:tc>
            </w:tr>
            <w:tr w:rsidR="0011262F" w14:paraId="69383AFE" w14:textId="77777777" w:rsidTr="00B54007">
              <w:tc>
                <w:tcPr>
                  <w:tcW w:w="1001" w:type="pct"/>
                  <w:shd w:val="clear" w:color="auto" w:fill="auto"/>
                </w:tcPr>
                <w:p w14:paraId="1FF14152" w14:textId="77777777" w:rsidR="0011262F" w:rsidRDefault="0011262F" w:rsidP="00B54007">
                  <w:pPr>
                    <w:pStyle w:val="TableUnitsRow"/>
                    <w:jc w:val="left"/>
                  </w:pPr>
                  <w:r>
                    <w:t>Public sector</w:t>
                  </w:r>
                </w:p>
              </w:tc>
              <w:tc>
                <w:tcPr>
                  <w:tcW w:w="1000" w:type="pct"/>
                  <w:vAlign w:val="center"/>
                </w:tcPr>
                <w:p w14:paraId="0563A01D" w14:textId="77777777" w:rsidR="0011262F" w:rsidRDefault="0011262F" w:rsidP="00B54007">
                  <w:pPr>
                    <w:pStyle w:val="TableUnitsRow"/>
                  </w:pPr>
                  <w:r w:rsidRPr="00C71513">
                    <w:t>5</w:t>
                  </w:r>
                </w:p>
              </w:tc>
              <w:tc>
                <w:tcPr>
                  <w:tcW w:w="1000" w:type="pct"/>
                  <w:shd w:val="clear" w:color="auto" w:fill="auto"/>
                  <w:vAlign w:val="center"/>
                </w:tcPr>
                <w:p w14:paraId="5A022A49" w14:textId="77777777" w:rsidR="0011262F" w:rsidRDefault="0011262F" w:rsidP="00B54007">
                  <w:pPr>
                    <w:pStyle w:val="TableUnitsRow"/>
                  </w:pPr>
                  <w:r w:rsidRPr="00C71513">
                    <w:t>11</w:t>
                  </w:r>
                </w:p>
              </w:tc>
              <w:tc>
                <w:tcPr>
                  <w:tcW w:w="930" w:type="pct"/>
                </w:tcPr>
                <w:p w14:paraId="201D23BD" w14:textId="77777777" w:rsidR="0011262F" w:rsidRDefault="0011262F" w:rsidP="00B54007">
                  <w:pPr>
                    <w:pStyle w:val="TableUnitsRow"/>
                  </w:pPr>
                  <w:r>
                    <w:t>1</w:t>
                  </w:r>
                </w:p>
              </w:tc>
              <w:tc>
                <w:tcPr>
                  <w:tcW w:w="1069" w:type="pct"/>
                  <w:shd w:val="clear" w:color="auto" w:fill="auto"/>
                </w:tcPr>
                <w:p w14:paraId="18F0CEBF" w14:textId="77777777" w:rsidR="0011262F" w:rsidRDefault="0011262F" w:rsidP="00B54007">
                  <w:pPr>
                    <w:pStyle w:val="TableBodyText"/>
                  </w:pPr>
                  <w:r>
                    <w:t>7</w:t>
                  </w:r>
                </w:p>
              </w:tc>
            </w:tr>
            <w:tr w:rsidR="0011262F" w14:paraId="2080EEDC" w14:textId="77777777" w:rsidTr="00B54007">
              <w:tc>
                <w:tcPr>
                  <w:tcW w:w="1001" w:type="pct"/>
                  <w:shd w:val="clear" w:color="auto" w:fill="auto"/>
                </w:tcPr>
                <w:p w14:paraId="2D3C18A9" w14:textId="77777777" w:rsidR="0011262F" w:rsidRDefault="0011262F" w:rsidP="00B54007">
                  <w:pPr>
                    <w:pStyle w:val="TableUnitsRow"/>
                    <w:jc w:val="left"/>
                  </w:pPr>
                  <w:r>
                    <w:t>Retail</w:t>
                  </w:r>
                </w:p>
              </w:tc>
              <w:tc>
                <w:tcPr>
                  <w:tcW w:w="1000" w:type="pct"/>
                  <w:vAlign w:val="center"/>
                </w:tcPr>
                <w:p w14:paraId="758AE4EE" w14:textId="77777777" w:rsidR="0011262F" w:rsidRDefault="0011262F" w:rsidP="00B54007">
                  <w:pPr>
                    <w:pStyle w:val="TableUnitsRow"/>
                  </w:pPr>
                  <w:r w:rsidRPr="00C71513">
                    <w:t>68</w:t>
                  </w:r>
                </w:p>
              </w:tc>
              <w:tc>
                <w:tcPr>
                  <w:tcW w:w="1000" w:type="pct"/>
                  <w:shd w:val="clear" w:color="auto" w:fill="auto"/>
                  <w:vAlign w:val="center"/>
                </w:tcPr>
                <w:p w14:paraId="6C7D80FC" w14:textId="77777777" w:rsidR="0011262F" w:rsidRDefault="0011262F" w:rsidP="00B54007">
                  <w:pPr>
                    <w:pStyle w:val="TableUnitsRow"/>
                  </w:pPr>
                  <w:r w:rsidRPr="00C71513">
                    <w:t>1</w:t>
                  </w:r>
                </w:p>
              </w:tc>
              <w:tc>
                <w:tcPr>
                  <w:tcW w:w="930" w:type="pct"/>
                </w:tcPr>
                <w:p w14:paraId="25CA2D93" w14:textId="77777777" w:rsidR="0011262F" w:rsidRDefault="0011262F" w:rsidP="00B54007">
                  <w:pPr>
                    <w:pStyle w:val="TableUnitsRow"/>
                  </w:pPr>
                  <w:r>
                    <w:t>7</w:t>
                  </w:r>
                </w:p>
              </w:tc>
              <w:tc>
                <w:tcPr>
                  <w:tcW w:w="1069" w:type="pct"/>
                  <w:shd w:val="clear" w:color="auto" w:fill="auto"/>
                </w:tcPr>
                <w:p w14:paraId="584314C7" w14:textId="77777777" w:rsidR="0011262F" w:rsidRDefault="0011262F" w:rsidP="00B54007">
                  <w:pPr>
                    <w:pStyle w:val="TableBodyText"/>
                  </w:pPr>
                  <w:r>
                    <w:t>201</w:t>
                  </w:r>
                </w:p>
              </w:tc>
            </w:tr>
            <w:tr w:rsidR="0011262F" w14:paraId="48CF6753" w14:textId="77777777" w:rsidTr="00B54007">
              <w:tc>
                <w:tcPr>
                  <w:tcW w:w="1001" w:type="pct"/>
                  <w:shd w:val="clear" w:color="auto" w:fill="auto"/>
                </w:tcPr>
                <w:p w14:paraId="0D583C3A" w14:textId="77777777" w:rsidR="0011262F" w:rsidRPr="00DF3CD4" w:rsidRDefault="0011262F" w:rsidP="00B54007">
                  <w:pPr>
                    <w:pStyle w:val="TableBodyText"/>
                    <w:jc w:val="left"/>
                    <w:rPr>
                      <w:b/>
                    </w:rPr>
                  </w:pPr>
                  <w:r>
                    <w:rPr>
                      <w:b/>
                    </w:rPr>
                    <w:t>Sub</w:t>
                  </w:r>
                  <w:r>
                    <w:rPr>
                      <w:b/>
                    </w:rPr>
                    <w:noBreakHyphen/>
                    <w:t>t</w:t>
                  </w:r>
                  <w:r w:rsidRPr="00DF3CD4">
                    <w:rPr>
                      <w:b/>
                    </w:rPr>
                    <w:t>otal</w:t>
                  </w:r>
                </w:p>
              </w:tc>
              <w:tc>
                <w:tcPr>
                  <w:tcW w:w="1000" w:type="pct"/>
                </w:tcPr>
                <w:p w14:paraId="0D0B296E" w14:textId="77777777" w:rsidR="0011262F" w:rsidRPr="00DF3CD4" w:rsidRDefault="0011262F" w:rsidP="00B54007">
                  <w:pPr>
                    <w:pStyle w:val="TableBodyText"/>
                    <w:rPr>
                      <w:b/>
                    </w:rPr>
                  </w:pPr>
                  <w:r>
                    <w:rPr>
                      <w:b/>
                    </w:rPr>
                    <w:t>422</w:t>
                  </w:r>
                </w:p>
              </w:tc>
              <w:tc>
                <w:tcPr>
                  <w:tcW w:w="1000" w:type="pct"/>
                  <w:shd w:val="clear" w:color="auto" w:fill="auto"/>
                </w:tcPr>
                <w:p w14:paraId="004128D2" w14:textId="77777777" w:rsidR="0011262F" w:rsidRPr="00DF3CD4" w:rsidRDefault="0011262F" w:rsidP="00B54007">
                  <w:pPr>
                    <w:pStyle w:val="TableBodyText"/>
                    <w:rPr>
                      <w:b/>
                    </w:rPr>
                  </w:pPr>
                  <w:r>
                    <w:rPr>
                      <w:b/>
                    </w:rPr>
                    <w:t>14</w:t>
                  </w:r>
                </w:p>
              </w:tc>
              <w:tc>
                <w:tcPr>
                  <w:tcW w:w="930" w:type="pct"/>
                </w:tcPr>
                <w:p w14:paraId="5EC7BB2E" w14:textId="77777777" w:rsidR="0011262F" w:rsidRPr="00DF3CD4" w:rsidRDefault="0011262F" w:rsidP="00B54007">
                  <w:pPr>
                    <w:pStyle w:val="TableBodyText"/>
                    <w:rPr>
                      <w:b/>
                    </w:rPr>
                  </w:pPr>
                  <w:r>
                    <w:rPr>
                      <w:b/>
                    </w:rPr>
                    <w:t>8</w:t>
                  </w:r>
                </w:p>
              </w:tc>
              <w:tc>
                <w:tcPr>
                  <w:tcW w:w="1069" w:type="pct"/>
                  <w:shd w:val="clear" w:color="auto" w:fill="auto"/>
                </w:tcPr>
                <w:p w14:paraId="2F64CB13" w14:textId="77777777" w:rsidR="0011262F" w:rsidRPr="00DF3CD4" w:rsidRDefault="0011262F" w:rsidP="00B54007">
                  <w:pPr>
                    <w:pStyle w:val="TableBodyText"/>
                    <w:rPr>
                      <w:b/>
                    </w:rPr>
                  </w:pPr>
                  <w:r>
                    <w:rPr>
                      <w:b/>
                    </w:rPr>
                    <w:t>911</w:t>
                  </w:r>
                </w:p>
              </w:tc>
            </w:tr>
            <w:tr w:rsidR="0011262F" w14:paraId="7FF12E54" w14:textId="77777777" w:rsidTr="00B54007">
              <w:tc>
                <w:tcPr>
                  <w:tcW w:w="1001" w:type="pct"/>
                  <w:tcBorders>
                    <w:bottom w:val="single" w:sz="6" w:space="0" w:color="BFBFBF"/>
                  </w:tcBorders>
                  <w:shd w:val="clear" w:color="auto" w:fill="F2F2F2" w:themeFill="background1" w:themeFillShade="F2"/>
                </w:tcPr>
                <w:p w14:paraId="57BBC9AC" w14:textId="77777777" w:rsidR="0011262F" w:rsidRDefault="0011262F" w:rsidP="00B54007">
                  <w:pPr>
                    <w:pStyle w:val="TableBodyText"/>
                    <w:jc w:val="left"/>
                    <w:rPr>
                      <w:b/>
                    </w:rPr>
                  </w:pPr>
                  <w:r>
                    <w:rPr>
                      <w:b/>
                    </w:rPr>
                    <w:t>Overall total</w:t>
                  </w:r>
                </w:p>
              </w:tc>
              <w:tc>
                <w:tcPr>
                  <w:tcW w:w="1000" w:type="pct"/>
                  <w:tcBorders>
                    <w:bottom w:val="single" w:sz="6" w:space="0" w:color="BFBFBF"/>
                  </w:tcBorders>
                  <w:shd w:val="clear" w:color="auto" w:fill="F2F2F2" w:themeFill="background1" w:themeFillShade="F2"/>
                </w:tcPr>
                <w:p w14:paraId="5A34A240" w14:textId="77777777" w:rsidR="0011262F" w:rsidRPr="00DF3CD4" w:rsidRDefault="0011262F" w:rsidP="00B54007">
                  <w:pPr>
                    <w:pStyle w:val="TableBodyText"/>
                    <w:rPr>
                      <w:b/>
                    </w:rPr>
                  </w:pPr>
                  <w:r>
                    <w:rPr>
                      <w:b/>
                    </w:rPr>
                    <w:t>856</w:t>
                  </w:r>
                </w:p>
              </w:tc>
              <w:tc>
                <w:tcPr>
                  <w:tcW w:w="1000" w:type="pct"/>
                  <w:tcBorders>
                    <w:bottom w:val="single" w:sz="6" w:space="0" w:color="BFBFBF"/>
                  </w:tcBorders>
                  <w:shd w:val="clear" w:color="auto" w:fill="F2F2F2" w:themeFill="background1" w:themeFillShade="F2"/>
                </w:tcPr>
                <w:p w14:paraId="30415821" w14:textId="77777777" w:rsidR="0011262F" w:rsidRPr="00DF3CD4" w:rsidRDefault="0011262F" w:rsidP="00B54007">
                  <w:pPr>
                    <w:pStyle w:val="TableBodyText"/>
                    <w:rPr>
                      <w:b/>
                    </w:rPr>
                  </w:pPr>
                  <w:r>
                    <w:rPr>
                      <w:b/>
                    </w:rPr>
                    <w:t>337</w:t>
                  </w:r>
                </w:p>
              </w:tc>
              <w:tc>
                <w:tcPr>
                  <w:tcW w:w="930" w:type="pct"/>
                  <w:tcBorders>
                    <w:bottom w:val="single" w:sz="6" w:space="0" w:color="BFBFBF"/>
                  </w:tcBorders>
                  <w:shd w:val="clear" w:color="auto" w:fill="F2F2F2" w:themeFill="background1" w:themeFillShade="F2"/>
                </w:tcPr>
                <w:p w14:paraId="55DEAC86" w14:textId="77777777" w:rsidR="0011262F" w:rsidRPr="00DF3CD4" w:rsidRDefault="0011262F" w:rsidP="00B54007">
                  <w:pPr>
                    <w:pStyle w:val="TableBodyText"/>
                    <w:rPr>
                      <w:b/>
                    </w:rPr>
                  </w:pPr>
                  <w:r>
                    <w:rPr>
                      <w:b/>
                    </w:rPr>
                    <w:t>208</w:t>
                  </w:r>
                </w:p>
              </w:tc>
              <w:tc>
                <w:tcPr>
                  <w:tcW w:w="1069" w:type="pct"/>
                  <w:tcBorders>
                    <w:bottom w:val="single" w:sz="6" w:space="0" w:color="BFBFBF"/>
                  </w:tcBorders>
                  <w:shd w:val="clear" w:color="auto" w:fill="F2F2F2" w:themeFill="background1" w:themeFillShade="F2"/>
                </w:tcPr>
                <w:p w14:paraId="5A8D75E8" w14:textId="77777777" w:rsidR="0011262F" w:rsidRPr="00DF3CD4" w:rsidRDefault="0011262F" w:rsidP="00B54007">
                  <w:pPr>
                    <w:pStyle w:val="TableBodyText"/>
                    <w:rPr>
                      <w:b/>
                    </w:rPr>
                  </w:pPr>
                  <w:r>
                    <w:rPr>
                      <w:b/>
                    </w:rPr>
                    <w:t>1 469</w:t>
                  </w:r>
                </w:p>
              </w:tc>
            </w:tr>
          </w:tbl>
          <w:p w14:paraId="628B3FAE" w14:textId="77777777" w:rsidR="0011262F" w:rsidRDefault="0011262F" w:rsidP="00B54007">
            <w:pPr>
              <w:pStyle w:val="Box"/>
            </w:pPr>
          </w:p>
        </w:tc>
      </w:tr>
      <w:tr w:rsidR="0011262F" w:rsidRPr="004D3DB9" w14:paraId="22E561CE" w14:textId="77777777" w:rsidTr="00B54007">
        <w:tc>
          <w:tcPr>
            <w:tcW w:w="5000" w:type="pct"/>
            <w:tcBorders>
              <w:top w:val="nil"/>
              <w:left w:val="nil"/>
              <w:bottom w:val="nil"/>
              <w:right w:val="nil"/>
            </w:tcBorders>
            <w:shd w:val="clear" w:color="auto" w:fill="auto"/>
          </w:tcPr>
          <w:p w14:paraId="6E46883C" w14:textId="77777777" w:rsidR="0011262F" w:rsidRPr="004D3DB9" w:rsidRDefault="0011262F" w:rsidP="00B54007">
            <w:pPr>
              <w:pStyle w:val="Note"/>
              <w:rPr>
                <w:i/>
                <w:spacing w:val="-2"/>
              </w:rPr>
            </w:pPr>
            <w:proofErr w:type="spellStart"/>
            <w:r w:rsidRPr="004D3DB9">
              <w:rPr>
                <w:rStyle w:val="NoteLabel"/>
                <w:spacing w:val="-2"/>
              </w:rPr>
              <w:t>a</w:t>
            </w:r>
            <w:proofErr w:type="spellEnd"/>
            <w:r w:rsidRPr="004D3DB9">
              <w:rPr>
                <w:spacing w:val="-2"/>
              </w:rPr>
              <w:t xml:space="preserve"> Eligible rollover funds (which hold lost super) and risk</w:t>
            </w:r>
            <w:r>
              <w:rPr>
                <w:spacing w:val="-2"/>
              </w:rPr>
              <w:noBreakHyphen/>
            </w:r>
            <w:r w:rsidRPr="004D3DB9">
              <w:rPr>
                <w:spacing w:val="-2"/>
              </w:rPr>
              <w:t>only superannuation funds (which only offer insurance) are excluded from this table. </w:t>
            </w:r>
            <w:r w:rsidRPr="004D3DB9">
              <w:rPr>
                <w:rStyle w:val="NoteLabel"/>
                <w:spacing w:val="-2"/>
              </w:rPr>
              <w:t>b</w:t>
            </w:r>
            <w:r w:rsidRPr="004D3DB9">
              <w:rPr>
                <w:spacing w:val="-2"/>
              </w:rPr>
              <w:t xml:space="preserve"> The</w:t>
            </w:r>
            <w:r w:rsidRPr="004D3DB9" w:rsidDel="001D5C9D">
              <w:rPr>
                <w:spacing w:val="-2"/>
              </w:rPr>
              <w:t xml:space="preserve"> </w:t>
            </w:r>
            <w:r w:rsidRPr="004D3DB9">
              <w:rPr>
                <w:spacing w:val="-2"/>
              </w:rPr>
              <w:t>high number of funds not captured (911) relative to the number of funds in the panel in 2004</w:t>
            </w:r>
            <w:r>
              <w:rPr>
                <w:spacing w:val="-2"/>
              </w:rPr>
              <w:noBreakHyphen/>
            </w:r>
            <w:r w:rsidRPr="004D3DB9">
              <w:rPr>
                <w:spacing w:val="-2"/>
              </w:rPr>
              <w:t>05 (856) reflects exits by funds that entered the system over the period but remained in operation for 2 or fewer years.</w:t>
            </w:r>
            <w:r w:rsidRPr="004D3DB9">
              <w:rPr>
                <w:rStyle w:val="NoteLabel"/>
                <w:spacing w:val="-2"/>
              </w:rPr>
              <w:t xml:space="preserve"> c</w:t>
            </w:r>
            <w:r w:rsidRPr="004D3DB9">
              <w:rPr>
                <w:spacing w:val="-2"/>
              </w:rPr>
              <w:t xml:space="preserve"> Funds are counted based on their last recorded fund</w:t>
            </w:r>
            <w:r>
              <w:rPr>
                <w:spacing w:val="-2"/>
              </w:rPr>
              <w:noBreakHyphen/>
            </w:r>
            <w:r w:rsidRPr="004D3DB9">
              <w:rPr>
                <w:spacing w:val="-2"/>
              </w:rPr>
              <w:t>type, as defined by APRA, many corporate funds in particular have changed their classification to retail over the sample period. Note that for modelling purposes each observation is included based on the recorded fund</w:t>
            </w:r>
            <w:r w:rsidRPr="004D3DB9">
              <w:rPr>
                <w:spacing w:val="-2"/>
              </w:rPr>
              <w:noBreakHyphen/>
              <w:t>type at that date.</w:t>
            </w:r>
          </w:p>
        </w:tc>
      </w:tr>
      <w:tr w:rsidR="0011262F" w:rsidRPr="00176D3F" w14:paraId="12DB58DF" w14:textId="77777777" w:rsidTr="00B54007">
        <w:tblPrEx>
          <w:tblBorders>
            <w:top w:val="single" w:sz="6" w:space="0" w:color="78A22F"/>
            <w:left w:val="single" w:sz="6" w:space="0" w:color="78A22F"/>
            <w:bottom w:val="single" w:sz="6" w:space="0" w:color="78A22F"/>
            <w:right w:val="single" w:sz="6" w:space="0" w:color="78A22F"/>
          </w:tblBorders>
        </w:tblPrEx>
        <w:tc>
          <w:tcPr>
            <w:tcW w:w="5000" w:type="pct"/>
            <w:tcBorders>
              <w:top w:val="nil"/>
              <w:left w:val="nil"/>
              <w:bottom w:val="nil"/>
              <w:right w:val="nil"/>
            </w:tcBorders>
            <w:shd w:val="clear" w:color="auto" w:fill="auto"/>
          </w:tcPr>
          <w:p w14:paraId="54E5E6FD" w14:textId="77777777" w:rsidR="0011262F" w:rsidRPr="00176D3F" w:rsidRDefault="0011262F" w:rsidP="00B54007">
            <w:pPr>
              <w:pStyle w:val="Source"/>
            </w:pPr>
            <w:r>
              <w:rPr>
                <w:i/>
              </w:rPr>
              <w:t>S</w:t>
            </w:r>
            <w:r w:rsidRPr="00784A05">
              <w:rPr>
                <w:i/>
              </w:rPr>
              <w:t>ource</w:t>
            </w:r>
            <w:r w:rsidRPr="00176D3F">
              <w:t xml:space="preserve">: </w:t>
            </w:r>
            <w:r>
              <w:rPr>
                <w:rFonts w:eastAsia="+mn-ea" w:cs="Arial"/>
                <w:color w:val="000000" w:themeColor="text1"/>
                <w:kern w:val="24"/>
                <w:szCs w:val="18"/>
              </w:rPr>
              <w:t>PC analysis of unpublished APRA data.</w:t>
            </w:r>
          </w:p>
        </w:tc>
      </w:tr>
      <w:tr w:rsidR="0011262F" w14:paraId="39C3C83D" w14:textId="77777777" w:rsidTr="00B54007">
        <w:tc>
          <w:tcPr>
            <w:tcW w:w="5000" w:type="pct"/>
            <w:tcBorders>
              <w:top w:val="nil"/>
              <w:left w:val="nil"/>
              <w:bottom w:val="single" w:sz="6" w:space="0" w:color="78A22F"/>
              <w:right w:val="nil"/>
            </w:tcBorders>
            <w:shd w:val="clear" w:color="auto" w:fill="auto"/>
          </w:tcPr>
          <w:p w14:paraId="03ED1824" w14:textId="77777777" w:rsidR="0011262F" w:rsidRDefault="0011262F" w:rsidP="00B54007">
            <w:pPr>
              <w:pStyle w:val="Box"/>
              <w:spacing w:before="0" w:line="120" w:lineRule="exact"/>
            </w:pPr>
          </w:p>
        </w:tc>
      </w:tr>
      <w:tr w:rsidR="0011262F" w:rsidRPr="000863A5" w14:paraId="50F63880" w14:textId="77777777" w:rsidTr="00B54007">
        <w:tc>
          <w:tcPr>
            <w:tcW w:w="5000" w:type="pct"/>
            <w:tcBorders>
              <w:top w:val="single" w:sz="6" w:space="0" w:color="78A22F"/>
              <w:left w:val="nil"/>
              <w:bottom w:val="nil"/>
              <w:right w:val="nil"/>
            </w:tcBorders>
          </w:tcPr>
          <w:p w14:paraId="26E5979D" w14:textId="77777777" w:rsidR="0011262F" w:rsidRPr="00626D32" w:rsidRDefault="0011262F" w:rsidP="00B54007">
            <w:pPr>
              <w:pStyle w:val="BoxSpaceBelow"/>
            </w:pPr>
          </w:p>
        </w:tc>
      </w:tr>
    </w:tbl>
    <w:p w14:paraId="10E277DF" w14:textId="77777777" w:rsidR="0011262F" w:rsidRDefault="0011262F" w:rsidP="0011262F">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1262F" w14:paraId="0D2C74F9" w14:textId="77777777" w:rsidTr="00B54007">
        <w:trPr>
          <w:tblHeader/>
        </w:trPr>
        <w:tc>
          <w:tcPr>
            <w:tcW w:w="5000" w:type="pct"/>
            <w:tcBorders>
              <w:top w:val="single" w:sz="6" w:space="0" w:color="78A22F"/>
              <w:left w:val="nil"/>
              <w:bottom w:val="nil"/>
              <w:right w:val="nil"/>
            </w:tcBorders>
            <w:shd w:val="clear" w:color="auto" w:fill="auto"/>
          </w:tcPr>
          <w:p w14:paraId="5B1D52AB" w14:textId="77777777" w:rsidR="0011262F" w:rsidRDefault="0011262F" w:rsidP="00B54007">
            <w:pPr>
              <w:pStyle w:val="TableTitle"/>
            </w:pPr>
            <w:r>
              <w:rPr>
                <w:b w:val="0"/>
              </w:rPr>
              <w:t>Table 8.</w:t>
            </w:r>
            <w:r>
              <w:rPr>
                <w:b w:val="0"/>
                <w:noProof/>
              </w:rPr>
              <w:t>3</w:t>
            </w:r>
            <w:r>
              <w:tab/>
              <w:t>Assets captured in the panel built from APRA data</w:t>
            </w:r>
            <w:r w:rsidRPr="0005176F">
              <w:rPr>
                <w:rStyle w:val="NoteLabel"/>
                <w:spacing w:val="-2"/>
              </w:rPr>
              <w:t>a</w:t>
            </w:r>
          </w:p>
          <w:p w14:paraId="0EF94DDB" w14:textId="77777777" w:rsidR="0011262F" w:rsidRPr="00784A05" w:rsidRDefault="0011262F" w:rsidP="00B54007">
            <w:pPr>
              <w:pStyle w:val="Subtitle"/>
            </w:pPr>
            <w:r>
              <w:t>Percentage of assets</w:t>
            </w:r>
            <w:r w:rsidDel="001B658C">
              <w:t xml:space="preserve"> </w:t>
            </w:r>
            <w:r>
              <w:t>captured by segment, 2004–2016</w:t>
            </w:r>
          </w:p>
        </w:tc>
      </w:tr>
      <w:tr w:rsidR="0011262F" w14:paraId="657C9194" w14:textId="77777777" w:rsidTr="00B5400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8"/>
              <w:gridCol w:w="2126"/>
              <w:gridCol w:w="2126"/>
              <w:gridCol w:w="2125"/>
            </w:tblGrid>
            <w:tr w:rsidR="0011262F" w14:paraId="76E39FA8" w14:textId="77777777" w:rsidTr="00B54007">
              <w:trPr>
                <w:tblHeader/>
              </w:trPr>
              <w:tc>
                <w:tcPr>
                  <w:tcW w:w="1251" w:type="pct"/>
                  <w:tcBorders>
                    <w:top w:val="single" w:sz="6" w:space="0" w:color="BFBFBF"/>
                    <w:bottom w:val="single" w:sz="6" w:space="0" w:color="BFBFBF"/>
                  </w:tcBorders>
                  <w:shd w:val="clear" w:color="auto" w:fill="auto"/>
                  <w:tcMar>
                    <w:top w:w="28" w:type="dxa"/>
                  </w:tcMar>
                </w:tcPr>
                <w:p w14:paraId="7D902096" w14:textId="77777777" w:rsidR="0011262F" w:rsidRDefault="0011262F" w:rsidP="00B54007">
                  <w:pPr>
                    <w:pStyle w:val="TableColumnHeading"/>
                    <w:jc w:val="left"/>
                  </w:pPr>
                  <w:r>
                    <w:t>Segment</w:t>
                  </w:r>
                </w:p>
              </w:tc>
              <w:tc>
                <w:tcPr>
                  <w:tcW w:w="1250" w:type="pct"/>
                  <w:tcBorders>
                    <w:top w:val="single" w:sz="6" w:space="0" w:color="BFBFBF"/>
                    <w:bottom w:val="single" w:sz="6" w:space="0" w:color="BFBFBF"/>
                  </w:tcBorders>
                </w:tcPr>
                <w:p w14:paraId="1D3F1A2C" w14:textId="77777777" w:rsidR="0011262F" w:rsidRDefault="0011262F" w:rsidP="00B54007">
                  <w:pPr>
                    <w:pStyle w:val="TableColumnHeading"/>
                  </w:pPr>
                  <w:r>
                    <w:t>2004</w:t>
                  </w:r>
                  <w:r>
                    <w:noBreakHyphen/>
                    <w:t>05</w:t>
                  </w:r>
                </w:p>
              </w:tc>
              <w:tc>
                <w:tcPr>
                  <w:tcW w:w="1250" w:type="pct"/>
                  <w:tcBorders>
                    <w:top w:val="single" w:sz="6" w:space="0" w:color="BFBFBF"/>
                    <w:bottom w:val="single" w:sz="6" w:space="0" w:color="BFBFBF"/>
                  </w:tcBorders>
                  <w:shd w:val="clear" w:color="auto" w:fill="auto"/>
                  <w:tcMar>
                    <w:top w:w="28" w:type="dxa"/>
                  </w:tcMar>
                </w:tcPr>
                <w:p w14:paraId="18DBD13E" w14:textId="77777777" w:rsidR="0011262F" w:rsidRDefault="0011262F" w:rsidP="00B54007">
                  <w:pPr>
                    <w:pStyle w:val="TableColumnHeading"/>
                  </w:pPr>
                  <w:r>
                    <w:t>2009</w:t>
                  </w:r>
                  <w:r>
                    <w:noBreakHyphen/>
                    <w:t>10</w:t>
                  </w:r>
                </w:p>
              </w:tc>
              <w:tc>
                <w:tcPr>
                  <w:tcW w:w="1249" w:type="pct"/>
                  <w:tcBorders>
                    <w:top w:val="single" w:sz="6" w:space="0" w:color="BFBFBF"/>
                    <w:bottom w:val="single" w:sz="6" w:space="0" w:color="BFBFBF"/>
                  </w:tcBorders>
                  <w:shd w:val="clear" w:color="auto" w:fill="auto"/>
                  <w:tcMar>
                    <w:top w:w="28" w:type="dxa"/>
                  </w:tcMar>
                </w:tcPr>
                <w:p w14:paraId="43F70766" w14:textId="77777777" w:rsidR="0011262F" w:rsidRDefault="0011262F" w:rsidP="00B54007">
                  <w:pPr>
                    <w:pStyle w:val="TableColumnHeading"/>
                  </w:pPr>
                  <w:r>
                    <w:t>2015</w:t>
                  </w:r>
                  <w:r>
                    <w:noBreakHyphen/>
                    <w:t>16</w:t>
                  </w:r>
                </w:p>
              </w:tc>
            </w:tr>
            <w:tr w:rsidR="0011262F" w14:paraId="3C9875C9" w14:textId="77777777" w:rsidTr="00B54007">
              <w:tc>
                <w:tcPr>
                  <w:tcW w:w="1251" w:type="pct"/>
                  <w:tcBorders>
                    <w:top w:val="single" w:sz="6" w:space="0" w:color="BFBFBF"/>
                  </w:tcBorders>
                </w:tcPr>
                <w:p w14:paraId="1570D470" w14:textId="77777777" w:rsidR="0011262F" w:rsidRDefault="0011262F" w:rsidP="00B54007">
                  <w:pPr>
                    <w:pStyle w:val="TableUnitsRow"/>
                    <w:jc w:val="left"/>
                  </w:pPr>
                  <w:r>
                    <w:t>Corporate</w:t>
                  </w:r>
                </w:p>
              </w:tc>
              <w:tc>
                <w:tcPr>
                  <w:tcW w:w="1250" w:type="pct"/>
                  <w:tcBorders>
                    <w:top w:val="single" w:sz="6" w:space="0" w:color="BFBFBF"/>
                  </w:tcBorders>
                </w:tcPr>
                <w:p w14:paraId="24928F73" w14:textId="77777777" w:rsidR="0011262F" w:rsidRDefault="0011262F" w:rsidP="00B54007">
                  <w:pPr>
                    <w:pStyle w:val="TableUnitsRow"/>
                  </w:pPr>
                  <w:r>
                    <w:t>75.5</w:t>
                  </w:r>
                </w:p>
              </w:tc>
              <w:tc>
                <w:tcPr>
                  <w:tcW w:w="1250" w:type="pct"/>
                  <w:tcBorders>
                    <w:top w:val="single" w:sz="6" w:space="0" w:color="BFBFBF"/>
                  </w:tcBorders>
                </w:tcPr>
                <w:p w14:paraId="2596028D" w14:textId="77777777" w:rsidR="0011262F" w:rsidRDefault="0011262F" w:rsidP="00B54007">
                  <w:pPr>
                    <w:pStyle w:val="TableUnitsRow"/>
                  </w:pPr>
                  <w:r>
                    <w:t>100</w:t>
                  </w:r>
                </w:p>
              </w:tc>
              <w:tc>
                <w:tcPr>
                  <w:tcW w:w="1249" w:type="pct"/>
                  <w:tcBorders>
                    <w:top w:val="single" w:sz="6" w:space="0" w:color="BFBFBF"/>
                  </w:tcBorders>
                </w:tcPr>
                <w:p w14:paraId="06EC918D" w14:textId="77777777" w:rsidR="0011262F" w:rsidRDefault="0011262F" w:rsidP="00B54007">
                  <w:pPr>
                    <w:pStyle w:val="TableUnitsRow"/>
                  </w:pPr>
                  <w:r>
                    <w:t>100</w:t>
                  </w:r>
                </w:p>
              </w:tc>
            </w:tr>
            <w:tr w:rsidR="0011262F" w14:paraId="18F1ED99" w14:textId="77777777" w:rsidTr="00B54007">
              <w:tc>
                <w:tcPr>
                  <w:tcW w:w="1251" w:type="pct"/>
                </w:tcPr>
                <w:p w14:paraId="3FEB7643" w14:textId="77777777" w:rsidR="0011262F" w:rsidRDefault="0011262F" w:rsidP="00B54007">
                  <w:pPr>
                    <w:pStyle w:val="TableBodyText"/>
                    <w:jc w:val="left"/>
                  </w:pPr>
                  <w:r>
                    <w:t>Industry</w:t>
                  </w:r>
                </w:p>
              </w:tc>
              <w:tc>
                <w:tcPr>
                  <w:tcW w:w="1250" w:type="pct"/>
                </w:tcPr>
                <w:p w14:paraId="4724C4CD" w14:textId="77777777" w:rsidR="0011262F" w:rsidRDefault="0011262F" w:rsidP="00B54007">
                  <w:pPr>
                    <w:pStyle w:val="TableBodyText"/>
                  </w:pPr>
                  <w:r>
                    <w:t>91.5</w:t>
                  </w:r>
                </w:p>
              </w:tc>
              <w:tc>
                <w:tcPr>
                  <w:tcW w:w="1250" w:type="pct"/>
                </w:tcPr>
                <w:p w14:paraId="689ECBDB" w14:textId="77777777" w:rsidR="0011262F" w:rsidRDefault="0011262F" w:rsidP="00B54007">
                  <w:pPr>
                    <w:pStyle w:val="TableBodyText"/>
                  </w:pPr>
                  <w:r>
                    <w:t>100</w:t>
                  </w:r>
                </w:p>
              </w:tc>
              <w:tc>
                <w:tcPr>
                  <w:tcW w:w="1249" w:type="pct"/>
                </w:tcPr>
                <w:p w14:paraId="2EFF732A" w14:textId="77777777" w:rsidR="0011262F" w:rsidRDefault="0011262F" w:rsidP="00B54007">
                  <w:pPr>
                    <w:pStyle w:val="TableBodyText"/>
                  </w:pPr>
                  <w:r>
                    <w:t>100</w:t>
                  </w:r>
                </w:p>
              </w:tc>
            </w:tr>
            <w:tr w:rsidR="0011262F" w14:paraId="18B11E48" w14:textId="77777777" w:rsidTr="00B54007">
              <w:tc>
                <w:tcPr>
                  <w:tcW w:w="1251" w:type="pct"/>
                  <w:shd w:val="clear" w:color="auto" w:fill="auto"/>
                </w:tcPr>
                <w:p w14:paraId="1434CA2C" w14:textId="77777777" w:rsidR="0011262F" w:rsidRDefault="0011262F" w:rsidP="00B54007">
                  <w:pPr>
                    <w:pStyle w:val="TableBodyText"/>
                    <w:jc w:val="left"/>
                  </w:pPr>
                  <w:r>
                    <w:t>Public sector</w:t>
                  </w:r>
                </w:p>
              </w:tc>
              <w:tc>
                <w:tcPr>
                  <w:tcW w:w="1250" w:type="pct"/>
                </w:tcPr>
                <w:p w14:paraId="483CA751" w14:textId="77777777" w:rsidR="0011262F" w:rsidRDefault="0011262F" w:rsidP="00B54007">
                  <w:pPr>
                    <w:pStyle w:val="TableBodyText"/>
                  </w:pPr>
                  <w:r>
                    <w:t>99.7</w:t>
                  </w:r>
                </w:p>
              </w:tc>
              <w:tc>
                <w:tcPr>
                  <w:tcW w:w="1250" w:type="pct"/>
                  <w:shd w:val="clear" w:color="auto" w:fill="auto"/>
                </w:tcPr>
                <w:p w14:paraId="59EBA424" w14:textId="77777777" w:rsidR="0011262F" w:rsidRDefault="0011262F" w:rsidP="00B54007">
                  <w:pPr>
                    <w:pStyle w:val="TableBodyText"/>
                  </w:pPr>
                  <w:r>
                    <w:t>100</w:t>
                  </w:r>
                </w:p>
              </w:tc>
              <w:tc>
                <w:tcPr>
                  <w:tcW w:w="1249" w:type="pct"/>
                  <w:shd w:val="clear" w:color="auto" w:fill="auto"/>
                </w:tcPr>
                <w:p w14:paraId="4004F17D" w14:textId="77777777" w:rsidR="0011262F" w:rsidRDefault="0011262F" w:rsidP="00B54007">
                  <w:pPr>
                    <w:pStyle w:val="TableBodyText"/>
                  </w:pPr>
                  <w:r>
                    <w:t>100</w:t>
                  </w:r>
                </w:p>
              </w:tc>
            </w:tr>
            <w:tr w:rsidR="0011262F" w14:paraId="58D6B015" w14:textId="77777777" w:rsidTr="00B54007">
              <w:tc>
                <w:tcPr>
                  <w:tcW w:w="1251" w:type="pct"/>
                  <w:shd w:val="clear" w:color="auto" w:fill="auto"/>
                </w:tcPr>
                <w:p w14:paraId="5DE369C6" w14:textId="77777777" w:rsidR="0011262F" w:rsidRDefault="0011262F" w:rsidP="00B54007">
                  <w:pPr>
                    <w:pStyle w:val="TableBodyText"/>
                    <w:jc w:val="left"/>
                  </w:pPr>
                  <w:r>
                    <w:t>Retail</w:t>
                  </w:r>
                </w:p>
              </w:tc>
              <w:tc>
                <w:tcPr>
                  <w:tcW w:w="1250" w:type="pct"/>
                </w:tcPr>
                <w:p w14:paraId="785DC4EA" w14:textId="77777777" w:rsidR="0011262F" w:rsidRDefault="0011262F" w:rsidP="00B54007">
                  <w:pPr>
                    <w:pStyle w:val="TableBodyText"/>
                  </w:pPr>
                  <w:r>
                    <w:t>87.0</w:t>
                  </w:r>
                </w:p>
              </w:tc>
              <w:tc>
                <w:tcPr>
                  <w:tcW w:w="1250" w:type="pct"/>
                  <w:shd w:val="clear" w:color="auto" w:fill="auto"/>
                </w:tcPr>
                <w:p w14:paraId="40584C1B" w14:textId="77777777" w:rsidR="0011262F" w:rsidRDefault="0011262F" w:rsidP="00B54007">
                  <w:pPr>
                    <w:pStyle w:val="TableBodyText"/>
                  </w:pPr>
                  <w:r>
                    <w:t>98.4</w:t>
                  </w:r>
                </w:p>
              </w:tc>
              <w:tc>
                <w:tcPr>
                  <w:tcW w:w="1249" w:type="pct"/>
                  <w:shd w:val="clear" w:color="auto" w:fill="auto"/>
                </w:tcPr>
                <w:p w14:paraId="166C6E78" w14:textId="77777777" w:rsidR="0011262F" w:rsidRDefault="0011262F" w:rsidP="00B54007">
                  <w:pPr>
                    <w:pStyle w:val="TableBodyText"/>
                  </w:pPr>
                  <w:r>
                    <w:t>100</w:t>
                  </w:r>
                </w:p>
              </w:tc>
            </w:tr>
            <w:tr w:rsidR="0011262F" w14:paraId="144069EB" w14:textId="77777777" w:rsidTr="00B54007">
              <w:tc>
                <w:tcPr>
                  <w:tcW w:w="1251" w:type="pct"/>
                  <w:tcBorders>
                    <w:bottom w:val="single" w:sz="6" w:space="0" w:color="BFBFBF"/>
                  </w:tcBorders>
                  <w:shd w:val="clear" w:color="auto" w:fill="auto"/>
                </w:tcPr>
                <w:p w14:paraId="3F2E0233" w14:textId="77777777" w:rsidR="0011262F" w:rsidRPr="00BF3706" w:rsidRDefault="0011262F" w:rsidP="00B54007">
                  <w:pPr>
                    <w:pStyle w:val="TableBodyText"/>
                    <w:jc w:val="left"/>
                    <w:rPr>
                      <w:b/>
                    </w:rPr>
                  </w:pPr>
                  <w:r w:rsidRPr="00BF3706">
                    <w:rPr>
                      <w:b/>
                    </w:rPr>
                    <w:t>Total</w:t>
                  </w:r>
                </w:p>
              </w:tc>
              <w:tc>
                <w:tcPr>
                  <w:tcW w:w="1250" w:type="pct"/>
                  <w:tcBorders>
                    <w:bottom w:val="single" w:sz="6" w:space="0" w:color="BFBFBF"/>
                  </w:tcBorders>
                </w:tcPr>
                <w:p w14:paraId="63173FEF" w14:textId="77777777" w:rsidR="0011262F" w:rsidRPr="00BF3706" w:rsidRDefault="0011262F" w:rsidP="00B54007">
                  <w:pPr>
                    <w:pStyle w:val="TableBodyText"/>
                    <w:rPr>
                      <w:b/>
                    </w:rPr>
                  </w:pPr>
                  <w:r w:rsidRPr="00736369">
                    <w:rPr>
                      <w:b/>
                    </w:rPr>
                    <w:t>88.5</w:t>
                  </w:r>
                </w:p>
              </w:tc>
              <w:tc>
                <w:tcPr>
                  <w:tcW w:w="1250" w:type="pct"/>
                  <w:tcBorders>
                    <w:bottom w:val="single" w:sz="6" w:space="0" w:color="BFBFBF"/>
                  </w:tcBorders>
                  <w:shd w:val="clear" w:color="auto" w:fill="auto"/>
                </w:tcPr>
                <w:p w14:paraId="0DFC92C3" w14:textId="77777777" w:rsidR="0011262F" w:rsidRPr="00BF3706" w:rsidRDefault="0011262F" w:rsidP="00B54007">
                  <w:pPr>
                    <w:pStyle w:val="TableBodyText"/>
                    <w:rPr>
                      <w:b/>
                    </w:rPr>
                  </w:pPr>
                  <w:r w:rsidRPr="00736369">
                    <w:rPr>
                      <w:b/>
                    </w:rPr>
                    <w:t>99.2</w:t>
                  </w:r>
                </w:p>
              </w:tc>
              <w:tc>
                <w:tcPr>
                  <w:tcW w:w="1249" w:type="pct"/>
                  <w:tcBorders>
                    <w:bottom w:val="single" w:sz="6" w:space="0" w:color="BFBFBF"/>
                  </w:tcBorders>
                  <w:shd w:val="clear" w:color="auto" w:fill="auto"/>
                </w:tcPr>
                <w:p w14:paraId="2D96FBA3" w14:textId="77777777" w:rsidR="0011262F" w:rsidRPr="00BF3706" w:rsidRDefault="0011262F" w:rsidP="00B54007">
                  <w:pPr>
                    <w:pStyle w:val="TableBodyText"/>
                    <w:rPr>
                      <w:b/>
                    </w:rPr>
                  </w:pPr>
                  <w:r w:rsidRPr="00BF3706">
                    <w:rPr>
                      <w:b/>
                    </w:rPr>
                    <w:t>100</w:t>
                  </w:r>
                </w:p>
              </w:tc>
            </w:tr>
          </w:tbl>
          <w:p w14:paraId="062C1DB6" w14:textId="77777777" w:rsidR="0011262F" w:rsidRDefault="0011262F" w:rsidP="00B54007">
            <w:pPr>
              <w:pStyle w:val="Box"/>
            </w:pPr>
          </w:p>
        </w:tc>
      </w:tr>
      <w:tr w:rsidR="0011262F" w:rsidRPr="00176D3F" w14:paraId="7F6C0859" w14:textId="77777777" w:rsidTr="00B54007">
        <w:tblPrEx>
          <w:tblBorders>
            <w:top w:val="single" w:sz="6" w:space="0" w:color="78A22F"/>
            <w:left w:val="single" w:sz="6" w:space="0" w:color="78A22F"/>
            <w:bottom w:val="single" w:sz="6" w:space="0" w:color="78A22F"/>
            <w:right w:val="single" w:sz="6" w:space="0" w:color="78A22F"/>
          </w:tblBorders>
        </w:tblPrEx>
        <w:tc>
          <w:tcPr>
            <w:tcW w:w="5000" w:type="pct"/>
            <w:tcBorders>
              <w:top w:val="nil"/>
              <w:left w:val="nil"/>
              <w:bottom w:val="nil"/>
              <w:right w:val="nil"/>
            </w:tcBorders>
            <w:shd w:val="clear" w:color="auto" w:fill="auto"/>
          </w:tcPr>
          <w:p w14:paraId="76E9B906" w14:textId="77777777" w:rsidR="0011262F" w:rsidRDefault="0011262F" w:rsidP="00B54007">
            <w:pPr>
              <w:pStyle w:val="Source"/>
              <w:rPr>
                <w:i/>
              </w:rPr>
            </w:pPr>
            <w:proofErr w:type="spellStart"/>
            <w:r w:rsidRPr="004D3DB9">
              <w:rPr>
                <w:rStyle w:val="NoteLabel"/>
                <w:spacing w:val="-2"/>
              </w:rPr>
              <w:t>a</w:t>
            </w:r>
            <w:proofErr w:type="spellEnd"/>
            <w:r w:rsidRPr="004D3DB9">
              <w:rPr>
                <w:spacing w:val="-2"/>
              </w:rPr>
              <w:t xml:space="preserve"> </w:t>
            </w:r>
            <w:r>
              <w:rPr>
                <w:spacing w:val="-2"/>
              </w:rPr>
              <w:t>The denominator used for this table and other coverage metrics in this supplement (unless otherwise stated) is the sum of assets held by funds captured in the APRA fund</w:t>
            </w:r>
            <w:r>
              <w:rPr>
                <w:spacing w:val="-2"/>
              </w:rPr>
              <w:noBreakHyphen/>
              <w:t>level dataset.</w:t>
            </w:r>
          </w:p>
        </w:tc>
      </w:tr>
      <w:tr w:rsidR="0011262F" w:rsidRPr="00176D3F" w14:paraId="2031368A" w14:textId="77777777" w:rsidTr="00B54007">
        <w:tblPrEx>
          <w:tblBorders>
            <w:top w:val="single" w:sz="6" w:space="0" w:color="78A22F"/>
            <w:left w:val="single" w:sz="6" w:space="0" w:color="78A22F"/>
            <w:bottom w:val="single" w:sz="6" w:space="0" w:color="78A22F"/>
            <w:right w:val="single" w:sz="6" w:space="0" w:color="78A22F"/>
          </w:tblBorders>
        </w:tblPrEx>
        <w:tc>
          <w:tcPr>
            <w:tcW w:w="5000" w:type="pct"/>
            <w:tcBorders>
              <w:top w:val="nil"/>
              <w:left w:val="nil"/>
              <w:bottom w:val="nil"/>
              <w:right w:val="nil"/>
            </w:tcBorders>
            <w:shd w:val="clear" w:color="auto" w:fill="auto"/>
          </w:tcPr>
          <w:p w14:paraId="6E893132" w14:textId="77777777" w:rsidR="0011262F" w:rsidRPr="00176D3F" w:rsidRDefault="0011262F" w:rsidP="00B54007">
            <w:pPr>
              <w:pStyle w:val="Source"/>
            </w:pPr>
            <w:r>
              <w:rPr>
                <w:i/>
              </w:rPr>
              <w:t>S</w:t>
            </w:r>
            <w:r w:rsidRPr="00784A05">
              <w:rPr>
                <w:i/>
              </w:rPr>
              <w:t>ource</w:t>
            </w:r>
            <w:r w:rsidRPr="00176D3F">
              <w:t xml:space="preserve">: </w:t>
            </w:r>
            <w:r>
              <w:rPr>
                <w:rFonts w:eastAsia="+mn-ea" w:cs="Arial"/>
                <w:color w:val="000000" w:themeColor="text1"/>
                <w:kern w:val="24"/>
                <w:szCs w:val="18"/>
              </w:rPr>
              <w:t>PC analysis of unpublished APRA data</w:t>
            </w:r>
            <w:r w:rsidRPr="0018371D">
              <w:rPr>
                <w:rFonts w:eastAsia="+mn-ea" w:cs="Arial"/>
                <w:color w:val="000000" w:themeColor="text1"/>
                <w:kern w:val="24"/>
                <w:szCs w:val="18"/>
              </w:rPr>
              <w:t>.</w:t>
            </w:r>
          </w:p>
        </w:tc>
      </w:tr>
      <w:tr w:rsidR="0011262F" w14:paraId="51DB01F2" w14:textId="77777777" w:rsidTr="00B54007">
        <w:tc>
          <w:tcPr>
            <w:tcW w:w="5000" w:type="pct"/>
            <w:tcBorders>
              <w:top w:val="nil"/>
              <w:left w:val="nil"/>
              <w:bottom w:val="single" w:sz="6" w:space="0" w:color="78A22F"/>
              <w:right w:val="nil"/>
            </w:tcBorders>
            <w:shd w:val="clear" w:color="auto" w:fill="auto"/>
          </w:tcPr>
          <w:p w14:paraId="1B060ADA" w14:textId="77777777" w:rsidR="0011262F" w:rsidRDefault="0011262F" w:rsidP="00B54007">
            <w:pPr>
              <w:pStyle w:val="Box"/>
              <w:spacing w:before="0" w:line="120" w:lineRule="exact"/>
            </w:pPr>
          </w:p>
        </w:tc>
      </w:tr>
      <w:tr w:rsidR="0011262F" w:rsidRPr="000863A5" w14:paraId="7948180F" w14:textId="77777777" w:rsidTr="00B54007">
        <w:tc>
          <w:tcPr>
            <w:tcW w:w="5000" w:type="pct"/>
            <w:tcBorders>
              <w:top w:val="single" w:sz="6" w:space="0" w:color="78A22F"/>
              <w:left w:val="nil"/>
              <w:bottom w:val="nil"/>
              <w:right w:val="nil"/>
            </w:tcBorders>
          </w:tcPr>
          <w:p w14:paraId="59E675F5" w14:textId="77777777" w:rsidR="0011262F" w:rsidRPr="00626D32" w:rsidRDefault="0011262F" w:rsidP="00B54007">
            <w:pPr>
              <w:pStyle w:val="BoxSpaceBelow"/>
            </w:pPr>
          </w:p>
        </w:tc>
      </w:tr>
    </w:tbl>
    <w:p w14:paraId="5DCFF268" w14:textId="77777777" w:rsidR="0011262F" w:rsidRDefault="0011262F" w:rsidP="0011262F">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1262F" w14:paraId="1EC50590" w14:textId="77777777" w:rsidTr="00B54007">
        <w:trPr>
          <w:tblHeader/>
        </w:trPr>
        <w:tc>
          <w:tcPr>
            <w:tcW w:w="5000" w:type="pct"/>
            <w:tcBorders>
              <w:top w:val="single" w:sz="6" w:space="0" w:color="78A22F"/>
              <w:left w:val="nil"/>
              <w:bottom w:val="nil"/>
              <w:right w:val="nil"/>
            </w:tcBorders>
            <w:shd w:val="clear" w:color="auto" w:fill="auto"/>
          </w:tcPr>
          <w:p w14:paraId="0D935C79" w14:textId="77777777" w:rsidR="0011262F" w:rsidRDefault="0011262F" w:rsidP="00B54007">
            <w:pPr>
              <w:pStyle w:val="TableTitle"/>
            </w:pPr>
            <w:r>
              <w:rPr>
                <w:b w:val="0"/>
              </w:rPr>
              <w:t xml:space="preserve">Table </w:t>
            </w:r>
            <w:bookmarkStart w:id="14" w:name="OLE_LINK7"/>
            <w:r>
              <w:rPr>
                <w:b w:val="0"/>
              </w:rPr>
              <w:t>8.</w:t>
            </w:r>
            <w:r>
              <w:rPr>
                <w:b w:val="0"/>
                <w:noProof/>
              </w:rPr>
              <w:t>4</w:t>
            </w:r>
            <w:bookmarkEnd w:id="14"/>
            <w:r>
              <w:tab/>
              <w:t>Funds captured by SR fees data</w:t>
            </w:r>
          </w:p>
          <w:p w14:paraId="694F3584" w14:textId="77777777" w:rsidR="0011262F" w:rsidRPr="00784A05" w:rsidRDefault="0011262F" w:rsidP="00B54007">
            <w:pPr>
              <w:pStyle w:val="Subtitle"/>
            </w:pPr>
            <w:r>
              <w:t>Number of funds by segment, 2004–2016</w:t>
            </w:r>
          </w:p>
        </w:tc>
      </w:tr>
      <w:tr w:rsidR="0011262F" w14:paraId="64A7B3CE" w14:textId="77777777" w:rsidTr="00B5400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3"/>
              <w:gridCol w:w="1701"/>
              <w:gridCol w:w="1701"/>
              <w:gridCol w:w="1582"/>
              <w:gridCol w:w="1818"/>
            </w:tblGrid>
            <w:tr w:rsidR="0011262F" w14:paraId="526565BD" w14:textId="77777777" w:rsidTr="00B54007">
              <w:trPr>
                <w:tblHeader/>
              </w:trPr>
              <w:tc>
                <w:tcPr>
                  <w:tcW w:w="1001" w:type="pct"/>
                  <w:tcBorders>
                    <w:top w:val="single" w:sz="6" w:space="0" w:color="BFBFBF"/>
                    <w:bottom w:val="single" w:sz="6" w:space="0" w:color="BFBFBF"/>
                  </w:tcBorders>
                  <w:shd w:val="clear" w:color="auto" w:fill="auto"/>
                  <w:tcMar>
                    <w:top w:w="28" w:type="dxa"/>
                  </w:tcMar>
                </w:tcPr>
                <w:p w14:paraId="07731B6A" w14:textId="77777777" w:rsidR="0011262F" w:rsidRDefault="0011262F" w:rsidP="00B54007">
                  <w:pPr>
                    <w:pStyle w:val="TableColumnHeading"/>
                    <w:jc w:val="left"/>
                  </w:pPr>
                  <w:r>
                    <w:br/>
                    <w:t>Segment</w:t>
                  </w:r>
                </w:p>
              </w:tc>
              <w:tc>
                <w:tcPr>
                  <w:tcW w:w="1000" w:type="pct"/>
                  <w:tcBorders>
                    <w:top w:val="single" w:sz="6" w:space="0" w:color="BFBFBF"/>
                    <w:bottom w:val="single" w:sz="6" w:space="0" w:color="BFBFBF"/>
                  </w:tcBorders>
                </w:tcPr>
                <w:p w14:paraId="65EF6A87" w14:textId="77777777" w:rsidR="0011262F" w:rsidRDefault="0011262F" w:rsidP="00B54007">
                  <w:pPr>
                    <w:pStyle w:val="TableColumnHeading"/>
                  </w:pPr>
                  <w:r>
                    <w:br/>
                    <w:t>2004</w:t>
                  </w:r>
                  <w:r>
                    <w:noBreakHyphen/>
                    <w:t>05</w:t>
                  </w:r>
                </w:p>
              </w:tc>
              <w:tc>
                <w:tcPr>
                  <w:tcW w:w="1000" w:type="pct"/>
                  <w:tcBorders>
                    <w:top w:val="single" w:sz="6" w:space="0" w:color="BFBFBF"/>
                    <w:bottom w:val="single" w:sz="6" w:space="0" w:color="BFBFBF"/>
                  </w:tcBorders>
                  <w:shd w:val="clear" w:color="auto" w:fill="auto"/>
                  <w:tcMar>
                    <w:top w:w="28" w:type="dxa"/>
                  </w:tcMar>
                </w:tcPr>
                <w:p w14:paraId="2CD69FA6" w14:textId="77777777" w:rsidR="0011262F" w:rsidRDefault="0011262F" w:rsidP="00B54007">
                  <w:pPr>
                    <w:pStyle w:val="TableColumnHeading"/>
                  </w:pPr>
                  <w:r>
                    <w:br/>
                    <w:t>2009</w:t>
                  </w:r>
                  <w:r>
                    <w:noBreakHyphen/>
                    <w:t>10</w:t>
                  </w:r>
                </w:p>
              </w:tc>
              <w:tc>
                <w:tcPr>
                  <w:tcW w:w="930" w:type="pct"/>
                  <w:tcBorders>
                    <w:top w:val="single" w:sz="6" w:space="0" w:color="BFBFBF"/>
                    <w:bottom w:val="single" w:sz="6" w:space="0" w:color="BFBFBF"/>
                  </w:tcBorders>
                </w:tcPr>
                <w:p w14:paraId="40B77EA4" w14:textId="77777777" w:rsidR="0011262F" w:rsidRDefault="0011262F" w:rsidP="00B54007">
                  <w:pPr>
                    <w:pStyle w:val="TableColumnHeading"/>
                    <w:ind w:right="28"/>
                  </w:pPr>
                  <w:r>
                    <w:br/>
                    <w:t>2015</w:t>
                  </w:r>
                  <w:r>
                    <w:noBreakHyphen/>
                    <w:t>16</w:t>
                  </w:r>
                </w:p>
              </w:tc>
              <w:tc>
                <w:tcPr>
                  <w:tcW w:w="1069" w:type="pct"/>
                  <w:tcBorders>
                    <w:top w:val="single" w:sz="6" w:space="0" w:color="BFBFBF"/>
                    <w:bottom w:val="single" w:sz="6" w:space="0" w:color="BFBFBF"/>
                  </w:tcBorders>
                  <w:shd w:val="clear" w:color="auto" w:fill="auto"/>
                  <w:tcMar>
                    <w:top w:w="28" w:type="dxa"/>
                  </w:tcMar>
                </w:tcPr>
                <w:p w14:paraId="5A824387" w14:textId="77777777" w:rsidR="0011262F" w:rsidRDefault="0011262F" w:rsidP="00B54007">
                  <w:pPr>
                    <w:pStyle w:val="TableColumnHeading"/>
                  </w:pPr>
                  <w:r>
                    <w:t>Number of unique funds in the sample</w:t>
                  </w:r>
                </w:p>
              </w:tc>
            </w:tr>
            <w:tr w:rsidR="0011262F" w14:paraId="33B3786F" w14:textId="77777777" w:rsidTr="00B54007">
              <w:tc>
                <w:tcPr>
                  <w:tcW w:w="1001" w:type="pct"/>
                  <w:tcBorders>
                    <w:top w:val="single" w:sz="6" w:space="0" w:color="BFBFBF"/>
                  </w:tcBorders>
                </w:tcPr>
                <w:p w14:paraId="16FCD962" w14:textId="77777777" w:rsidR="0011262F" w:rsidRDefault="0011262F" w:rsidP="00B54007">
                  <w:pPr>
                    <w:pStyle w:val="TableUnitsRow"/>
                    <w:jc w:val="left"/>
                  </w:pPr>
                  <w:r>
                    <w:t>Corporate</w:t>
                  </w:r>
                </w:p>
              </w:tc>
              <w:tc>
                <w:tcPr>
                  <w:tcW w:w="1000" w:type="pct"/>
                  <w:tcBorders>
                    <w:top w:val="single" w:sz="6" w:space="0" w:color="BFBFBF"/>
                  </w:tcBorders>
                </w:tcPr>
                <w:p w14:paraId="7D2C3048" w14:textId="77777777" w:rsidR="0011262F" w:rsidRDefault="0011262F" w:rsidP="00B54007">
                  <w:pPr>
                    <w:pStyle w:val="TableUnitsRow"/>
                  </w:pPr>
                  <w:r>
                    <w:t>0</w:t>
                  </w:r>
                </w:p>
              </w:tc>
              <w:tc>
                <w:tcPr>
                  <w:tcW w:w="1000" w:type="pct"/>
                  <w:tcBorders>
                    <w:top w:val="single" w:sz="6" w:space="0" w:color="BFBFBF"/>
                  </w:tcBorders>
                </w:tcPr>
                <w:p w14:paraId="23453664" w14:textId="77777777" w:rsidR="0011262F" w:rsidRDefault="0011262F" w:rsidP="00B54007">
                  <w:pPr>
                    <w:pStyle w:val="TableUnitsRow"/>
                  </w:pPr>
                  <w:r>
                    <w:t>16</w:t>
                  </w:r>
                </w:p>
              </w:tc>
              <w:tc>
                <w:tcPr>
                  <w:tcW w:w="930" w:type="pct"/>
                  <w:tcBorders>
                    <w:top w:val="single" w:sz="6" w:space="0" w:color="BFBFBF"/>
                  </w:tcBorders>
                </w:tcPr>
                <w:p w14:paraId="31445419" w14:textId="77777777" w:rsidR="0011262F" w:rsidRDefault="0011262F" w:rsidP="00B54007">
                  <w:pPr>
                    <w:pStyle w:val="TableUnitsRow"/>
                    <w:ind w:right="28"/>
                  </w:pPr>
                  <w:r>
                    <w:t>12</w:t>
                  </w:r>
                </w:p>
              </w:tc>
              <w:tc>
                <w:tcPr>
                  <w:tcW w:w="1069" w:type="pct"/>
                  <w:tcBorders>
                    <w:top w:val="single" w:sz="6" w:space="0" w:color="BFBFBF"/>
                  </w:tcBorders>
                </w:tcPr>
                <w:p w14:paraId="255B1EA5" w14:textId="77777777" w:rsidR="0011262F" w:rsidRDefault="0011262F" w:rsidP="00B54007">
                  <w:pPr>
                    <w:pStyle w:val="TableUnitsRow"/>
                  </w:pPr>
                  <w:r>
                    <w:t>16</w:t>
                  </w:r>
                </w:p>
              </w:tc>
            </w:tr>
            <w:tr w:rsidR="0011262F" w14:paraId="654BBDED" w14:textId="77777777" w:rsidTr="00B54007">
              <w:tc>
                <w:tcPr>
                  <w:tcW w:w="1001" w:type="pct"/>
                </w:tcPr>
                <w:p w14:paraId="072001A9" w14:textId="77777777" w:rsidR="0011262F" w:rsidRDefault="0011262F" w:rsidP="00B54007">
                  <w:pPr>
                    <w:pStyle w:val="TableBodyText"/>
                    <w:jc w:val="left"/>
                  </w:pPr>
                  <w:r>
                    <w:t>Industry</w:t>
                  </w:r>
                </w:p>
              </w:tc>
              <w:tc>
                <w:tcPr>
                  <w:tcW w:w="1000" w:type="pct"/>
                </w:tcPr>
                <w:p w14:paraId="71EC60DF" w14:textId="77777777" w:rsidR="0011262F" w:rsidRDefault="0011262F" w:rsidP="00B54007">
                  <w:pPr>
                    <w:pStyle w:val="TableBodyText"/>
                  </w:pPr>
                  <w:r>
                    <w:t>20</w:t>
                  </w:r>
                </w:p>
              </w:tc>
              <w:tc>
                <w:tcPr>
                  <w:tcW w:w="1000" w:type="pct"/>
                </w:tcPr>
                <w:p w14:paraId="144D38DC" w14:textId="77777777" w:rsidR="0011262F" w:rsidRDefault="0011262F" w:rsidP="00B54007">
                  <w:pPr>
                    <w:pStyle w:val="TableBodyText"/>
                  </w:pPr>
                  <w:r>
                    <w:t>46</w:t>
                  </w:r>
                </w:p>
              </w:tc>
              <w:tc>
                <w:tcPr>
                  <w:tcW w:w="930" w:type="pct"/>
                </w:tcPr>
                <w:p w14:paraId="718B0E7C" w14:textId="77777777" w:rsidR="0011262F" w:rsidRDefault="0011262F" w:rsidP="00B54007">
                  <w:pPr>
                    <w:pStyle w:val="TableBodyText"/>
                    <w:ind w:right="28"/>
                  </w:pPr>
                  <w:r>
                    <w:t>41</w:t>
                  </w:r>
                </w:p>
              </w:tc>
              <w:tc>
                <w:tcPr>
                  <w:tcW w:w="1069" w:type="pct"/>
                </w:tcPr>
                <w:p w14:paraId="7EB79E95" w14:textId="77777777" w:rsidR="0011262F" w:rsidRDefault="0011262F" w:rsidP="00B54007">
                  <w:pPr>
                    <w:pStyle w:val="TableBodyText"/>
                  </w:pPr>
                  <w:r>
                    <w:t>50</w:t>
                  </w:r>
                </w:p>
              </w:tc>
            </w:tr>
            <w:tr w:rsidR="0011262F" w14:paraId="7E1094F0" w14:textId="77777777" w:rsidTr="00B54007">
              <w:tc>
                <w:tcPr>
                  <w:tcW w:w="1001" w:type="pct"/>
                  <w:shd w:val="clear" w:color="auto" w:fill="auto"/>
                </w:tcPr>
                <w:p w14:paraId="25C21A6C" w14:textId="77777777" w:rsidR="0011262F" w:rsidRDefault="0011262F" w:rsidP="00B54007">
                  <w:pPr>
                    <w:pStyle w:val="TableBodyText"/>
                    <w:jc w:val="left"/>
                  </w:pPr>
                  <w:r>
                    <w:t>Public sector</w:t>
                  </w:r>
                </w:p>
              </w:tc>
              <w:tc>
                <w:tcPr>
                  <w:tcW w:w="1000" w:type="pct"/>
                </w:tcPr>
                <w:p w14:paraId="227C553D" w14:textId="77777777" w:rsidR="0011262F" w:rsidRDefault="0011262F" w:rsidP="00B54007">
                  <w:pPr>
                    <w:pStyle w:val="TableBodyText"/>
                  </w:pPr>
                  <w:r>
                    <w:t>3</w:t>
                  </w:r>
                </w:p>
              </w:tc>
              <w:tc>
                <w:tcPr>
                  <w:tcW w:w="1000" w:type="pct"/>
                  <w:shd w:val="clear" w:color="auto" w:fill="auto"/>
                </w:tcPr>
                <w:p w14:paraId="16DEBAE3" w14:textId="77777777" w:rsidR="0011262F" w:rsidRDefault="0011262F" w:rsidP="00B54007">
                  <w:pPr>
                    <w:pStyle w:val="TableBodyText"/>
                  </w:pPr>
                  <w:r>
                    <w:t>14</w:t>
                  </w:r>
                </w:p>
              </w:tc>
              <w:tc>
                <w:tcPr>
                  <w:tcW w:w="930" w:type="pct"/>
                </w:tcPr>
                <w:p w14:paraId="79B45301" w14:textId="77777777" w:rsidR="0011262F" w:rsidRDefault="0011262F" w:rsidP="00B54007">
                  <w:pPr>
                    <w:pStyle w:val="TableBodyText"/>
                    <w:ind w:right="28"/>
                  </w:pPr>
                  <w:r>
                    <w:t>11</w:t>
                  </w:r>
                </w:p>
              </w:tc>
              <w:tc>
                <w:tcPr>
                  <w:tcW w:w="1069" w:type="pct"/>
                  <w:shd w:val="clear" w:color="auto" w:fill="auto"/>
                </w:tcPr>
                <w:p w14:paraId="15E14494" w14:textId="77777777" w:rsidR="0011262F" w:rsidRDefault="0011262F" w:rsidP="00B54007">
                  <w:pPr>
                    <w:pStyle w:val="TableBodyText"/>
                  </w:pPr>
                  <w:r>
                    <w:t>15</w:t>
                  </w:r>
                </w:p>
              </w:tc>
            </w:tr>
            <w:tr w:rsidR="0011262F" w14:paraId="06D8A96D" w14:textId="77777777" w:rsidTr="00B54007">
              <w:tc>
                <w:tcPr>
                  <w:tcW w:w="1001" w:type="pct"/>
                  <w:shd w:val="clear" w:color="auto" w:fill="auto"/>
                </w:tcPr>
                <w:p w14:paraId="5D2EBDB6" w14:textId="77777777" w:rsidR="0011262F" w:rsidRDefault="0011262F" w:rsidP="00B54007">
                  <w:pPr>
                    <w:pStyle w:val="TableBodyText"/>
                    <w:jc w:val="left"/>
                  </w:pPr>
                  <w:r>
                    <w:t>Retail</w:t>
                  </w:r>
                </w:p>
              </w:tc>
              <w:tc>
                <w:tcPr>
                  <w:tcW w:w="1000" w:type="pct"/>
                </w:tcPr>
                <w:p w14:paraId="6530D924" w14:textId="77777777" w:rsidR="0011262F" w:rsidRDefault="0011262F" w:rsidP="00B54007">
                  <w:pPr>
                    <w:pStyle w:val="TableBodyText"/>
                  </w:pPr>
                  <w:r>
                    <w:t>8</w:t>
                  </w:r>
                </w:p>
              </w:tc>
              <w:tc>
                <w:tcPr>
                  <w:tcW w:w="1000" w:type="pct"/>
                  <w:shd w:val="clear" w:color="auto" w:fill="auto"/>
                </w:tcPr>
                <w:p w14:paraId="1E0714BE" w14:textId="77777777" w:rsidR="0011262F" w:rsidRDefault="0011262F" w:rsidP="00B54007">
                  <w:pPr>
                    <w:pStyle w:val="TableBodyText"/>
                  </w:pPr>
                  <w:r>
                    <w:t>45</w:t>
                  </w:r>
                </w:p>
              </w:tc>
              <w:tc>
                <w:tcPr>
                  <w:tcW w:w="930" w:type="pct"/>
                </w:tcPr>
                <w:p w14:paraId="10B38EA0" w14:textId="77777777" w:rsidR="0011262F" w:rsidRDefault="0011262F" w:rsidP="00B54007">
                  <w:pPr>
                    <w:pStyle w:val="TableBodyText"/>
                    <w:ind w:right="28"/>
                  </w:pPr>
                  <w:r>
                    <w:t>46</w:t>
                  </w:r>
                </w:p>
              </w:tc>
              <w:tc>
                <w:tcPr>
                  <w:tcW w:w="1069" w:type="pct"/>
                  <w:shd w:val="clear" w:color="auto" w:fill="auto"/>
                </w:tcPr>
                <w:p w14:paraId="53733C2F" w14:textId="77777777" w:rsidR="0011262F" w:rsidRDefault="0011262F" w:rsidP="00B54007">
                  <w:pPr>
                    <w:pStyle w:val="TableBodyText"/>
                  </w:pPr>
                  <w:r>
                    <w:t>57</w:t>
                  </w:r>
                </w:p>
              </w:tc>
            </w:tr>
            <w:tr w:rsidR="0011262F" w:rsidRPr="00EE3DF7" w14:paraId="34315FA7" w14:textId="77777777" w:rsidTr="00B54007">
              <w:tc>
                <w:tcPr>
                  <w:tcW w:w="1001" w:type="pct"/>
                  <w:tcBorders>
                    <w:bottom w:val="single" w:sz="4" w:space="0" w:color="BFBFBF"/>
                  </w:tcBorders>
                  <w:shd w:val="clear" w:color="auto" w:fill="auto"/>
                </w:tcPr>
                <w:p w14:paraId="40E85F9D" w14:textId="77777777" w:rsidR="0011262F" w:rsidRPr="00EE3DF7" w:rsidRDefault="0011262F" w:rsidP="00B54007">
                  <w:pPr>
                    <w:pStyle w:val="TableBodyText"/>
                    <w:jc w:val="left"/>
                    <w:rPr>
                      <w:b/>
                    </w:rPr>
                  </w:pPr>
                  <w:r w:rsidRPr="00EE3DF7">
                    <w:rPr>
                      <w:b/>
                    </w:rPr>
                    <w:t>Total</w:t>
                  </w:r>
                </w:p>
              </w:tc>
              <w:tc>
                <w:tcPr>
                  <w:tcW w:w="1000" w:type="pct"/>
                  <w:tcBorders>
                    <w:bottom w:val="single" w:sz="4" w:space="0" w:color="BFBFBF"/>
                  </w:tcBorders>
                </w:tcPr>
                <w:p w14:paraId="2DA8D989" w14:textId="77777777" w:rsidR="0011262F" w:rsidRPr="00EE3DF7" w:rsidRDefault="0011262F" w:rsidP="00B54007">
                  <w:pPr>
                    <w:pStyle w:val="TableBodyText"/>
                    <w:rPr>
                      <w:b/>
                    </w:rPr>
                  </w:pPr>
                  <w:r>
                    <w:rPr>
                      <w:b/>
                    </w:rPr>
                    <w:t>31</w:t>
                  </w:r>
                </w:p>
              </w:tc>
              <w:tc>
                <w:tcPr>
                  <w:tcW w:w="1000" w:type="pct"/>
                  <w:tcBorders>
                    <w:bottom w:val="single" w:sz="4" w:space="0" w:color="BFBFBF"/>
                  </w:tcBorders>
                  <w:shd w:val="clear" w:color="auto" w:fill="auto"/>
                </w:tcPr>
                <w:p w14:paraId="41AE2BE5" w14:textId="77777777" w:rsidR="0011262F" w:rsidRPr="00EE3DF7" w:rsidRDefault="0011262F" w:rsidP="00B54007">
                  <w:pPr>
                    <w:pStyle w:val="TableBodyText"/>
                    <w:rPr>
                      <w:b/>
                    </w:rPr>
                  </w:pPr>
                  <w:r>
                    <w:rPr>
                      <w:b/>
                    </w:rPr>
                    <w:t>121</w:t>
                  </w:r>
                </w:p>
              </w:tc>
              <w:tc>
                <w:tcPr>
                  <w:tcW w:w="930" w:type="pct"/>
                  <w:tcBorders>
                    <w:bottom w:val="single" w:sz="4" w:space="0" w:color="BFBFBF"/>
                  </w:tcBorders>
                </w:tcPr>
                <w:p w14:paraId="51D6C2D6" w14:textId="77777777" w:rsidR="0011262F" w:rsidRPr="00EE3DF7" w:rsidRDefault="0011262F" w:rsidP="00B54007">
                  <w:pPr>
                    <w:pStyle w:val="TableBodyText"/>
                    <w:ind w:right="28"/>
                    <w:rPr>
                      <w:b/>
                    </w:rPr>
                  </w:pPr>
                  <w:r w:rsidRPr="00EE3DF7">
                    <w:rPr>
                      <w:b/>
                    </w:rPr>
                    <w:t>1</w:t>
                  </w:r>
                  <w:r>
                    <w:rPr>
                      <w:b/>
                    </w:rPr>
                    <w:t>10</w:t>
                  </w:r>
                </w:p>
              </w:tc>
              <w:tc>
                <w:tcPr>
                  <w:tcW w:w="1069" w:type="pct"/>
                  <w:tcBorders>
                    <w:bottom w:val="single" w:sz="4" w:space="0" w:color="BFBFBF"/>
                  </w:tcBorders>
                  <w:shd w:val="clear" w:color="auto" w:fill="auto"/>
                </w:tcPr>
                <w:p w14:paraId="36FD72FF" w14:textId="77777777" w:rsidR="0011262F" w:rsidRPr="00EE3DF7" w:rsidRDefault="0011262F" w:rsidP="00B54007">
                  <w:pPr>
                    <w:pStyle w:val="TableBodyText"/>
                    <w:rPr>
                      <w:b/>
                    </w:rPr>
                  </w:pPr>
                  <w:r>
                    <w:rPr>
                      <w:b/>
                    </w:rPr>
                    <w:t>138</w:t>
                  </w:r>
                </w:p>
              </w:tc>
            </w:tr>
          </w:tbl>
          <w:p w14:paraId="652F5A4A" w14:textId="77777777" w:rsidR="0011262F" w:rsidRDefault="0011262F" w:rsidP="00B54007">
            <w:pPr>
              <w:pStyle w:val="Box"/>
            </w:pPr>
          </w:p>
        </w:tc>
      </w:tr>
      <w:tr w:rsidR="0011262F" w14:paraId="5C533433" w14:textId="77777777" w:rsidTr="00B54007">
        <w:tc>
          <w:tcPr>
            <w:tcW w:w="5000" w:type="pct"/>
            <w:tcBorders>
              <w:top w:val="nil"/>
              <w:left w:val="nil"/>
              <w:bottom w:val="nil"/>
              <w:right w:val="nil"/>
            </w:tcBorders>
            <w:shd w:val="clear" w:color="auto" w:fill="auto"/>
          </w:tcPr>
          <w:p w14:paraId="10A9C765" w14:textId="77777777" w:rsidR="0011262F" w:rsidRDefault="0011262F" w:rsidP="00B54007">
            <w:pPr>
              <w:pStyle w:val="Note"/>
              <w:rPr>
                <w:i/>
              </w:rPr>
            </w:pPr>
            <w:r>
              <w:rPr>
                <w:i/>
              </w:rPr>
              <w:t>S</w:t>
            </w:r>
            <w:r w:rsidRPr="00784A05">
              <w:rPr>
                <w:i/>
              </w:rPr>
              <w:t>ource</w:t>
            </w:r>
            <w:r w:rsidRPr="00176D3F">
              <w:t xml:space="preserve">: </w:t>
            </w:r>
            <w:r>
              <w:t xml:space="preserve">PC analysis of </w:t>
            </w:r>
            <w:r>
              <w:rPr>
                <w:rFonts w:eastAsia="+mn-ea" w:cs="Arial"/>
                <w:color w:val="000000" w:themeColor="text1"/>
                <w:kern w:val="24"/>
                <w:szCs w:val="18"/>
              </w:rPr>
              <w:t>SR data.</w:t>
            </w:r>
          </w:p>
        </w:tc>
      </w:tr>
      <w:tr w:rsidR="0011262F" w14:paraId="328866DD" w14:textId="77777777" w:rsidTr="00B54007">
        <w:tc>
          <w:tcPr>
            <w:tcW w:w="5000" w:type="pct"/>
            <w:tcBorders>
              <w:top w:val="nil"/>
              <w:left w:val="nil"/>
              <w:bottom w:val="single" w:sz="6" w:space="0" w:color="78A22F"/>
              <w:right w:val="nil"/>
            </w:tcBorders>
            <w:shd w:val="clear" w:color="auto" w:fill="auto"/>
          </w:tcPr>
          <w:p w14:paraId="7F065F71" w14:textId="77777777" w:rsidR="0011262F" w:rsidRDefault="0011262F" w:rsidP="00B54007">
            <w:pPr>
              <w:pStyle w:val="Box"/>
              <w:spacing w:before="0" w:line="120" w:lineRule="exact"/>
            </w:pPr>
          </w:p>
        </w:tc>
      </w:tr>
      <w:tr w:rsidR="0011262F" w:rsidRPr="000863A5" w14:paraId="49033F66" w14:textId="77777777" w:rsidTr="00B54007">
        <w:tc>
          <w:tcPr>
            <w:tcW w:w="5000" w:type="pct"/>
            <w:tcBorders>
              <w:top w:val="single" w:sz="6" w:space="0" w:color="78A22F"/>
              <w:left w:val="nil"/>
              <w:bottom w:val="nil"/>
              <w:right w:val="nil"/>
            </w:tcBorders>
          </w:tcPr>
          <w:p w14:paraId="35DF0D05" w14:textId="77777777" w:rsidR="0011262F" w:rsidRPr="00626D32" w:rsidRDefault="0011262F" w:rsidP="00B54007">
            <w:pPr>
              <w:pStyle w:val="BoxSpaceBelow"/>
            </w:pPr>
          </w:p>
        </w:tc>
      </w:tr>
    </w:tbl>
    <w:p w14:paraId="1CA409F1" w14:textId="77777777" w:rsidR="0011262F" w:rsidRDefault="0011262F" w:rsidP="0011262F">
      <w:pPr>
        <w:pStyle w:val="BodyText"/>
      </w:pPr>
      <w:r>
        <w:t xml:space="preserve">The combined APRA–SR panel includes </w:t>
      </w:r>
      <w:r w:rsidRPr="00B3644B">
        <w:t>1316</w:t>
      </w:r>
      <w:r>
        <w:t xml:space="preserve"> fund–year observations. All analysis except the work on pass through (which requires the fees data) is based on the larger APRA panel.</w:t>
      </w:r>
    </w:p>
    <w:p w14:paraId="5C1E2CE1" w14:textId="77777777" w:rsidR="0011262F" w:rsidRDefault="0011262F" w:rsidP="0011262F">
      <w:pPr>
        <w:pStyle w:val="Heading3"/>
      </w:pPr>
      <w:r>
        <w:t>Some missing data warrant explicit treatment</w:t>
      </w:r>
    </w:p>
    <w:p w14:paraId="0CAC94C6" w14:textId="77777777" w:rsidR="0011262F" w:rsidRDefault="0011262F" w:rsidP="0011262F">
      <w:pPr>
        <w:pStyle w:val="BodyText"/>
      </w:pPr>
      <w:r>
        <w:t>The APRA data are characterised by high levels of reporting of zero investment expenses (table 8.5) — for example, just over one quarter of funds (mostly retail) reported zero investment expenses in 2015</w:t>
      </w:r>
      <w:r>
        <w:noBreakHyphen/>
        <w:t>16. There are systematic differences between funds that do and do not report zeros. In 2016, for example, the average fund reporting zero investment expenses had an annual net return of 2.2 per cent, compared with 6.2 per cent for the average fund reporting positive investment expenses. Investment expenses clearly are not zero. Funds that report zero are likely outsourcing their investment management or provide platform investments and the investment management fees are captured in lower net returns (that is indirectly), rather than explicitly recorded.</w:t>
      </w:r>
    </w:p>
    <w:p w14:paraId="53D42C05" w14:textId="77777777" w:rsidR="0011262F" w:rsidRDefault="0011262F" w:rsidP="0011262F">
      <w:pPr>
        <w:pStyle w:val="BodyText"/>
      </w:pPr>
      <w:r>
        <w:t>E</w:t>
      </w:r>
      <w:r w:rsidRPr="00C21D11">
        <w:t>xcluding funds with zero investment expenses from the analysis — </w:t>
      </w:r>
      <w:r>
        <w:t>one option for dealing with the</w:t>
      </w:r>
      <w:r w:rsidRPr="00C21D11">
        <w:t xml:space="preserve"> issue — would give rise to </w:t>
      </w:r>
      <w:r>
        <w:t xml:space="preserve">significant </w:t>
      </w:r>
      <w:r w:rsidRPr="00C21D11">
        <w:t>selection bias</w:t>
      </w:r>
      <w:r>
        <w:t xml:space="preserve"> because of</w:t>
      </w:r>
      <w:r w:rsidRPr="00C21D11">
        <w:t xml:space="preserve"> </w:t>
      </w:r>
      <w:r>
        <w:t xml:space="preserve">the prevalence of the issue among retail funds. </w:t>
      </w:r>
      <w:r w:rsidRPr="00C21D11">
        <w:t>Results</w:t>
      </w:r>
      <w:r>
        <w:t xml:space="preserve"> </w:t>
      </w:r>
      <w:r w:rsidRPr="00C21D11">
        <w:t xml:space="preserve">could not </w:t>
      </w:r>
      <w:r>
        <w:t xml:space="preserve">then </w:t>
      </w:r>
      <w:r w:rsidRPr="00C21D11">
        <w:t xml:space="preserve">be interpreted as </w:t>
      </w:r>
      <w:r>
        <w:t xml:space="preserve">system </w:t>
      </w:r>
      <w:r w:rsidRPr="00C21D11">
        <w:t>representative</w:t>
      </w:r>
      <w:r>
        <w:t>. T</w:t>
      </w:r>
      <w:r w:rsidRPr="00C21D11">
        <w:t xml:space="preserve">he extent of </w:t>
      </w:r>
      <w:r>
        <w:t>the</w:t>
      </w:r>
      <w:r w:rsidRPr="00C21D11">
        <w:t xml:space="preserve"> problem</w:t>
      </w:r>
      <w:r>
        <w:t xml:space="preserve"> means it</w:t>
      </w:r>
      <w:r w:rsidRPr="00C21D11">
        <w:t xml:space="preserve"> warrants explicit treatment</w:t>
      </w:r>
      <w:r>
        <w:t xml:space="preserve"> via imputation of missing information (detailed below</w:t>
      </w:r>
      <w:r w:rsidRPr="004B0CED">
        <w:t>).</w:t>
      </w:r>
    </w:p>
    <w:p w14:paraId="0DA9AF96" w14:textId="77777777" w:rsidR="0011262F" w:rsidRPr="00385B52" w:rsidRDefault="0011262F" w:rsidP="0011262F">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1262F" w14:paraId="4604CE0A" w14:textId="77777777" w:rsidTr="00B54007">
        <w:trPr>
          <w:tblHeader/>
        </w:trPr>
        <w:tc>
          <w:tcPr>
            <w:tcW w:w="5000" w:type="pct"/>
            <w:tcBorders>
              <w:top w:val="single" w:sz="6" w:space="0" w:color="78A22F"/>
              <w:left w:val="nil"/>
              <w:bottom w:val="nil"/>
              <w:right w:val="nil"/>
            </w:tcBorders>
            <w:shd w:val="clear" w:color="auto" w:fill="auto"/>
          </w:tcPr>
          <w:p w14:paraId="41C1B2F5" w14:textId="77777777" w:rsidR="0011262F" w:rsidRDefault="0011262F" w:rsidP="00B54007">
            <w:pPr>
              <w:pStyle w:val="TableTitle"/>
            </w:pPr>
            <w:r>
              <w:rPr>
                <w:b w:val="0"/>
              </w:rPr>
              <w:t xml:space="preserve">Table </w:t>
            </w:r>
            <w:bookmarkStart w:id="15" w:name="OLE_LINK8"/>
            <w:r>
              <w:rPr>
                <w:b w:val="0"/>
              </w:rPr>
              <w:t>8.</w:t>
            </w:r>
            <w:r>
              <w:rPr>
                <w:b w:val="0"/>
                <w:noProof/>
              </w:rPr>
              <w:t>5</w:t>
            </w:r>
            <w:bookmarkEnd w:id="15"/>
            <w:r>
              <w:tab/>
              <w:t>Zero investment expenses reporting in the APRA panel</w:t>
            </w:r>
          </w:p>
          <w:p w14:paraId="3EFB33F3" w14:textId="77777777" w:rsidR="0011262F" w:rsidRPr="00912F40" w:rsidRDefault="0011262F" w:rsidP="00B54007">
            <w:pPr>
              <w:pStyle w:val="Subtitle"/>
            </w:pPr>
            <w:r w:rsidRPr="00912F40">
              <w:t>Per cent</w:t>
            </w:r>
            <w:r>
              <w:t>, 2004–2016</w:t>
            </w:r>
          </w:p>
        </w:tc>
      </w:tr>
      <w:tr w:rsidR="0011262F" w14:paraId="63E0589B" w14:textId="77777777" w:rsidTr="00B5400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8"/>
              <w:gridCol w:w="2126"/>
              <w:gridCol w:w="2126"/>
              <w:gridCol w:w="2125"/>
            </w:tblGrid>
            <w:tr w:rsidR="0011262F" w14:paraId="68EE3921" w14:textId="77777777" w:rsidTr="00B54007">
              <w:trPr>
                <w:tblHeader/>
              </w:trPr>
              <w:tc>
                <w:tcPr>
                  <w:tcW w:w="1251" w:type="pct"/>
                  <w:tcBorders>
                    <w:top w:val="single" w:sz="6" w:space="0" w:color="BFBFBF"/>
                    <w:bottom w:val="single" w:sz="6" w:space="0" w:color="BFBFBF"/>
                  </w:tcBorders>
                  <w:shd w:val="clear" w:color="auto" w:fill="auto"/>
                  <w:tcMar>
                    <w:top w:w="28" w:type="dxa"/>
                  </w:tcMar>
                </w:tcPr>
                <w:p w14:paraId="41612A87" w14:textId="77777777" w:rsidR="0011262F" w:rsidRDefault="0011262F" w:rsidP="00B54007">
                  <w:pPr>
                    <w:pStyle w:val="TableColumnHeading"/>
                    <w:jc w:val="left"/>
                  </w:pPr>
                </w:p>
              </w:tc>
              <w:tc>
                <w:tcPr>
                  <w:tcW w:w="1250" w:type="pct"/>
                  <w:tcBorders>
                    <w:top w:val="single" w:sz="6" w:space="0" w:color="BFBFBF"/>
                    <w:bottom w:val="single" w:sz="6" w:space="0" w:color="BFBFBF"/>
                  </w:tcBorders>
                </w:tcPr>
                <w:p w14:paraId="47A94F2A" w14:textId="77777777" w:rsidR="0011262F" w:rsidRDefault="0011262F" w:rsidP="00B54007">
                  <w:pPr>
                    <w:pStyle w:val="TableColumnHeading"/>
                  </w:pPr>
                  <w:r>
                    <w:t>2004</w:t>
                  </w:r>
                  <w:r>
                    <w:noBreakHyphen/>
                    <w:t>05</w:t>
                  </w:r>
                </w:p>
              </w:tc>
              <w:tc>
                <w:tcPr>
                  <w:tcW w:w="1250" w:type="pct"/>
                  <w:tcBorders>
                    <w:top w:val="single" w:sz="6" w:space="0" w:color="BFBFBF"/>
                    <w:bottom w:val="single" w:sz="6" w:space="0" w:color="BFBFBF"/>
                  </w:tcBorders>
                  <w:shd w:val="clear" w:color="auto" w:fill="auto"/>
                  <w:tcMar>
                    <w:top w:w="28" w:type="dxa"/>
                  </w:tcMar>
                </w:tcPr>
                <w:p w14:paraId="454EDB18" w14:textId="77777777" w:rsidR="0011262F" w:rsidRDefault="0011262F" w:rsidP="00B54007">
                  <w:pPr>
                    <w:pStyle w:val="TableColumnHeading"/>
                  </w:pPr>
                  <w:r>
                    <w:t>2009</w:t>
                  </w:r>
                  <w:r>
                    <w:noBreakHyphen/>
                    <w:t>10</w:t>
                  </w:r>
                </w:p>
              </w:tc>
              <w:tc>
                <w:tcPr>
                  <w:tcW w:w="1249" w:type="pct"/>
                  <w:tcBorders>
                    <w:top w:val="single" w:sz="6" w:space="0" w:color="BFBFBF"/>
                    <w:bottom w:val="single" w:sz="6" w:space="0" w:color="BFBFBF"/>
                  </w:tcBorders>
                  <w:shd w:val="clear" w:color="auto" w:fill="auto"/>
                  <w:tcMar>
                    <w:top w:w="28" w:type="dxa"/>
                  </w:tcMar>
                </w:tcPr>
                <w:p w14:paraId="7D380394" w14:textId="77777777" w:rsidR="0011262F" w:rsidRDefault="0011262F" w:rsidP="00B54007">
                  <w:pPr>
                    <w:pStyle w:val="TableColumnHeading"/>
                  </w:pPr>
                  <w:r>
                    <w:t>2015</w:t>
                  </w:r>
                  <w:r>
                    <w:noBreakHyphen/>
                    <w:t>16</w:t>
                  </w:r>
                </w:p>
              </w:tc>
            </w:tr>
            <w:tr w:rsidR="0011262F" w14:paraId="6FA1C911" w14:textId="77777777" w:rsidTr="00B54007">
              <w:tc>
                <w:tcPr>
                  <w:tcW w:w="2501" w:type="pct"/>
                  <w:gridSpan w:val="2"/>
                  <w:tcBorders>
                    <w:top w:val="single" w:sz="6" w:space="0" w:color="BFBFBF"/>
                  </w:tcBorders>
                  <w:shd w:val="clear" w:color="auto" w:fill="F2F2F2" w:themeFill="background1" w:themeFillShade="F2"/>
                </w:tcPr>
                <w:p w14:paraId="16128447" w14:textId="77777777" w:rsidR="0011262F" w:rsidRDefault="0011262F" w:rsidP="00B54007">
                  <w:pPr>
                    <w:pStyle w:val="TableUnitsRow"/>
                    <w:jc w:val="left"/>
                  </w:pPr>
                  <w:r>
                    <w:rPr>
                      <w:i/>
                    </w:rPr>
                    <w:t>As a share of all funds</w:t>
                  </w:r>
                </w:p>
              </w:tc>
              <w:tc>
                <w:tcPr>
                  <w:tcW w:w="1250" w:type="pct"/>
                  <w:tcBorders>
                    <w:top w:val="single" w:sz="6" w:space="0" w:color="BFBFBF"/>
                  </w:tcBorders>
                  <w:shd w:val="clear" w:color="auto" w:fill="F2F2F2" w:themeFill="background1" w:themeFillShade="F2"/>
                </w:tcPr>
                <w:p w14:paraId="5F6950BD" w14:textId="77777777" w:rsidR="0011262F" w:rsidRDefault="0011262F" w:rsidP="00B54007">
                  <w:pPr>
                    <w:pStyle w:val="TableUnitsRow"/>
                  </w:pPr>
                </w:p>
              </w:tc>
              <w:tc>
                <w:tcPr>
                  <w:tcW w:w="1249" w:type="pct"/>
                  <w:tcBorders>
                    <w:top w:val="single" w:sz="6" w:space="0" w:color="BFBFBF"/>
                  </w:tcBorders>
                  <w:shd w:val="clear" w:color="auto" w:fill="F2F2F2" w:themeFill="background1" w:themeFillShade="F2"/>
                </w:tcPr>
                <w:p w14:paraId="664B3E4C" w14:textId="77777777" w:rsidR="0011262F" w:rsidRDefault="0011262F" w:rsidP="00B54007">
                  <w:pPr>
                    <w:pStyle w:val="TableUnitsRow"/>
                  </w:pPr>
                </w:p>
              </w:tc>
            </w:tr>
            <w:tr w:rsidR="0011262F" w:rsidRPr="00912F40" w14:paraId="461244A8" w14:textId="77777777" w:rsidTr="00B54007">
              <w:tc>
                <w:tcPr>
                  <w:tcW w:w="1251" w:type="pct"/>
                  <w:shd w:val="clear" w:color="auto" w:fill="auto"/>
                </w:tcPr>
                <w:p w14:paraId="2CAB7AC0" w14:textId="77777777" w:rsidR="0011262F" w:rsidRPr="00912F40" w:rsidRDefault="0011262F" w:rsidP="00B54007">
                  <w:pPr>
                    <w:pStyle w:val="TableBodyText"/>
                    <w:jc w:val="left"/>
                    <w:rPr>
                      <w:i/>
                    </w:rPr>
                  </w:pPr>
                  <w:r w:rsidRPr="00912F40">
                    <w:t>Total</w:t>
                  </w:r>
                </w:p>
              </w:tc>
              <w:tc>
                <w:tcPr>
                  <w:tcW w:w="1250" w:type="pct"/>
                </w:tcPr>
                <w:p w14:paraId="4990EF0B" w14:textId="77777777" w:rsidR="0011262F" w:rsidRPr="00912F40" w:rsidRDefault="0011262F" w:rsidP="00B54007">
                  <w:pPr>
                    <w:pStyle w:val="TableBodyText"/>
                  </w:pPr>
                  <w:r>
                    <w:t>39.0</w:t>
                  </w:r>
                </w:p>
              </w:tc>
              <w:tc>
                <w:tcPr>
                  <w:tcW w:w="1250" w:type="pct"/>
                  <w:shd w:val="clear" w:color="auto" w:fill="auto"/>
                </w:tcPr>
                <w:p w14:paraId="582F43EC" w14:textId="77777777" w:rsidR="0011262F" w:rsidRPr="00912F40" w:rsidRDefault="0011262F" w:rsidP="00B54007">
                  <w:pPr>
                    <w:pStyle w:val="TableBodyText"/>
                  </w:pPr>
                  <w:r>
                    <w:t>33</w:t>
                  </w:r>
                  <w:r w:rsidRPr="00912F40">
                    <w:t>.</w:t>
                  </w:r>
                  <w:r>
                    <w:t>4</w:t>
                  </w:r>
                </w:p>
              </w:tc>
              <w:tc>
                <w:tcPr>
                  <w:tcW w:w="1249" w:type="pct"/>
                  <w:shd w:val="clear" w:color="auto" w:fill="auto"/>
                </w:tcPr>
                <w:p w14:paraId="284DA727" w14:textId="77777777" w:rsidR="0011262F" w:rsidRPr="00912F40" w:rsidRDefault="0011262F" w:rsidP="00B54007">
                  <w:pPr>
                    <w:pStyle w:val="TableBodyText"/>
                  </w:pPr>
                  <w:r>
                    <w:t>27.5</w:t>
                  </w:r>
                </w:p>
              </w:tc>
            </w:tr>
            <w:tr w:rsidR="0011262F" w14:paraId="1DF6CABE" w14:textId="77777777" w:rsidTr="00B54007">
              <w:tc>
                <w:tcPr>
                  <w:tcW w:w="3751" w:type="pct"/>
                  <w:gridSpan w:val="3"/>
                  <w:shd w:val="clear" w:color="auto" w:fill="F2F2F2" w:themeFill="background1" w:themeFillShade="F2"/>
                </w:tcPr>
                <w:p w14:paraId="45E0B16E" w14:textId="77777777" w:rsidR="0011262F" w:rsidRDefault="0011262F" w:rsidP="00B54007">
                  <w:pPr>
                    <w:pStyle w:val="TableUnitsRow"/>
                    <w:jc w:val="left"/>
                  </w:pPr>
                  <w:r w:rsidRPr="009C6F68">
                    <w:rPr>
                      <w:i/>
                    </w:rPr>
                    <w:t xml:space="preserve">As a </w:t>
                  </w:r>
                  <w:r>
                    <w:rPr>
                      <w:i/>
                    </w:rPr>
                    <w:t>share</w:t>
                  </w:r>
                  <w:r w:rsidRPr="009C6F68">
                    <w:rPr>
                      <w:i/>
                    </w:rPr>
                    <w:t xml:space="preserve"> of </w:t>
                  </w:r>
                  <w:r>
                    <w:rPr>
                      <w:i/>
                    </w:rPr>
                    <w:t xml:space="preserve">funds reporting </w:t>
                  </w:r>
                  <w:r w:rsidRPr="009C6F68">
                    <w:rPr>
                      <w:i/>
                    </w:rPr>
                    <w:t>zero investment expense</w:t>
                  </w:r>
                  <w:r>
                    <w:rPr>
                      <w:i/>
                    </w:rPr>
                    <w:t>s</w:t>
                  </w:r>
                </w:p>
              </w:tc>
              <w:tc>
                <w:tcPr>
                  <w:tcW w:w="1249" w:type="pct"/>
                  <w:shd w:val="clear" w:color="auto" w:fill="F2F2F2" w:themeFill="background1" w:themeFillShade="F2"/>
                </w:tcPr>
                <w:p w14:paraId="58039EFA" w14:textId="77777777" w:rsidR="0011262F" w:rsidRDefault="0011262F" w:rsidP="00B54007">
                  <w:pPr>
                    <w:pStyle w:val="TableUnitsRow"/>
                  </w:pPr>
                </w:p>
              </w:tc>
            </w:tr>
            <w:tr w:rsidR="0011262F" w14:paraId="23D33664" w14:textId="77777777" w:rsidTr="00B54007">
              <w:tc>
                <w:tcPr>
                  <w:tcW w:w="1251" w:type="pct"/>
                </w:tcPr>
                <w:p w14:paraId="1FCCA069" w14:textId="77777777" w:rsidR="0011262F" w:rsidRDefault="0011262F" w:rsidP="00B54007">
                  <w:pPr>
                    <w:pStyle w:val="TableBodyText"/>
                    <w:jc w:val="left"/>
                  </w:pPr>
                  <w:r>
                    <w:t>Corporate</w:t>
                  </w:r>
                </w:p>
              </w:tc>
              <w:tc>
                <w:tcPr>
                  <w:tcW w:w="1250" w:type="pct"/>
                </w:tcPr>
                <w:p w14:paraId="08329744" w14:textId="77777777" w:rsidR="0011262F" w:rsidRDefault="0011262F" w:rsidP="00B54007">
                  <w:pPr>
                    <w:pStyle w:val="TableBodyText"/>
                  </w:pPr>
                  <w:r>
                    <w:t>48.5</w:t>
                  </w:r>
                </w:p>
              </w:tc>
              <w:tc>
                <w:tcPr>
                  <w:tcW w:w="1250" w:type="pct"/>
                </w:tcPr>
                <w:p w14:paraId="17E1CB3F" w14:textId="77777777" w:rsidR="0011262F" w:rsidRDefault="0011262F" w:rsidP="00B54007">
                  <w:pPr>
                    <w:pStyle w:val="TableBodyText"/>
                  </w:pPr>
                  <w:r>
                    <w:t>18.5</w:t>
                  </w:r>
                </w:p>
              </w:tc>
              <w:tc>
                <w:tcPr>
                  <w:tcW w:w="1249" w:type="pct"/>
                </w:tcPr>
                <w:p w14:paraId="4C3EE490" w14:textId="77777777" w:rsidR="0011262F" w:rsidRDefault="0011262F" w:rsidP="00B54007">
                  <w:pPr>
                    <w:pStyle w:val="TableBodyText"/>
                  </w:pPr>
                  <w:r>
                    <w:t>10.9</w:t>
                  </w:r>
                </w:p>
              </w:tc>
            </w:tr>
            <w:tr w:rsidR="0011262F" w14:paraId="2352AEAC" w14:textId="77777777" w:rsidTr="00B54007">
              <w:tc>
                <w:tcPr>
                  <w:tcW w:w="1251" w:type="pct"/>
                </w:tcPr>
                <w:p w14:paraId="78DA5824" w14:textId="77777777" w:rsidR="0011262F" w:rsidRDefault="0011262F" w:rsidP="00B54007">
                  <w:pPr>
                    <w:pStyle w:val="TableBodyText"/>
                    <w:jc w:val="left"/>
                  </w:pPr>
                  <w:r>
                    <w:t>Industry</w:t>
                  </w:r>
                </w:p>
              </w:tc>
              <w:tc>
                <w:tcPr>
                  <w:tcW w:w="1250" w:type="pct"/>
                </w:tcPr>
                <w:p w14:paraId="6B7457A9" w14:textId="77777777" w:rsidR="0011262F" w:rsidRDefault="0011262F" w:rsidP="00B54007">
                  <w:pPr>
                    <w:pStyle w:val="TableBodyText"/>
                  </w:pPr>
                  <w:r>
                    <w:t>0.6</w:t>
                  </w:r>
                </w:p>
              </w:tc>
              <w:tc>
                <w:tcPr>
                  <w:tcW w:w="1250" w:type="pct"/>
                </w:tcPr>
                <w:p w14:paraId="6953CE86" w14:textId="77777777" w:rsidR="0011262F" w:rsidRDefault="0011262F" w:rsidP="00B54007">
                  <w:pPr>
                    <w:pStyle w:val="TableBodyText"/>
                  </w:pPr>
                  <w:r>
                    <w:t>1.9</w:t>
                  </w:r>
                </w:p>
              </w:tc>
              <w:tc>
                <w:tcPr>
                  <w:tcW w:w="1249" w:type="pct"/>
                </w:tcPr>
                <w:p w14:paraId="4F26ECAE" w14:textId="77777777" w:rsidR="0011262F" w:rsidRDefault="0011262F" w:rsidP="00B54007">
                  <w:pPr>
                    <w:pStyle w:val="TableBodyText"/>
                  </w:pPr>
                  <w:r>
                    <w:t>3.6</w:t>
                  </w:r>
                </w:p>
              </w:tc>
            </w:tr>
            <w:tr w:rsidR="0011262F" w14:paraId="2ED39C06" w14:textId="77777777" w:rsidTr="00B54007">
              <w:tc>
                <w:tcPr>
                  <w:tcW w:w="1251" w:type="pct"/>
                  <w:shd w:val="clear" w:color="auto" w:fill="auto"/>
                </w:tcPr>
                <w:p w14:paraId="3603BFB2" w14:textId="77777777" w:rsidR="0011262F" w:rsidRDefault="0011262F" w:rsidP="00B54007">
                  <w:pPr>
                    <w:pStyle w:val="TableBodyText"/>
                    <w:jc w:val="left"/>
                  </w:pPr>
                  <w:r>
                    <w:t>Public sector</w:t>
                  </w:r>
                </w:p>
              </w:tc>
              <w:tc>
                <w:tcPr>
                  <w:tcW w:w="1250" w:type="pct"/>
                </w:tcPr>
                <w:p w14:paraId="48DDE6E1" w14:textId="77777777" w:rsidR="0011262F" w:rsidRDefault="0011262F" w:rsidP="00B54007">
                  <w:pPr>
                    <w:pStyle w:val="TableBodyText"/>
                  </w:pPr>
                  <w:r>
                    <w:t>0.0</w:t>
                  </w:r>
                </w:p>
              </w:tc>
              <w:tc>
                <w:tcPr>
                  <w:tcW w:w="1250" w:type="pct"/>
                  <w:shd w:val="clear" w:color="auto" w:fill="auto"/>
                </w:tcPr>
                <w:p w14:paraId="03EF3011" w14:textId="77777777" w:rsidR="0011262F" w:rsidRDefault="0011262F" w:rsidP="00B54007">
                  <w:pPr>
                    <w:pStyle w:val="TableBodyText"/>
                  </w:pPr>
                  <w:r>
                    <w:t>3.7</w:t>
                  </w:r>
                </w:p>
              </w:tc>
              <w:tc>
                <w:tcPr>
                  <w:tcW w:w="1249" w:type="pct"/>
                  <w:shd w:val="clear" w:color="auto" w:fill="auto"/>
                </w:tcPr>
                <w:p w14:paraId="0A13A5FD" w14:textId="77777777" w:rsidR="0011262F" w:rsidRDefault="0011262F" w:rsidP="00B54007">
                  <w:pPr>
                    <w:pStyle w:val="TableBodyText"/>
                  </w:pPr>
                  <w:r>
                    <w:t>9.1</w:t>
                  </w:r>
                </w:p>
              </w:tc>
            </w:tr>
            <w:tr w:rsidR="0011262F" w14:paraId="76C50BA0" w14:textId="77777777" w:rsidTr="00B54007">
              <w:tc>
                <w:tcPr>
                  <w:tcW w:w="1251" w:type="pct"/>
                  <w:tcBorders>
                    <w:bottom w:val="single" w:sz="4" w:space="0" w:color="BFBFBF"/>
                  </w:tcBorders>
                  <w:shd w:val="clear" w:color="auto" w:fill="auto"/>
                </w:tcPr>
                <w:p w14:paraId="0715661A" w14:textId="77777777" w:rsidR="0011262F" w:rsidRDefault="0011262F" w:rsidP="00B54007">
                  <w:pPr>
                    <w:pStyle w:val="TableBodyText"/>
                    <w:jc w:val="left"/>
                  </w:pPr>
                  <w:r>
                    <w:t>Retail</w:t>
                  </w:r>
                </w:p>
              </w:tc>
              <w:tc>
                <w:tcPr>
                  <w:tcW w:w="1250" w:type="pct"/>
                  <w:tcBorders>
                    <w:bottom w:val="single" w:sz="4" w:space="0" w:color="BFBFBF"/>
                  </w:tcBorders>
                </w:tcPr>
                <w:p w14:paraId="5AFAB7B4" w14:textId="77777777" w:rsidR="0011262F" w:rsidRDefault="0011262F" w:rsidP="00B54007">
                  <w:pPr>
                    <w:pStyle w:val="TableBodyText"/>
                  </w:pPr>
                  <w:r>
                    <w:t>50.9</w:t>
                  </w:r>
                </w:p>
              </w:tc>
              <w:tc>
                <w:tcPr>
                  <w:tcW w:w="1250" w:type="pct"/>
                  <w:tcBorders>
                    <w:bottom w:val="single" w:sz="4" w:space="0" w:color="BFBFBF"/>
                  </w:tcBorders>
                  <w:shd w:val="clear" w:color="auto" w:fill="auto"/>
                </w:tcPr>
                <w:p w14:paraId="5F666070" w14:textId="77777777" w:rsidR="0011262F" w:rsidRDefault="0011262F" w:rsidP="00B54007">
                  <w:pPr>
                    <w:pStyle w:val="TableBodyText"/>
                  </w:pPr>
                  <w:r>
                    <w:t>75.9</w:t>
                  </w:r>
                </w:p>
              </w:tc>
              <w:tc>
                <w:tcPr>
                  <w:tcW w:w="1249" w:type="pct"/>
                  <w:tcBorders>
                    <w:bottom w:val="single" w:sz="4" w:space="0" w:color="BFBFBF"/>
                  </w:tcBorders>
                  <w:shd w:val="clear" w:color="auto" w:fill="auto"/>
                </w:tcPr>
                <w:p w14:paraId="758E7FAD" w14:textId="77777777" w:rsidR="0011262F" w:rsidRDefault="0011262F" w:rsidP="00B54007">
                  <w:pPr>
                    <w:pStyle w:val="TableBodyText"/>
                  </w:pPr>
                  <w:r>
                    <w:t>76.4</w:t>
                  </w:r>
                </w:p>
              </w:tc>
            </w:tr>
          </w:tbl>
          <w:p w14:paraId="005BFC07" w14:textId="77777777" w:rsidR="0011262F" w:rsidRDefault="0011262F" w:rsidP="00B54007">
            <w:pPr>
              <w:pStyle w:val="Box"/>
            </w:pPr>
          </w:p>
        </w:tc>
      </w:tr>
      <w:tr w:rsidR="0011262F" w:rsidRPr="00176D3F" w14:paraId="080079D2" w14:textId="77777777" w:rsidTr="00B54007">
        <w:tblPrEx>
          <w:tblBorders>
            <w:top w:val="single" w:sz="6" w:space="0" w:color="78A22F"/>
            <w:left w:val="single" w:sz="6" w:space="0" w:color="78A22F"/>
            <w:bottom w:val="single" w:sz="6" w:space="0" w:color="78A22F"/>
            <w:right w:val="single" w:sz="6" w:space="0" w:color="78A22F"/>
          </w:tblBorders>
        </w:tblPrEx>
        <w:tc>
          <w:tcPr>
            <w:tcW w:w="5000" w:type="pct"/>
            <w:tcBorders>
              <w:top w:val="nil"/>
              <w:left w:val="nil"/>
              <w:bottom w:val="nil"/>
              <w:right w:val="nil"/>
            </w:tcBorders>
            <w:shd w:val="clear" w:color="auto" w:fill="auto"/>
          </w:tcPr>
          <w:p w14:paraId="30B417C4" w14:textId="77777777" w:rsidR="0011262F" w:rsidRPr="00176D3F" w:rsidRDefault="0011262F" w:rsidP="00B54007">
            <w:pPr>
              <w:pStyle w:val="Source"/>
            </w:pPr>
            <w:r>
              <w:rPr>
                <w:i/>
              </w:rPr>
              <w:t>S</w:t>
            </w:r>
            <w:r w:rsidRPr="00784A05">
              <w:rPr>
                <w:i/>
              </w:rPr>
              <w:t>ource</w:t>
            </w:r>
            <w:r w:rsidRPr="00176D3F">
              <w:t xml:space="preserve">: </w:t>
            </w:r>
            <w:r>
              <w:rPr>
                <w:rFonts w:eastAsia="+mn-ea"/>
                <w:color w:val="000000"/>
                <w:spacing w:val="-2"/>
              </w:rPr>
              <w:t>PC analysis of unpublished APRA data</w:t>
            </w:r>
            <w:r w:rsidRPr="00C378DA">
              <w:rPr>
                <w:color w:val="000000"/>
                <w:spacing w:val="-2"/>
              </w:rPr>
              <w:t>.</w:t>
            </w:r>
          </w:p>
        </w:tc>
      </w:tr>
      <w:tr w:rsidR="0011262F" w14:paraId="728522C7" w14:textId="77777777" w:rsidTr="00B54007">
        <w:tc>
          <w:tcPr>
            <w:tcW w:w="5000" w:type="pct"/>
            <w:tcBorders>
              <w:top w:val="nil"/>
              <w:left w:val="nil"/>
              <w:bottom w:val="single" w:sz="6" w:space="0" w:color="78A22F"/>
              <w:right w:val="nil"/>
            </w:tcBorders>
            <w:shd w:val="clear" w:color="auto" w:fill="auto"/>
          </w:tcPr>
          <w:p w14:paraId="154E28EF" w14:textId="77777777" w:rsidR="0011262F" w:rsidRDefault="0011262F" w:rsidP="00B54007">
            <w:pPr>
              <w:pStyle w:val="Box"/>
              <w:spacing w:before="0" w:line="120" w:lineRule="exact"/>
            </w:pPr>
          </w:p>
        </w:tc>
      </w:tr>
      <w:tr w:rsidR="0011262F" w:rsidRPr="000863A5" w14:paraId="635725AE" w14:textId="77777777" w:rsidTr="00B54007">
        <w:tc>
          <w:tcPr>
            <w:tcW w:w="5000" w:type="pct"/>
            <w:tcBorders>
              <w:top w:val="single" w:sz="6" w:space="0" w:color="78A22F"/>
              <w:left w:val="nil"/>
              <w:bottom w:val="nil"/>
              <w:right w:val="nil"/>
            </w:tcBorders>
          </w:tcPr>
          <w:p w14:paraId="789410D8" w14:textId="77777777" w:rsidR="0011262F" w:rsidRPr="00626D32" w:rsidRDefault="0011262F" w:rsidP="00B54007">
            <w:pPr>
              <w:pStyle w:val="BoxSpaceBelow"/>
            </w:pPr>
          </w:p>
        </w:tc>
      </w:tr>
    </w:tbl>
    <w:p w14:paraId="214D5DC1" w14:textId="77777777" w:rsidR="0011262F" w:rsidRDefault="0011262F" w:rsidP="0011262F">
      <w:pPr>
        <w:pStyle w:val="BodyText"/>
      </w:pPr>
      <w:r>
        <w:t>In contrast to investment expenses, no more than 3 per cent of funds in any year report zero administration expenses. Rather than drop these funds from the analysis, and lose all of the information they bring to the analysis, their administration expenses were imputed.</w:t>
      </w:r>
      <w:r>
        <w:rPr>
          <w:rStyle w:val="FootnoteReference"/>
        </w:rPr>
        <w:footnoteReference w:id="8"/>
      </w:r>
    </w:p>
    <w:p w14:paraId="30126AEA" w14:textId="77777777" w:rsidR="0011262F" w:rsidRPr="00FB6015" w:rsidRDefault="0011262F" w:rsidP="0011262F">
      <w:pPr>
        <w:pStyle w:val="BodyText"/>
        <w:rPr>
          <w:spacing w:val="-4"/>
        </w:rPr>
      </w:pPr>
      <w:r w:rsidRPr="00FB6015">
        <w:rPr>
          <w:spacing w:val="-4"/>
        </w:rPr>
        <w:t>Inspection of other variables revealed no other major missing data issues, with the exception of the number of investment options, where inexplicably nearly one quarter of fund–year observations were missing. These data were also imputed. Participants have also pointed to significant underreporting of both administration and investment expenses (Industry Super Australia, sub. 59; APRA, sub. 89). Commission estimates suggest that about $11 billion (or 50 per cent) of fee revenue is not reported in APRA data, with expenses data likely to be similarly underreported. Indirect investment costs likely account for a significant proportion of any underreporting. This issue is noted, but it has not been addressed in the reported results.</w:t>
      </w:r>
      <w:r w:rsidRPr="00FB6015">
        <w:rPr>
          <w:rStyle w:val="FootnoteReference"/>
          <w:spacing w:val="-4"/>
        </w:rPr>
        <w:footnoteReference w:id="9"/>
      </w:r>
    </w:p>
    <w:p w14:paraId="4D9C5685" w14:textId="77777777" w:rsidR="0011262F" w:rsidRDefault="0011262F" w:rsidP="0011262F">
      <w:pPr>
        <w:pStyle w:val="Heading3"/>
      </w:pPr>
      <w:r>
        <w:t>And survivorship bias has to be taken into account</w:t>
      </w:r>
    </w:p>
    <w:p w14:paraId="01AFF90C" w14:textId="77777777" w:rsidR="0011262F" w:rsidRDefault="0011262F" w:rsidP="0011262F">
      <w:pPr>
        <w:pStyle w:val="BodyText"/>
      </w:pPr>
      <w:r>
        <w:t>Substantial consolidation occurred in the superannuation industry over the decade to 2015</w:t>
      </w:r>
      <w:r>
        <w:noBreakHyphen/>
        <w:t>16 (table 8.2). Smaller, higher</w:t>
      </w:r>
      <w:r>
        <w:noBreakHyphen/>
        <w:t>cost funds were over</w:t>
      </w:r>
      <w:r>
        <w:noBreakHyphen/>
        <w:t>represented among those that exited during this period (figure 8.1) — illustrating the need to correct for survivorship bias in the analysis of the relationship between costs and scale.</w:t>
      </w:r>
    </w:p>
    <w:p w14:paraId="56F1F4D6" w14:textId="77777777" w:rsidR="0011262F" w:rsidRDefault="0011262F" w:rsidP="0011262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1262F" w14:paraId="6802AC13" w14:textId="77777777" w:rsidTr="00B54007">
        <w:trPr>
          <w:tblHeader/>
        </w:trPr>
        <w:tc>
          <w:tcPr>
            <w:tcW w:w="5000" w:type="pct"/>
            <w:tcBorders>
              <w:top w:val="single" w:sz="6" w:space="0" w:color="78A22F"/>
              <w:left w:val="nil"/>
              <w:bottom w:val="nil"/>
              <w:right w:val="nil"/>
            </w:tcBorders>
            <w:shd w:val="clear" w:color="auto" w:fill="auto"/>
          </w:tcPr>
          <w:p w14:paraId="1B4A876B" w14:textId="77777777" w:rsidR="0011262F" w:rsidRDefault="0011262F" w:rsidP="00B54007">
            <w:pPr>
              <w:pStyle w:val="FigureTitle"/>
              <w:rPr>
                <w:rStyle w:val="NoteLabel"/>
                <w:b/>
              </w:rPr>
            </w:pPr>
            <w:r w:rsidRPr="00784A05">
              <w:rPr>
                <w:b w:val="0"/>
              </w:rPr>
              <w:t xml:space="preserve">Figure </w:t>
            </w:r>
            <w:bookmarkStart w:id="16" w:name="OLE_LINK36"/>
            <w:r>
              <w:rPr>
                <w:b w:val="0"/>
              </w:rPr>
              <w:t>8.</w:t>
            </w:r>
            <w:r>
              <w:rPr>
                <w:b w:val="0"/>
                <w:noProof/>
              </w:rPr>
              <w:t>1</w:t>
            </w:r>
            <w:bookmarkEnd w:id="16"/>
            <w:r>
              <w:tab/>
              <w:t>Smaller, higher</w:t>
            </w:r>
            <w:r>
              <w:noBreakHyphen/>
              <w:t>cost funds are over</w:t>
            </w:r>
            <w:r>
              <w:noBreakHyphen/>
              <w:t>represented in exits</w:t>
            </w:r>
            <w:proofErr w:type="spellStart"/>
            <w:r w:rsidRPr="004F2408">
              <w:rPr>
                <w:rStyle w:val="NoteLabel"/>
              </w:rPr>
              <w:t>a</w:t>
            </w:r>
            <w:r>
              <w:rPr>
                <w:rStyle w:val="NoteLabel"/>
              </w:rPr>
              <w:t>,b,c</w:t>
            </w:r>
            <w:proofErr w:type="spellEnd"/>
          </w:p>
          <w:p w14:paraId="1539DDE7" w14:textId="77777777" w:rsidR="0011262F" w:rsidRPr="00674AA0" w:rsidRDefault="0011262F" w:rsidP="00B54007">
            <w:pPr>
              <w:pStyle w:val="Subtitle"/>
            </w:pPr>
            <w:r>
              <w:t xml:space="preserve">Exits between June 2006 and June </w:t>
            </w:r>
            <w:r w:rsidDel="001123D6">
              <w:t>20</w:t>
            </w:r>
            <w:r>
              <w:t>16 by size and average expenses</w:t>
            </w:r>
          </w:p>
        </w:tc>
      </w:tr>
      <w:tr w:rsidR="0011262F" w14:paraId="3F3DE9D9" w14:textId="77777777" w:rsidTr="00B5400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1262F" w:rsidRPr="00B1465D" w14:paraId="03680790" w14:textId="77777777" w:rsidTr="00B54007">
              <w:trPr>
                <w:tblHeader/>
                <w:jc w:val="center"/>
              </w:trPr>
              <w:tc>
                <w:tcPr>
                  <w:tcW w:w="5000" w:type="pct"/>
                  <w:tcBorders>
                    <w:top w:val="nil"/>
                    <w:bottom w:val="nil"/>
                  </w:tcBorders>
                </w:tcPr>
                <w:p w14:paraId="499047D8" w14:textId="77777777" w:rsidR="0011262F" w:rsidRDefault="0011262F" w:rsidP="00B54007">
                  <w:pPr>
                    <w:pStyle w:val="Figure"/>
                    <w:spacing w:before="60" w:after="60"/>
                    <w:rPr>
                      <w:rFonts w:ascii="Arial" w:hAnsi="Arial" w:cs="Arial"/>
                      <w:sz w:val="18"/>
                      <w:szCs w:val="18"/>
                    </w:rPr>
                  </w:pPr>
                  <w:r w:rsidRPr="00644241">
                    <w:rPr>
                      <w:noProof/>
                    </w:rPr>
                    <w:drawing>
                      <wp:inline distT="0" distB="0" distL="0" distR="0" wp14:anchorId="7BD89E7C" wp14:editId="4044FED9">
                        <wp:extent cx="5181600" cy="2865120"/>
                        <wp:effectExtent l="0" t="0" r="0" b="0"/>
                        <wp:docPr id="52" name="Picture 52" descr="The first bar graph shows the fund size quartile which exiting funds came from, showing that exiting funds tend to come from the bottom quartile. The second bar graph shows the average expenses of funds in each quartile, showing that exiting funds from the bottom quartile tend to have very high average expenses." title="Smaller, higher-cost funds are over-represented in ex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81600" cy="2865120"/>
                                </a:xfrm>
                                <a:prstGeom prst="rect">
                                  <a:avLst/>
                                </a:prstGeom>
                                <a:noFill/>
                                <a:ln>
                                  <a:noFill/>
                                </a:ln>
                              </pic:spPr>
                            </pic:pic>
                          </a:graphicData>
                        </a:graphic>
                      </wp:inline>
                    </w:drawing>
                  </w:r>
                </w:p>
                <w:tbl>
                  <w:tblPr>
                    <w:tblW w:w="0" w:type="auto"/>
                    <w:tblLook w:val="04A0" w:firstRow="1" w:lastRow="0" w:firstColumn="1" w:lastColumn="0" w:noHBand="0" w:noVBand="1"/>
                  </w:tblPr>
                  <w:tblGrid>
                    <w:gridCol w:w="1559"/>
                    <w:gridCol w:w="6935"/>
                  </w:tblGrid>
                  <w:tr w:rsidR="0011262F" w14:paraId="29F9893D" w14:textId="77777777" w:rsidTr="00B54007">
                    <w:trPr>
                      <w:tblHeader/>
                    </w:trPr>
                    <w:tc>
                      <w:tcPr>
                        <w:tcW w:w="1559" w:type="dxa"/>
                        <w:shd w:val="clear" w:color="auto" w:fill="F2F2F2" w:themeFill="background1" w:themeFillShade="F2"/>
                      </w:tcPr>
                      <w:p w14:paraId="3F20F55F" w14:textId="77777777" w:rsidR="0011262F" w:rsidRDefault="0011262F" w:rsidP="00B54007">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935" w:type="dxa"/>
                        <w:shd w:val="clear" w:color="auto" w:fill="F2F2F2" w:themeFill="background1" w:themeFillShade="F2"/>
                      </w:tcPr>
                      <w:p w14:paraId="6E72176C" w14:textId="77777777" w:rsidR="0011262F" w:rsidRDefault="0011262F" w:rsidP="00B54007">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PC analysis of unpublished APRA data (</w:t>
                        </w:r>
                        <w:r w:rsidRPr="00861568">
                          <w:rPr>
                            <w:rFonts w:ascii="Arial" w:eastAsia="+mn-ea" w:hAnsi="Arial" w:cs="Arial"/>
                            <w:color w:val="000000" w:themeColor="text1"/>
                            <w:kern w:val="24"/>
                            <w:sz w:val="18"/>
                            <w:szCs w:val="18"/>
                          </w:rPr>
                          <w:t>20</w:t>
                        </w:r>
                        <w:r>
                          <w:rPr>
                            <w:rFonts w:ascii="Arial" w:eastAsia="+mn-ea" w:hAnsi="Arial" w:cs="Arial"/>
                            <w:color w:val="000000" w:themeColor="text1"/>
                            <w:kern w:val="24"/>
                            <w:sz w:val="18"/>
                            <w:szCs w:val="18"/>
                          </w:rPr>
                          <w:t>06–</w:t>
                        </w:r>
                        <w:r w:rsidRPr="00861568">
                          <w:rPr>
                            <w:rFonts w:ascii="Arial" w:eastAsia="+mn-ea" w:hAnsi="Arial" w:cs="Arial"/>
                            <w:color w:val="000000" w:themeColor="text1"/>
                            <w:kern w:val="24"/>
                            <w:sz w:val="18"/>
                            <w:szCs w:val="18"/>
                          </w:rPr>
                          <w:t>201</w:t>
                        </w:r>
                        <w:r>
                          <w:rPr>
                            <w:rFonts w:ascii="Arial" w:eastAsia="+mn-ea" w:hAnsi="Arial" w:cs="Arial"/>
                            <w:color w:val="000000" w:themeColor="text1"/>
                            <w:kern w:val="24"/>
                            <w:sz w:val="18"/>
                            <w:szCs w:val="18"/>
                          </w:rPr>
                          <w:t>6).</w:t>
                        </w:r>
                      </w:p>
                    </w:tc>
                  </w:tr>
                  <w:tr w:rsidR="0011262F" w:rsidRPr="001F53B0" w14:paraId="3005D66F" w14:textId="77777777" w:rsidTr="00B54007">
                    <w:tc>
                      <w:tcPr>
                        <w:tcW w:w="1559" w:type="dxa"/>
                        <w:shd w:val="clear" w:color="auto" w:fill="F2F2F2" w:themeFill="background1" w:themeFillShade="F2"/>
                      </w:tcPr>
                      <w:p w14:paraId="6512BE80" w14:textId="77777777" w:rsidR="0011262F" w:rsidRDefault="0011262F" w:rsidP="00B54007">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shd w:val="clear" w:color="auto" w:fill="F2F2F2" w:themeFill="background1" w:themeFillShade="F2"/>
                      </w:tcPr>
                      <w:p w14:paraId="1B23306F" w14:textId="77777777" w:rsidR="0011262F" w:rsidRPr="00AF556C" w:rsidRDefault="0011262F" w:rsidP="00B54007">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 xml:space="preserve">513 </w:t>
                        </w:r>
                        <w:r w:rsidRPr="00A95597">
                          <w:rPr>
                            <w:rFonts w:ascii="Arial" w:eastAsia="+mn-ea" w:hAnsi="Arial" w:cs="Arial"/>
                            <w:color w:val="000000" w:themeColor="text1"/>
                            <w:kern w:val="24"/>
                            <w:sz w:val="18"/>
                            <w:szCs w:val="18"/>
                          </w:rPr>
                          <w:t>funds</w:t>
                        </w:r>
                        <w:r>
                          <w:rPr>
                            <w:rFonts w:ascii="Arial" w:eastAsia="+mn-ea" w:hAnsi="Arial" w:cs="Arial"/>
                            <w:color w:val="000000" w:themeColor="text1"/>
                            <w:kern w:val="24"/>
                            <w:sz w:val="18"/>
                            <w:szCs w:val="18"/>
                          </w:rPr>
                          <w:t xml:space="preserve"> representing </w:t>
                        </w:r>
                        <w:r w:rsidRPr="00262154">
                          <w:rPr>
                            <w:rFonts w:ascii="Arial" w:eastAsia="+mn-ea" w:hAnsi="Arial" w:cs="Arial"/>
                            <w:color w:val="000000" w:themeColor="text1"/>
                            <w:kern w:val="24"/>
                            <w:sz w:val="18"/>
                            <w:szCs w:val="18"/>
                          </w:rPr>
                          <w:t>88 per cent</w:t>
                        </w:r>
                        <w:r>
                          <w:rPr>
                            <w:rFonts w:ascii="Arial" w:eastAsia="+mn-ea" w:hAnsi="Arial" w:cs="Arial"/>
                            <w:color w:val="000000" w:themeColor="text1"/>
                            <w:kern w:val="24"/>
                            <w:sz w:val="18"/>
                            <w:szCs w:val="18"/>
                          </w:rPr>
                          <w:t xml:space="preserve"> of the system by assets in 2005</w:t>
                        </w:r>
                        <w:r>
                          <w:rPr>
                            <w:rFonts w:ascii="Arial" w:eastAsia="+mn-ea" w:hAnsi="Arial" w:cs="Arial"/>
                            <w:color w:val="000000" w:themeColor="text1"/>
                            <w:kern w:val="24"/>
                            <w:sz w:val="18"/>
                            <w:szCs w:val="18"/>
                          </w:rPr>
                          <w:noBreakHyphen/>
                          <w:t xml:space="preserve">06. The denominator is the sum of assets for all large APRA-regulated funds. </w:t>
                        </w:r>
                      </w:p>
                    </w:tc>
                  </w:tr>
                </w:tbl>
                <w:p w14:paraId="6B003E6F" w14:textId="77777777" w:rsidR="0011262F" w:rsidRPr="00B1465D" w:rsidRDefault="0011262F" w:rsidP="00B54007">
                  <w:pPr>
                    <w:pStyle w:val="Figure"/>
                    <w:spacing w:before="60" w:after="60"/>
                    <w:rPr>
                      <w:rFonts w:ascii="Arial" w:hAnsi="Arial" w:cs="Arial"/>
                      <w:sz w:val="18"/>
                      <w:szCs w:val="18"/>
                    </w:rPr>
                  </w:pPr>
                </w:p>
              </w:tc>
            </w:tr>
          </w:tbl>
          <w:p w14:paraId="48F6CDB1" w14:textId="77777777" w:rsidR="0011262F" w:rsidRDefault="0011262F" w:rsidP="00B54007">
            <w:pPr>
              <w:pStyle w:val="Figure"/>
            </w:pPr>
          </w:p>
        </w:tc>
      </w:tr>
      <w:tr w:rsidR="0011262F" w:rsidRPr="00176D3F" w14:paraId="6BE5DBC1" w14:textId="77777777" w:rsidTr="00B54007">
        <w:tc>
          <w:tcPr>
            <w:tcW w:w="5000" w:type="pct"/>
            <w:tcBorders>
              <w:top w:val="nil"/>
              <w:left w:val="nil"/>
              <w:bottom w:val="nil"/>
              <w:right w:val="nil"/>
            </w:tcBorders>
            <w:shd w:val="clear" w:color="auto" w:fill="auto"/>
          </w:tcPr>
          <w:p w14:paraId="45410EE9" w14:textId="77777777" w:rsidR="0011262F" w:rsidRPr="00176D3F" w:rsidRDefault="0011262F" w:rsidP="00B54007">
            <w:pPr>
              <w:pStyle w:val="Note"/>
            </w:pPr>
            <w:r>
              <w:rPr>
                <w:rStyle w:val="NoteLabel"/>
              </w:rPr>
              <w:t>a</w:t>
            </w:r>
            <w:r>
              <w:t xml:space="preserve"> </w:t>
            </w:r>
            <w:proofErr w:type="spellStart"/>
            <w:r>
              <w:t>A</w:t>
            </w:r>
            <w:proofErr w:type="spellEnd"/>
            <w:r>
              <w:t xml:space="preserve"> fund is considered to have exited if it left the market in or prior to 2015</w:t>
            </w:r>
            <w:r>
              <w:noBreakHyphen/>
              <w:t xml:space="preserve">16. </w:t>
            </w:r>
            <w:r>
              <w:rPr>
                <w:rStyle w:val="NoteLabel"/>
              </w:rPr>
              <w:t>b</w:t>
            </w:r>
            <w:r>
              <w:t xml:space="preserve"> Fund quartiles were computed using total assets in 2005</w:t>
            </w:r>
            <w:r>
              <w:noBreakHyphen/>
              <w:t xml:space="preserve">06. </w:t>
            </w:r>
            <w:r>
              <w:rPr>
                <w:rStyle w:val="NoteLabel"/>
              </w:rPr>
              <w:t>c</w:t>
            </w:r>
            <w:r>
              <w:t xml:space="preserve"> 2017 data are not included because fund exits are identified by the proceeding year’s data.</w:t>
            </w:r>
          </w:p>
        </w:tc>
      </w:tr>
      <w:tr w:rsidR="0011262F" w14:paraId="00CBAC74" w14:textId="77777777" w:rsidTr="00B54007">
        <w:tc>
          <w:tcPr>
            <w:tcW w:w="5000" w:type="pct"/>
            <w:tcBorders>
              <w:top w:val="nil"/>
              <w:left w:val="nil"/>
              <w:bottom w:val="single" w:sz="6" w:space="0" w:color="78A22F"/>
              <w:right w:val="nil"/>
            </w:tcBorders>
            <w:shd w:val="clear" w:color="auto" w:fill="auto"/>
          </w:tcPr>
          <w:p w14:paraId="6C2C7685" w14:textId="77777777" w:rsidR="0011262F" w:rsidRDefault="0011262F" w:rsidP="00B54007">
            <w:pPr>
              <w:pStyle w:val="Figurespace"/>
            </w:pPr>
          </w:p>
        </w:tc>
      </w:tr>
      <w:tr w:rsidR="0011262F" w:rsidRPr="000863A5" w14:paraId="3E5B28F8" w14:textId="77777777" w:rsidTr="00B54007">
        <w:tc>
          <w:tcPr>
            <w:tcW w:w="5000" w:type="pct"/>
            <w:tcBorders>
              <w:top w:val="single" w:sz="6" w:space="0" w:color="78A22F"/>
              <w:left w:val="nil"/>
              <w:bottom w:val="nil"/>
              <w:right w:val="nil"/>
            </w:tcBorders>
          </w:tcPr>
          <w:p w14:paraId="20A3936B" w14:textId="77777777" w:rsidR="0011262F" w:rsidRPr="00626D32" w:rsidRDefault="0011262F" w:rsidP="00B54007">
            <w:pPr>
              <w:pStyle w:val="BoxSpaceBelow"/>
            </w:pPr>
          </w:p>
        </w:tc>
      </w:tr>
    </w:tbl>
    <w:p w14:paraId="4A3F80CE" w14:textId="77777777" w:rsidR="0011262F" w:rsidRDefault="0011262F" w:rsidP="0011262F">
      <w:pPr>
        <w:pStyle w:val="Heading3"/>
      </w:pPr>
      <w:r>
        <w:t>Economies of scale are present in the raw data</w:t>
      </w:r>
    </w:p>
    <w:p w14:paraId="013D44BE" w14:textId="77777777" w:rsidR="0011262F" w:rsidRPr="00170A0A" w:rsidDel="00E938E4" w:rsidRDefault="0011262F" w:rsidP="0011262F">
      <w:pPr>
        <w:pStyle w:val="BodyText"/>
        <w:rPr>
          <w:spacing w:val="-2"/>
        </w:rPr>
      </w:pPr>
      <w:r w:rsidRPr="00170A0A">
        <w:rPr>
          <w:spacing w:val="-2"/>
        </w:rPr>
        <w:t xml:space="preserve">Plotting the data shows — as would be expected — that larger funds record </w:t>
      </w:r>
      <w:r>
        <w:rPr>
          <w:spacing w:val="-2"/>
        </w:rPr>
        <w:t xml:space="preserve">a </w:t>
      </w:r>
      <w:r w:rsidRPr="00170A0A">
        <w:rPr>
          <w:spacing w:val="-2"/>
        </w:rPr>
        <w:t xml:space="preserve">higher </w:t>
      </w:r>
      <w:r>
        <w:rPr>
          <w:spacing w:val="-2"/>
        </w:rPr>
        <w:t xml:space="preserve">total quantum of </w:t>
      </w:r>
      <w:r w:rsidRPr="00170A0A">
        <w:rPr>
          <w:spacing w:val="-2"/>
        </w:rPr>
        <w:t>administration and investment</w:t>
      </w:r>
      <w:r>
        <w:rPr>
          <w:spacing w:val="-2"/>
        </w:rPr>
        <w:t xml:space="preserve"> expenses (as distinct from fees charged)</w:t>
      </w:r>
      <w:r w:rsidRPr="00170A0A">
        <w:rPr>
          <w:spacing w:val="-2"/>
        </w:rPr>
        <w:t xml:space="preserve"> (figure</w:t>
      </w:r>
      <w:r>
        <w:rPr>
          <w:spacing w:val="-2"/>
        </w:rPr>
        <w:t> 8.2</w:t>
      </w:r>
      <w:r w:rsidRPr="00170A0A">
        <w:rPr>
          <w:spacing w:val="-2"/>
        </w:rPr>
        <w:t>). The plots also reveal marked differences in the size–expenses relationship for funds in different segments. Retail funds, for example, typically have higher administration expenses than not</w:t>
      </w:r>
      <w:r w:rsidRPr="00170A0A">
        <w:rPr>
          <w:spacing w:val="-2"/>
        </w:rPr>
        <w:noBreakHyphen/>
        <w:t>for</w:t>
      </w:r>
      <w:r w:rsidRPr="00170A0A">
        <w:rPr>
          <w:spacing w:val="-2"/>
        </w:rPr>
        <w:noBreakHyphen/>
        <w:t xml:space="preserve">profit funds of similar size. Plots of </w:t>
      </w:r>
      <w:r w:rsidRPr="00170A0A">
        <w:rPr>
          <w:i/>
          <w:spacing w:val="-2"/>
        </w:rPr>
        <w:t>average expenses</w:t>
      </w:r>
      <w:r w:rsidRPr="00170A0A">
        <w:rPr>
          <w:spacing w:val="-2"/>
        </w:rPr>
        <w:t xml:space="preserve"> show clear evidence of economies of scale, with the exception of the investment expenses reported by industry funds (figure </w:t>
      </w:r>
      <w:r>
        <w:rPr>
          <w:spacing w:val="-2"/>
        </w:rPr>
        <w:t>8.3</w:t>
      </w:r>
      <w:r w:rsidRPr="00170A0A">
        <w:rPr>
          <w:spacing w:val="-2"/>
        </w:rPr>
        <w:t>).</w:t>
      </w:r>
    </w:p>
    <w:p w14:paraId="2682E1B3" w14:textId="77777777" w:rsidR="0011262F" w:rsidRDefault="0011262F" w:rsidP="0011262F">
      <w:pPr>
        <w:pStyle w:val="BodyText"/>
      </w:pPr>
    </w:p>
    <w:p w14:paraId="06195E1C" w14:textId="77777777" w:rsidR="0011262F" w:rsidRDefault="0011262F" w:rsidP="0011262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1262F" w14:paraId="12C70B52" w14:textId="77777777" w:rsidTr="00B54007">
        <w:trPr>
          <w:tblHeader/>
        </w:trPr>
        <w:tc>
          <w:tcPr>
            <w:tcW w:w="5000" w:type="pct"/>
            <w:tcBorders>
              <w:top w:val="single" w:sz="6" w:space="0" w:color="78A22F"/>
              <w:left w:val="nil"/>
              <w:bottom w:val="nil"/>
              <w:right w:val="nil"/>
            </w:tcBorders>
            <w:shd w:val="clear" w:color="auto" w:fill="auto"/>
          </w:tcPr>
          <w:p w14:paraId="163BFB21" w14:textId="77777777" w:rsidR="0011262F" w:rsidRPr="00170A0A" w:rsidRDefault="0011262F" w:rsidP="00B54007">
            <w:pPr>
              <w:pStyle w:val="FigureTitle"/>
              <w:rPr>
                <w:spacing w:val="-2"/>
              </w:rPr>
            </w:pPr>
            <w:r w:rsidRPr="00784A05">
              <w:rPr>
                <w:b w:val="0"/>
              </w:rPr>
              <w:t xml:space="preserve">Figure </w:t>
            </w:r>
            <w:bookmarkStart w:id="17" w:name="OLE_LINK11"/>
            <w:r>
              <w:rPr>
                <w:b w:val="0"/>
              </w:rPr>
              <w:t>8.</w:t>
            </w:r>
            <w:r>
              <w:rPr>
                <w:b w:val="0"/>
                <w:noProof/>
              </w:rPr>
              <w:t>2</w:t>
            </w:r>
            <w:bookmarkEnd w:id="17"/>
            <w:r>
              <w:tab/>
            </w:r>
            <w:r w:rsidRPr="00170A0A">
              <w:rPr>
                <w:spacing w:val="-2"/>
              </w:rPr>
              <w:t>Fund size–expenses relationships vary markedly by fund type</w:t>
            </w:r>
          </w:p>
          <w:p w14:paraId="161DDD7F" w14:textId="77777777" w:rsidR="0011262F" w:rsidRPr="00674AA0" w:rsidRDefault="0011262F" w:rsidP="00B54007">
            <w:pPr>
              <w:pStyle w:val="Subtitle"/>
            </w:pPr>
            <w:r>
              <w:t>Total administration and investment expenses by fund size, 2004–2016</w:t>
            </w:r>
          </w:p>
        </w:tc>
      </w:tr>
      <w:tr w:rsidR="0011262F" w14:paraId="314F3AFA" w14:textId="77777777" w:rsidTr="00B5400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1262F" w:rsidRPr="00B1465D" w14:paraId="26CB5153" w14:textId="77777777" w:rsidTr="00B54007">
              <w:trPr>
                <w:tblHeader/>
                <w:jc w:val="center"/>
              </w:trPr>
              <w:tc>
                <w:tcPr>
                  <w:tcW w:w="5000" w:type="pct"/>
                  <w:tcBorders>
                    <w:top w:val="nil"/>
                    <w:bottom w:val="nil"/>
                  </w:tcBorders>
                </w:tcPr>
                <w:p w14:paraId="790A1121" w14:textId="77777777" w:rsidR="0011262F" w:rsidRDefault="0011262F" w:rsidP="00B54007">
                  <w:pPr>
                    <w:pStyle w:val="Figure"/>
                    <w:spacing w:before="60" w:after="60"/>
                    <w:rPr>
                      <w:rFonts w:ascii="Arial" w:hAnsi="Arial" w:cs="Arial"/>
                      <w:sz w:val="18"/>
                      <w:szCs w:val="18"/>
                    </w:rPr>
                  </w:pPr>
                  <w:r w:rsidRPr="00FB04EE">
                    <w:rPr>
                      <w:rFonts w:ascii="Arial" w:hAnsi="Arial" w:cs="Arial"/>
                      <w:noProof/>
                      <w:sz w:val="18"/>
                      <w:szCs w:val="18"/>
                    </w:rPr>
                    <w:drawing>
                      <wp:inline distT="0" distB="0" distL="0" distR="0" wp14:anchorId="31F191CA" wp14:editId="1B72CCC0">
                        <wp:extent cx="4732020" cy="4960620"/>
                        <wp:effectExtent l="0" t="0" r="0" b="0"/>
                        <wp:docPr id="54" name="Picture 54" descr="This figure shows scatterplots of administration and investment expenses against total assets and number of member accounts, by fund type. While the relationship is upwards sloping, there are differences in the relationship between fund types; some are flatter and some are stee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2020" cy="4960620"/>
                                </a:xfrm>
                                <a:prstGeom prst="rect">
                                  <a:avLst/>
                                </a:prstGeom>
                                <a:noFill/>
                                <a:ln>
                                  <a:noFill/>
                                </a:ln>
                              </pic:spPr>
                            </pic:pic>
                          </a:graphicData>
                        </a:graphic>
                      </wp:inline>
                    </w:drawing>
                  </w:r>
                </w:p>
                <w:tbl>
                  <w:tblPr>
                    <w:tblW w:w="0" w:type="auto"/>
                    <w:tblLook w:val="04A0" w:firstRow="1" w:lastRow="0" w:firstColumn="1" w:lastColumn="0" w:noHBand="0" w:noVBand="1"/>
                  </w:tblPr>
                  <w:tblGrid>
                    <w:gridCol w:w="1559"/>
                    <w:gridCol w:w="6935"/>
                  </w:tblGrid>
                  <w:tr w:rsidR="0011262F" w14:paraId="7309D934" w14:textId="77777777" w:rsidTr="00B54007">
                    <w:trPr>
                      <w:tblHeader/>
                    </w:trPr>
                    <w:tc>
                      <w:tcPr>
                        <w:tcW w:w="1559" w:type="dxa"/>
                        <w:shd w:val="clear" w:color="auto" w:fill="F2F2F2" w:themeFill="background1" w:themeFillShade="F2"/>
                      </w:tcPr>
                      <w:p w14:paraId="12401A5C" w14:textId="77777777" w:rsidR="0011262F" w:rsidRDefault="0011262F" w:rsidP="00B54007">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935" w:type="dxa"/>
                        <w:shd w:val="clear" w:color="auto" w:fill="F2F2F2" w:themeFill="background1" w:themeFillShade="F2"/>
                      </w:tcPr>
                      <w:p w14:paraId="404004ED" w14:textId="77777777" w:rsidR="0011262F" w:rsidRDefault="0011262F" w:rsidP="00B54007">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PC analysis of unpublished APRA data (</w:t>
                        </w:r>
                        <w:r w:rsidRPr="00861568">
                          <w:rPr>
                            <w:rFonts w:ascii="Arial" w:eastAsia="+mn-ea" w:hAnsi="Arial" w:cs="Arial"/>
                            <w:color w:val="000000" w:themeColor="text1"/>
                            <w:kern w:val="24"/>
                            <w:sz w:val="18"/>
                            <w:szCs w:val="18"/>
                          </w:rPr>
                          <w:t>20</w:t>
                        </w:r>
                        <w:r>
                          <w:rPr>
                            <w:rFonts w:ascii="Arial" w:eastAsia="+mn-ea" w:hAnsi="Arial" w:cs="Arial"/>
                            <w:color w:val="000000" w:themeColor="text1"/>
                            <w:kern w:val="24"/>
                            <w:sz w:val="18"/>
                            <w:szCs w:val="18"/>
                          </w:rPr>
                          <w:t>0</w:t>
                        </w:r>
                        <w:r w:rsidRPr="00861568">
                          <w:rPr>
                            <w:rFonts w:ascii="Arial" w:eastAsia="+mn-ea" w:hAnsi="Arial" w:cs="Arial"/>
                            <w:color w:val="000000" w:themeColor="text1"/>
                            <w:kern w:val="24"/>
                            <w:sz w:val="18"/>
                            <w:szCs w:val="18"/>
                          </w:rPr>
                          <w:t>4</w:t>
                        </w:r>
                        <w:r>
                          <w:rPr>
                            <w:rFonts w:ascii="Arial" w:eastAsia="+mn-ea" w:hAnsi="Arial" w:cs="Arial"/>
                            <w:color w:val="000000" w:themeColor="text1"/>
                            <w:kern w:val="24"/>
                            <w:sz w:val="18"/>
                            <w:szCs w:val="18"/>
                          </w:rPr>
                          <w:t>–</w:t>
                        </w:r>
                        <w:r w:rsidRPr="00861568">
                          <w:rPr>
                            <w:rFonts w:ascii="Arial" w:eastAsia="+mn-ea" w:hAnsi="Arial" w:cs="Arial"/>
                            <w:color w:val="000000" w:themeColor="text1"/>
                            <w:kern w:val="24"/>
                            <w:sz w:val="18"/>
                            <w:szCs w:val="18"/>
                          </w:rPr>
                          <w:t>201</w:t>
                        </w:r>
                        <w:r>
                          <w:rPr>
                            <w:rFonts w:ascii="Arial" w:eastAsia="+mn-ea" w:hAnsi="Arial" w:cs="Arial"/>
                            <w:color w:val="000000" w:themeColor="text1"/>
                            <w:kern w:val="24"/>
                            <w:sz w:val="18"/>
                            <w:szCs w:val="18"/>
                          </w:rPr>
                          <w:t>6).</w:t>
                        </w:r>
                      </w:p>
                    </w:tc>
                  </w:tr>
                  <w:tr w:rsidR="0011262F" w:rsidRPr="00AF556C" w14:paraId="4A1F18D4" w14:textId="77777777" w:rsidTr="00B54007">
                    <w:tc>
                      <w:tcPr>
                        <w:tcW w:w="1559" w:type="dxa"/>
                        <w:shd w:val="clear" w:color="auto" w:fill="F2F2F2" w:themeFill="background1" w:themeFillShade="F2"/>
                      </w:tcPr>
                      <w:p w14:paraId="5BDE8950" w14:textId="77777777" w:rsidR="0011262F" w:rsidRDefault="0011262F" w:rsidP="00B54007">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shd w:val="clear" w:color="auto" w:fill="F2F2F2" w:themeFill="background1" w:themeFillShade="F2"/>
                      </w:tcPr>
                      <w:p w14:paraId="0346B1C9" w14:textId="77777777" w:rsidR="0011262F" w:rsidRPr="00AF556C" w:rsidRDefault="0011262F" w:rsidP="00B54007">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 xml:space="preserve">494 </w:t>
                        </w:r>
                        <w:r w:rsidRPr="00A95597">
                          <w:rPr>
                            <w:rFonts w:ascii="Arial" w:eastAsia="+mn-ea" w:hAnsi="Arial" w:cs="Arial"/>
                            <w:color w:val="000000" w:themeColor="text1"/>
                            <w:kern w:val="24"/>
                            <w:sz w:val="18"/>
                            <w:szCs w:val="18"/>
                          </w:rPr>
                          <w:t>funds</w:t>
                        </w:r>
                        <w:r>
                          <w:rPr>
                            <w:rFonts w:ascii="Arial" w:eastAsia="+mn-ea" w:hAnsi="Arial" w:cs="Arial"/>
                            <w:color w:val="000000" w:themeColor="text1"/>
                            <w:kern w:val="24"/>
                            <w:sz w:val="18"/>
                            <w:szCs w:val="18"/>
                          </w:rPr>
                          <w:t xml:space="preserve"> representing 100 per cent and 91</w:t>
                        </w:r>
                        <w:r w:rsidRPr="00262154">
                          <w:rPr>
                            <w:rFonts w:ascii="Arial" w:eastAsia="+mn-ea" w:hAnsi="Arial" w:cs="Arial"/>
                            <w:color w:val="000000" w:themeColor="text1"/>
                            <w:kern w:val="24"/>
                            <w:sz w:val="18"/>
                            <w:szCs w:val="18"/>
                          </w:rPr>
                          <w:t> per cent</w:t>
                        </w:r>
                        <w:r>
                          <w:rPr>
                            <w:rFonts w:ascii="Arial" w:eastAsia="+mn-ea" w:hAnsi="Arial" w:cs="Arial"/>
                            <w:color w:val="000000" w:themeColor="text1"/>
                            <w:kern w:val="24"/>
                            <w:sz w:val="18"/>
                            <w:szCs w:val="18"/>
                          </w:rPr>
                          <w:t xml:space="preserve"> of the system by assets in 2015</w:t>
                        </w:r>
                        <w:r>
                          <w:rPr>
                            <w:rFonts w:ascii="Arial" w:eastAsia="+mn-ea" w:hAnsi="Arial" w:cs="Arial"/>
                            <w:color w:val="000000" w:themeColor="text1"/>
                            <w:kern w:val="24"/>
                            <w:sz w:val="18"/>
                            <w:szCs w:val="18"/>
                          </w:rPr>
                          <w:noBreakHyphen/>
                          <w:t>16 and 2004</w:t>
                        </w:r>
                        <w:r>
                          <w:rPr>
                            <w:rFonts w:ascii="Arial" w:eastAsia="+mn-ea" w:hAnsi="Arial" w:cs="Arial"/>
                            <w:color w:val="000000" w:themeColor="text1"/>
                            <w:kern w:val="24"/>
                            <w:sz w:val="18"/>
                            <w:szCs w:val="18"/>
                          </w:rPr>
                          <w:noBreakHyphen/>
                          <w:t>05 respectively. Excludes funds with less than two years of data.</w:t>
                        </w:r>
                      </w:p>
                    </w:tc>
                  </w:tr>
                </w:tbl>
                <w:p w14:paraId="26084853" w14:textId="77777777" w:rsidR="0011262F" w:rsidRPr="00B1465D" w:rsidRDefault="0011262F" w:rsidP="00B54007">
                  <w:pPr>
                    <w:pStyle w:val="Figure"/>
                    <w:spacing w:before="60" w:after="60"/>
                    <w:rPr>
                      <w:rFonts w:ascii="Arial" w:hAnsi="Arial" w:cs="Arial"/>
                      <w:sz w:val="18"/>
                      <w:szCs w:val="18"/>
                    </w:rPr>
                  </w:pPr>
                </w:p>
              </w:tc>
            </w:tr>
          </w:tbl>
          <w:p w14:paraId="60FBA754" w14:textId="77777777" w:rsidR="0011262F" w:rsidRDefault="0011262F" w:rsidP="00B54007">
            <w:pPr>
              <w:pStyle w:val="Figure"/>
            </w:pPr>
          </w:p>
        </w:tc>
      </w:tr>
      <w:tr w:rsidR="0011262F" w14:paraId="6C1AC42E" w14:textId="77777777" w:rsidTr="00B54007">
        <w:tc>
          <w:tcPr>
            <w:tcW w:w="5000" w:type="pct"/>
            <w:tcBorders>
              <w:top w:val="nil"/>
              <w:left w:val="nil"/>
              <w:bottom w:val="single" w:sz="6" w:space="0" w:color="78A22F"/>
              <w:right w:val="nil"/>
            </w:tcBorders>
            <w:shd w:val="clear" w:color="auto" w:fill="auto"/>
          </w:tcPr>
          <w:p w14:paraId="47964D28" w14:textId="77777777" w:rsidR="0011262F" w:rsidRDefault="0011262F" w:rsidP="00B54007">
            <w:pPr>
              <w:pStyle w:val="Figurespace"/>
            </w:pPr>
          </w:p>
        </w:tc>
      </w:tr>
      <w:tr w:rsidR="0011262F" w:rsidRPr="000863A5" w14:paraId="43EE46DB" w14:textId="77777777" w:rsidTr="00B54007">
        <w:tc>
          <w:tcPr>
            <w:tcW w:w="5000" w:type="pct"/>
            <w:tcBorders>
              <w:top w:val="single" w:sz="6" w:space="0" w:color="78A22F"/>
              <w:left w:val="nil"/>
              <w:bottom w:val="nil"/>
              <w:right w:val="nil"/>
            </w:tcBorders>
          </w:tcPr>
          <w:p w14:paraId="59E511F2" w14:textId="77777777" w:rsidR="0011262F" w:rsidRPr="00626D32" w:rsidRDefault="0011262F" w:rsidP="00B54007">
            <w:pPr>
              <w:pStyle w:val="BoxSpaceBelow"/>
            </w:pPr>
          </w:p>
        </w:tc>
      </w:tr>
    </w:tbl>
    <w:p w14:paraId="27212683" w14:textId="77777777" w:rsidR="0011262F" w:rsidRDefault="0011262F" w:rsidP="0011262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1262F" w14:paraId="6DE73E13" w14:textId="77777777" w:rsidTr="00B54007">
        <w:trPr>
          <w:tblHeader/>
        </w:trPr>
        <w:tc>
          <w:tcPr>
            <w:tcW w:w="5000" w:type="pct"/>
            <w:tcBorders>
              <w:top w:val="single" w:sz="6" w:space="0" w:color="78A22F"/>
              <w:left w:val="nil"/>
              <w:bottom w:val="nil"/>
              <w:right w:val="nil"/>
            </w:tcBorders>
            <w:shd w:val="clear" w:color="auto" w:fill="auto"/>
          </w:tcPr>
          <w:p w14:paraId="3DCF3918" w14:textId="77777777" w:rsidR="0011262F" w:rsidRDefault="0011262F" w:rsidP="00B54007">
            <w:pPr>
              <w:pStyle w:val="FigureTitle"/>
            </w:pPr>
            <w:r w:rsidRPr="00784A05">
              <w:rPr>
                <w:b w:val="0"/>
              </w:rPr>
              <w:t xml:space="preserve">Figure </w:t>
            </w:r>
            <w:bookmarkStart w:id="18" w:name="OLE_LINK30"/>
            <w:r>
              <w:rPr>
                <w:b w:val="0"/>
              </w:rPr>
              <w:t>8.</w:t>
            </w:r>
            <w:r>
              <w:rPr>
                <w:b w:val="0"/>
                <w:noProof/>
              </w:rPr>
              <w:t>3</w:t>
            </w:r>
            <w:bookmarkEnd w:id="18"/>
            <w:r>
              <w:tab/>
              <w:t>Economies of scale are evident in the raw data</w:t>
            </w:r>
            <w:r w:rsidRPr="00EA17D1">
              <w:rPr>
                <w:rStyle w:val="NoteLabel"/>
              </w:rPr>
              <w:t>a</w:t>
            </w:r>
          </w:p>
          <w:p w14:paraId="51CE2ED3" w14:textId="77777777" w:rsidR="0011262F" w:rsidRPr="00176D3F" w:rsidRDefault="0011262F" w:rsidP="00B54007">
            <w:pPr>
              <w:pStyle w:val="Subtitle"/>
            </w:pPr>
            <w:r>
              <w:t>Average administration and investment expenses by fund size, basis points (bps), 2004–2016</w:t>
            </w:r>
          </w:p>
        </w:tc>
      </w:tr>
      <w:tr w:rsidR="0011262F" w14:paraId="4CA98F3A" w14:textId="77777777" w:rsidTr="00B5400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1262F" w:rsidRPr="00B1465D" w14:paraId="67E02DAA" w14:textId="77777777" w:rsidTr="00B54007">
              <w:trPr>
                <w:tblHeader/>
                <w:jc w:val="center"/>
              </w:trPr>
              <w:tc>
                <w:tcPr>
                  <w:tcW w:w="5000" w:type="pct"/>
                  <w:tcBorders>
                    <w:top w:val="nil"/>
                    <w:bottom w:val="nil"/>
                  </w:tcBorders>
                </w:tcPr>
                <w:p w14:paraId="5B454E8B" w14:textId="77777777" w:rsidR="0011262F" w:rsidRDefault="0011262F" w:rsidP="00B54007">
                  <w:pPr>
                    <w:pStyle w:val="Figure"/>
                    <w:spacing w:before="60" w:after="60"/>
                    <w:rPr>
                      <w:rFonts w:ascii="Arial" w:hAnsi="Arial" w:cs="Arial"/>
                      <w:sz w:val="18"/>
                      <w:szCs w:val="18"/>
                    </w:rPr>
                  </w:pPr>
                  <w:r w:rsidRPr="007B4886">
                    <w:rPr>
                      <w:rFonts w:ascii="Arial" w:hAnsi="Arial" w:cs="Arial"/>
                      <w:noProof/>
                      <w:sz w:val="18"/>
                      <w:szCs w:val="18"/>
                    </w:rPr>
                    <w:drawing>
                      <wp:inline distT="0" distB="0" distL="0" distR="0" wp14:anchorId="1E25977A" wp14:editId="2330DFDD">
                        <wp:extent cx="5394960" cy="2880360"/>
                        <wp:effectExtent l="0" t="0" r="0" b="0"/>
                        <wp:docPr id="56" name="Picture 56" descr="This figure shows scatterplots of average administration expense and average investment expenses against total assets by fund type, with a line of best fit plotted over the data. The lines are downwards sloping in most cases suggesting that there are economies of scale. However, the line of best fit for average investment expenses for industry funds is upwards slo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4960" cy="2880360"/>
                                </a:xfrm>
                                <a:prstGeom prst="rect">
                                  <a:avLst/>
                                </a:prstGeom>
                                <a:noFill/>
                                <a:ln>
                                  <a:noFill/>
                                </a:ln>
                              </pic:spPr>
                            </pic:pic>
                          </a:graphicData>
                        </a:graphic>
                      </wp:inline>
                    </w:drawing>
                  </w:r>
                </w:p>
                <w:p w14:paraId="0CE31D37" w14:textId="77777777" w:rsidR="0011262F" w:rsidRDefault="0011262F" w:rsidP="00B54007">
                  <w:pPr>
                    <w:pStyle w:val="Figure"/>
                    <w:spacing w:before="60" w:after="60"/>
                    <w:rPr>
                      <w:rFonts w:ascii="Arial" w:hAnsi="Arial" w:cs="Arial"/>
                      <w:sz w:val="18"/>
                      <w:szCs w:val="18"/>
                    </w:rPr>
                  </w:pPr>
                  <w:r>
                    <w:rPr>
                      <w:rFonts w:ascii="Arial" w:hAnsi="Arial" w:cs="Arial"/>
                      <w:noProof/>
                      <w:sz w:val="18"/>
                      <w:szCs w:val="18"/>
                    </w:rPr>
                    <w:drawing>
                      <wp:inline distT="0" distB="0" distL="0" distR="0" wp14:anchorId="2508F222" wp14:editId="633DDBD0">
                        <wp:extent cx="5400346" cy="2880153"/>
                        <wp:effectExtent l="0" t="0" r="0" b="0"/>
                        <wp:docPr id="57" name="Picture 57" descr="This figure shows scatterplots of average administration expense and average investment expenses against total assets by fund type, with a line of best fit plotted over the data. The lines are downwards sloping in most cases suggesting that there are economies of scale. However, the line of best fit for average investment expenses for industry funds is upwards slo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vest_fig1_PHIL_20181113.e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tbl>
                  <w:tblPr>
                    <w:tblW w:w="0" w:type="auto"/>
                    <w:tblLook w:val="04A0" w:firstRow="1" w:lastRow="0" w:firstColumn="1" w:lastColumn="0" w:noHBand="0" w:noVBand="1"/>
                  </w:tblPr>
                  <w:tblGrid>
                    <w:gridCol w:w="1559"/>
                    <w:gridCol w:w="6935"/>
                  </w:tblGrid>
                  <w:tr w:rsidR="0011262F" w14:paraId="53D984AC" w14:textId="77777777" w:rsidTr="00B54007">
                    <w:trPr>
                      <w:tblHeader/>
                    </w:trPr>
                    <w:tc>
                      <w:tcPr>
                        <w:tcW w:w="1559" w:type="dxa"/>
                        <w:shd w:val="clear" w:color="auto" w:fill="F2F2F2" w:themeFill="background1" w:themeFillShade="F2"/>
                      </w:tcPr>
                      <w:p w14:paraId="7FE47DF9" w14:textId="77777777" w:rsidR="0011262F" w:rsidRDefault="0011262F" w:rsidP="00B54007">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935" w:type="dxa"/>
                        <w:shd w:val="clear" w:color="auto" w:fill="F2F2F2" w:themeFill="background1" w:themeFillShade="F2"/>
                      </w:tcPr>
                      <w:p w14:paraId="7BC1C618" w14:textId="77777777" w:rsidR="0011262F" w:rsidRDefault="0011262F" w:rsidP="00B54007">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PC analysis of unpublished APRA data (</w:t>
                        </w:r>
                        <w:r w:rsidRPr="00861568">
                          <w:rPr>
                            <w:rFonts w:ascii="Arial" w:eastAsia="+mn-ea" w:hAnsi="Arial" w:cs="Arial"/>
                            <w:color w:val="000000" w:themeColor="text1"/>
                            <w:kern w:val="24"/>
                            <w:sz w:val="18"/>
                            <w:szCs w:val="18"/>
                          </w:rPr>
                          <w:t>20</w:t>
                        </w:r>
                        <w:r>
                          <w:rPr>
                            <w:rFonts w:ascii="Arial" w:eastAsia="+mn-ea" w:hAnsi="Arial" w:cs="Arial"/>
                            <w:color w:val="000000" w:themeColor="text1"/>
                            <w:kern w:val="24"/>
                            <w:sz w:val="18"/>
                            <w:szCs w:val="18"/>
                          </w:rPr>
                          <w:t>0</w:t>
                        </w:r>
                        <w:r w:rsidRPr="00861568">
                          <w:rPr>
                            <w:rFonts w:ascii="Arial" w:eastAsia="+mn-ea" w:hAnsi="Arial" w:cs="Arial"/>
                            <w:color w:val="000000" w:themeColor="text1"/>
                            <w:kern w:val="24"/>
                            <w:sz w:val="18"/>
                            <w:szCs w:val="18"/>
                          </w:rPr>
                          <w:t>4</w:t>
                        </w:r>
                        <w:r>
                          <w:rPr>
                            <w:rFonts w:ascii="Arial" w:eastAsia="+mn-ea" w:hAnsi="Arial" w:cs="Arial"/>
                            <w:color w:val="000000" w:themeColor="text1"/>
                            <w:kern w:val="24"/>
                            <w:sz w:val="18"/>
                            <w:szCs w:val="18"/>
                          </w:rPr>
                          <w:t>–</w:t>
                        </w:r>
                        <w:r w:rsidRPr="00861568">
                          <w:rPr>
                            <w:rFonts w:ascii="Arial" w:eastAsia="+mn-ea" w:hAnsi="Arial" w:cs="Arial"/>
                            <w:color w:val="000000" w:themeColor="text1"/>
                            <w:kern w:val="24"/>
                            <w:sz w:val="18"/>
                            <w:szCs w:val="18"/>
                          </w:rPr>
                          <w:t>201</w:t>
                        </w:r>
                        <w:r>
                          <w:rPr>
                            <w:rFonts w:ascii="Arial" w:eastAsia="+mn-ea" w:hAnsi="Arial" w:cs="Arial"/>
                            <w:color w:val="000000" w:themeColor="text1"/>
                            <w:kern w:val="24"/>
                            <w:sz w:val="18"/>
                            <w:szCs w:val="18"/>
                          </w:rPr>
                          <w:t>6).</w:t>
                        </w:r>
                      </w:p>
                    </w:tc>
                  </w:tr>
                  <w:tr w:rsidR="0011262F" w:rsidRPr="00AF556C" w14:paraId="3AAE4205" w14:textId="77777777" w:rsidTr="00B54007">
                    <w:tc>
                      <w:tcPr>
                        <w:tcW w:w="1559" w:type="dxa"/>
                        <w:shd w:val="clear" w:color="auto" w:fill="F2F2F2" w:themeFill="background1" w:themeFillShade="F2"/>
                      </w:tcPr>
                      <w:p w14:paraId="5AC3A15C" w14:textId="77777777" w:rsidR="0011262F" w:rsidRDefault="0011262F" w:rsidP="00B54007">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shd w:val="clear" w:color="auto" w:fill="F2F2F2" w:themeFill="background1" w:themeFillShade="F2"/>
                      </w:tcPr>
                      <w:p w14:paraId="1E122F53" w14:textId="77777777" w:rsidR="0011262F" w:rsidRPr="00AF556C" w:rsidRDefault="0011262F" w:rsidP="00B54007">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 xml:space="preserve">494 </w:t>
                        </w:r>
                        <w:r w:rsidRPr="00A95597">
                          <w:rPr>
                            <w:rFonts w:ascii="Arial" w:eastAsia="+mn-ea" w:hAnsi="Arial" w:cs="Arial"/>
                            <w:color w:val="000000" w:themeColor="text1"/>
                            <w:kern w:val="24"/>
                            <w:sz w:val="18"/>
                            <w:szCs w:val="18"/>
                          </w:rPr>
                          <w:t>funds</w:t>
                        </w:r>
                        <w:r>
                          <w:rPr>
                            <w:rFonts w:ascii="Arial" w:eastAsia="+mn-ea" w:hAnsi="Arial" w:cs="Arial"/>
                            <w:color w:val="000000" w:themeColor="text1"/>
                            <w:kern w:val="24"/>
                            <w:sz w:val="18"/>
                            <w:szCs w:val="18"/>
                          </w:rPr>
                          <w:t xml:space="preserve"> representing 100 per cent and 91</w:t>
                        </w:r>
                        <w:r w:rsidRPr="00262154">
                          <w:rPr>
                            <w:rFonts w:ascii="Arial" w:eastAsia="+mn-ea" w:hAnsi="Arial" w:cs="Arial"/>
                            <w:color w:val="000000" w:themeColor="text1"/>
                            <w:kern w:val="24"/>
                            <w:sz w:val="18"/>
                            <w:szCs w:val="18"/>
                          </w:rPr>
                          <w:t> per cent</w:t>
                        </w:r>
                        <w:r>
                          <w:rPr>
                            <w:rFonts w:ascii="Arial" w:eastAsia="+mn-ea" w:hAnsi="Arial" w:cs="Arial"/>
                            <w:color w:val="000000" w:themeColor="text1"/>
                            <w:kern w:val="24"/>
                            <w:sz w:val="18"/>
                            <w:szCs w:val="18"/>
                          </w:rPr>
                          <w:t xml:space="preserve"> of the system by assets in 2015</w:t>
                        </w:r>
                        <w:r>
                          <w:rPr>
                            <w:rFonts w:ascii="Arial" w:eastAsia="+mn-ea" w:hAnsi="Arial" w:cs="Arial"/>
                            <w:color w:val="000000" w:themeColor="text1"/>
                            <w:kern w:val="24"/>
                            <w:sz w:val="18"/>
                            <w:szCs w:val="18"/>
                          </w:rPr>
                          <w:noBreakHyphen/>
                          <w:t>16 and 2004</w:t>
                        </w:r>
                        <w:r>
                          <w:rPr>
                            <w:rFonts w:ascii="Arial" w:eastAsia="+mn-ea" w:hAnsi="Arial" w:cs="Arial"/>
                            <w:color w:val="000000" w:themeColor="text1"/>
                            <w:kern w:val="24"/>
                            <w:sz w:val="18"/>
                            <w:szCs w:val="18"/>
                          </w:rPr>
                          <w:noBreakHyphen/>
                          <w:t>05 respectively. Excludes funds with less than two years of data.</w:t>
                        </w:r>
                      </w:p>
                    </w:tc>
                  </w:tr>
                </w:tbl>
                <w:p w14:paraId="4A277C81" w14:textId="77777777" w:rsidR="0011262F" w:rsidRPr="00B1465D" w:rsidRDefault="0011262F" w:rsidP="00B54007">
                  <w:pPr>
                    <w:pStyle w:val="Figure"/>
                    <w:spacing w:before="60" w:after="60"/>
                    <w:rPr>
                      <w:rFonts w:ascii="Arial" w:hAnsi="Arial" w:cs="Arial"/>
                      <w:sz w:val="18"/>
                      <w:szCs w:val="18"/>
                    </w:rPr>
                  </w:pPr>
                </w:p>
              </w:tc>
            </w:tr>
          </w:tbl>
          <w:p w14:paraId="1E44B391" w14:textId="77777777" w:rsidR="0011262F" w:rsidRDefault="0011262F" w:rsidP="00B54007">
            <w:pPr>
              <w:pStyle w:val="Figure"/>
            </w:pPr>
          </w:p>
        </w:tc>
      </w:tr>
      <w:tr w:rsidR="0011262F" w:rsidRPr="00176D3F" w14:paraId="35304572" w14:textId="77777777" w:rsidTr="00B54007">
        <w:tc>
          <w:tcPr>
            <w:tcW w:w="5000" w:type="pct"/>
            <w:tcBorders>
              <w:top w:val="nil"/>
              <w:left w:val="nil"/>
              <w:bottom w:val="nil"/>
              <w:right w:val="nil"/>
            </w:tcBorders>
            <w:shd w:val="clear" w:color="auto" w:fill="auto"/>
          </w:tcPr>
          <w:p w14:paraId="1FE87DD6" w14:textId="77777777" w:rsidR="0011262F" w:rsidRPr="00176D3F" w:rsidRDefault="0011262F" w:rsidP="00B54007">
            <w:pPr>
              <w:pStyle w:val="Note"/>
            </w:pPr>
            <w:proofErr w:type="spellStart"/>
            <w:r>
              <w:rPr>
                <w:rStyle w:val="NoteLabel"/>
              </w:rPr>
              <w:t>a</w:t>
            </w:r>
            <w:proofErr w:type="spellEnd"/>
            <w:r>
              <w:t xml:space="preserve"> The 95 per cent confidence intervals for these relationships are not presented but sit very close to the estimated curves.</w:t>
            </w:r>
          </w:p>
        </w:tc>
      </w:tr>
      <w:tr w:rsidR="0011262F" w14:paraId="47D468F3" w14:textId="77777777" w:rsidTr="00B54007">
        <w:tc>
          <w:tcPr>
            <w:tcW w:w="5000" w:type="pct"/>
            <w:tcBorders>
              <w:top w:val="nil"/>
              <w:left w:val="nil"/>
              <w:bottom w:val="single" w:sz="6" w:space="0" w:color="78A22F"/>
              <w:right w:val="nil"/>
            </w:tcBorders>
            <w:shd w:val="clear" w:color="auto" w:fill="auto"/>
          </w:tcPr>
          <w:p w14:paraId="17E503ED" w14:textId="77777777" w:rsidR="0011262F" w:rsidRDefault="0011262F" w:rsidP="00B54007">
            <w:pPr>
              <w:pStyle w:val="Figurespace"/>
            </w:pPr>
          </w:p>
        </w:tc>
      </w:tr>
      <w:tr w:rsidR="0011262F" w:rsidRPr="000863A5" w14:paraId="19075ECF" w14:textId="77777777" w:rsidTr="00B54007">
        <w:tc>
          <w:tcPr>
            <w:tcW w:w="5000" w:type="pct"/>
            <w:tcBorders>
              <w:top w:val="single" w:sz="6" w:space="0" w:color="78A22F"/>
              <w:left w:val="nil"/>
              <w:bottom w:val="nil"/>
              <w:right w:val="nil"/>
            </w:tcBorders>
          </w:tcPr>
          <w:p w14:paraId="3ACB018D" w14:textId="77777777" w:rsidR="0011262F" w:rsidRPr="00626D32" w:rsidRDefault="0011262F" w:rsidP="00B54007">
            <w:pPr>
              <w:pStyle w:val="BoxSpaceBelow"/>
            </w:pPr>
          </w:p>
        </w:tc>
      </w:tr>
    </w:tbl>
    <w:p w14:paraId="4ACCE3D8" w14:textId="77777777" w:rsidR="0011262F" w:rsidRDefault="0011262F" w:rsidP="0011262F">
      <w:pPr>
        <w:pStyle w:val="BodyText"/>
      </w:pPr>
    </w:p>
    <w:p w14:paraId="314DBB99" w14:textId="77777777" w:rsidR="0011262F" w:rsidRDefault="0011262F" w:rsidP="0011262F">
      <w:pPr>
        <w:rPr>
          <w:szCs w:val="20"/>
        </w:rPr>
      </w:pPr>
      <w:r>
        <w:br w:type="page"/>
      </w:r>
    </w:p>
    <w:p w14:paraId="0E22A62A" w14:textId="77777777" w:rsidR="0011262F" w:rsidRDefault="0011262F" w:rsidP="0011262F">
      <w:pPr>
        <w:pStyle w:val="BodyText"/>
      </w:pPr>
      <w:r>
        <w:lastRenderedPageBreak/>
        <w:t>Pass</w:t>
      </w:r>
      <w:r>
        <w:noBreakHyphen/>
        <w:t>through of economies of scale (through lower average fees) is not evident on casual inspection of the data. If average costs decline as a fund grows and are passed through to members in the form of lower fees one might expect to see fees falling from year to year as funds become larger.</w:t>
      </w:r>
      <w:r>
        <w:rPr>
          <w:rStyle w:val="FootnoteReference"/>
        </w:rPr>
        <w:footnoteReference w:id="10"/>
      </w:r>
      <w:r>
        <w:t xml:space="preserve"> The raw data do not suggest a clear relationship of this type (figure 8.4).</w:t>
      </w:r>
    </w:p>
    <w:p w14:paraId="624D5AF8" w14:textId="77777777" w:rsidR="0011262F" w:rsidRDefault="0011262F" w:rsidP="0011262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1262F" w14:paraId="273A21CD" w14:textId="77777777" w:rsidTr="00B54007">
        <w:trPr>
          <w:tblHeader/>
        </w:trPr>
        <w:tc>
          <w:tcPr>
            <w:tcW w:w="5000" w:type="pct"/>
            <w:tcBorders>
              <w:top w:val="single" w:sz="6" w:space="0" w:color="78A22F"/>
              <w:left w:val="nil"/>
              <w:bottom w:val="nil"/>
              <w:right w:val="nil"/>
            </w:tcBorders>
            <w:shd w:val="clear" w:color="auto" w:fill="auto"/>
          </w:tcPr>
          <w:p w14:paraId="4CA7C165" w14:textId="77777777" w:rsidR="0011262F" w:rsidRDefault="0011262F" w:rsidP="00B54007">
            <w:pPr>
              <w:pStyle w:val="FigureTitle"/>
            </w:pPr>
            <w:r w:rsidRPr="00784A05">
              <w:rPr>
                <w:b w:val="0"/>
              </w:rPr>
              <w:t xml:space="preserve">Figure </w:t>
            </w:r>
            <w:bookmarkStart w:id="19" w:name="OLE_LINK14"/>
            <w:bookmarkStart w:id="20" w:name="OLE_LINK29"/>
            <w:r>
              <w:rPr>
                <w:b w:val="0"/>
              </w:rPr>
              <w:t>8.</w:t>
            </w:r>
            <w:r>
              <w:rPr>
                <w:b w:val="0"/>
                <w:noProof/>
              </w:rPr>
              <w:t>4</w:t>
            </w:r>
            <w:bookmarkEnd w:id="19"/>
            <w:bookmarkEnd w:id="20"/>
            <w:r>
              <w:tab/>
              <w:t>Pass</w:t>
            </w:r>
            <w:r>
              <w:noBreakHyphen/>
              <w:t>through is not evident on casual inspection of year on year changes in expenses and fees over time</w:t>
            </w:r>
          </w:p>
          <w:p w14:paraId="5AB32FB5" w14:textId="77777777" w:rsidR="0011262F" w:rsidRPr="00176D3F" w:rsidRDefault="0011262F" w:rsidP="00B54007">
            <w:pPr>
              <w:pStyle w:val="Subtitle"/>
            </w:pPr>
            <w:r>
              <w:t>Annual basis point (bps) changes in administration and investment fees by annual change in size, 2004–2016</w:t>
            </w:r>
          </w:p>
        </w:tc>
      </w:tr>
      <w:tr w:rsidR="0011262F" w14:paraId="22AB2C62" w14:textId="77777777" w:rsidTr="00B5400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1262F" w:rsidRPr="00B1465D" w14:paraId="37067F88" w14:textId="77777777" w:rsidTr="00B54007">
              <w:trPr>
                <w:tblHeader/>
                <w:jc w:val="center"/>
              </w:trPr>
              <w:tc>
                <w:tcPr>
                  <w:tcW w:w="5000" w:type="pct"/>
                  <w:tcBorders>
                    <w:top w:val="nil"/>
                    <w:bottom w:val="nil"/>
                  </w:tcBorders>
                </w:tcPr>
                <w:p w14:paraId="7C2F704A" w14:textId="77777777" w:rsidR="0011262F" w:rsidRDefault="0011262F" w:rsidP="00B54007">
                  <w:pPr>
                    <w:pStyle w:val="Figure"/>
                    <w:spacing w:before="60" w:after="60"/>
                    <w:rPr>
                      <w:rFonts w:ascii="Arial" w:hAnsi="Arial" w:cs="Arial"/>
                      <w:sz w:val="18"/>
                      <w:szCs w:val="18"/>
                    </w:rPr>
                  </w:pPr>
                  <w:r w:rsidRPr="0005176F">
                    <w:rPr>
                      <w:rFonts w:ascii="Arial" w:hAnsi="Arial" w:cs="Arial"/>
                      <w:sz w:val="18"/>
                      <w:szCs w:val="18"/>
                    </w:rPr>
                    <w:t xml:space="preserve"> </w:t>
                  </w:r>
                  <w:r w:rsidRPr="005104F2">
                    <w:rPr>
                      <w:rFonts w:ascii="Arial" w:hAnsi="Arial" w:cs="Arial"/>
                      <w:noProof/>
                      <w:sz w:val="18"/>
                      <w:szCs w:val="18"/>
                    </w:rPr>
                    <w:drawing>
                      <wp:inline distT="0" distB="0" distL="0" distR="0" wp14:anchorId="5726B61E" wp14:editId="03258AE6">
                        <wp:extent cx="5021580" cy="3002280"/>
                        <wp:effectExtent l="0" t="0" r="0" b="0"/>
                        <wp:docPr id="53" name="Picture 53" descr="Scatterplots of the annual change in administration and investment fees against the annual change in assets. There does not appear to be a downwards sloping relationship, suggesting little evidence of passth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1580" cy="3002280"/>
                                </a:xfrm>
                                <a:prstGeom prst="rect">
                                  <a:avLst/>
                                </a:prstGeom>
                                <a:noFill/>
                                <a:ln>
                                  <a:noFill/>
                                </a:ln>
                              </pic:spPr>
                            </pic:pic>
                          </a:graphicData>
                        </a:graphic>
                      </wp:inline>
                    </w:drawing>
                  </w:r>
                </w:p>
                <w:tbl>
                  <w:tblPr>
                    <w:tblW w:w="0" w:type="auto"/>
                    <w:tblLook w:val="04A0" w:firstRow="1" w:lastRow="0" w:firstColumn="1" w:lastColumn="0" w:noHBand="0" w:noVBand="1"/>
                  </w:tblPr>
                  <w:tblGrid>
                    <w:gridCol w:w="1559"/>
                    <w:gridCol w:w="6935"/>
                  </w:tblGrid>
                  <w:tr w:rsidR="0011262F" w14:paraId="7497D437" w14:textId="77777777" w:rsidTr="00B54007">
                    <w:trPr>
                      <w:tblHeader/>
                    </w:trPr>
                    <w:tc>
                      <w:tcPr>
                        <w:tcW w:w="1559" w:type="dxa"/>
                        <w:shd w:val="clear" w:color="auto" w:fill="F2F2F2" w:themeFill="background1" w:themeFillShade="F2"/>
                      </w:tcPr>
                      <w:p w14:paraId="42F3B747" w14:textId="77777777" w:rsidR="0011262F" w:rsidRDefault="0011262F" w:rsidP="00B54007">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935" w:type="dxa"/>
                        <w:shd w:val="clear" w:color="auto" w:fill="F2F2F2" w:themeFill="background1" w:themeFillShade="F2"/>
                      </w:tcPr>
                      <w:p w14:paraId="1ACAE3F4" w14:textId="77777777" w:rsidR="0011262F" w:rsidRDefault="0011262F" w:rsidP="00B54007">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 xml:space="preserve">PC analysis of </w:t>
                        </w:r>
                        <w:proofErr w:type="spellStart"/>
                        <w:r>
                          <w:rPr>
                            <w:rFonts w:ascii="Arial" w:eastAsia="+mn-ea" w:hAnsi="Arial" w:cs="Arial"/>
                            <w:color w:val="000000" w:themeColor="text1"/>
                            <w:kern w:val="24"/>
                            <w:sz w:val="18"/>
                            <w:szCs w:val="18"/>
                          </w:rPr>
                          <w:t>SuperRatings</w:t>
                        </w:r>
                        <w:proofErr w:type="spellEnd"/>
                        <w:r>
                          <w:rPr>
                            <w:rFonts w:ascii="Arial" w:eastAsia="+mn-ea" w:hAnsi="Arial" w:cs="Arial"/>
                            <w:color w:val="000000" w:themeColor="text1"/>
                            <w:kern w:val="24"/>
                            <w:sz w:val="18"/>
                            <w:szCs w:val="18"/>
                          </w:rPr>
                          <w:t xml:space="preserve"> and APRA </w:t>
                        </w:r>
                        <w:r w:rsidRPr="000E45B5">
                          <w:rPr>
                            <w:rFonts w:ascii="Arial" w:eastAsia="+mn-ea" w:hAnsi="Arial" w:cs="Arial"/>
                            <w:color w:val="000000" w:themeColor="text1"/>
                            <w:kern w:val="24"/>
                            <w:sz w:val="18"/>
                            <w:szCs w:val="18"/>
                          </w:rPr>
                          <w:t>data</w:t>
                        </w:r>
                        <w:r>
                          <w:rPr>
                            <w:rFonts w:ascii="Arial" w:eastAsia="+mn-ea" w:hAnsi="Arial" w:cs="Arial"/>
                            <w:color w:val="000000" w:themeColor="text1"/>
                            <w:kern w:val="24"/>
                            <w:sz w:val="18"/>
                            <w:szCs w:val="18"/>
                          </w:rPr>
                          <w:t xml:space="preserve"> (</w:t>
                        </w:r>
                        <w:r w:rsidRPr="00861568">
                          <w:rPr>
                            <w:rFonts w:ascii="Arial" w:eastAsia="+mn-ea" w:hAnsi="Arial" w:cs="Arial"/>
                            <w:color w:val="000000" w:themeColor="text1"/>
                            <w:kern w:val="24"/>
                            <w:sz w:val="18"/>
                            <w:szCs w:val="18"/>
                          </w:rPr>
                          <w:t>20</w:t>
                        </w:r>
                        <w:r>
                          <w:rPr>
                            <w:rFonts w:ascii="Arial" w:eastAsia="+mn-ea" w:hAnsi="Arial" w:cs="Arial"/>
                            <w:color w:val="000000" w:themeColor="text1"/>
                            <w:kern w:val="24"/>
                            <w:sz w:val="18"/>
                            <w:szCs w:val="18"/>
                          </w:rPr>
                          <w:t>0</w:t>
                        </w:r>
                        <w:r w:rsidRPr="00861568">
                          <w:rPr>
                            <w:rFonts w:ascii="Arial" w:eastAsia="+mn-ea" w:hAnsi="Arial" w:cs="Arial"/>
                            <w:color w:val="000000" w:themeColor="text1"/>
                            <w:kern w:val="24"/>
                            <w:sz w:val="18"/>
                            <w:szCs w:val="18"/>
                          </w:rPr>
                          <w:t>4</w:t>
                        </w:r>
                        <w:r>
                          <w:rPr>
                            <w:rFonts w:ascii="Arial" w:eastAsia="+mn-ea" w:hAnsi="Arial" w:cs="Arial"/>
                            <w:color w:val="000000" w:themeColor="text1"/>
                            <w:kern w:val="24"/>
                            <w:sz w:val="18"/>
                            <w:szCs w:val="18"/>
                          </w:rPr>
                          <w:t>–</w:t>
                        </w:r>
                        <w:r w:rsidRPr="00861568">
                          <w:rPr>
                            <w:rFonts w:ascii="Arial" w:eastAsia="+mn-ea" w:hAnsi="Arial" w:cs="Arial"/>
                            <w:color w:val="000000" w:themeColor="text1"/>
                            <w:kern w:val="24"/>
                            <w:sz w:val="18"/>
                            <w:szCs w:val="18"/>
                          </w:rPr>
                          <w:t>201</w:t>
                        </w:r>
                        <w:r>
                          <w:rPr>
                            <w:rFonts w:ascii="Arial" w:eastAsia="+mn-ea" w:hAnsi="Arial" w:cs="Arial"/>
                            <w:color w:val="000000" w:themeColor="text1"/>
                            <w:kern w:val="24"/>
                            <w:sz w:val="18"/>
                            <w:szCs w:val="18"/>
                          </w:rPr>
                          <w:t>6).</w:t>
                        </w:r>
                      </w:p>
                    </w:tc>
                  </w:tr>
                  <w:tr w:rsidR="0011262F" w:rsidRPr="00AF556C" w14:paraId="19ED2710" w14:textId="77777777" w:rsidTr="00B54007">
                    <w:tc>
                      <w:tcPr>
                        <w:tcW w:w="1559" w:type="dxa"/>
                        <w:shd w:val="clear" w:color="auto" w:fill="F2F2F2" w:themeFill="background1" w:themeFillShade="F2"/>
                      </w:tcPr>
                      <w:p w14:paraId="7FB5343E" w14:textId="77777777" w:rsidR="0011262F" w:rsidRDefault="0011262F" w:rsidP="00B54007">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shd w:val="clear" w:color="auto" w:fill="F2F2F2" w:themeFill="background1" w:themeFillShade="F2"/>
                      </w:tcPr>
                      <w:p w14:paraId="65A22EE0" w14:textId="77777777" w:rsidR="0011262F" w:rsidRPr="00AF556C" w:rsidRDefault="0011262F" w:rsidP="00B54007">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 xml:space="preserve">118 </w:t>
                        </w:r>
                        <w:r w:rsidRPr="00A95597">
                          <w:rPr>
                            <w:rFonts w:ascii="Arial" w:eastAsia="+mn-ea" w:hAnsi="Arial" w:cs="Arial"/>
                            <w:color w:val="000000" w:themeColor="text1"/>
                            <w:kern w:val="24"/>
                            <w:sz w:val="18"/>
                            <w:szCs w:val="18"/>
                          </w:rPr>
                          <w:t>funds</w:t>
                        </w:r>
                        <w:r>
                          <w:rPr>
                            <w:rFonts w:ascii="Arial" w:eastAsia="+mn-ea" w:hAnsi="Arial" w:cs="Arial"/>
                            <w:color w:val="000000" w:themeColor="text1"/>
                            <w:kern w:val="24"/>
                            <w:sz w:val="18"/>
                            <w:szCs w:val="18"/>
                          </w:rPr>
                          <w:t xml:space="preserve"> representing 81 per cent and 39</w:t>
                        </w:r>
                        <w:r w:rsidRPr="00262154">
                          <w:rPr>
                            <w:rFonts w:ascii="Arial" w:eastAsia="+mn-ea" w:hAnsi="Arial" w:cs="Arial"/>
                            <w:color w:val="000000" w:themeColor="text1"/>
                            <w:kern w:val="24"/>
                            <w:sz w:val="18"/>
                            <w:szCs w:val="18"/>
                          </w:rPr>
                          <w:t> per cent</w:t>
                        </w:r>
                        <w:r>
                          <w:rPr>
                            <w:rFonts w:ascii="Arial" w:eastAsia="+mn-ea" w:hAnsi="Arial" w:cs="Arial"/>
                            <w:color w:val="000000" w:themeColor="text1"/>
                            <w:kern w:val="24"/>
                            <w:sz w:val="18"/>
                            <w:szCs w:val="18"/>
                          </w:rPr>
                          <w:t xml:space="preserve"> of the system by assets in 2015</w:t>
                        </w:r>
                        <w:r>
                          <w:rPr>
                            <w:rFonts w:ascii="Arial" w:eastAsia="+mn-ea" w:hAnsi="Arial" w:cs="Arial"/>
                            <w:color w:val="000000" w:themeColor="text1"/>
                            <w:kern w:val="24"/>
                            <w:sz w:val="18"/>
                            <w:szCs w:val="18"/>
                          </w:rPr>
                          <w:noBreakHyphen/>
                          <w:t>16 and 2005</w:t>
                        </w:r>
                        <w:r>
                          <w:rPr>
                            <w:rFonts w:ascii="Arial" w:eastAsia="+mn-ea" w:hAnsi="Arial" w:cs="Arial"/>
                            <w:color w:val="000000" w:themeColor="text1"/>
                            <w:kern w:val="24"/>
                            <w:sz w:val="18"/>
                            <w:szCs w:val="18"/>
                          </w:rPr>
                          <w:noBreakHyphen/>
                          <w:t xml:space="preserve">06 respectively for administration and investment. Excludes funds with less than two years of data. </w:t>
                        </w:r>
                      </w:p>
                    </w:tc>
                  </w:tr>
                </w:tbl>
                <w:p w14:paraId="3A004291" w14:textId="77777777" w:rsidR="0011262F" w:rsidRPr="00B1465D" w:rsidRDefault="0011262F" w:rsidP="00B54007">
                  <w:pPr>
                    <w:pStyle w:val="Figure"/>
                    <w:spacing w:before="60" w:after="60"/>
                    <w:rPr>
                      <w:rFonts w:ascii="Arial" w:hAnsi="Arial" w:cs="Arial"/>
                      <w:sz w:val="18"/>
                      <w:szCs w:val="18"/>
                    </w:rPr>
                  </w:pPr>
                </w:p>
              </w:tc>
            </w:tr>
          </w:tbl>
          <w:p w14:paraId="0F57497E" w14:textId="77777777" w:rsidR="0011262F" w:rsidRDefault="0011262F" w:rsidP="00B54007">
            <w:pPr>
              <w:pStyle w:val="Figure"/>
            </w:pPr>
          </w:p>
        </w:tc>
      </w:tr>
      <w:tr w:rsidR="0011262F" w14:paraId="74DD82A9" w14:textId="77777777" w:rsidTr="00B54007">
        <w:tc>
          <w:tcPr>
            <w:tcW w:w="5000" w:type="pct"/>
            <w:tcBorders>
              <w:top w:val="nil"/>
              <w:left w:val="nil"/>
              <w:bottom w:val="single" w:sz="6" w:space="0" w:color="78A22F"/>
              <w:right w:val="nil"/>
            </w:tcBorders>
            <w:shd w:val="clear" w:color="auto" w:fill="auto"/>
          </w:tcPr>
          <w:p w14:paraId="1BD27BA1" w14:textId="77777777" w:rsidR="0011262F" w:rsidRDefault="0011262F" w:rsidP="00B54007">
            <w:pPr>
              <w:pStyle w:val="Figurespace"/>
            </w:pPr>
          </w:p>
        </w:tc>
      </w:tr>
      <w:tr w:rsidR="0011262F" w:rsidRPr="000863A5" w14:paraId="71A01464" w14:textId="77777777" w:rsidTr="00B54007">
        <w:tc>
          <w:tcPr>
            <w:tcW w:w="5000" w:type="pct"/>
            <w:tcBorders>
              <w:top w:val="single" w:sz="6" w:space="0" w:color="78A22F"/>
              <w:left w:val="nil"/>
              <w:bottom w:val="nil"/>
              <w:right w:val="nil"/>
            </w:tcBorders>
          </w:tcPr>
          <w:p w14:paraId="70EA8FEB" w14:textId="77777777" w:rsidR="0011262F" w:rsidRPr="00626D32" w:rsidRDefault="0011262F" w:rsidP="00B54007">
            <w:pPr>
              <w:pStyle w:val="BoxSpaceBelow"/>
            </w:pPr>
          </w:p>
        </w:tc>
      </w:tr>
    </w:tbl>
    <w:p w14:paraId="253B416E" w14:textId="77777777" w:rsidR="0011262F" w:rsidRDefault="0011262F" w:rsidP="0011262F">
      <w:pPr>
        <w:pStyle w:val="BodyText"/>
      </w:pPr>
      <w:r>
        <w:t>That said, it might be that falls in fees lag the declines in average costs achieved with greater scale by more than a year (for example, because cost reductions come through contract renegotiations that do not happen annually). But a systematic relationship between changes in costs and changes in fees is not apparent when changes over a longer period (specifically, over the 13 years from 2004 to 2017) are compared (figure 8.5). Only about one half of funds (represented by the yellow and blue arrows) saw reported average expenses and average fees move in the same direction over this period (though the picture is muddied for investment expenses by the significant zero reporting and underreporting).</w:t>
      </w:r>
    </w:p>
    <w:p w14:paraId="6D49F199" w14:textId="77777777" w:rsidR="0011262F" w:rsidRDefault="0011262F" w:rsidP="0011262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1262F" w14:paraId="4486DE1A" w14:textId="77777777" w:rsidTr="00B54007">
        <w:trPr>
          <w:tblHeader/>
        </w:trPr>
        <w:tc>
          <w:tcPr>
            <w:tcW w:w="5000" w:type="pct"/>
            <w:tcBorders>
              <w:top w:val="single" w:sz="6" w:space="0" w:color="78A22F"/>
              <w:left w:val="nil"/>
              <w:bottom w:val="nil"/>
              <w:right w:val="nil"/>
            </w:tcBorders>
            <w:shd w:val="clear" w:color="auto" w:fill="auto"/>
          </w:tcPr>
          <w:p w14:paraId="48C67637" w14:textId="77777777" w:rsidR="0011262F" w:rsidRDefault="0011262F" w:rsidP="00B54007">
            <w:pPr>
              <w:pStyle w:val="FigureTitle"/>
              <w:spacing w:before="40" w:after="40"/>
            </w:pPr>
            <w:r w:rsidRPr="00784A05">
              <w:rPr>
                <w:b w:val="0"/>
              </w:rPr>
              <w:t xml:space="preserve">Figure </w:t>
            </w:r>
            <w:bookmarkStart w:id="21" w:name="OLE_LINK37"/>
            <w:r>
              <w:rPr>
                <w:b w:val="0"/>
              </w:rPr>
              <w:t>8.</w:t>
            </w:r>
            <w:r>
              <w:rPr>
                <w:b w:val="0"/>
                <w:noProof/>
              </w:rPr>
              <w:t>5</w:t>
            </w:r>
            <w:bookmarkEnd w:id="21"/>
            <w:r>
              <w:tab/>
              <w:t>Nor is pass</w:t>
            </w:r>
            <w:r>
              <w:noBreakHyphen/>
              <w:t>through evident on casual inspection when changes between 2004 and 2017 are considered</w:t>
            </w:r>
            <w:proofErr w:type="spellStart"/>
            <w:r w:rsidRPr="00AF7376">
              <w:rPr>
                <w:rStyle w:val="NoteLabel"/>
              </w:rPr>
              <w:t>a</w:t>
            </w:r>
            <w:r>
              <w:rPr>
                <w:rStyle w:val="NoteLabel"/>
              </w:rPr>
              <w:t>,b</w:t>
            </w:r>
            <w:proofErr w:type="spellEnd"/>
          </w:p>
          <w:p w14:paraId="00B1EABC" w14:textId="77777777" w:rsidR="0011262F" w:rsidRPr="00176D3F" w:rsidRDefault="0011262F" w:rsidP="00B54007">
            <w:pPr>
              <w:pStyle w:val="Subtitle"/>
              <w:spacing w:before="40" w:after="40"/>
            </w:pPr>
            <w:r>
              <w:t>Changes in fees by changes in expenses, basis points (bps), 2004–2017</w:t>
            </w:r>
          </w:p>
        </w:tc>
      </w:tr>
      <w:tr w:rsidR="0011262F" w14:paraId="6DF8EAA5" w14:textId="77777777" w:rsidTr="00B54007">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276"/>
              <w:gridCol w:w="7229"/>
            </w:tblGrid>
            <w:tr w:rsidR="0011262F" w:rsidRPr="00B1465D" w14:paraId="6DAAC627" w14:textId="77777777" w:rsidTr="00B54007">
              <w:trPr>
                <w:tblHeader/>
                <w:jc w:val="center"/>
              </w:trPr>
              <w:tc>
                <w:tcPr>
                  <w:tcW w:w="5000" w:type="pct"/>
                  <w:gridSpan w:val="2"/>
                  <w:tcBorders>
                    <w:top w:val="nil"/>
                    <w:bottom w:val="nil"/>
                  </w:tcBorders>
                </w:tcPr>
                <w:p w14:paraId="050360F2" w14:textId="77777777" w:rsidR="0011262F" w:rsidRPr="00B1465D" w:rsidRDefault="0011262F" w:rsidP="00B54007">
                  <w:pPr>
                    <w:pStyle w:val="Figure"/>
                    <w:spacing w:before="60" w:after="60"/>
                    <w:rPr>
                      <w:rFonts w:ascii="Arial" w:hAnsi="Arial" w:cs="Arial"/>
                      <w:sz w:val="18"/>
                      <w:szCs w:val="18"/>
                    </w:rPr>
                  </w:pPr>
                  <w:r w:rsidRPr="005104F2">
                    <w:rPr>
                      <w:rFonts w:ascii="Arial" w:hAnsi="Arial" w:cs="Arial"/>
                      <w:noProof/>
                      <w:sz w:val="18"/>
                      <w:szCs w:val="18"/>
                    </w:rPr>
                    <w:t xml:space="preserve"> </w:t>
                  </w:r>
                  <w:r w:rsidRPr="007B3548">
                    <w:rPr>
                      <w:rFonts w:ascii="Arial" w:hAnsi="Arial" w:cs="Arial"/>
                      <w:noProof/>
                      <w:sz w:val="18"/>
                      <w:szCs w:val="18"/>
                    </w:rPr>
                    <w:drawing>
                      <wp:inline distT="0" distB="0" distL="0" distR="0" wp14:anchorId="524E3F8B" wp14:editId="1EE894DD">
                        <wp:extent cx="5128260" cy="5074920"/>
                        <wp:effectExtent l="0" t="0" r="0" b="0"/>
                        <wp:docPr id="58" name="Picture 58" descr="Scatterplots of administration and investment fees against average administration and investment expenses respectively. Each point is an arrow, indicating the direction that the fund has moved between 2004 and 2016. Lower cost and lower fee funds have tended to have increasing fees over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28260" cy="5074920"/>
                                </a:xfrm>
                                <a:prstGeom prst="rect">
                                  <a:avLst/>
                                </a:prstGeom>
                                <a:noFill/>
                                <a:ln>
                                  <a:noFill/>
                                </a:ln>
                              </pic:spPr>
                            </pic:pic>
                          </a:graphicData>
                        </a:graphic>
                      </wp:inline>
                    </w:drawing>
                  </w:r>
                  <w:r w:rsidRPr="00CE419D" w:rsidDel="00CE419D">
                    <w:rPr>
                      <w:rFonts w:ascii="Arial" w:hAnsi="Arial" w:cs="Arial"/>
                      <w:noProof/>
                      <w:sz w:val="18"/>
                      <w:szCs w:val="18"/>
                    </w:rPr>
                    <w:t xml:space="preserve"> </w:t>
                  </w:r>
                </w:p>
              </w:tc>
            </w:tr>
            <w:tr w:rsidR="0011262F" w14:paraId="33A581EB" w14:textId="77777777" w:rsidTr="00B54007">
              <w:trPr>
                <w:tblHeader/>
                <w:jc w:val="center"/>
              </w:trPr>
              <w:tc>
                <w:tcPr>
                  <w:tcW w:w="750" w:type="pct"/>
                  <w:tcBorders>
                    <w:bottom w:val="nil"/>
                  </w:tcBorders>
                  <w:shd w:val="clear" w:color="auto" w:fill="F2F2F2" w:themeFill="background1" w:themeFillShade="F2"/>
                </w:tcPr>
                <w:p w14:paraId="4B80C6BF" w14:textId="77777777" w:rsidR="0011262F" w:rsidRDefault="0011262F" w:rsidP="00B54007">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4250" w:type="pct"/>
                  <w:tcBorders>
                    <w:bottom w:val="nil"/>
                  </w:tcBorders>
                  <w:shd w:val="clear" w:color="auto" w:fill="F2F2F2" w:themeFill="background1" w:themeFillShade="F2"/>
                </w:tcPr>
                <w:p w14:paraId="26555B8A" w14:textId="77777777" w:rsidR="0011262F" w:rsidRDefault="0011262F" w:rsidP="00B54007">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PC analysis of unpublished APRA data and SR data.</w:t>
                  </w:r>
                </w:p>
              </w:tc>
            </w:tr>
            <w:tr w:rsidR="0011262F" w14:paraId="32D2AD7D" w14:textId="77777777" w:rsidTr="00B54007">
              <w:trPr>
                <w:tblHeader/>
                <w:jc w:val="center"/>
              </w:trPr>
              <w:tc>
                <w:tcPr>
                  <w:tcW w:w="750" w:type="pct"/>
                  <w:tcBorders>
                    <w:top w:val="nil"/>
                    <w:bottom w:val="nil"/>
                  </w:tcBorders>
                  <w:shd w:val="clear" w:color="auto" w:fill="F2F2F2" w:themeFill="background1" w:themeFillShade="F2"/>
                </w:tcPr>
                <w:p w14:paraId="6F75E478" w14:textId="77777777" w:rsidR="0011262F" w:rsidRDefault="0011262F" w:rsidP="00B54007">
                  <w:pPr>
                    <w:pStyle w:val="Figure"/>
                    <w:spacing w:before="0" w:after="0"/>
                    <w:jc w:val="left"/>
                    <w:rPr>
                      <w:rFonts w:asciiTheme="minorHAnsi" w:hAnsi="Arial" w:cstheme="minorBidi"/>
                      <w:b/>
                      <w:color w:val="000000" w:themeColor="text1"/>
                      <w:kern w:val="24"/>
                      <w:sz w:val="18"/>
                      <w:szCs w:val="18"/>
                    </w:rPr>
                  </w:pPr>
                  <w:r w:rsidRPr="002D6D85">
                    <w:rPr>
                      <w:rFonts w:asciiTheme="minorHAnsi" w:hAnsi="Arial" w:cstheme="minorBidi"/>
                      <w:b/>
                      <w:color w:val="000000" w:themeColor="text1"/>
                      <w:kern w:val="24"/>
                      <w:sz w:val="18"/>
                      <w:szCs w:val="18"/>
                    </w:rPr>
                    <w:t>Coverage</w:t>
                  </w:r>
                </w:p>
              </w:tc>
              <w:tc>
                <w:tcPr>
                  <w:tcW w:w="4250" w:type="pct"/>
                  <w:tcBorders>
                    <w:top w:val="nil"/>
                    <w:bottom w:val="nil"/>
                  </w:tcBorders>
                  <w:shd w:val="clear" w:color="auto" w:fill="F2F2F2" w:themeFill="background1" w:themeFillShade="F2"/>
                </w:tcPr>
                <w:p w14:paraId="18CAB01B" w14:textId="77777777" w:rsidR="0011262F" w:rsidRDefault="0011262F" w:rsidP="00B54007">
                  <w:pPr>
                    <w:pStyle w:val="Figure"/>
                    <w:spacing w:before="0" w:after="0"/>
                    <w:jc w:val="left"/>
                    <w:rPr>
                      <w:rFonts w:asciiTheme="minorHAnsi" w:hAnsi="Arial" w:cstheme="minorBidi"/>
                      <w:color w:val="000000" w:themeColor="text1"/>
                      <w:kern w:val="24"/>
                      <w:sz w:val="18"/>
                      <w:szCs w:val="18"/>
                    </w:rPr>
                  </w:pPr>
                  <w:r>
                    <w:rPr>
                      <w:rFonts w:ascii="Arial" w:eastAsia="+mn-ea" w:hAnsi="Arial" w:cs="Arial"/>
                      <w:color w:val="000000" w:themeColor="text1"/>
                      <w:kern w:val="24"/>
                      <w:sz w:val="18"/>
                      <w:szCs w:val="18"/>
                    </w:rPr>
                    <w:t xml:space="preserve">118 </w:t>
                  </w:r>
                  <w:r w:rsidRPr="00A95597">
                    <w:rPr>
                      <w:rFonts w:ascii="Arial" w:eastAsia="+mn-ea" w:hAnsi="Arial" w:cs="Arial"/>
                      <w:color w:val="000000" w:themeColor="text1"/>
                      <w:kern w:val="24"/>
                      <w:sz w:val="18"/>
                      <w:szCs w:val="18"/>
                    </w:rPr>
                    <w:t>funds</w:t>
                  </w:r>
                  <w:r>
                    <w:rPr>
                      <w:rFonts w:ascii="Arial" w:eastAsia="+mn-ea" w:hAnsi="Arial" w:cs="Arial"/>
                      <w:color w:val="000000" w:themeColor="text1"/>
                      <w:kern w:val="24"/>
                      <w:sz w:val="18"/>
                      <w:szCs w:val="18"/>
                    </w:rPr>
                    <w:t xml:space="preserve"> representing 39</w:t>
                  </w:r>
                  <w:r w:rsidRPr="00262154">
                    <w:rPr>
                      <w:rFonts w:ascii="Arial" w:eastAsia="+mn-ea" w:hAnsi="Arial" w:cs="Arial"/>
                      <w:color w:val="000000" w:themeColor="text1"/>
                      <w:kern w:val="24"/>
                      <w:sz w:val="18"/>
                      <w:szCs w:val="18"/>
                    </w:rPr>
                    <w:t> per cent</w:t>
                  </w:r>
                  <w:r>
                    <w:rPr>
                      <w:rFonts w:ascii="Arial" w:eastAsia="+mn-ea" w:hAnsi="Arial" w:cs="Arial"/>
                      <w:color w:val="000000" w:themeColor="text1"/>
                      <w:kern w:val="24"/>
                      <w:sz w:val="18"/>
                      <w:szCs w:val="18"/>
                    </w:rPr>
                    <w:t xml:space="preserve"> and 81 per cent of the system by assets in 2005</w:t>
                  </w:r>
                  <w:r>
                    <w:rPr>
                      <w:rFonts w:ascii="Arial" w:eastAsia="+mn-ea" w:hAnsi="Arial" w:cs="Arial"/>
                      <w:color w:val="000000" w:themeColor="text1"/>
                      <w:kern w:val="24"/>
                      <w:sz w:val="18"/>
                      <w:szCs w:val="18"/>
                    </w:rPr>
                    <w:noBreakHyphen/>
                    <w:t>06 and 2015</w:t>
                  </w:r>
                  <w:r>
                    <w:rPr>
                      <w:rFonts w:ascii="Arial" w:eastAsia="+mn-ea" w:hAnsi="Arial" w:cs="Arial"/>
                      <w:color w:val="000000" w:themeColor="text1"/>
                      <w:kern w:val="24"/>
                      <w:sz w:val="18"/>
                      <w:szCs w:val="18"/>
                    </w:rPr>
                    <w:noBreakHyphen/>
                    <w:t>16, respectively. Excludes funds with less than two years of data.</w:t>
                  </w:r>
                </w:p>
              </w:tc>
            </w:tr>
          </w:tbl>
          <w:p w14:paraId="5756584B" w14:textId="77777777" w:rsidR="0011262F" w:rsidRPr="00261BAB" w:rsidRDefault="0011262F" w:rsidP="00B54007">
            <w:pPr>
              <w:rPr>
                <w:sz w:val="2"/>
              </w:rPr>
            </w:pPr>
          </w:p>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3544"/>
              <w:gridCol w:w="2580"/>
              <w:gridCol w:w="2381"/>
            </w:tblGrid>
            <w:tr w:rsidR="0011262F" w:rsidRPr="006B520E" w14:paraId="033F2B2A" w14:textId="77777777" w:rsidTr="00B54007">
              <w:trPr>
                <w:trHeight w:val="227"/>
                <w:jc w:val="center"/>
              </w:trPr>
              <w:tc>
                <w:tcPr>
                  <w:tcW w:w="5000" w:type="pct"/>
                  <w:gridSpan w:val="3"/>
                  <w:tcBorders>
                    <w:top w:val="nil"/>
                    <w:bottom w:val="nil"/>
                  </w:tcBorders>
                  <w:shd w:val="clear" w:color="auto" w:fill="auto"/>
                </w:tcPr>
                <w:p w14:paraId="268624D1" w14:textId="77777777" w:rsidR="0011262F" w:rsidRPr="006B520E" w:rsidRDefault="0011262F" w:rsidP="00B54007">
                  <w:pPr>
                    <w:pStyle w:val="TableTitle"/>
                    <w:spacing w:before="60" w:after="60" w:line="240" w:lineRule="auto"/>
                    <w:rPr>
                      <w:sz w:val="20"/>
                    </w:rPr>
                  </w:pPr>
                  <w:r>
                    <w:rPr>
                      <w:sz w:val="20"/>
                    </w:rPr>
                    <w:t>Distribution of funds by direction of fee and average cost change</w:t>
                  </w:r>
                </w:p>
              </w:tc>
            </w:tr>
            <w:tr w:rsidR="0011262F" w:rsidRPr="003F67BC" w14:paraId="6EDD4628" w14:textId="77777777" w:rsidTr="00B54007">
              <w:trPr>
                <w:jc w:val="center"/>
              </w:trPr>
              <w:tc>
                <w:tcPr>
                  <w:tcW w:w="2083" w:type="pct"/>
                  <w:tcBorders>
                    <w:top w:val="nil"/>
                    <w:bottom w:val="nil"/>
                  </w:tcBorders>
                  <w:shd w:val="clear" w:color="auto" w:fill="auto"/>
                </w:tcPr>
                <w:p w14:paraId="29679771" w14:textId="77777777" w:rsidR="0011262F" w:rsidRPr="003F67BC" w:rsidRDefault="0011262F" w:rsidP="00B54007">
                  <w:pPr>
                    <w:pStyle w:val="Figure"/>
                    <w:spacing w:before="0" w:after="0"/>
                    <w:jc w:val="left"/>
                    <w:rPr>
                      <w:rFonts w:ascii="Arial" w:hAnsi="Arial" w:cs="Arial"/>
                      <w:sz w:val="18"/>
                      <w:szCs w:val="18"/>
                    </w:rPr>
                  </w:pPr>
                </w:p>
              </w:tc>
              <w:tc>
                <w:tcPr>
                  <w:tcW w:w="1517" w:type="pct"/>
                  <w:tcBorders>
                    <w:top w:val="nil"/>
                    <w:bottom w:val="nil"/>
                  </w:tcBorders>
                  <w:shd w:val="clear" w:color="auto" w:fill="auto"/>
                </w:tcPr>
                <w:p w14:paraId="062991D7" w14:textId="77777777" w:rsidR="0011262F" w:rsidRPr="003F67BC" w:rsidRDefault="0011262F" w:rsidP="00B54007">
                  <w:pPr>
                    <w:pStyle w:val="TableBodyText"/>
                  </w:pPr>
                  <w:r w:rsidRPr="003F67BC">
                    <w:t>Administration</w:t>
                  </w:r>
                </w:p>
                <w:p w14:paraId="03CC89AD" w14:textId="77777777" w:rsidR="0011262F" w:rsidRPr="003F67BC" w:rsidRDefault="0011262F" w:rsidP="00B54007">
                  <w:pPr>
                    <w:pStyle w:val="TableBodyText"/>
                  </w:pPr>
                  <w:r w:rsidRPr="003F67BC">
                    <w:t>(per cent of funds)</w:t>
                  </w:r>
                </w:p>
              </w:tc>
              <w:tc>
                <w:tcPr>
                  <w:tcW w:w="1400" w:type="pct"/>
                  <w:tcBorders>
                    <w:top w:val="nil"/>
                    <w:bottom w:val="nil"/>
                  </w:tcBorders>
                  <w:shd w:val="clear" w:color="auto" w:fill="auto"/>
                </w:tcPr>
                <w:p w14:paraId="58CA5789" w14:textId="77777777" w:rsidR="0011262F" w:rsidRPr="003F67BC" w:rsidRDefault="0011262F" w:rsidP="00B54007">
                  <w:pPr>
                    <w:pStyle w:val="TableBodyText"/>
                  </w:pPr>
                  <w:r w:rsidRPr="003F67BC">
                    <w:t>Investment</w:t>
                  </w:r>
                </w:p>
                <w:p w14:paraId="658D0A9E" w14:textId="77777777" w:rsidR="0011262F" w:rsidRPr="003F67BC" w:rsidRDefault="0011262F" w:rsidP="00B54007">
                  <w:pPr>
                    <w:pStyle w:val="TableBodyText"/>
                  </w:pPr>
                  <w:r w:rsidRPr="003F67BC">
                    <w:t>(per cent of funds)</w:t>
                  </w:r>
                </w:p>
              </w:tc>
            </w:tr>
            <w:tr w:rsidR="0011262F" w14:paraId="1B1F40EF" w14:textId="77777777" w:rsidTr="00B54007">
              <w:trPr>
                <w:jc w:val="center"/>
              </w:trPr>
              <w:tc>
                <w:tcPr>
                  <w:tcW w:w="2083" w:type="pct"/>
                  <w:tcBorders>
                    <w:top w:val="nil"/>
                    <w:bottom w:val="nil"/>
                  </w:tcBorders>
                  <w:shd w:val="clear" w:color="auto" w:fill="F2F2F2" w:themeFill="background1" w:themeFillShade="F2"/>
                </w:tcPr>
                <w:p w14:paraId="39D968EA" w14:textId="77777777" w:rsidR="0011262F" w:rsidRPr="00806CCC" w:rsidRDefault="0011262F" w:rsidP="00B54007">
                  <w:pPr>
                    <w:pStyle w:val="Figure"/>
                    <w:spacing w:before="0" w:after="0"/>
                    <w:jc w:val="left"/>
                    <w:rPr>
                      <w:rFonts w:ascii="Arial" w:hAnsi="Arial"/>
                      <w:sz w:val="18"/>
                    </w:rPr>
                  </w:pPr>
                  <w:r w:rsidRPr="006E7B49">
                    <w:rPr>
                      <w:rFonts w:ascii="Arial" w:hAnsi="Arial"/>
                      <w:sz w:val="18"/>
                    </w:rPr>
                    <w:t xml:space="preserve">Increasing fees, decreasing </w:t>
                  </w:r>
                  <w:r w:rsidRPr="00806CCC">
                    <w:rPr>
                      <w:rFonts w:ascii="Arial" w:hAnsi="Arial"/>
                      <w:sz w:val="18"/>
                    </w:rPr>
                    <w:t>average cost</w:t>
                  </w:r>
                </w:p>
              </w:tc>
              <w:tc>
                <w:tcPr>
                  <w:tcW w:w="1517" w:type="pct"/>
                  <w:tcBorders>
                    <w:top w:val="nil"/>
                    <w:bottom w:val="nil"/>
                  </w:tcBorders>
                  <w:shd w:val="clear" w:color="auto" w:fill="F2F2F2" w:themeFill="background1" w:themeFillShade="F2"/>
                </w:tcPr>
                <w:p w14:paraId="649AA090" w14:textId="77777777" w:rsidR="0011262F" w:rsidRDefault="0011262F" w:rsidP="00B54007">
                  <w:pPr>
                    <w:pStyle w:val="TableBodyText"/>
                  </w:pPr>
                  <w:r>
                    <w:t>28</w:t>
                  </w:r>
                </w:p>
              </w:tc>
              <w:tc>
                <w:tcPr>
                  <w:tcW w:w="1400" w:type="pct"/>
                  <w:tcBorders>
                    <w:top w:val="nil"/>
                    <w:bottom w:val="nil"/>
                  </w:tcBorders>
                  <w:shd w:val="clear" w:color="auto" w:fill="F2F2F2" w:themeFill="background1" w:themeFillShade="F2"/>
                </w:tcPr>
                <w:p w14:paraId="1B0EA010" w14:textId="77777777" w:rsidR="0011262F" w:rsidRDefault="0011262F" w:rsidP="00B54007">
                  <w:pPr>
                    <w:pStyle w:val="TableBodyText"/>
                  </w:pPr>
                  <w:r>
                    <w:t>25</w:t>
                  </w:r>
                </w:p>
              </w:tc>
            </w:tr>
            <w:tr w:rsidR="0011262F" w14:paraId="3734A9C0" w14:textId="77777777" w:rsidTr="00B54007">
              <w:trPr>
                <w:jc w:val="center"/>
              </w:trPr>
              <w:tc>
                <w:tcPr>
                  <w:tcW w:w="2083" w:type="pct"/>
                  <w:tcBorders>
                    <w:top w:val="nil"/>
                  </w:tcBorders>
                  <w:shd w:val="clear" w:color="auto" w:fill="auto"/>
                </w:tcPr>
                <w:p w14:paraId="190AD05E" w14:textId="77777777" w:rsidR="0011262F" w:rsidRPr="00806CCC" w:rsidRDefault="0011262F" w:rsidP="00B54007">
                  <w:pPr>
                    <w:pStyle w:val="Figure"/>
                    <w:spacing w:before="0" w:after="0"/>
                    <w:jc w:val="left"/>
                    <w:rPr>
                      <w:rFonts w:ascii="Arial" w:hAnsi="Arial"/>
                      <w:sz w:val="18"/>
                    </w:rPr>
                  </w:pPr>
                  <w:r>
                    <w:rPr>
                      <w:rFonts w:ascii="Arial" w:hAnsi="Arial"/>
                      <w:sz w:val="18"/>
                    </w:rPr>
                    <w:t>Increasing</w:t>
                  </w:r>
                  <w:r w:rsidRPr="006E7B49">
                    <w:rPr>
                      <w:rFonts w:ascii="Arial" w:hAnsi="Arial"/>
                      <w:sz w:val="18"/>
                    </w:rPr>
                    <w:t xml:space="preserve"> fees, </w:t>
                  </w:r>
                  <w:r>
                    <w:rPr>
                      <w:rFonts w:ascii="Arial" w:hAnsi="Arial"/>
                      <w:sz w:val="18"/>
                    </w:rPr>
                    <w:t>in</w:t>
                  </w:r>
                  <w:r w:rsidRPr="006E7B49">
                    <w:rPr>
                      <w:rFonts w:ascii="Arial" w:hAnsi="Arial"/>
                      <w:sz w:val="18"/>
                    </w:rPr>
                    <w:t>creasing average cost</w:t>
                  </w:r>
                </w:p>
              </w:tc>
              <w:tc>
                <w:tcPr>
                  <w:tcW w:w="1517" w:type="pct"/>
                  <w:tcBorders>
                    <w:top w:val="nil"/>
                  </w:tcBorders>
                  <w:shd w:val="clear" w:color="auto" w:fill="auto"/>
                </w:tcPr>
                <w:p w14:paraId="4EE85AD3" w14:textId="77777777" w:rsidR="0011262F" w:rsidRDefault="0011262F" w:rsidP="00B54007">
                  <w:pPr>
                    <w:pStyle w:val="TableBodyText"/>
                  </w:pPr>
                  <w:r>
                    <w:t>25</w:t>
                  </w:r>
                </w:p>
              </w:tc>
              <w:tc>
                <w:tcPr>
                  <w:tcW w:w="1400" w:type="pct"/>
                  <w:tcBorders>
                    <w:top w:val="nil"/>
                  </w:tcBorders>
                  <w:shd w:val="clear" w:color="auto" w:fill="auto"/>
                </w:tcPr>
                <w:p w14:paraId="42F11EBA" w14:textId="77777777" w:rsidR="0011262F" w:rsidRDefault="0011262F" w:rsidP="00B54007">
                  <w:pPr>
                    <w:pStyle w:val="TableBodyText"/>
                  </w:pPr>
                  <w:r>
                    <w:t>32</w:t>
                  </w:r>
                </w:p>
              </w:tc>
            </w:tr>
            <w:tr w:rsidR="0011262F" w14:paraId="6AC4AB49" w14:textId="77777777" w:rsidTr="00B54007">
              <w:trPr>
                <w:jc w:val="center"/>
              </w:trPr>
              <w:tc>
                <w:tcPr>
                  <w:tcW w:w="2083" w:type="pct"/>
                  <w:shd w:val="clear" w:color="auto" w:fill="F2F2F2" w:themeFill="background1" w:themeFillShade="F2"/>
                </w:tcPr>
                <w:p w14:paraId="7A60FEF7" w14:textId="77777777" w:rsidR="0011262F" w:rsidRDefault="0011262F" w:rsidP="00B54007">
                  <w:pPr>
                    <w:pStyle w:val="Figure"/>
                    <w:spacing w:before="0" w:after="0"/>
                    <w:jc w:val="left"/>
                    <w:rPr>
                      <w:rFonts w:ascii="Arial" w:hAnsi="Arial"/>
                      <w:sz w:val="18"/>
                    </w:rPr>
                  </w:pPr>
                  <w:r w:rsidRPr="006E7B49">
                    <w:rPr>
                      <w:rFonts w:ascii="Arial" w:hAnsi="Arial"/>
                      <w:sz w:val="18"/>
                    </w:rPr>
                    <w:t xml:space="preserve">Decreasing fees, </w:t>
                  </w:r>
                  <w:r>
                    <w:rPr>
                      <w:rFonts w:ascii="Arial" w:hAnsi="Arial"/>
                      <w:sz w:val="18"/>
                    </w:rPr>
                    <w:t>d</w:t>
                  </w:r>
                  <w:r w:rsidRPr="006E7B49">
                    <w:rPr>
                      <w:rFonts w:ascii="Arial" w:hAnsi="Arial"/>
                      <w:sz w:val="18"/>
                    </w:rPr>
                    <w:t>ecreasing average cost</w:t>
                  </w:r>
                </w:p>
              </w:tc>
              <w:tc>
                <w:tcPr>
                  <w:tcW w:w="1517" w:type="pct"/>
                  <w:shd w:val="clear" w:color="auto" w:fill="F2F2F2" w:themeFill="background1" w:themeFillShade="F2"/>
                </w:tcPr>
                <w:p w14:paraId="76225039" w14:textId="77777777" w:rsidR="0011262F" w:rsidRPr="006B520E" w:rsidRDefault="0011262F" w:rsidP="00B54007">
                  <w:pPr>
                    <w:pStyle w:val="TableBodyText"/>
                  </w:pPr>
                  <w:r w:rsidRPr="003E7ED8">
                    <w:t>31</w:t>
                  </w:r>
                </w:p>
              </w:tc>
              <w:tc>
                <w:tcPr>
                  <w:tcW w:w="1400" w:type="pct"/>
                  <w:shd w:val="clear" w:color="auto" w:fill="F2F2F2" w:themeFill="background1" w:themeFillShade="F2"/>
                </w:tcPr>
                <w:p w14:paraId="1D6C9CB6" w14:textId="77777777" w:rsidR="0011262F" w:rsidRPr="006B520E" w:rsidRDefault="0011262F" w:rsidP="00B54007">
                  <w:pPr>
                    <w:pStyle w:val="TableBodyText"/>
                  </w:pPr>
                  <w:r w:rsidRPr="003E7ED8">
                    <w:t>21</w:t>
                  </w:r>
                </w:p>
              </w:tc>
            </w:tr>
            <w:tr w:rsidR="0011262F" w14:paraId="203F97D6" w14:textId="77777777" w:rsidTr="00B54007">
              <w:trPr>
                <w:jc w:val="center"/>
              </w:trPr>
              <w:tc>
                <w:tcPr>
                  <w:tcW w:w="2083" w:type="pct"/>
                  <w:tcBorders>
                    <w:bottom w:val="nil"/>
                  </w:tcBorders>
                  <w:shd w:val="clear" w:color="auto" w:fill="auto"/>
                </w:tcPr>
                <w:p w14:paraId="15EC0011" w14:textId="77777777" w:rsidR="0011262F" w:rsidRPr="00806CCC" w:rsidRDefault="0011262F" w:rsidP="00B54007">
                  <w:pPr>
                    <w:pStyle w:val="Figure"/>
                    <w:spacing w:before="0" w:after="0"/>
                    <w:jc w:val="left"/>
                    <w:rPr>
                      <w:rFonts w:ascii="Arial" w:hAnsi="Arial"/>
                      <w:sz w:val="18"/>
                    </w:rPr>
                  </w:pPr>
                  <w:r w:rsidRPr="006E7B49">
                    <w:rPr>
                      <w:rFonts w:ascii="Arial" w:hAnsi="Arial"/>
                      <w:sz w:val="18"/>
                    </w:rPr>
                    <w:t>Decreasing fees,</w:t>
                  </w:r>
                  <w:r>
                    <w:rPr>
                      <w:rFonts w:ascii="Arial" w:hAnsi="Arial"/>
                      <w:sz w:val="18"/>
                    </w:rPr>
                    <w:t xml:space="preserve"> i</w:t>
                  </w:r>
                  <w:r w:rsidRPr="006E7B49">
                    <w:rPr>
                      <w:rFonts w:ascii="Arial" w:hAnsi="Arial"/>
                      <w:sz w:val="18"/>
                    </w:rPr>
                    <w:t>ncreasing average cost</w:t>
                  </w:r>
                </w:p>
              </w:tc>
              <w:tc>
                <w:tcPr>
                  <w:tcW w:w="1517" w:type="pct"/>
                  <w:tcBorders>
                    <w:bottom w:val="nil"/>
                  </w:tcBorders>
                  <w:shd w:val="clear" w:color="auto" w:fill="auto"/>
                </w:tcPr>
                <w:p w14:paraId="19CB38E9" w14:textId="77777777" w:rsidR="0011262F" w:rsidRDefault="0011262F" w:rsidP="00B54007">
                  <w:pPr>
                    <w:pStyle w:val="TableBodyText"/>
                  </w:pPr>
                  <w:r>
                    <w:t>16</w:t>
                  </w:r>
                </w:p>
              </w:tc>
              <w:tc>
                <w:tcPr>
                  <w:tcW w:w="1400" w:type="pct"/>
                  <w:tcBorders>
                    <w:bottom w:val="nil"/>
                  </w:tcBorders>
                  <w:shd w:val="clear" w:color="auto" w:fill="auto"/>
                </w:tcPr>
                <w:p w14:paraId="245306FB" w14:textId="77777777" w:rsidR="0011262F" w:rsidRDefault="0011262F" w:rsidP="00B54007">
                  <w:pPr>
                    <w:pStyle w:val="TableBodyText"/>
                  </w:pPr>
                  <w:r>
                    <w:t>23</w:t>
                  </w:r>
                </w:p>
              </w:tc>
            </w:tr>
            <w:tr w:rsidR="0011262F" w14:paraId="34DB61A7" w14:textId="77777777" w:rsidTr="00B54007">
              <w:trPr>
                <w:jc w:val="center"/>
              </w:trPr>
              <w:tc>
                <w:tcPr>
                  <w:tcW w:w="2083" w:type="pct"/>
                  <w:tcBorders>
                    <w:top w:val="nil"/>
                    <w:bottom w:val="single" w:sz="6" w:space="0" w:color="BFBFBF" w:themeColor="background1" w:themeShade="BF"/>
                  </w:tcBorders>
                  <w:shd w:val="clear" w:color="auto" w:fill="F2F2F2" w:themeFill="background1" w:themeFillShade="F2"/>
                </w:tcPr>
                <w:p w14:paraId="42B0BF9D" w14:textId="77777777" w:rsidR="0011262F" w:rsidRPr="00E65137" w:rsidRDefault="0011262F" w:rsidP="00B54007">
                  <w:pPr>
                    <w:pStyle w:val="Figure"/>
                    <w:spacing w:before="0" w:after="0"/>
                    <w:jc w:val="left"/>
                    <w:rPr>
                      <w:rFonts w:ascii="Arial" w:hAnsi="Arial"/>
                      <w:b/>
                      <w:sz w:val="18"/>
                    </w:rPr>
                  </w:pPr>
                  <w:r w:rsidRPr="00E65137">
                    <w:rPr>
                      <w:rFonts w:ascii="Arial" w:hAnsi="Arial"/>
                      <w:b/>
                      <w:sz w:val="18"/>
                    </w:rPr>
                    <w:t>Total</w:t>
                  </w:r>
                </w:p>
              </w:tc>
              <w:tc>
                <w:tcPr>
                  <w:tcW w:w="1517" w:type="pct"/>
                  <w:tcBorders>
                    <w:top w:val="nil"/>
                    <w:bottom w:val="single" w:sz="6" w:space="0" w:color="BFBFBF" w:themeColor="background1" w:themeShade="BF"/>
                  </w:tcBorders>
                  <w:shd w:val="clear" w:color="auto" w:fill="F2F2F2" w:themeFill="background1" w:themeFillShade="F2"/>
                </w:tcPr>
                <w:p w14:paraId="11B3BFD5" w14:textId="77777777" w:rsidR="0011262F" w:rsidRPr="00E65137" w:rsidRDefault="0011262F" w:rsidP="00B54007">
                  <w:pPr>
                    <w:pStyle w:val="TableBodyText"/>
                    <w:rPr>
                      <w:b/>
                    </w:rPr>
                  </w:pPr>
                  <w:r w:rsidRPr="00E65137">
                    <w:rPr>
                      <w:b/>
                    </w:rPr>
                    <w:t>100</w:t>
                  </w:r>
                </w:p>
              </w:tc>
              <w:tc>
                <w:tcPr>
                  <w:tcW w:w="1400" w:type="pct"/>
                  <w:tcBorders>
                    <w:top w:val="nil"/>
                    <w:bottom w:val="single" w:sz="6" w:space="0" w:color="BFBFBF" w:themeColor="background1" w:themeShade="BF"/>
                  </w:tcBorders>
                  <w:shd w:val="clear" w:color="auto" w:fill="F2F2F2" w:themeFill="background1" w:themeFillShade="F2"/>
                </w:tcPr>
                <w:p w14:paraId="37D30108" w14:textId="77777777" w:rsidR="0011262F" w:rsidRPr="00E65137" w:rsidRDefault="0011262F" w:rsidP="00B54007">
                  <w:pPr>
                    <w:pStyle w:val="TableBodyText"/>
                    <w:rPr>
                      <w:b/>
                    </w:rPr>
                  </w:pPr>
                  <w:r w:rsidRPr="00E65137">
                    <w:rPr>
                      <w:b/>
                    </w:rPr>
                    <w:t>100</w:t>
                  </w:r>
                </w:p>
              </w:tc>
            </w:tr>
          </w:tbl>
          <w:p w14:paraId="5F3E2406" w14:textId="77777777" w:rsidR="0011262F" w:rsidRDefault="0011262F" w:rsidP="00B54007">
            <w:pPr>
              <w:pStyle w:val="Figure"/>
            </w:pPr>
          </w:p>
        </w:tc>
      </w:tr>
      <w:tr w:rsidR="0011262F" w:rsidRPr="00176D3F" w14:paraId="4286A0C8" w14:textId="77777777" w:rsidTr="00B54007">
        <w:tc>
          <w:tcPr>
            <w:tcW w:w="5000" w:type="pct"/>
            <w:tcBorders>
              <w:top w:val="nil"/>
              <w:left w:val="nil"/>
              <w:bottom w:val="nil"/>
              <w:right w:val="nil"/>
            </w:tcBorders>
            <w:shd w:val="clear" w:color="auto" w:fill="auto"/>
          </w:tcPr>
          <w:p w14:paraId="014EAE70" w14:textId="77777777" w:rsidR="0011262F" w:rsidRPr="00176D3F" w:rsidRDefault="0011262F" w:rsidP="00B54007">
            <w:pPr>
              <w:pStyle w:val="Note"/>
            </w:pPr>
            <w:proofErr w:type="spellStart"/>
            <w:r>
              <w:rPr>
                <w:rStyle w:val="NoteLabel"/>
              </w:rPr>
              <w:t>a</w:t>
            </w:r>
            <w:proofErr w:type="spellEnd"/>
            <w:r>
              <w:rPr>
                <w:rStyle w:val="NoteLabel"/>
              </w:rPr>
              <w:t xml:space="preserve"> </w:t>
            </w:r>
            <w:r>
              <w:t>The whole sample spans 2004–2017, but individual funds may have joined the market later, or exited the market pre</w:t>
            </w:r>
            <w:r>
              <w:noBreakHyphen/>
              <w:t xml:space="preserve">2017. </w:t>
            </w:r>
            <w:r>
              <w:rPr>
                <w:rStyle w:val="NoteLabel"/>
              </w:rPr>
              <w:t xml:space="preserve">b </w:t>
            </w:r>
            <w:r>
              <w:t>Differences between starting reported expenses and fees could be due to underreporting or assumptions used to calculate fees (for example, calculated for a member with $50 000 balance).</w:t>
            </w:r>
          </w:p>
        </w:tc>
      </w:tr>
      <w:tr w:rsidR="0011262F" w14:paraId="52A586AE" w14:textId="77777777" w:rsidTr="00B54007">
        <w:tc>
          <w:tcPr>
            <w:tcW w:w="5000" w:type="pct"/>
            <w:tcBorders>
              <w:top w:val="nil"/>
              <w:left w:val="nil"/>
              <w:bottom w:val="single" w:sz="6" w:space="0" w:color="78A22F"/>
              <w:right w:val="nil"/>
            </w:tcBorders>
            <w:shd w:val="clear" w:color="auto" w:fill="auto"/>
          </w:tcPr>
          <w:p w14:paraId="41D2E4EF" w14:textId="77777777" w:rsidR="0011262F" w:rsidRDefault="0011262F" w:rsidP="00B54007">
            <w:pPr>
              <w:pStyle w:val="Figurespace"/>
            </w:pPr>
          </w:p>
        </w:tc>
      </w:tr>
      <w:tr w:rsidR="0011262F" w:rsidRPr="000863A5" w14:paraId="528CC4A7" w14:textId="77777777" w:rsidTr="00B54007">
        <w:tc>
          <w:tcPr>
            <w:tcW w:w="5000" w:type="pct"/>
            <w:tcBorders>
              <w:top w:val="single" w:sz="6" w:space="0" w:color="78A22F"/>
              <w:left w:val="nil"/>
              <w:bottom w:val="nil"/>
              <w:right w:val="nil"/>
            </w:tcBorders>
          </w:tcPr>
          <w:p w14:paraId="332CA398" w14:textId="77777777" w:rsidR="0011262F" w:rsidRPr="00626D32" w:rsidRDefault="0011262F" w:rsidP="00B54007">
            <w:pPr>
              <w:pStyle w:val="BoxSpaceBelow"/>
            </w:pPr>
          </w:p>
        </w:tc>
      </w:tr>
    </w:tbl>
    <w:p w14:paraId="7D610A9D" w14:textId="77777777" w:rsidR="0011262F" w:rsidRDefault="0011262F" w:rsidP="0011262F">
      <w:pPr>
        <w:pStyle w:val="Heading3"/>
      </w:pPr>
      <w:r>
        <w:lastRenderedPageBreak/>
        <w:t>Variables included in the analysis — informed by consultation</w:t>
      </w:r>
    </w:p>
    <w:p w14:paraId="0EE121F9" w14:textId="77777777" w:rsidR="0011262F" w:rsidRPr="000E7EA1" w:rsidRDefault="0011262F" w:rsidP="0011262F">
      <w:pPr>
        <w:pStyle w:val="BodyText"/>
      </w:pPr>
      <w:r>
        <w:t xml:space="preserve">Previous research and consultation with a group of participants — technical experts and practitioners identified from the Commission’s stage 1 study </w:t>
      </w:r>
      <w:r w:rsidRPr="00055BE4">
        <w:rPr>
          <w:szCs w:val="24"/>
        </w:rPr>
        <w:t>(PC 2016)</w:t>
      </w:r>
      <w:r>
        <w:t xml:space="preserve"> — informed the variables included in the analysis (table 8.6). Aside from the key scale variables (total assets and number of member accounts</w:t>
      </w:r>
      <w:r w:rsidRPr="000C012E">
        <w:t xml:space="preserve"> </w:t>
      </w:r>
      <w:r>
        <w:t>at the end of the financial year), variables were included because they were considered to be key drivers of fund costs whose omission would muddy the estimation of the scale–cost relationship.</w:t>
      </w:r>
    </w:p>
    <w:p w14:paraId="6DE10786" w14:textId="77777777" w:rsidR="0011262F" w:rsidRDefault="0011262F" w:rsidP="0011262F">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1262F" w14:paraId="7EB4220D" w14:textId="77777777" w:rsidTr="00B54007">
        <w:trPr>
          <w:tblHeader/>
        </w:trPr>
        <w:tc>
          <w:tcPr>
            <w:tcW w:w="5000" w:type="pct"/>
            <w:tcBorders>
              <w:top w:val="single" w:sz="6" w:space="0" w:color="78A22F"/>
              <w:left w:val="nil"/>
              <w:bottom w:val="nil"/>
              <w:right w:val="nil"/>
            </w:tcBorders>
            <w:shd w:val="clear" w:color="auto" w:fill="auto"/>
          </w:tcPr>
          <w:p w14:paraId="6CEA971D" w14:textId="77777777" w:rsidR="0011262F" w:rsidRPr="00784A05" w:rsidRDefault="0011262F" w:rsidP="00B54007">
            <w:pPr>
              <w:pStyle w:val="TableTitle"/>
            </w:pPr>
            <w:r>
              <w:rPr>
                <w:b w:val="0"/>
              </w:rPr>
              <w:t xml:space="preserve">Table </w:t>
            </w:r>
            <w:bookmarkStart w:id="22" w:name="OLE_LINK13"/>
            <w:r>
              <w:rPr>
                <w:b w:val="0"/>
              </w:rPr>
              <w:t>8.</w:t>
            </w:r>
            <w:r>
              <w:rPr>
                <w:b w:val="0"/>
                <w:noProof/>
              </w:rPr>
              <w:t>6</w:t>
            </w:r>
            <w:bookmarkEnd w:id="22"/>
            <w:r>
              <w:tab/>
              <w:t>Variables used in the analysis</w:t>
            </w:r>
            <w:proofErr w:type="spellStart"/>
            <w:r w:rsidRPr="00AF7376">
              <w:rPr>
                <w:rStyle w:val="NoteLabel"/>
              </w:rPr>
              <w:t>a</w:t>
            </w:r>
            <w:r>
              <w:rPr>
                <w:rStyle w:val="NoteLabel"/>
              </w:rPr>
              <w:t>,b</w:t>
            </w:r>
            <w:proofErr w:type="spellEnd"/>
          </w:p>
        </w:tc>
      </w:tr>
      <w:tr w:rsidR="0011262F" w14:paraId="1E93EA47" w14:textId="77777777" w:rsidTr="00B54007">
        <w:tc>
          <w:tcPr>
            <w:tcW w:w="5000" w:type="pct"/>
            <w:tcBorders>
              <w:top w:val="nil"/>
              <w:left w:val="nil"/>
              <w:bottom w:val="single" w:sz="4" w:space="0" w:color="BFBFBF" w:themeColor="background1" w:themeShade="BF"/>
              <w:right w:val="nil"/>
            </w:tcBorders>
            <w:shd w:val="clear" w:color="auto" w:fill="auto"/>
          </w:tcPr>
          <w:tbl>
            <w:tblPr>
              <w:tblW w:w="8530" w:type="dxa"/>
              <w:tblLayout w:type="fixed"/>
              <w:tblCellMar>
                <w:top w:w="28" w:type="dxa"/>
                <w:left w:w="0" w:type="dxa"/>
                <w:right w:w="0" w:type="dxa"/>
              </w:tblCellMar>
              <w:tblLook w:val="0000" w:firstRow="0" w:lastRow="0" w:firstColumn="0" w:lastColumn="0" w:noHBand="0" w:noVBand="0"/>
            </w:tblPr>
            <w:tblGrid>
              <w:gridCol w:w="2151"/>
              <w:gridCol w:w="710"/>
              <w:gridCol w:w="1001"/>
              <w:gridCol w:w="65"/>
              <w:gridCol w:w="4603"/>
            </w:tblGrid>
            <w:tr w:rsidR="0011262F" w14:paraId="7351E071" w14:textId="77777777" w:rsidTr="00B54007">
              <w:trPr>
                <w:tblHeader/>
              </w:trPr>
              <w:tc>
                <w:tcPr>
                  <w:tcW w:w="1011" w:type="pct"/>
                  <w:tcBorders>
                    <w:top w:val="single" w:sz="6" w:space="0" w:color="BFBFBF"/>
                    <w:bottom w:val="single" w:sz="6" w:space="0" w:color="BFBFBF"/>
                  </w:tcBorders>
                  <w:shd w:val="clear" w:color="auto" w:fill="auto"/>
                  <w:tcMar>
                    <w:top w:w="28" w:type="dxa"/>
                  </w:tcMar>
                  <w:vAlign w:val="bottom"/>
                </w:tcPr>
                <w:p w14:paraId="5F8B49ED" w14:textId="77777777" w:rsidR="0011262F" w:rsidRPr="008322A1" w:rsidRDefault="0011262F" w:rsidP="00B54007">
                  <w:pPr>
                    <w:pStyle w:val="TableColumnHeading"/>
                    <w:jc w:val="left"/>
                    <w:rPr>
                      <w:spacing w:val="-2"/>
                    </w:rPr>
                  </w:pPr>
                  <w:r w:rsidRPr="008322A1">
                    <w:rPr>
                      <w:spacing w:val="-2"/>
                    </w:rPr>
                    <w:t>Variable</w:t>
                  </w:r>
                </w:p>
              </w:tc>
              <w:tc>
                <w:tcPr>
                  <w:tcW w:w="391" w:type="pct"/>
                  <w:tcBorders>
                    <w:top w:val="single" w:sz="6" w:space="0" w:color="BFBFBF"/>
                    <w:bottom w:val="single" w:sz="6" w:space="0" w:color="BFBFBF"/>
                  </w:tcBorders>
                  <w:vAlign w:val="bottom"/>
                </w:tcPr>
                <w:p w14:paraId="7D9FF704" w14:textId="77777777" w:rsidR="0011262F" w:rsidRDefault="0011262F" w:rsidP="00B54007">
                  <w:pPr>
                    <w:pStyle w:val="TableColumnHeading"/>
                    <w:jc w:val="left"/>
                  </w:pPr>
                  <w:r>
                    <w:t>Admin</w:t>
                  </w:r>
                </w:p>
              </w:tc>
              <w:tc>
                <w:tcPr>
                  <w:tcW w:w="587" w:type="pct"/>
                  <w:tcBorders>
                    <w:top w:val="single" w:sz="6" w:space="0" w:color="BFBFBF"/>
                    <w:bottom w:val="single" w:sz="6" w:space="0" w:color="BFBFBF"/>
                  </w:tcBorders>
                  <w:shd w:val="clear" w:color="auto" w:fill="auto"/>
                  <w:tcMar>
                    <w:top w:w="28" w:type="dxa"/>
                  </w:tcMar>
                  <w:vAlign w:val="bottom"/>
                </w:tcPr>
                <w:p w14:paraId="7CD44032" w14:textId="77777777" w:rsidR="0011262F" w:rsidRDefault="0011262F" w:rsidP="00B54007">
                  <w:pPr>
                    <w:pStyle w:val="TableColumnHeading"/>
                    <w:jc w:val="left"/>
                  </w:pPr>
                  <w:r>
                    <w:t>Investment</w:t>
                  </w:r>
                </w:p>
              </w:tc>
              <w:tc>
                <w:tcPr>
                  <w:tcW w:w="3011" w:type="pct"/>
                  <w:gridSpan w:val="2"/>
                  <w:tcBorders>
                    <w:top w:val="single" w:sz="6" w:space="0" w:color="BFBFBF"/>
                    <w:bottom w:val="single" w:sz="6" w:space="0" w:color="BFBFBF"/>
                  </w:tcBorders>
                  <w:shd w:val="clear" w:color="auto" w:fill="auto"/>
                  <w:tcMar>
                    <w:top w:w="28" w:type="dxa"/>
                  </w:tcMar>
                  <w:vAlign w:val="bottom"/>
                </w:tcPr>
                <w:p w14:paraId="75AFC628" w14:textId="77777777" w:rsidR="0011262F" w:rsidRDefault="0011262F" w:rsidP="00B54007">
                  <w:pPr>
                    <w:pStyle w:val="TableColumnHeading"/>
                    <w:ind w:left="57" w:right="28"/>
                    <w:jc w:val="left"/>
                  </w:pPr>
                  <w:r>
                    <w:t>Issues/comments</w:t>
                  </w:r>
                </w:p>
              </w:tc>
            </w:tr>
            <w:tr w:rsidR="0011262F" w14:paraId="164079F8" w14:textId="77777777" w:rsidTr="00B54007">
              <w:tc>
                <w:tcPr>
                  <w:tcW w:w="1011" w:type="pct"/>
                </w:tcPr>
                <w:p w14:paraId="271C4F41" w14:textId="77777777" w:rsidR="0011262F" w:rsidRPr="008322A1" w:rsidRDefault="0011262F" w:rsidP="00B54007">
                  <w:pPr>
                    <w:pStyle w:val="TableBodyText"/>
                    <w:jc w:val="left"/>
                    <w:rPr>
                      <w:spacing w:val="-2"/>
                    </w:rPr>
                  </w:pPr>
                  <w:r w:rsidRPr="008322A1">
                    <w:rPr>
                      <w:spacing w:val="-2"/>
                    </w:rPr>
                    <w:t>Admin exp</w:t>
                  </w:r>
                  <w:r>
                    <w:rPr>
                      <w:spacing w:val="-2"/>
                    </w:rPr>
                    <w:t>enses</w:t>
                  </w:r>
                </w:p>
              </w:tc>
              <w:tc>
                <w:tcPr>
                  <w:tcW w:w="391" w:type="pct"/>
                </w:tcPr>
                <w:p w14:paraId="0419425D" w14:textId="77777777" w:rsidR="0011262F" w:rsidRDefault="0011262F" w:rsidP="00B54007">
                  <w:pPr>
                    <w:pStyle w:val="TableBodyText"/>
                  </w:pPr>
                  <w:r>
                    <w:sym w:font="Wingdings" w:char="F0FC"/>
                  </w:r>
                </w:p>
              </w:tc>
              <w:tc>
                <w:tcPr>
                  <w:tcW w:w="587" w:type="pct"/>
                </w:tcPr>
                <w:p w14:paraId="5813A3C7" w14:textId="77777777" w:rsidR="0011262F" w:rsidRDefault="0011262F" w:rsidP="00B54007">
                  <w:pPr>
                    <w:pStyle w:val="TableBodyText"/>
                  </w:pPr>
                </w:p>
              </w:tc>
              <w:tc>
                <w:tcPr>
                  <w:tcW w:w="3011" w:type="pct"/>
                  <w:gridSpan w:val="2"/>
                </w:tcPr>
                <w:p w14:paraId="047EF9C4" w14:textId="77777777" w:rsidR="0011262F" w:rsidRDefault="0011262F" w:rsidP="00B54007">
                  <w:pPr>
                    <w:pStyle w:val="TableBodyText"/>
                    <w:jc w:val="left"/>
                  </w:pPr>
                  <w:r>
                    <w:t>See previous discussion.</w:t>
                  </w:r>
                </w:p>
              </w:tc>
            </w:tr>
            <w:tr w:rsidR="0011262F" w14:paraId="7FE78535" w14:textId="77777777" w:rsidTr="00B54007">
              <w:tc>
                <w:tcPr>
                  <w:tcW w:w="1011" w:type="pct"/>
                  <w:shd w:val="clear" w:color="auto" w:fill="auto"/>
                </w:tcPr>
                <w:p w14:paraId="4293E78D" w14:textId="77777777" w:rsidR="0011262F" w:rsidRPr="008322A1" w:rsidRDefault="0011262F" w:rsidP="00B54007">
                  <w:pPr>
                    <w:pStyle w:val="TableBodyText"/>
                    <w:jc w:val="left"/>
                    <w:rPr>
                      <w:spacing w:val="-2"/>
                    </w:rPr>
                  </w:pPr>
                  <w:r w:rsidRPr="008322A1">
                    <w:rPr>
                      <w:spacing w:val="-2"/>
                    </w:rPr>
                    <w:t>Invest</w:t>
                  </w:r>
                  <w:r>
                    <w:rPr>
                      <w:spacing w:val="-2"/>
                    </w:rPr>
                    <w:t>ment</w:t>
                  </w:r>
                  <w:r w:rsidRPr="008322A1">
                    <w:rPr>
                      <w:spacing w:val="-2"/>
                    </w:rPr>
                    <w:t xml:space="preserve"> exp</w:t>
                  </w:r>
                  <w:r>
                    <w:rPr>
                      <w:spacing w:val="-2"/>
                    </w:rPr>
                    <w:t>enses</w:t>
                  </w:r>
                </w:p>
              </w:tc>
              <w:tc>
                <w:tcPr>
                  <w:tcW w:w="391" w:type="pct"/>
                </w:tcPr>
                <w:p w14:paraId="3F26D880" w14:textId="77777777" w:rsidR="0011262F" w:rsidRDefault="0011262F" w:rsidP="00B54007">
                  <w:pPr>
                    <w:pStyle w:val="TableBodyText"/>
                  </w:pPr>
                </w:p>
              </w:tc>
              <w:tc>
                <w:tcPr>
                  <w:tcW w:w="587" w:type="pct"/>
                  <w:shd w:val="clear" w:color="auto" w:fill="auto"/>
                </w:tcPr>
                <w:p w14:paraId="504C7CE4" w14:textId="77777777" w:rsidR="0011262F" w:rsidRDefault="0011262F" w:rsidP="00B54007">
                  <w:pPr>
                    <w:pStyle w:val="TableBodyText"/>
                  </w:pPr>
                  <w:r>
                    <w:sym w:font="Wingdings" w:char="F0FC"/>
                  </w:r>
                </w:p>
              </w:tc>
              <w:tc>
                <w:tcPr>
                  <w:tcW w:w="3011" w:type="pct"/>
                  <w:gridSpan w:val="2"/>
                  <w:shd w:val="clear" w:color="auto" w:fill="auto"/>
                </w:tcPr>
                <w:p w14:paraId="2160213A" w14:textId="77777777" w:rsidR="0011262F" w:rsidRDefault="0011262F" w:rsidP="00B54007">
                  <w:pPr>
                    <w:pStyle w:val="TableBodyText"/>
                    <w:jc w:val="left"/>
                  </w:pPr>
                  <w:r>
                    <w:t>See previous discussion.</w:t>
                  </w:r>
                </w:p>
              </w:tc>
            </w:tr>
            <w:tr w:rsidR="0011262F" w14:paraId="199B2658" w14:textId="77777777" w:rsidTr="00B54007">
              <w:tc>
                <w:tcPr>
                  <w:tcW w:w="1011" w:type="pct"/>
                  <w:shd w:val="clear" w:color="auto" w:fill="F2F2F2" w:themeFill="background1" w:themeFillShade="F2"/>
                </w:tcPr>
                <w:p w14:paraId="6FEE4BF8" w14:textId="77777777" w:rsidR="0011262F" w:rsidRPr="00951F78" w:rsidRDefault="0011262F" w:rsidP="00B54007">
                  <w:pPr>
                    <w:pStyle w:val="TableBodyText"/>
                    <w:jc w:val="left"/>
                    <w:rPr>
                      <w:spacing w:val="-2"/>
                    </w:rPr>
                  </w:pPr>
                  <w:r w:rsidRPr="00951F78">
                    <w:rPr>
                      <w:spacing w:val="-2"/>
                    </w:rPr>
                    <w:t>Total assets at the end of the financial year</w:t>
                  </w:r>
                </w:p>
              </w:tc>
              <w:tc>
                <w:tcPr>
                  <w:tcW w:w="392" w:type="pct"/>
                  <w:shd w:val="clear" w:color="auto" w:fill="F2F2F2" w:themeFill="background1" w:themeFillShade="F2"/>
                </w:tcPr>
                <w:p w14:paraId="23E563E7" w14:textId="77777777" w:rsidR="0011262F" w:rsidRDefault="0011262F" w:rsidP="00B54007">
                  <w:pPr>
                    <w:pStyle w:val="TableBodyText"/>
                  </w:pPr>
                  <w:r>
                    <w:sym w:font="Wingdings" w:char="F0FC"/>
                  </w:r>
                </w:p>
              </w:tc>
              <w:tc>
                <w:tcPr>
                  <w:tcW w:w="587" w:type="pct"/>
                  <w:shd w:val="clear" w:color="auto" w:fill="F2F2F2" w:themeFill="background1" w:themeFillShade="F2"/>
                </w:tcPr>
                <w:p w14:paraId="323663AB" w14:textId="77777777" w:rsidR="0011262F" w:rsidRDefault="0011262F" w:rsidP="00B54007">
                  <w:pPr>
                    <w:pStyle w:val="TableBodyText"/>
                  </w:pPr>
                  <w:r>
                    <w:sym w:font="Wingdings" w:char="F0FC"/>
                  </w:r>
                </w:p>
              </w:tc>
              <w:tc>
                <w:tcPr>
                  <w:tcW w:w="3011" w:type="pct"/>
                  <w:gridSpan w:val="2"/>
                  <w:shd w:val="clear" w:color="auto" w:fill="F2F2F2" w:themeFill="background1" w:themeFillShade="F2"/>
                </w:tcPr>
                <w:p w14:paraId="6B9A6D49" w14:textId="77777777" w:rsidR="0011262F" w:rsidRDefault="0011262F" w:rsidP="00B54007">
                  <w:pPr>
                    <w:pStyle w:val="TableBodyText"/>
                    <w:jc w:val="left"/>
                  </w:pPr>
                  <w:r w:rsidRPr="00951F78">
                    <w:rPr>
                      <w:i/>
                    </w:rPr>
                    <w:t>Key scale variable,</w:t>
                  </w:r>
                  <w:r>
                    <w:t xml:space="preserve"> interacted to allow economies of scale relationships to vary on average by fund type.</w:t>
                  </w:r>
                </w:p>
                <w:p w14:paraId="1E5F8561" w14:textId="77777777" w:rsidR="0011262F" w:rsidRDefault="0011262F" w:rsidP="00B54007">
                  <w:pPr>
                    <w:pStyle w:val="TableBodyText"/>
                    <w:jc w:val="left"/>
                  </w:pPr>
                  <w:r>
                    <w:t>May be timing issues and lumpiness by using an end of period stock measure as it not a perfect measurement of size of the fund throughout the financial year.</w:t>
                  </w:r>
                </w:p>
                <w:p w14:paraId="518C9774" w14:textId="77777777" w:rsidR="0011262F" w:rsidRDefault="0011262F" w:rsidP="00B54007">
                  <w:pPr>
                    <w:pStyle w:val="TableBodyText"/>
                    <w:jc w:val="left"/>
                  </w:pPr>
                  <w:r>
                    <w:t xml:space="preserve">Also used to construct a </w:t>
                  </w:r>
                  <w:proofErr w:type="spellStart"/>
                  <w:r>
                    <w:t>Hausman</w:t>
                  </w:r>
                  <w:proofErr w:type="spellEnd"/>
                  <w:r>
                    <w:t xml:space="preserve"> instrument (sum of all assets except fund </w:t>
                  </w:r>
                  <m:oMath>
                    <m:r>
                      <w:rPr>
                        <w:rFonts w:ascii="Cambria Math" w:hAnsi="Cambria Math"/>
                      </w:rPr>
                      <m:t>i</m:t>
                    </m:r>
                  </m:oMath>
                  <w:r>
                    <w:t xml:space="preserve"> in the system) for auxiliary models.</w:t>
                  </w:r>
                </w:p>
              </w:tc>
            </w:tr>
            <w:tr w:rsidR="0011262F" w14:paraId="596B8AA5" w14:textId="77777777" w:rsidTr="00B54007">
              <w:tc>
                <w:tcPr>
                  <w:tcW w:w="1011" w:type="pct"/>
                  <w:shd w:val="clear" w:color="auto" w:fill="auto"/>
                </w:tcPr>
                <w:p w14:paraId="701AB257" w14:textId="77777777" w:rsidR="0011262F" w:rsidRPr="00951F78" w:rsidRDefault="0011262F" w:rsidP="00B54007">
                  <w:pPr>
                    <w:pStyle w:val="TableBodyText"/>
                    <w:jc w:val="left"/>
                    <w:rPr>
                      <w:spacing w:val="-2"/>
                    </w:rPr>
                  </w:pPr>
                  <w:r w:rsidRPr="00951F78">
                    <w:rPr>
                      <w:spacing w:val="-2"/>
                    </w:rPr>
                    <w:t xml:space="preserve">Number of member accounts </w:t>
                  </w:r>
                </w:p>
              </w:tc>
              <w:tc>
                <w:tcPr>
                  <w:tcW w:w="392" w:type="pct"/>
                </w:tcPr>
                <w:p w14:paraId="4B38B289" w14:textId="77777777" w:rsidR="0011262F" w:rsidRDefault="0011262F" w:rsidP="00B54007">
                  <w:pPr>
                    <w:pStyle w:val="TableBodyText"/>
                  </w:pPr>
                  <w:r>
                    <w:sym w:font="Wingdings" w:char="F0FC"/>
                  </w:r>
                </w:p>
              </w:tc>
              <w:tc>
                <w:tcPr>
                  <w:tcW w:w="587" w:type="pct"/>
                  <w:shd w:val="clear" w:color="auto" w:fill="auto"/>
                </w:tcPr>
                <w:p w14:paraId="59260038" w14:textId="77777777" w:rsidR="0011262F" w:rsidRDefault="0011262F" w:rsidP="00B54007">
                  <w:pPr>
                    <w:pStyle w:val="TableBodyText"/>
                  </w:pPr>
                  <w:r>
                    <w:sym w:font="Wingdings" w:char="F0FC"/>
                  </w:r>
                </w:p>
              </w:tc>
              <w:tc>
                <w:tcPr>
                  <w:tcW w:w="3011" w:type="pct"/>
                  <w:gridSpan w:val="2"/>
                  <w:shd w:val="clear" w:color="auto" w:fill="auto"/>
                </w:tcPr>
                <w:p w14:paraId="21E34501" w14:textId="77777777" w:rsidR="0011262F" w:rsidRDefault="0011262F" w:rsidP="00B54007">
                  <w:pPr>
                    <w:pStyle w:val="TableBodyText"/>
                    <w:jc w:val="left"/>
                  </w:pPr>
                  <w:r w:rsidRPr="00951F78">
                    <w:rPr>
                      <w:i/>
                    </w:rPr>
                    <w:t xml:space="preserve">Key scale variable, </w:t>
                  </w:r>
                  <w:r>
                    <w:t>interacted to allow economies of scale relationships to vary on average by fund type.</w:t>
                  </w:r>
                </w:p>
                <w:p w14:paraId="26DAF6FB" w14:textId="77777777" w:rsidR="0011262F" w:rsidRDefault="0011262F" w:rsidP="00B54007">
                  <w:pPr>
                    <w:pStyle w:val="TableBodyText"/>
                    <w:jc w:val="left"/>
                  </w:pPr>
                  <w:r>
                    <w:t>Maybe timing issues and lumpiness by using an end of period stock measure.</w:t>
                  </w:r>
                </w:p>
                <w:p w14:paraId="3941B6D4" w14:textId="77777777" w:rsidR="0011262F" w:rsidRDefault="0011262F" w:rsidP="00B54007">
                  <w:pPr>
                    <w:pStyle w:val="TableBodyText"/>
                    <w:jc w:val="left"/>
                  </w:pPr>
                  <w:r>
                    <w:t>Some missing data.</w:t>
                  </w:r>
                </w:p>
                <w:p w14:paraId="290FACF9" w14:textId="77777777" w:rsidR="0011262F" w:rsidRDefault="0011262F" w:rsidP="00B54007">
                  <w:pPr>
                    <w:pStyle w:val="TableBodyText"/>
                    <w:jc w:val="left"/>
                  </w:pPr>
                  <w:r>
                    <w:t xml:space="preserve">Also used to construct a </w:t>
                  </w:r>
                  <w:proofErr w:type="spellStart"/>
                  <w:r>
                    <w:t>Hausman</w:t>
                  </w:r>
                  <w:proofErr w:type="spellEnd"/>
                  <w:r>
                    <w:t xml:space="preserve"> instrument (sum of all assets except fund </w:t>
                  </w:r>
                  <m:oMath>
                    <m:r>
                      <w:rPr>
                        <w:rFonts w:ascii="Cambria Math" w:hAnsi="Cambria Math"/>
                      </w:rPr>
                      <m:t>i</m:t>
                    </m:r>
                  </m:oMath>
                  <w:r>
                    <w:t xml:space="preserve"> in the system) for auxiliary models.</w:t>
                  </w:r>
                </w:p>
              </w:tc>
            </w:tr>
            <w:tr w:rsidR="0011262F" w14:paraId="6B070CBF" w14:textId="77777777" w:rsidTr="00B54007">
              <w:tc>
                <w:tcPr>
                  <w:tcW w:w="1011" w:type="pct"/>
                  <w:shd w:val="clear" w:color="auto" w:fill="F2F2F2" w:themeFill="background1" w:themeFillShade="F2"/>
                </w:tcPr>
                <w:p w14:paraId="0DB2D301" w14:textId="77777777" w:rsidR="0011262F" w:rsidRPr="008322A1" w:rsidRDefault="0011262F" w:rsidP="00B54007">
                  <w:pPr>
                    <w:pStyle w:val="TableBodyText"/>
                    <w:jc w:val="left"/>
                    <w:rPr>
                      <w:spacing w:val="-2"/>
                    </w:rPr>
                  </w:pPr>
                  <w:r w:rsidRPr="008322A1">
                    <w:rPr>
                      <w:spacing w:val="-2"/>
                    </w:rPr>
                    <w:t>Net contributions</w:t>
                  </w:r>
                </w:p>
              </w:tc>
              <w:tc>
                <w:tcPr>
                  <w:tcW w:w="392" w:type="pct"/>
                  <w:shd w:val="clear" w:color="auto" w:fill="F2F2F2" w:themeFill="background1" w:themeFillShade="F2"/>
                </w:tcPr>
                <w:p w14:paraId="205598E5" w14:textId="77777777" w:rsidR="0011262F" w:rsidRDefault="0011262F" w:rsidP="00B54007">
                  <w:pPr>
                    <w:pStyle w:val="TableBodyText"/>
                  </w:pPr>
                </w:p>
              </w:tc>
              <w:tc>
                <w:tcPr>
                  <w:tcW w:w="587" w:type="pct"/>
                  <w:shd w:val="clear" w:color="auto" w:fill="F2F2F2" w:themeFill="background1" w:themeFillShade="F2"/>
                </w:tcPr>
                <w:p w14:paraId="0ED74044" w14:textId="77777777" w:rsidR="0011262F" w:rsidRDefault="0011262F" w:rsidP="00B54007">
                  <w:pPr>
                    <w:pStyle w:val="TableBodyText"/>
                  </w:pPr>
                  <w:r>
                    <w:sym w:font="Wingdings" w:char="F0FC"/>
                  </w:r>
                </w:p>
              </w:tc>
              <w:tc>
                <w:tcPr>
                  <w:tcW w:w="3011" w:type="pct"/>
                  <w:gridSpan w:val="2"/>
                  <w:shd w:val="clear" w:color="auto" w:fill="F2F2F2" w:themeFill="background1" w:themeFillShade="F2"/>
                </w:tcPr>
                <w:p w14:paraId="72C93795" w14:textId="77777777" w:rsidR="0011262F" w:rsidRDefault="0011262F" w:rsidP="00B54007">
                  <w:pPr>
                    <w:pStyle w:val="TableBodyText"/>
                    <w:jc w:val="left"/>
                  </w:pPr>
                  <w:r>
                    <w:t xml:space="preserve">Net contributions are calculated as total member contributions minus total member benefits paid. </w:t>
                  </w:r>
                </w:p>
                <w:p w14:paraId="2C6648E4" w14:textId="77777777" w:rsidR="0011262F" w:rsidRDefault="0011262F" w:rsidP="00B54007">
                  <w:pPr>
                    <w:pStyle w:val="TableBodyText"/>
                    <w:jc w:val="left"/>
                  </w:pPr>
                  <w:r>
                    <w:t>Included in investment because a net positive position means inflows can be used to reposition portfolios without needing to sell assets and incur transaction costs.</w:t>
                  </w:r>
                </w:p>
              </w:tc>
            </w:tr>
            <w:tr w:rsidR="0011262F" w14:paraId="04DC8D2C" w14:textId="77777777" w:rsidTr="00B54007">
              <w:tc>
                <w:tcPr>
                  <w:tcW w:w="1011" w:type="pct"/>
                  <w:shd w:val="clear" w:color="auto" w:fill="auto"/>
                </w:tcPr>
                <w:p w14:paraId="0880E4E4" w14:textId="77777777" w:rsidR="0011262F" w:rsidRPr="008322A1" w:rsidRDefault="0011262F" w:rsidP="00B54007">
                  <w:pPr>
                    <w:pStyle w:val="TableBodyText"/>
                    <w:jc w:val="left"/>
                    <w:rPr>
                      <w:spacing w:val="-2"/>
                    </w:rPr>
                  </w:pPr>
                  <w:r w:rsidRPr="008322A1">
                    <w:rPr>
                      <w:spacing w:val="-2"/>
                    </w:rPr>
                    <w:t>Net rollovers</w:t>
                  </w:r>
                </w:p>
              </w:tc>
              <w:tc>
                <w:tcPr>
                  <w:tcW w:w="392" w:type="pct"/>
                </w:tcPr>
                <w:p w14:paraId="53D9A8B6" w14:textId="77777777" w:rsidR="0011262F" w:rsidRDefault="0011262F" w:rsidP="00B54007">
                  <w:pPr>
                    <w:pStyle w:val="TableBodyText"/>
                  </w:pPr>
                  <w:r>
                    <w:sym w:font="Wingdings" w:char="F0FC"/>
                  </w:r>
                </w:p>
              </w:tc>
              <w:tc>
                <w:tcPr>
                  <w:tcW w:w="587" w:type="pct"/>
                  <w:shd w:val="clear" w:color="auto" w:fill="auto"/>
                </w:tcPr>
                <w:p w14:paraId="602A3C8F" w14:textId="77777777" w:rsidR="0011262F" w:rsidRDefault="0011262F" w:rsidP="00B54007">
                  <w:pPr>
                    <w:pStyle w:val="TableBodyText"/>
                  </w:pPr>
                  <w:r>
                    <w:sym w:font="Wingdings" w:char="F0FC"/>
                  </w:r>
                </w:p>
              </w:tc>
              <w:tc>
                <w:tcPr>
                  <w:tcW w:w="3011" w:type="pct"/>
                  <w:gridSpan w:val="2"/>
                  <w:shd w:val="clear" w:color="auto" w:fill="auto"/>
                </w:tcPr>
                <w:p w14:paraId="4F62301C" w14:textId="77777777" w:rsidR="0011262F" w:rsidRDefault="0011262F" w:rsidP="00B54007">
                  <w:pPr>
                    <w:pStyle w:val="TableBodyText"/>
                    <w:jc w:val="left"/>
                  </w:pPr>
                  <w:r>
                    <w:t>Included in investment because a net positive position means inflows can be used to reposition portfolios without needing to sell assets and incur transaction costs.</w:t>
                  </w:r>
                </w:p>
              </w:tc>
            </w:tr>
            <w:tr w:rsidR="0011262F" w14:paraId="1910D15C" w14:textId="77777777" w:rsidTr="00B54007">
              <w:tc>
                <w:tcPr>
                  <w:tcW w:w="1011" w:type="pct"/>
                  <w:shd w:val="clear" w:color="auto" w:fill="F2F2F2" w:themeFill="background1" w:themeFillShade="F2"/>
                </w:tcPr>
                <w:p w14:paraId="1C209326" w14:textId="77777777" w:rsidR="0011262F" w:rsidRPr="008322A1" w:rsidRDefault="0011262F" w:rsidP="00B54007">
                  <w:pPr>
                    <w:pStyle w:val="TableBodyText"/>
                    <w:jc w:val="left"/>
                    <w:rPr>
                      <w:spacing w:val="-2"/>
                    </w:rPr>
                  </w:pPr>
                  <w:r w:rsidRPr="008322A1">
                    <w:rPr>
                      <w:spacing w:val="-2"/>
                    </w:rPr>
                    <w:t>Net insurance flows</w:t>
                  </w:r>
                </w:p>
              </w:tc>
              <w:tc>
                <w:tcPr>
                  <w:tcW w:w="392" w:type="pct"/>
                  <w:shd w:val="clear" w:color="auto" w:fill="F2F2F2" w:themeFill="background1" w:themeFillShade="F2"/>
                </w:tcPr>
                <w:p w14:paraId="28B9DB31" w14:textId="77777777" w:rsidR="0011262F" w:rsidRDefault="0011262F" w:rsidP="00B54007">
                  <w:pPr>
                    <w:pStyle w:val="TableBodyText"/>
                  </w:pPr>
                  <w:r>
                    <w:sym w:font="Wingdings" w:char="F0FC"/>
                  </w:r>
                </w:p>
              </w:tc>
              <w:tc>
                <w:tcPr>
                  <w:tcW w:w="587" w:type="pct"/>
                  <w:shd w:val="clear" w:color="auto" w:fill="F2F2F2" w:themeFill="background1" w:themeFillShade="F2"/>
                </w:tcPr>
                <w:p w14:paraId="7D1ABE17" w14:textId="77777777" w:rsidR="0011262F" w:rsidRDefault="0011262F" w:rsidP="00B54007">
                  <w:pPr>
                    <w:pStyle w:val="TableBodyText"/>
                  </w:pPr>
                </w:p>
              </w:tc>
              <w:tc>
                <w:tcPr>
                  <w:tcW w:w="3011" w:type="pct"/>
                  <w:gridSpan w:val="2"/>
                  <w:shd w:val="clear" w:color="auto" w:fill="F2F2F2" w:themeFill="background1" w:themeFillShade="F2"/>
                </w:tcPr>
                <w:p w14:paraId="05FB69A7" w14:textId="77777777" w:rsidR="0011262F" w:rsidRDefault="0011262F" w:rsidP="00B54007">
                  <w:pPr>
                    <w:pStyle w:val="TableBodyText"/>
                    <w:jc w:val="left"/>
                  </w:pPr>
                  <w:r>
                    <w:t>Included in administration to represent the costs of processing insurance claims.</w:t>
                  </w:r>
                </w:p>
              </w:tc>
            </w:tr>
            <w:tr w:rsidR="0011262F" w14:paraId="7C7F9F78" w14:textId="77777777" w:rsidTr="00B54007">
              <w:tc>
                <w:tcPr>
                  <w:tcW w:w="1261" w:type="pct"/>
                  <w:shd w:val="clear" w:color="auto" w:fill="auto"/>
                </w:tcPr>
                <w:p w14:paraId="353C77E9" w14:textId="77777777" w:rsidR="0011262F" w:rsidRPr="008322A1" w:rsidRDefault="0011262F" w:rsidP="00B54007">
                  <w:pPr>
                    <w:pStyle w:val="TableBodyText"/>
                    <w:jc w:val="left"/>
                    <w:rPr>
                      <w:spacing w:val="-2"/>
                    </w:rPr>
                  </w:pPr>
                  <w:r w:rsidRPr="008322A1">
                    <w:rPr>
                      <w:spacing w:val="-2"/>
                    </w:rPr>
                    <w:t>Introduction of Stronger Super</w:t>
                  </w:r>
                </w:p>
              </w:tc>
              <w:tc>
                <w:tcPr>
                  <w:tcW w:w="416" w:type="pct"/>
                </w:tcPr>
                <w:p w14:paraId="6BD0F60A" w14:textId="77777777" w:rsidR="0011262F" w:rsidRDefault="0011262F" w:rsidP="00B54007">
                  <w:pPr>
                    <w:pStyle w:val="TableBodyText"/>
                  </w:pPr>
                  <w:r>
                    <w:sym w:font="Wingdings" w:char="F0FC"/>
                  </w:r>
                </w:p>
              </w:tc>
              <w:tc>
                <w:tcPr>
                  <w:tcW w:w="625" w:type="pct"/>
                  <w:gridSpan w:val="2"/>
                  <w:shd w:val="clear" w:color="auto" w:fill="auto"/>
                </w:tcPr>
                <w:p w14:paraId="4A7BDA03" w14:textId="77777777" w:rsidR="0011262F" w:rsidRDefault="0011262F" w:rsidP="00B54007">
                  <w:pPr>
                    <w:pStyle w:val="TableBodyText"/>
                  </w:pPr>
                  <w:r>
                    <w:sym w:font="Wingdings" w:char="F0FC"/>
                  </w:r>
                </w:p>
              </w:tc>
              <w:tc>
                <w:tcPr>
                  <w:tcW w:w="2698" w:type="pct"/>
                  <w:shd w:val="clear" w:color="auto" w:fill="auto"/>
                </w:tcPr>
                <w:p w14:paraId="0C679303" w14:textId="77777777" w:rsidR="0011262F" w:rsidRDefault="0011262F" w:rsidP="00B54007">
                  <w:pPr>
                    <w:pStyle w:val="TableBodyText"/>
                    <w:jc w:val="left"/>
                  </w:pPr>
                  <w:r>
                    <w:t>A dummy variable representing the period in the sample for which the Stronger Super reforms apply (post 2013</w:t>
                  </w:r>
                  <w:r>
                    <w:noBreakHyphen/>
                    <w:t>14 inclusive).</w:t>
                  </w:r>
                </w:p>
              </w:tc>
            </w:tr>
            <w:tr w:rsidR="0011262F" w14:paraId="7EA5C78F" w14:textId="77777777" w:rsidTr="00B54007">
              <w:tc>
                <w:tcPr>
                  <w:tcW w:w="1261" w:type="pct"/>
                  <w:shd w:val="clear" w:color="auto" w:fill="F2F2F2" w:themeFill="background1" w:themeFillShade="F2"/>
                </w:tcPr>
                <w:p w14:paraId="4715C670" w14:textId="77777777" w:rsidR="0011262F" w:rsidRPr="008322A1" w:rsidRDefault="0011262F" w:rsidP="00B54007">
                  <w:pPr>
                    <w:pStyle w:val="TableBodyText"/>
                    <w:jc w:val="left"/>
                    <w:rPr>
                      <w:spacing w:val="-2"/>
                    </w:rPr>
                  </w:pPr>
                  <w:r w:rsidRPr="008322A1">
                    <w:rPr>
                      <w:spacing w:val="-2"/>
                    </w:rPr>
                    <w:t>Introduction of significant reporting</w:t>
                  </w:r>
                  <w:r>
                    <w:rPr>
                      <w:spacing w:val="-2"/>
                    </w:rPr>
                    <w:noBreakHyphen/>
                  </w:r>
                  <w:r w:rsidRPr="008322A1">
                    <w:rPr>
                      <w:spacing w:val="-2"/>
                    </w:rPr>
                    <w:t>framework changes</w:t>
                  </w:r>
                </w:p>
              </w:tc>
              <w:tc>
                <w:tcPr>
                  <w:tcW w:w="416" w:type="pct"/>
                  <w:shd w:val="clear" w:color="auto" w:fill="F2F2F2" w:themeFill="background1" w:themeFillShade="F2"/>
                </w:tcPr>
                <w:p w14:paraId="296A9CAB" w14:textId="77777777" w:rsidR="0011262F" w:rsidRDefault="0011262F" w:rsidP="00B54007">
                  <w:pPr>
                    <w:pStyle w:val="TableBodyText"/>
                  </w:pPr>
                  <w:r>
                    <w:sym w:font="Wingdings" w:char="F0FC"/>
                  </w:r>
                </w:p>
              </w:tc>
              <w:tc>
                <w:tcPr>
                  <w:tcW w:w="625" w:type="pct"/>
                  <w:gridSpan w:val="2"/>
                  <w:shd w:val="clear" w:color="auto" w:fill="F2F2F2" w:themeFill="background1" w:themeFillShade="F2"/>
                </w:tcPr>
                <w:p w14:paraId="7A0907C3" w14:textId="77777777" w:rsidR="0011262F" w:rsidRDefault="0011262F" w:rsidP="00B54007">
                  <w:pPr>
                    <w:pStyle w:val="TableBodyText"/>
                  </w:pPr>
                  <w:r>
                    <w:sym w:font="Wingdings" w:char="F0FC"/>
                  </w:r>
                </w:p>
              </w:tc>
              <w:tc>
                <w:tcPr>
                  <w:tcW w:w="2698" w:type="pct"/>
                  <w:shd w:val="clear" w:color="auto" w:fill="F2F2F2" w:themeFill="background1" w:themeFillShade="F2"/>
                </w:tcPr>
                <w:p w14:paraId="477BB428" w14:textId="77777777" w:rsidR="0011262F" w:rsidRDefault="0011262F" w:rsidP="00B54007">
                  <w:pPr>
                    <w:pStyle w:val="TableBodyText"/>
                    <w:jc w:val="left"/>
                  </w:pPr>
                  <w:r>
                    <w:t>A dummy variable representing the period from 2014 onwards, to capture significant changes in the APRA reporting framework, particular on asset allocation.</w:t>
                  </w:r>
                </w:p>
                <w:p w14:paraId="6FBB4728" w14:textId="77777777" w:rsidR="0011262F" w:rsidRDefault="0011262F" w:rsidP="00B54007">
                  <w:pPr>
                    <w:pStyle w:val="TableBodyText"/>
                    <w:jc w:val="left"/>
                  </w:pPr>
                  <w:r>
                    <w:t>Interacted with asset allocation to allow for a structural break in the type of asset allocation data reported.</w:t>
                  </w:r>
                </w:p>
              </w:tc>
            </w:tr>
            <w:tr w:rsidR="0011262F" w14:paraId="13BE32B5" w14:textId="77777777" w:rsidTr="00B54007">
              <w:tc>
                <w:tcPr>
                  <w:tcW w:w="1261" w:type="pct"/>
                  <w:shd w:val="clear" w:color="auto" w:fill="auto"/>
                </w:tcPr>
                <w:p w14:paraId="38E5A6DF" w14:textId="77777777" w:rsidR="0011262F" w:rsidRPr="008322A1" w:rsidRDefault="0011262F" w:rsidP="00B54007">
                  <w:pPr>
                    <w:pStyle w:val="TableBodyText"/>
                    <w:jc w:val="left"/>
                    <w:rPr>
                      <w:spacing w:val="-2"/>
                    </w:rPr>
                  </w:pPr>
                  <w:r w:rsidRPr="008322A1">
                    <w:rPr>
                      <w:spacing w:val="-2"/>
                    </w:rPr>
                    <w:t>Fund type indicators</w:t>
                  </w:r>
                </w:p>
              </w:tc>
              <w:tc>
                <w:tcPr>
                  <w:tcW w:w="416" w:type="pct"/>
                </w:tcPr>
                <w:p w14:paraId="5D3F7E78" w14:textId="77777777" w:rsidR="0011262F" w:rsidRDefault="0011262F" w:rsidP="00B54007">
                  <w:pPr>
                    <w:pStyle w:val="TableBodyText"/>
                  </w:pPr>
                  <w:r>
                    <w:sym w:font="Wingdings" w:char="F0FC"/>
                  </w:r>
                </w:p>
              </w:tc>
              <w:tc>
                <w:tcPr>
                  <w:tcW w:w="625" w:type="pct"/>
                  <w:gridSpan w:val="2"/>
                  <w:shd w:val="clear" w:color="auto" w:fill="auto"/>
                </w:tcPr>
                <w:p w14:paraId="67E3AA0B" w14:textId="77777777" w:rsidR="0011262F" w:rsidRDefault="0011262F" w:rsidP="00B54007">
                  <w:pPr>
                    <w:pStyle w:val="TableBodyText"/>
                  </w:pPr>
                  <w:r>
                    <w:sym w:font="Wingdings" w:char="F0FC"/>
                  </w:r>
                </w:p>
              </w:tc>
              <w:tc>
                <w:tcPr>
                  <w:tcW w:w="2698" w:type="pct"/>
                  <w:shd w:val="clear" w:color="auto" w:fill="auto"/>
                </w:tcPr>
                <w:p w14:paraId="23FF49C8" w14:textId="77777777" w:rsidR="0011262F" w:rsidRDefault="0011262F" w:rsidP="00B54007">
                  <w:pPr>
                    <w:pStyle w:val="TableBodyText"/>
                    <w:jc w:val="left"/>
                  </w:pPr>
                  <w:r>
                    <w:t>Corporate, industry, public sector and retail. Used to capture differences in economies of scale by fund type.</w:t>
                  </w:r>
                </w:p>
              </w:tc>
            </w:tr>
          </w:tbl>
          <w:p w14:paraId="02AC1450" w14:textId="77777777" w:rsidR="0011262F" w:rsidRDefault="0011262F" w:rsidP="00B54007">
            <w:pPr>
              <w:pStyle w:val="Box"/>
            </w:pPr>
          </w:p>
        </w:tc>
      </w:tr>
      <w:tr w:rsidR="0011262F" w14:paraId="34D0DB35" w14:textId="77777777" w:rsidTr="00B54007">
        <w:tc>
          <w:tcPr>
            <w:tcW w:w="5000" w:type="pct"/>
            <w:tcBorders>
              <w:top w:val="single" w:sz="4" w:space="0" w:color="BFBFBF" w:themeColor="background1" w:themeShade="BF"/>
              <w:left w:val="nil"/>
              <w:bottom w:val="nil"/>
              <w:right w:val="nil"/>
            </w:tcBorders>
            <w:shd w:val="clear" w:color="auto" w:fill="auto"/>
          </w:tcPr>
          <w:p w14:paraId="2B8F5587" w14:textId="77777777" w:rsidR="0011262F" w:rsidRPr="00DB0B3F" w:rsidRDefault="0011262F" w:rsidP="00B54007">
            <w:pPr>
              <w:pStyle w:val="Continued"/>
              <w:rPr>
                <w:b/>
              </w:rPr>
            </w:pPr>
            <w:r w:rsidRPr="00DB0B3F">
              <w:rPr>
                <w:rStyle w:val="NoteLabel"/>
                <w:b w:val="0"/>
              </w:rPr>
              <w:t>(continued next page)</w:t>
            </w:r>
          </w:p>
        </w:tc>
      </w:tr>
      <w:tr w:rsidR="0011262F" w14:paraId="1720343F" w14:textId="77777777" w:rsidTr="00B54007">
        <w:tc>
          <w:tcPr>
            <w:tcW w:w="5000" w:type="pct"/>
            <w:tcBorders>
              <w:top w:val="nil"/>
              <w:left w:val="nil"/>
              <w:bottom w:val="single" w:sz="6" w:space="0" w:color="78A22F"/>
              <w:right w:val="nil"/>
            </w:tcBorders>
            <w:shd w:val="clear" w:color="auto" w:fill="auto"/>
          </w:tcPr>
          <w:p w14:paraId="4B765ED0" w14:textId="77777777" w:rsidR="0011262F" w:rsidRDefault="0011262F" w:rsidP="00B54007">
            <w:pPr>
              <w:pStyle w:val="Box"/>
              <w:spacing w:before="0" w:line="120" w:lineRule="exact"/>
            </w:pPr>
          </w:p>
        </w:tc>
      </w:tr>
      <w:tr w:rsidR="0011262F" w:rsidRPr="000863A5" w14:paraId="776F7AD7" w14:textId="77777777" w:rsidTr="00B54007">
        <w:tc>
          <w:tcPr>
            <w:tcW w:w="5000" w:type="pct"/>
            <w:tcBorders>
              <w:top w:val="single" w:sz="6" w:space="0" w:color="78A22F"/>
              <w:left w:val="nil"/>
              <w:bottom w:val="nil"/>
              <w:right w:val="nil"/>
            </w:tcBorders>
          </w:tcPr>
          <w:p w14:paraId="498110D4" w14:textId="77777777" w:rsidR="0011262F" w:rsidRPr="00626D32" w:rsidRDefault="0011262F" w:rsidP="00B54007">
            <w:pPr>
              <w:pStyle w:val="BoxSpaceBelow"/>
            </w:pPr>
          </w:p>
        </w:tc>
      </w:tr>
    </w:tbl>
    <w:p w14:paraId="0AC8848B" w14:textId="77777777" w:rsidR="0011262F" w:rsidRDefault="0011262F" w:rsidP="0011262F">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1262F" w14:paraId="6C2E5E0F" w14:textId="77777777" w:rsidTr="00B54007">
        <w:trPr>
          <w:tblHeader/>
        </w:trPr>
        <w:tc>
          <w:tcPr>
            <w:tcW w:w="5000" w:type="pct"/>
            <w:tcBorders>
              <w:top w:val="single" w:sz="6" w:space="0" w:color="78A22F"/>
              <w:left w:val="nil"/>
              <w:bottom w:val="nil"/>
              <w:right w:val="nil"/>
            </w:tcBorders>
            <w:shd w:val="clear" w:color="auto" w:fill="auto"/>
          </w:tcPr>
          <w:p w14:paraId="4991747B" w14:textId="77777777" w:rsidR="0011262F" w:rsidRPr="00784A05" w:rsidRDefault="0011262F" w:rsidP="00B54007">
            <w:pPr>
              <w:pStyle w:val="TableTitle"/>
            </w:pPr>
            <w:r>
              <w:rPr>
                <w:b w:val="0"/>
              </w:rPr>
              <w:t>Table 8.6</w:t>
            </w:r>
            <w:r>
              <w:tab/>
            </w:r>
            <w:r w:rsidRPr="00C6018C">
              <w:rPr>
                <w:b w:val="0"/>
                <w:sz w:val="18"/>
                <w:szCs w:val="18"/>
              </w:rPr>
              <w:t>(continued)</w:t>
            </w:r>
          </w:p>
        </w:tc>
      </w:tr>
      <w:tr w:rsidR="0011262F" w14:paraId="243F9655" w14:textId="77777777" w:rsidTr="00B54007">
        <w:tc>
          <w:tcPr>
            <w:tcW w:w="5000" w:type="pct"/>
            <w:tcBorders>
              <w:top w:val="nil"/>
              <w:left w:val="nil"/>
              <w:bottom w:val="nil"/>
              <w:right w:val="nil"/>
            </w:tcBorders>
            <w:shd w:val="clear" w:color="auto" w:fill="auto"/>
          </w:tcPr>
          <w:tbl>
            <w:tblPr>
              <w:tblW w:w="8530" w:type="dxa"/>
              <w:tblCellMar>
                <w:top w:w="28" w:type="dxa"/>
                <w:left w:w="0" w:type="dxa"/>
                <w:right w:w="0" w:type="dxa"/>
              </w:tblCellMar>
              <w:tblLook w:val="0000" w:firstRow="0" w:lastRow="0" w:firstColumn="0" w:lastColumn="0" w:noHBand="0" w:noVBand="0"/>
            </w:tblPr>
            <w:tblGrid>
              <w:gridCol w:w="2151"/>
              <w:gridCol w:w="710"/>
              <w:gridCol w:w="1066"/>
              <w:gridCol w:w="4603"/>
            </w:tblGrid>
            <w:tr w:rsidR="0011262F" w14:paraId="5350B465" w14:textId="77777777" w:rsidTr="00B54007">
              <w:trPr>
                <w:tblHeader/>
              </w:trPr>
              <w:tc>
                <w:tcPr>
                  <w:tcW w:w="1261" w:type="pct"/>
                  <w:tcBorders>
                    <w:top w:val="single" w:sz="6" w:space="0" w:color="BFBFBF"/>
                    <w:bottom w:val="single" w:sz="6" w:space="0" w:color="BFBFBF"/>
                  </w:tcBorders>
                  <w:shd w:val="clear" w:color="auto" w:fill="auto"/>
                  <w:tcMar>
                    <w:top w:w="28" w:type="dxa"/>
                  </w:tcMar>
                  <w:vAlign w:val="bottom"/>
                </w:tcPr>
                <w:p w14:paraId="49DB5B50" w14:textId="77777777" w:rsidR="0011262F" w:rsidRDefault="0011262F" w:rsidP="00B54007">
                  <w:pPr>
                    <w:pStyle w:val="TableColumnHeading"/>
                    <w:jc w:val="left"/>
                  </w:pPr>
                  <w:r w:rsidRPr="008322A1">
                    <w:rPr>
                      <w:spacing w:val="-2"/>
                    </w:rPr>
                    <w:t>Variable</w:t>
                  </w:r>
                </w:p>
              </w:tc>
              <w:tc>
                <w:tcPr>
                  <w:tcW w:w="416" w:type="pct"/>
                  <w:tcBorders>
                    <w:top w:val="single" w:sz="6" w:space="0" w:color="BFBFBF"/>
                    <w:bottom w:val="single" w:sz="6" w:space="0" w:color="BFBFBF"/>
                  </w:tcBorders>
                  <w:vAlign w:val="bottom"/>
                </w:tcPr>
                <w:p w14:paraId="7F4ADB42" w14:textId="77777777" w:rsidR="0011262F" w:rsidRDefault="0011262F" w:rsidP="00B54007">
                  <w:pPr>
                    <w:pStyle w:val="TableColumnHeading"/>
                    <w:jc w:val="left"/>
                  </w:pPr>
                  <w:r>
                    <w:t>Admin</w:t>
                  </w:r>
                </w:p>
              </w:tc>
              <w:tc>
                <w:tcPr>
                  <w:tcW w:w="625" w:type="pct"/>
                  <w:tcBorders>
                    <w:top w:val="single" w:sz="6" w:space="0" w:color="BFBFBF"/>
                    <w:bottom w:val="single" w:sz="6" w:space="0" w:color="BFBFBF"/>
                  </w:tcBorders>
                  <w:shd w:val="clear" w:color="auto" w:fill="auto"/>
                  <w:tcMar>
                    <w:top w:w="28" w:type="dxa"/>
                  </w:tcMar>
                  <w:vAlign w:val="bottom"/>
                </w:tcPr>
                <w:p w14:paraId="75CA72F3" w14:textId="77777777" w:rsidR="0011262F" w:rsidRDefault="0011262F" w:rsidP="00B54007">
                  <w:pPr>
                    <w:pStyle w:val="TableColumnHeading"/>
                    <w:jc w:val="left"/>
                  </w:pPr>
                  <w:r>
                    <w:t>Investment</w:t>
                  </w:r>
                </w:p>
              </w:tc>
              <w:tc>
                <w:tcPr>
                  <w:tcW w:w="2698" w:type="pct"/>
                  <w:tcBorders>
                    <w:top w:val="single" w:sz="6" w:space="0" w:color="BFBFBF"/>
                    <w:bottom w:val="single" w:sz="6" w:space="0" w:color="BFBFBF"/>
                  </w:tcBorders>
                  <w:shd w:val="clear" w:color="auto" w:fill="auto"/>
                  <w:tcMar>
                    <w:top w:w="28" w:type="dxa"/>
                  </w:tcMar>
                  <w:vAlign w:val="bottom"/>
                </w:tcPr>
                <w:p w14:paraId="72A8DDC5" w14:textId="77777777" w:rsidR="0011262F" w:rsidRDefault="0011262F" w:rsidP="00B54007">
                  <w:pPr>
                    <w:pStyle w:val="TableColumnHeading"/>
                    <w:ind w:right="28"/>
                    <w:jc w:val="left"/>
                  </w:pPr>
                  <w:r>
                    <w:t>Issues/comments</w:t>
                  </w:r>
                </w:p>
              </w:tc>
            </w:tr>
            <w:tr w:rsidR="0011262F" w14:paraId="008CECD9" w14:textId="77777777" w:rsidTr="00B54007">
              <w:tc>
                <w:tcPr>
                  <w:tcW w:w="1261" w:type="pct"/>
                  <w:shd w:val="clear" w:color="auto" w:fill="F2F2F2" w:themeFill="background1" w:themeFillShade="F2"/>
                </w:tcPr>
                <w:p w14:paraId="5A255AD6" w14:textId="77777777" w:rsidR="0011262F" w:rsidRPr="008322A1" w:rsidRDefault="0011262F" w:rsidP="00B54007">
                  <w:pPr>
                    <w:pStyle w:val="TableBodyText"/>
                    <w:jc w:val="left"/>
                    <w:rPr>
                      <w:spacing w:val="-2"/>
                    </w:rPr>
                  </w:pPr>
                  <w:r w:rsidRPr="008322A1">
                    <w:rPr>
                      <w:spacing w:val="-2"/>
                    </w:rPr>
                    <w:t>Asset allocation data</w:t>
                  </w:r>
                </w:p>
              </w:tc>
              <w:tc>
                <w:tcPr>
                  <w:tcW w:w="416" w:type="pct"/>
                  <w:shd w:val="clear" w:color="auto" w:fill="F2F2F2" w:themeFill="background1" w:themeFillShade="F2"/>
                </w:tcPr>
                <w:p w14:paraId="661A9CE8" w14:textId="77777777" w:rsidR="0011262F" w:rsidRDefault="0011262F" w:rsidP="00B54007">
                  <w:pPr>
                    <w:pStyle w:val="TableBodyText"/>
                  </w:pPr>
                </w:p>
              </w:tc>
              <w:tc>
                <w:tcPr>
                  <w:tcW w:w="625" w:type="pct"/>
                  <w:shd w:val="clear" w:color="auto" w:fill="F2F2F2" w:themeFill="background1" w:themeFillShade="F2"/>
                </w:tcPr>
                <w:p w14:paraId="26024FF7" w14:textId="77777777" w:rsidR="0011262F" w:rsidRDefault="0011262F" w:rsidP="00B54007">
                  <w:pPr>
                    <w:pStyle w:val="TableBodyText"/>
                  </w:pPr>
                  <w:r>
                    <w:sym w:font="Wingdings" w:char="F0FC"/>
                  </w:r>
                </w:p>
              </w:tc>
              <w:tc>
                <w:tcPr>
                  <w:tcW w:w="2698" w:type="pct"/>
                  <w:shd w:val="clear" w:color="auto" w:fill="F2F2F2" w:themeFill="background1" w:themeFillShade="F2"/>
                </w:tcPr>
                <w:p w14:paraId="41C28ED9" w14:textId="77777777" w:rsidR="0011262F" w:rsidRDefault="0011262F" w:rsidP="00B54007">
                  <w:pPr>
                    <w:pStyle w:val="TableBodyText"/>
                    <w:jc w:val="left"/>
                  </w:pPr>
                  <w:r>
                    <w:t>Some missing data.</w:t>
                  </w:r>
                </w:p>
                <w:p w14:paraId="5FEEE5AF" w14:textId="77777777" w:rsidR="0011262F" w:rsidRDefault="0011262F" w:rsidP="00B54007">
                  <w:pPr>
                    <w:pStyle w:val="TableBodyText"/>
                    <w:jc w:val="left"/>
                  </w:pPr>
                  <w:r>
                    <w:t xml:space="preserve">Asset classes included in the model are Australian Fixed income, International Fixed income, Australian Listed equity, International Listed equity, Listed Property, Unlisted Property and Other. </w:t>
                  </w:r>
                </w:p>
                <w:p w14:paraId="6AEE5605" w14:textId="77777777" w:rsidR="0011262F" w:rsidRDefault="0011262F" w:rsidP="00B54007">
                  <w:pPr>
                    <w:pStyle w:val="TableBodyText"/>
                    <w:jc w:val="left"/>
                  </w:pPr>
                  <w:r>
                    <w:t xml:space="preserve">In alternative specifications (annex D), these have been aggregated into fixed income, equity, listed property and other (with unlisted property being included in other) for model parsimony. </w:t>
                  </w:r>
                </w:p>
                <w:p w14:paraId="5466E9CA" w14:textId="77777777" w:rsidR="0011262F" w:rsidRDefault="0011262F" w:rsidP="00B54007">
                  <w:pPr>
                    <w:pStyle w:val="TableBodyText"/>
                    <w:jc w:val="left"/>
                  </w:pPr>
                  <w:r>
                    <w:t xml:space="preserve">Classes are different from those used in returns analysis, as the Commission has avoided making additional adjustments and assumptions for this analysis. </w:t>
                  </w:r>
                </w:p>
                <w:p w14:paraId="0B23BA7C" w14:textId="77777777" w:rsidR="0011262F" w:rsidRDefault="0011262F" w:rsidP="00B54007">
                  <w:pPr>
                    <w:pStyle w:val="TableBodyText"/>
                    <w:jc w:val="left"/>
                  </w:pPr>
                  <w:r>
                    <w:t>Composition of ‘Other’ may differ markedly between funds.</w:t>
                  </w:r>
                </w:p>
                <w:p w14:paraId="74B5E130" w14:textId="77777777" w:rsidR="0011262F" w:rsidRDefault="0011262F" w:rsidP="00B54007">
                  <w:pPr>
                    <w:pStyle w:val="TableBodyText"/>
                    <w:jc w:val="left"/>
                  </w:pPr>
                  <w:r>
                    <w:t>Unlisted assets are not accurately captured prior to 2014.</w:t>
                  </w:r>
                </w:p>
              </w:tc>
            </w:tr>
            <w:tr w:rsidR="0011262F" w14:paraId="1DC2A45B" w14:textId="77777777" w:rsidTr="00B54007">
              <w:tc>
                <w:tcPr>
                  <w:tcW w:w="1261" w:type="pct"/>
                  <w:shd w:val="clear" w:color="auto" w:fill="auto"/>
                </w:tcPr>
                <w:p w14:paraId="3966DE6E" w14:textId="77777777" w:rsidR="0011262F" w:rsidRPr="008322A1" w:rsidRDefault="0011262F" w:rsidP="00B54007">
                  <w:pPr>
                    <w:pStyle w:val="TableBodyText"/>
                    <w:jc w:val="left"/>
                    <w:rPr>
                      <w:spacing w:val="-2"/>
                    </w:rPr>
                  </w:pPr>
                  <w:r>
                    <w:rPr>
                      <w:spacing w:val="-2"/>
                    </w:rPr>
                    <w:t>Proportion of in</w:t>
                  </w:r>
                  <w:r>
                    <w:rPr>
                      <w:spacing w:val="-2"/>
                    </w:rPr>
                    <w:noBreakHyphen/>
                    <w:t>house managed investments</w:t>
                  </w:r>
                </w:p>
              </w:tc>
              <w:tc>
                <w:tcPr>
                  <w:tcW w:w="416" w:type="pct"/>
                </w:tcPr>
                <w:p w14:paraId="3A6FF223" w14:textId="77777777" w:rsidR="0011262F" w:rsidRDefault="0011262F" w:rsidP="00B54007">
                  <w:pPr>
                    <w:pStyle w:val="TableBodyText"/>
                  </w:pPr>
                </w:p>
              </w:tc>
              <w:tc>
                <w:tcPr>
                  <w:tcW w:w="625" w:type="pct"/>
                  <w:shd w:val="clear" w:color="auto" w:fill="auto"/>
                </w:tcPr>
                <w:p w14:paraId="73A8F54A" w14:textId="77777777" w:rsidR="0011262F" w:rsidRDefault="0011262F" w:rsidP="00B54007">
                  <w:pPr>
                    <w:pStyle w:val="TableBodyText"/>
                  </w:pPr>
                  <w:r>
                    <w:sym w:font="Wingdings" w:char="F0FC"/>
                  </w:r>
                </w:p>
              </w:tc>
              <w:tc>
                <w:tcPr>
                  <w:tcW w:w="2698" w:type="pct"/>
                  <w:shd w:val="clear" w:color="auto" w:fill="auto"/>
                </w:tcPr>
                <w:p w14:paraId="33D70A26" w14:textId="77777777" w:rsidR="0011262F" w:rsidRDefault="0011262F" w:rsidP="00B54007">
                  <w:pPr>
                    <w:pStyle w:val="TableBodyText"/>
                    <w:jc w:val="left"/>
                  </w:pPr>
                  <w:r>
                    <w:t>The Commission collected the proportion of in</w:t>
                  </w:r>
                  <w:r>
                    <w:noBreakHyphen/>
                    <w:t>house managed investments from 10 funds.</w:t>
                  </w:r>
                </w:p>
                <w:p w14:paraId="5BAD2DCB" w14:textId="77777777" w:rsidR="0011262F" w:rsidRDefault="0011262F" w:rsidP="00B54007">
                  <w:pPr>
                    <w:pStyle w:val="TableBodyText"/>
                    <w:jc w:val="left"/>
                  </w:pPr>
                  <w:r>
                    <w:t>The Commission tested the inclusion of this variable in an alternative specification (annex C).</w:t>
                  </w:r>
                </w:p>
              </w:tc>
            </w:tr>
            <w:tr w:rsidR="0011262F" w14:paraId="25DA30CA" w14:textId="77777777" w:rsidTr="00B54007">
              <w:tc>
                <w:tcPr>
                  <w:tcW w:w="1261" w:type="pct"/>
                  <w:shd w:val="clear" w:color="auto" w:fill="F2F2F2" w:themeFill="background1" w:themeFillShade="F2"/>
                </w:tcPr>
                <w:p w14:paraId="4F280835" w14:textId="77777777" w:rsidR="0011262F" w:rsidRPr="008322A1" w:rsidRDefault="0011262F" w:rsidP="00B54007">
                  <w:pPr>
                    <w:pStyle w:val="TableBodyText"/>
                    <w:jc w:val="left"/>
                    <w:rPr>
                      <w:spacing w:val="-2"/>
                    </w:rPr>
                  </w:pPr>
                  <w:r w:rsidRPr="008322A1">
                    <w:rPr>
                      <w:spacing w:val="-2"/>
                    </w:rPr>
                    <w:t xml:space="preserve">Number of investment options </w:t>
                  </w:r>
                </w:p>
              </w:tc>
              <w:tc>
                <w:tcPr>
                  <w:tcW w:w="416" w:type="pct"/>
                  <w:shd w:val="clear" w:color="auto" w:fill="F2F2F2" w:themeFill="background1" w:themeFillShade="F2"/>
                </w:tcPr>
                <w:p w14:paraId="4DCFA83A" w14:textId="77777777" w:rsidR="0011262F" w:rsidRDefault="0011262F" w:rsidP="00B54007">
                  <w:pPr>
                    <w:pStyle w:val="TableBodyText"/>
                  </w:pPr>
                  <w:r>
                    <w:sym w:font="Wingdings" w:char="F0FC"/>
                  </w:r>
                </w:p>
              </w:tc>
              <w:tc>
                <w:tcPr>
                  <w:tcW w:w="625" w:type="pct"/>
                  <w:shd w:val="clear" w:color="auto" w:fill="F2F2F2" w:themeFill="background1" w:themeFillShade="F2"/>
                </w:tcPr>
                <w:p w14:paraId="3275A425" w14:textId="77777777" w:rsidR="0011262F" w:rsidRDefault="0011262F" w:rsidP="00B54007">
                  <w:pPr>
                    <w:pStyle w:val="TableBodyText"/>
                  </w:pPr>
                  <w:r>
                    <w:sym w:font="Wingdings" w:char="F0FC"/>
                  </w:r>
                </w:p>
              </w:tc>
              <w:tc>
                <w:tcPr>
                  <w:tcW w:w="2698" w:type="pct"/>
                  <w:shd w:val="clear" w:color="auto" w:fill="F2F2F2" w:themeFill="background1" w:themeFillShade="F2"/>
                </w:tcPr>
                <w:p w14:paraId="6626E892" w14:textId="77777777" w:rsidR="0011262F" w:rsidRDefault="0011262F" w:rsidP="00B54007">
                  <w:pPr>
                    <w:pStyle w:val="TableBodyText"/>
                    <w:jc w:val="left"/>
                  </w:pPr>
                  <w:r>
                    <w:t>Significant missing data.</w:t>
                  </w:r>
                </w:p>
                <w:p w14:paraId="7DB50DAA" w14:textId="77777777" w:rsidR="0011262F" w:rsidRDefault="0011262F" w:rsidP="00B54007">
                  <w:pPr>
                    <w:pStyle w:val="TableBodyText"/>
                    <w:jc w:val="left"/>
                  </w:pPr>
                  <w:r>
                    <w:t xml:space="preserve">Included to represent the costs of administering large arrays of investment options and incurring larger transaction costs for wrap products. </w:t>
                  </w:r>
                </w:p>
              </w:tc>
            </w:tr>
            <w:tr w:rsidR="0011262F" w14:paraId="18ACC512" w14:textId="77777777" w:rsidTr="00B54007">
              <w:tc>
                <w:tcPr>
                  <w:tcW w:w="1261" w:type="pct"/>
                  <w:tcBorders>
                    <w:bottom w:val="single" w:sz="6" w:space="0" w:color="BFBFBF"/>
                  </w:tcBorders>
                  <w:shd w:val="clear" w:color="auto" w:fill="auto"/>
                </w:tcPr>
                <w:p w14:paraId="3E8E7CF1" w14:textId="77777777" w:rsidR="0011262F" w:rsidRPr="00D6014F" w:rsidRDefault="0011262F" w:rsidP="00B54007">
                  <w:pPr>
                    <w:pStyle w:val="TableBodyText"/>
                    <w:jc w:val="left"/>
                  </w:pPr>
                  <w:r w:rsidRPr="00C6018C">
                    <w:t>Annual returns</w:t>
                  </w:r>
                </w:p>
              </w:tc>
              <w:tc>
                <w:tcPr>
                  <w:tcW w:w="416" w:type="pct"/>
                  <w:tcBorders>
                    <w:bottom w:val="single" w:sz="6" w:space="0" w:color="BFBFBF"/>
                  </w:tcBorders>
                </w:tcPr>
                <w:p w14:paraId="7B5BEEEE" w14:textId="77777777" w:rsidR="0011262F" w:rsidRDefault="0011262F" w:rsidP="00B54007">
                  <w:pPr>
                    <w:pStyle w:val="TableBodyText"/>
                  </w:pPr>
                </w:p>
              </w:tc>
              <w:tc>
                <w:tcPr>
                  <w:tcW w:w="625" w:type="pct"/>
                  <w:tcBorders>
                    <w:bottom w:val="single" w:sz="6" w:space="0" w:color="BFBFBF"/>
                  </w:tcBorders>
                  <w:shd w:val="clear" w:color="auto" w:fill="auto"/>
                </w:tcPr>
                <w:p w14:paraId="10EA284F" w14:textId="77777777" w:rsidR="0011262F" w:rsidRDefault="0011262F" w:rsidP="00B54007">
                  <w:pPr>
                    <w:pStyle w:val="TableBodyText"/>
                  </w:pPr>
                  <w:r>
                    <w:sym w:font="Wingdings" w:char="F0FC"/>
                  </w:r>
                </w:p>
              </w:tc>
              <w:tc>
                <w:tcPr>
                  <w:tcW w:w="2698" w:type="pct"/>
                  <w:tcBorders>
                    <w:bottom w:val="single" w:sz="6" w:space="0" w:color="BFBFBF"/>
                  </w:tcBorders>
                  <w:shd w:val="clear" w:color="auto" w:fill="auto"/>
                </w:tcPr>
                <w:p w14:paraId="02191E51" w14:textId="77777777" w:rsidR="0011262F" w:rsidRDefault="0011262F" w:rsidP="00B54007">
                  <w:pPr>
                    <w:pStyle w:val="TableBodyText"/>
                    <w:jc w:val="left"/>
                  </w:pPr>
                  <w:r>
                    <w:t xml:space="preserve">Used in auxiliary models both by itself and as a </w:t>
                  </w:r>
                  <w:proofErr w:type="spellStart"/>
                  <w:r>
                    <w:t>Hausman</w:t>
                  </w:r>
                  <w:proofErr w:type="spellEnd"/>
                  <w:r>
                    <w:t xml:space="preserve"> instrument (sum of all returns except fund </w:t>
                  </w:r>
                  <m:oMath>
                    <m:r>
                      <w:rPr>
                        <w:rFonts w:ascii="Cambria Math" w:hAnsi="Cambria Math"/>
                      </w:rPr>
                      <m:t>i</m:t>
                    </m:r>
                  </m:oMath>
                  <w:r>
                    <w:t xml:space="preserve"> in the system).</w:t>
                  </w:r>
                </w:p>
              </w:tc>
            </w:tr>
          </w:tbl>
          <w:p w14:paraId="37110D7F" w14:textId="77777777" w:rsidR="0011262F" w:rsidRDefault="0011262F" w:rsidP="00B54007">
            <w:pPr>
              <w:pStyle w:val="Box"/>
            </w:pPr>
          </w:p>
        </w:tc>
      </w:tr>
      <w:tr w:rsidR="0011262F" w14:paraId="0EA827F2" w14:textId="77777777" w:rsidTr="00B54007">
        <w:tc>
          <w:tcPr>
            <w:tcW w:w="5000" w:type="pct"/>
            <w:tcBorders>
              <w:top w:val="nil"/>
              <w:left w:val="nil"/>
              <w:bottom w:val="nil"/>
              <w:right w:val="nil"/>
            </w:tcBorders>
            <w:shd w:val="clear" w:color="auto" w:fill="auto"/>
          </w:tcPr>
          <w:p w14:paraId="36770283" w14:textId="77777777" w:rsidR="0011262F" w:rsidRDefault="0011262F" w:rsidP="00B54007">
            <w:pPr>
              <w:pStyle w:val="Note"/>
              <w:rPr>
                <w:i/>
              </w:rPr>
            </w:pPr>
            <w:r w:rsidRPr="00604BFB">
              <w:rPr>
                <w:rStyle w:val="NoteLabel"/>
              </w:rPr>
              <w:t>a</w:t>
            </w:r>
            <w:r w:rsidRPr="00604BFB">
              <w:t> APRA provides fund</w:t>
            </w:r>
            <w:r w:rsidRPr="00604BFB">
              <w:noBreakHyphen/>
              <w:t>level financial data to the public, but data for many funds — particularly smaller ones — is ‘masked’ for privacy reasons. The Commission has used unmasked fund</w:t>
            </w:r>
            <w:r w:rsidRPr="00604BFB">
              <w:noBreakHyphen/>
              <w:t xml:space="preserve">level financial data. </w:t>
            </w:r>
            <w:r w:rsidRPr="00604BFB">
              <w:rPr>
                <w:rStyle w:val="NoteLabel"/>
              </w:rPr>
              <w:t>b</w:t>
            </w:r>
            <w:r w:rsidRPr="00604BFB">
              <w:t> All data cover the period 30</w:t>
            </w:r>
            <w:r>
              <w:t> </w:t>
            </w:r>
            <w:r w:rsidRPr="00604BFB">
              <w:t>June 2004 to 30</w:t>
            </w:r>
            <w:r>
              <w:t> </w:t>
            </w:r>
            <w:r w:rsidRPr="00604BFB">
              <w:t>June 2017.</w:t>
            </w:r>
          </w:p>
        </w:tc>
      </w:tr>
      <w:tr w:rsidR="0011262F" w14:paraId="00E841ED" w14:textId="77777777" w:rsidTr="00B54007">
        <w:tc>
          <w:tcPr>
            <w:tcW w:w="5000" w:type="pct"/>
            <w:tcBorders>
              <w:top w:val="nil"/>
              <w:left w:val="nil"/>
              <w:bottom w:val="single" w:sz="6" w:space="0" w:color="78A22F"/>
              <w:right w:val="nil"/>
            </w:tcBorders>
            <w:shd w:val="clear" w:color="auto" w:fill="auto"/>
          </w:tcPr>
          <w:p w14:paraId="641125E9" w14:textId="77777777" w:rsidR="0011262F" w:rsidRDefault="0011262F" w:rsidP="00B54007">
            <w:pPr>
              <w:pStyle w:val="Box"/>
              <w:spacing w:before="0" w:line="120" w:lineRule="exact"/>
            </w:pPr>
          </w:p>
        </w:tc>
      </w:tr>
      <w:tr w:rsidR="0011262F" w:rsidRPr="000863A5" w14:paraId="50CFC115" w14:textId="77777777" w:rsidTr="00B54007">
        <w:tc>
          <w:tcPr>
            <w:tcW w:w="5000" w:type="pct"/>
            <w:tcBorders>
              <w:top w:val="single" w:sz="6" w:space="0" w:color="78A22F"/>
              <w:left w:val="nil"/>
              <w:bottom w:val="nil"/>
              <w:right w:val="nil"/>
            </w:tcBorders>
          </w:tcPr>
          <w:p w14:paraId="6935D240" w14:textId="77777777" w:rsidR="0011262F" w:rsidRPr="00626D32" w:rsidRDefault="0011262F" w:rsidP="00B54007">
            <w:pPr>
              <w:pStyle w:val="BoxSpaceBelow"/>
            </w:pPr>
          </w:p>
        </w:tc>
      </w:tr>
    </w:tbl>
    <w:p w14:paraId="4D2F3425" w14:textId="77777777" w:rsidR="0011262F" w:rsidRDefault="0011262F" w:rsidP="0011262F">
      <w:pPr>
        <w:pStyle w:val="Heading3"/>
      </w:pPr>
      <w:r>
        <w:t>A cost function sits at the centre of the modelling work</w:t>
      </w:r>
    </w:p>
    <w:p w14:paraId="26F05067" w14:textId="77777777" w:rsidR="0011262F" w:rsidRDefault="0011262F" w:rsidP="0011262F">
      <w:pPr>
        <w:pStyle w:val="BodyText"/>
      </w:pPr>
      <w:r w:rsidRPr="00FA065A">
        <w:rPr>
          <w:spacing w:val="-2"/>
        </w:rPr>
        <w:t>A cost function relating funds’ characteristics</w:t>
      </w:r>
      <w:r>
        <w:rPr>
          <w:spacing w:val="-2"/>
        </w:rPr>
        <w:t xml:space="preserve"> (detailed in table 8.6)</w:t>
      </w:r>
      <w:r w:rsidRPr="00FA065A">
        <w:rPr>
          <w:spacing w:val="-2"/>
        </w:rPr>
        <w:t xml:space="preserve">, including scale, to expenses (costs) is at the centre of the Commission’s </w:t>
      </w:r>
      <w:r>
        <w:rPr>
          <w:spacing w:val="-2"/>
        </w:rPr>
        <w:t xml:space="preserve">cost modelling </w:t>
      </w:r>
      <w:r w:rsidRPr="00FA065A" w:rsidDel="009261EC">
        <w:rPr>
          <w:spacing w:val="-2"/>
        </w:rPr>
        <w:t>approach</w:t>
      </w:r>
      <w:r>
        <w:rPr>
          <w:spacing w:val="-2"/>
        </w:rPr>
        <w:t xml:space="preserve">. </w:t>
      </w:r>
      <w:r>
        <w:t>Results derived from this modelling were used in a variety of ways (box 8.1) to obtain answers to the first four of the Commission’s questions. Regression analysis, controlling for key factors that are likely to influence returns — in particular, asset allocation — was used to capture the returns–scale relationship, delivering an answer to the fifth question.</w:t>
      </w:r>
    </w:p>
    <w:p w14:paraId="6C49348A" w14:textId="77777777" w:rsidR="0011262F" w:rsidRDefault="0011262F" w:rsidP="0011262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1262F" w14:paraId="51C8AD45" w14:textId="77777777" w:rsidTr="00B54007">
        <w:trPr>
          <w:tblHeader/>
        </w:trPr>
        <w:tc>
          <w:tcPr>
            <w:tcW w:w="5000" w:type="pct"/>
            <w:tcBorders>
              <w:top w:val="single" w:sz="6" w:space="0" w:color="78A22F"/>
              <w:left w:val="nil"/>
              <w:bottom w:val="nil"/>
              <w:right w:val="nil"/>
            </w:tcBorders>
            <w:shd w:val="clear" w:color="auto" w:fill="F2F2F2"/>
          </w:tcPr>
          <w:p w14:paraId="4F718A04" w14:textId="77777777" w:rsidR="0011262F" w:rsidRDefault="0011262F" w:rsidP="00B54007">
            <w:pPr>
              <w:pStyle w:val="BoxTitle"/>
            </w:pPr>
            <w:r>
              <w:rPr>
                <w:b w:val="0"/>
              </w:rPr>
              <w:t xml:space="preserve">Box </w:t>
            </w:r>
            <w:bookmarkStart w:id="23" w:name="OLE_LINK42"/>
            <w:r>
              <w:rPr>
                <w:b w:val="0"/>
              </w:rPr>
              <w:t>8.</w:t>
            </w:r>
            <w:r>
              <w:rPr>
                <w:b w:val="0"/>
                <w:noProof/>
              </w:rPr>
              <w:t>1</w:t>
            </w:r>
            <w:bookmarkEnd w:id="23"/>
            <w:r>
              <w:tab/>
              <w:t>Use of modelling results to answer research questions</w:t>
            </w:r>
          </w:p>
        </w:tc>
      </w:tr>
      <w:tr w:rsidR="0011262F" w14:paraId="232E766A" w14:textId="77777777" w:rsidTr="00B54007">
        <w:tc>
          <w:tcPr>
            <w:tcW w:w="5000" w:type="pct"/>
            <w:tcBorders>
              <w:top w:val="nil"/>
              <w:left w:val="nil"/>
              <w:bottom w:val="nil"/>
              <w:right w:val="nil"/>
            </w:tcBorders>
            <w:shd w:val="clear" w:color="auto" w:fill="F2F2F2"/>
          </w:tcPr>
          <w:p w14:paraId="1AAC0689" w14:textId="77777777" w:rsidR="0011262F" w:rsidRDefault="0011262F" w:rsidP="00B54007">
            <w:pPr>
              <w:pStyle w:val="Box"/>
            </w:pPr>
            <w:r>
              <w:t>Answers to the Commission’s research questions were derived as follows.</w:t>
            </w:r>
          </w:p>
          <w:p w14:paraId="548380C6" w14:textId="77777777" w:rsidR="0011262F" w:rsidRDefault="0011262F" w:rsidP="00B54007">
            <w:pPr>
              <w:pStyle w:val="BoxListBullet"/>
            </w:pPr>
            <w:r>
              <w:t xml:space="preserve">Question: </w:t>
            </w:r>
            <w:r>
              <w:rPr>
                <w:i/>
              </w:rPr>
              <w:t>W</w:t>
            </w:r>
            <w:r w:rsidRPr="00AD5627">
              <w:rPr>
                <w:i/>
              </w:rPr>
              <w:t xml:space="preserve">hat is the </w:t>
            </w:r>
            <w:r>
              <w:rPr>
                <w:i/>
              </w:rPr>
              <w:t xml:space="preserve">relationship between </w:t>
            </w:r>
            <w:r w:rsidRPr="00AD5627">
              <w:rPr>
                <w:i/>
              </w:rPr>
              <w:t>average cost and scale for super funds?</w:t>
            </w:r>
          </w:p>
          <w:p w14:paraId="53EFFEF3" w14:textId="77777777" w:rsidR="0011262F" w:rsidRDefault="0011262F" w:rsidP="00B54007">
            <w:pPr>
              <w:pStyle w:val="Box"/>
              <w:spacing w:before="0"/>
              <w:ind w:left="284"/>
            </w:pPr>
            <w:r w:rsidRPr="0096621D">
              <w:t>Approach:</w:t>
            </w:r>
            <w:r w:rsidRPr="00C13DA5">
              <w:t xml:space="preserve"> </w:t>
            </w:r>
            <w:r>
              <w:t>Results from the</w:t>
            </w:r>
            <w:r w:rsidDel="00DA4CFC">
              <w:t xml:space="preserve"> </w:t>
            </w:r>
            <w:r>
              <w:t>cost functions were used to estimate the relationship between average costs and scale for each of the funds in the panel.</w:t>
            </w:r>
          </w:p>
          <w:p w14:paraId="39149402" w14:textId="242F1843" w:rsidR="0011262F" w:rsidRDefault="0011262F" w:rsidP="00B54007">
            <w:pPr>
              <w:pStyle w:val="Box"/>
              <w:spacing w:before="0"/>
              <w:ind w:left="284"/>
            </w:pPr>
            <w:r>
              <w:t xml:space="preserve">Where: </w:t>
            </w:r>
            <w:r w:rsidR="002F0937">
              <w:t>pp. 19–24</w:t>
            </w:r>
            <w:r>
              <w:t>.</w:t>
            </w:r>
          </w:p>
          <w:p w14:paraId="657EE17F" w14:textId="77777777" w:rsidR="0011262F" w:rsidRPr="00C13DA5" w:rsidRDefault="0011262F" w:rsidP="00B54007">
            <w:pPr>
              <w:pStyle w:val="BoxListBullet"/>
              <w:rPr>
                <w:spacing w:val="-2"/>
              </w:rPr>
            </w:pPr>
            <w:r>
              <w:rPr>
                <w:spacing w:val="-2"/>
              </w:rPr>
              <w:t xml:space="preserve">Question: </w:t>
            </w:r>
            <w:r w:rsidRPr="00D71620">
              <w:rPr>
                <w:i/>
                <w:spacing w:val="-2"/>
              </w:rPr>
              <w:t>How large have realised economies of scale been?</w:t>
            </w:r>
          </w:p>
          <w:p w14:paraId="4F9DBDFF" w14:textId="77777777" w:rsidR="0011262F" w:rsidRDefault="0011262F" w:rsidP="00B54007">
            <w:pPr>
              <w:pStyle w:val="Box"/>
              <w:spacing w:before="0"/>
              <w:ind w:left="284"/>
              <w:rPr>
                <w:lang w:val="en-US"/>
              </w:rPr>
            </w:pPr>
            <w:r>
              <w:t xml:space="preserve">Approach: </w:t>
            </w:r>
            <w:r w:rsidRPr="00D71620">
              <w:t xml:space="preserve">The estimated </w:t>
            </w:r>
            <w:r>
              <w:t>cost functions were</w:t>
            </w:r>
            <w:r w:rsidRPr="00D71620">
              <w:t xml:space="preserve"> used to </w:t>
            </w:r>
            <w:r w:rsidRPr="00D71620">
              <w:rPr>
                <w:lang w:val="en-US"/>
              </w:rPr>
              <w:t xml:space="preserve">decompose the actual change in costs over time into contributions from different cost drivers to isolate the extent of </w:t>
            </w:r>
            <w:proofErr w:type="spellStart"/>
            <w:r w:rsidRPr="00D71620">
              <w:rPr>
                <w:lang w:val="en-US"/>
              </w:rPr>
              <w:t>realised</w:t>
            </w:r>
            <w:proofErr w:type="spellEnd"/>
            <w:r w:rsidRPr="00D71620">
              <w:rPr>
                <w:lang w:val="en-US"/>
              </w:rPr>
              <w:t xml:space="preserve"> economies of scale</w:t>
            </w:r>
            <w:r>
              <w:rPr>
                <w:lang w:val="en-US"/>
              </w:rPr>
              <w:t xml:space="preserve"> </w:t>
            </w:r>
            <w:r>
              <w:t>for each of the funds in the panel</w:t>
            </w:r>
            <w:r w:rsidRPr="00D71620">
              <w:rPr>
                <w:lang w:val="en-US"/>
              </w:rPr>
              <w:t>.</w:t>
            </w:r>
          </w:p>
          <w:p w14:paraId="718EB8F3" w14:textId="19FAA7CE" w:rsidR="0011262F" w:rsidRPr="00D71620" w:rsidRDefault="0011262F" w:rsidP="00B54007">
            <w:pPr>
              <w:pStyle w:val="Box"/>
              <w:spacing w:before="0"/>
              <w:ind w:left="284"/>
            </w:pPr>
            <w:r>
              <w:rPr>
                <w:lang w:val="en-US"/>
              </w:rPr>
              <w:t xml:space="preserve">Where: </w:t>
            </w:r>
            <w:r w:rsidR="002F0937">
              <w:t>pp. 24–31</w:t>
            </w:r>
            <w:r>
              <w:t>.</w:t>
            </w:r>
          </w:p>
          <w:p w14:paraId="0B5A2FE7" w14:textId="77777777" w:rsidR="0011262F" w:rsidRPr="00C13DA5" w:rsidRDefault="0011262F" w:rsidP="00B54007">
            <w:pPr>
              <w:pStyle w:val="BoxListBullet"/>
            </w:pPr>
            <w:r>
              <w:rPr>
                <w:lang w:val="en-US"/>
              </w:rPr>
              <w:t xml:space="preserve">Question: </w:t>
            </w:r>
            <w:r w:rsidRPr="00E02680">
              <w:rPr>
                <w:i/>
              </w:rPr>
              <w:t>What is the scope of unrealised economies of scale?</w:t>
            </w:r>
          </w:p>
          <w:p w14:paraId="1DEC5A81" w14:textId="77777777" w:rsidR="0011262F" w:rsidRDefault="0011262F" w:rsidP="00B54007">
            <w:pPr>
              <w:pStyle w:val="Box"/>
              <w:spacing w:before="0"/>
              <w:ind w:left="284"/>
            </w:pPr>
            <w:r>
              <w:t xml:space="preserve">Approach: </w:t>
            </w:r>
            <w:r w:rsidRPr="00C13DA5">
              <w:t>Projections</w:t>
            </w:r>
            <w:r>
              <w:t xml:space="preserve"> from the costs function for funds of different scale were used to estimate the extent of unrealised economies of scale in the Australian super industry.</w:t>
            </w:r>
          </w:p>
          <w:p w14:paraId="0F58D970" w14:textId="6919E7BC" w:rsidR="0011262F" w:rsidRDefault="002F0937" w:rsidP="00B54007">
            <w:pPr>
              <w:pStyle w:val="Box"/>
              <w:spacing w:before="0"/>
              <w:ind w:left="284"/>
            </w:pPr>
            <w:r>
              <w:t>Where: pp. 31–32</w:t>
            </w:r>
            <w:r w:rsidR="0011262F">
              <w:t>.</w:t>
            </w:r>
          </w:p>
          <w:p w14:paraId="5E9A579B" w14:textId="77777777" w:rsidR="0011262F" w:rsidRPr="00C13DA5" w:rsidRDefault="0011262F" w:rsidP="00B54007">
            <w:pPr>
              <w:pStyle w:val="BoxListBullet"/>
            </w:pPr>
            <w:r>
              <w:t xml:space="preserve">Question: </w:t>
            </w:r>
            <w:r w:rsidRPr="00DD4EAF">
              <w:rPr>
                <w:i/>
              </w:rPr>
              <w:t>To what extent have the benefits from scale economies been passed through to members?</w:t>
            </w:r>
          </w:p>
          <w:p w14:paraId="621FBECE" w14:textId="77777777" w:rsidR="0011262F" w:rsidRDefault="0011262F" w:rsidP="00B54007">
            <w:pPr>
              <w:pStyle w:val="Box"/>
              <w:spacing w:before="0"/>
              <w:ind w:left="284"/>
            </w:pPr>
            <w:r w:rsidRPr="00C13DA5">
              <w:t xml:space="preserve">Approach: </w:t>
            </w:r>
            <w:r>
              <w:t>Changes in fees were regressed on cost changes (due only to size) estimated from the cost function to determine the extent to which any realised economies of scale have been passed through to members of super funds for each of the funds in the panel. This involved using econometric regression analysis.</w:t>
            </w:r>
          </w:p>
          <w:p w14:paraId="76E7DB72" w14:textId="3F6870E6" w:rsidR="0011262F" w:rsidRDefault="002F0937" w:rsidP="00B54007">
            <w:pPr>
              <w:pStyle w:val="Box"/>
              <w:spacing w:before="0"/>
              <w:ind w:left="284"/>
            </w:pPr>
            <w:r>
              <w:t>Where: pp. 33–38</w:t>
            </w:r>
            <w:r w:rsidR="0011262F">
              <w:t>.</w:t>
            </w:r>
          </w:p>
          <w:p w14:paraId="37DA92DC" w14:textId="77777777" w:rsidR="0011262F" w:rsidRPr="00C13DA5" w:rsidRDefault="0011262F" w:rsidP="00B54007">
            <w:pPr>
              <w:pStyle w:val="BoxListBullet"/>
              <w:rPr>
                <w:i/>
              </w:rPr>
            </w:pPr>
            <w:r>
              <w:t xml:space="preserve">Question: </w:t>
            </w:r>
            <w:r w:rsidRPr="00B33D72">
              <w:rPr>
                <w:i/>
              </w:rPr>
              <w:t>What is the relationship between returns (relative to a fund’s benchmark) and scale?</w:t>
            </w:r>
          </w:p>
          <w:p w14:paraId="5740D1DF" w14:textId="77777777" w:rsidR="0011262F" w:rsidRDefault="0011262F" w:rsidP="00B54007">
            <w:pPr>
              <w:pStyle w:val="Box"/>
              <w:spacing w:before="0"/>
              <w:ind w:left="284"/>
            </w:pPr>
            <w:r>
              <w:t>Approach: Net returns were regressed against fund size to determine if larger funds obtain higher returns. A similar analysis was conducted using returns relative to benchmarks to identify if larger funds mak</w:t>
            </w:r>
            <w:bookmarkStart w:id="24" w:name="_GoBack"/>
            <w:bookmarkEnd w:id="24"/>
            <w:r>
              <w:t>e better investment decisions. This involved using econometric regression analysis.</w:t>
            </w:r>
          </w:p>
          <w:p w14:paraId="6CC02A95" w14:textId="1686AA02" w:rsidR="0011262F" w:rsidRPr="00D75875" w:rsidRDefault="002F0937" w:rsidP="00B54007">
            <w:pPr>
              <w:pStyle w:val="Box"/>
              <w:spacing w:before="0"/>
              <w:ind w:left="284"/>
            </w:pPr>
            <w:r>
              <w:t>Where: pp. 38–44</w:t>
            </w:r>
            <w:r w:rsidR="0011262F">
              <w:t>.</w:t>
            </w:r>
          </w:p>
        </w:tc>
      </w:tr>
      <w:tr w:rsidR="0011262F" w14:paraId="2BA70110" w14:textId="77777777" w:rsidTr="00B54007">
        <w:tc>
          <w:tcPr>
            <w:tcW w:w="5000" w:type="pct"/>
            <w:tcBorders>
              <w:top w:val="nil"/>
              <w:left w:val="nil"/>
              <w:bottom w:val="single" w:sz="6" w:space="0" w:color="78A22F"/>
              <w:right w:val="nil"/>
            </w:tcBorders>
            <w:shd w:val="clear" w:color="auto" w:fill="F2F2F2"/>
          </w:tcPr>
          <w:p w14:paraId="488183B8" w14:textId="77777777" w:rsidR="0011262F" w:rsidRDefault="0011262F" w:rsidP="00B54007">
            <w:pPr>
              <w:pStyle w:val="Box"/>
              <w:spacing w:before="0" w:line="120" w:lineRule="exact"/>
            </w:pPr>
          </w:p>
        </w:tc>
      </w:tr>
      <w:tr w:rsidR="0011262F" w:rsidRPr="000863A5" w14:paraId="009F2A1B" w14:textId="77777777" w:rsidTr="00B54007">
        <w:tc>
          <w:tcPr>
            <w:tcW w:w="5000" w:type="pct"/>
            <w:tcBorders>
              <w:top w:val="single" w:sz="6" w:space="0" w:color="78A22F"/>
              <w:left w:val="nil"/>
              <w:bottom w:val="nil"/>
              <w:right w:val="nil"/>
            </w:tcBorders>
          </w:tcPr>
          <w:p w14:paraId="40E086C6" w14:textId="77777777" w:rsidR="0011262F" w:rsidRPr="00626D32" w:rsidRDefault="0011262F" w:rsidP="00B54007">
            <w:pPr>
              <w:pStyle w:val="BoxSpaceBelow"/>
            </w:pPr>
          </w:p>
        </w:tc>
      </w:tr>
    </w:tbl>
    <w:p w14:paraId="751F0EEB" w14:textId="77777777" w:rsidR="0011262F" w:rsidRPr="002B3FF3" w:rsidRDefault="0011262F" w:rsidP="0011262F">
      <w:pPr>
        <w:pStyle w:val="Heading3"/>
      </w:pPr>
      <w:r>
        <w:t>Data characteristics (and problems) were tackled in a variety of ways</w:t>
      </w:r>
    </w:p>
    <w:p w14:paraId="438C47A8" w14:textId="77777777" w:rsidR="0011262F" w:rsidRDefault="0011262F" w:rsidP="0011262F">
      <w:pPr>
        <w:pStyle w:val="BodyText"/>
      </w:pPr>
      <w:r>
        <w:t>Challenges posed by missing data, and the need to appropriately capture other characteristics of the data, mandated a variety of approaches in the modelling work (box 8.2).</w:t>
      </w:r>
    </w:p>
    <w:p w14:paraId="77A5C7D4" w14:textId="77777777" w:rsidR="0011262F" w:rsidRDefault="0011262F" w:rsidP="0011262F">
      <w:pPr>
        <w:pStyle w:val="BodyText"/>
      </w:pPr>
      <w:r>
        <w:t xml:space="preserve">Adoption of </w:t>
      </w:r>
      <w:r>
        <w:rPr>
          <w:spacing w:val="-2"/>
        </w:rPr>
        <w:t>a</w:t>
      </w:r>
      <w:r w:rsidRPr="00E97CFD">
        <w:rPr>
          <w:spacing w:val="-2"/>
        </w:rPr>
        <w:t xml:space="preserve"> Bayesian statistical framework</w:t>
      </w:r>
      <w:r>
        <w:rPr>
          <w:spacing w:val="-2"/>
        </w:rPr>
        <w:t xml:space="preserve"> enabled</w:t>
      </w:r>
      <w:r w:rsidRPr="00E97CFD">
        <w:rPr>
          <w:spacing w:val="-2"/>
        </w:rPr>
        <w:t xml:space="preserve"> solutions to all of the modelling issues to be implemented in a coherent </w:t>
      </w:r>
      <w:r>
        <w:rPr>
          <w:spacing w:val="-2"/>
        </w:rPr>
        <w:t>way</w:t>
      </w:r>
      <w:r w:rsidRPr="00E97CFD">
        <w:rPr>
          <w:spacing w:val="-2"/>
        </w:rPr>
        <w:t>.</w:t>
      </w:r>
      <w:r>
        <w:rPr>
          <w:rStyle w:val="FootnoteReference"/>
          <w:spacing w:val="-2"/>
        </w:rPr>
        <w:footnoteReference w:id="11"/>
      </w:r>
      <w:r>
        <w:rPr>
          <w:spacing w:val="-2"/>
        </w:rPr>
        <w:t xml:space="preserve"> More detail on Bayesian analysis and the Commission’s modelling strategy is presented in annexes A and B, respectively.</w:t>
      </w:r>
    </w:p>
    <w:p w14:paraId="2DEFFB04" w14:textId="77777777" w:rsidR="0011262F" w:rsidRDefault="0011262F" w:rsidP="0011262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1262F" w14:paraId="6D3B91C8" w14:textId="77777777" w:rsidTr="00B54007">
        <w:trPr>
          <w:tblHeader/>
        </w:trPr>
        <w:tc>
          <w:tcPr>
            <w:tcW w:w="5000" w:type="pct"/>
            <w:tcBorders>
              <w:top w:val="single" w:sz="6" w:space="0" w:color="78A22F"/>
              <w:left w:val="nil"/>
              <w:bottom w:val="nil"/>
              <w:right w:val="nil"/>
            </w:tcBorders>
            <w:shd w:val="clear" w:color="auto" w:fill="F2F2F2"/>
          </w:tcPr>
          <w:p w14:paraId="6A7D8A9D" w14:textId="77777777" w:rsidR="0011262F" w:rsidRDefault="0011262F" w:rsidP="00B54007">
            <w:pPr>
              <w:pStyle w:val="BoxTitle"/>
            </w:pPr>
            <w:r>
              <w:rPr>
                <w:b w:val="0"/>
              </w:rPr>
              <w:t xml:space="preserve">Box </w:t>
            </w:r>
            <w:bookmarkStart w:id="25" w:name="OLE_LINK5"/>
            <w:r>
              <w:rPr>
                <w:b w:val="0"/>
              </w:rPr>
              <w:t>8.</w:t>
            </w:r>
            <w:r>
              <w:rPr>
                <w:b w:val="0"/>
                <w:noProof/>
              </w:rPr>
              <w:t>2</w:t>
            </w:r>
            <w:bookmarkEnd w:id="25"/>
            <w:r>
              <w:tab/>
              <w:t>Approaches to missing data and other data characteristics</w:t>
            </w:r>
          </w:p>
        </w:tc>
      </w:tr>
      <w:tr w:rsidR="0011262F" w14:paraId="1ECAB863" w14:textId="77777777" w:rsidTr="00B54007">
        <w:tc>
          <w:tcPr>
            <w:tcW w:w="5000" w:type="pct"/>
            <w:tcBorders>
              <w:top w:val="nil"/>
              <w:left w:val="nil"/>
              <w:bottom w:val="nil"/>
              <w:right w:val="nil"/>
            </w:tcBorders>
            <w:shd w:val="clear" w:color="auto" w:fill="F2F2F2"/>
          </w:tcPr>
          <w:p w14:paraId="2154A350" w14:textId="77777777" w:rsidR="0011262F" w:rsidRDefault="0011262F" w:rsidP="00B54007">
            <w:pPr>
              <w:pStyle w:val="Box"/>
              <w:rPr>
                <w:spacing w:val="-2"/>
              </w:rPr>
            </w:pPr>
            <w:r w:rsidRPr="00E97CFD">
              <w:rPr>
                <w:spacing w:val="-2"/>
              </w:rPr>
              <w:t xml:space="preserve">As a </w:t>
            </w:r>
            <w:r>
              <w:rPr>
                <w:spacing w:val="-2"/>
              </w:rPr>
              <w:t>bundle</w:t>
            </w:r>
            <w:r w:rsidRPr="00E97CFD">
              <w:rPr>
                <w:spacing w:val="-2"/>
              </w:rPr>
              <w:t xml:space="preserve">, </w:t>
            </w:r>
            <w:r>
              <w:rPr>
                <w:spacing w:val="-2"/>
              </w:rPr>
              <w:t xml:space="preserve">missing information and other characteristics of the data </w:t>
            </w:r>
            <w:r w:rsidRPr="00E97CFD">
              <w:rPr>
                <w:spacing w:val="-2"/>
              </w:rPr>
              <w:t>raised some formidable technical challenges</w:t>
            </w:r>
            <w:r>
              <w:rPr>
                <w:spacing w:val="-2"/>
              </w:rPr>
              <w:t>. These were addressed in a variety of ways.</w:t>
            </w:r>
          </w:p>
          <w:p w14:paraId="4709FF11" w14:textId="77777777" w:rsidR="0011262F" w:rsidRDefault="0011262F" w:rsidP="00B54007">
            <w:pPr>
              <w:pStyle w:val="BoxListBullet"/>
            </w:pPr>
            <w:r>
              <w:t>Gaps in data on expenses and the number of investment options were addressed using imputation. Predictions of missing data for a given fund–year combination were generated using regressions based on the information that was observed for the fund. Tractability constraints ruled out the use of imputation in the pass</w:t>
            </w:r>
            <w:r>
              <w:noBreakHyphen/>
              <w:t>through model. As a consequence, the pass</w:t>
            </w:r>
            <w:r>
              <w:noBreakHyphen/>
              <w:t>through results must be interpreted as relevant only to the sub</w:t>
            </w:r>
            <w:r>
              <w:noBreakHyphen/>
              <w:t>sample of funds used in the analysis, and not as system representative.</w:t>
            </w:r>
          </w:p>
          <w:p w14:paraId="658B0232" w14:textId="77777777" w:rsidR="0011262F" w:rsidRPr="004B25C5" w:rsidRDefault="0011262F" w:rsidP="00B54007">
            <w:pPr>
              <w:pStyle w:val="BoxListBullet"/>
            </w:pPr>
            <w:r>
              <w:rPr>
                <w:spacing w:val="-2"/>
              </w:rPr>
              <w:t>To allow for the possibility of different relationships between scale and a</w:t>
            </w:r>
            <w:r w:rsidRPr="00BD3D88">
              <w:rPr>
                <w:spacing w:val="-2"/>
              </w:rPr>
              <w:t>dministration and investment expenses</w:t>
            </w:r>
            <w:r>
              <w:rPr>
                <w:spacing w:val="-2"/>
              </w:rPr>
              <w:t xml:space="preserve">, the two expenses </w:t>
            </w:r>
            <w:r w:rsidRPr="00BD3D88">
              <w:rPr>
                <w:spacing w:val="-2"/>
              </w:rPr>
              <w:t>were modelled separately</w:t>
            </w:r>
            <w:r>
              <w:rPr>
                <w:spacing w:val="-2"/>
              </w:rPr>
              <w:t>.</w:t>
            </w:r>
          </w:p>
          <w:p w14:paraId="20E01BE5" w14:textId="77777777" w:rsidR="0011262F" w:rsidRPr="00BD3D88" w:rsidRDefault="0011262F" w:rsidP="00B54007">
            <w:pPr>
              <w:pStyle w:val="BoxListBullet"/>
            </w:pPr>
            <w:r>
              <w:rPr>
                <w:spacing w:val="-2"/>
              </w:rPr>
              <w:t>I</w:t>
            </w:r>
            <w:r>
              <w:t xml:space="preserve">nvestment and administration </w:t>
            </w:r>
            <w:r w:rsidRPr="00BA40CA">
              <w:t>expenses</w:t>
            </w:r>
            <w:r>
              <w:t xml:space="preserve"> (the dependent variables), total assets, number of member accounts and number of investment options (all independent variables) were included in the model in logarithmic form.</w:t>
            </w:r>
            <w:proofErr w:type="spellStart"/>
            <w:r w:rsidRPr="00C13DA5">
              <w:rPr>
                <w:rStyle w:val="NoteLabel"/>
              </w:rPr>
              <w:t>a</w:t>
            </w:r>
            <w:r>
              <w:rPr>
                <w:rStyle w:val="NoteLabel"/>
              </w:rPr>
              <w:t>,b</w:t>
            </w:r>
            <w:proofErr w:type="spellEnd"/>
          </w:p>
          <w:p w14:paraId="509AF0F7" w14:textId="77777777" w:rsidR="0011262F" w:rsidRPr="00BD3D88" w:rsidRDefault="0011262F" w:rsidP="00B54007">
            <w:pPr>
              <w:pStyle w:val="BoxListBullet"/>
            </w:pPr>
            <w:r w:rsidRPr="00E66F0C">
              <w:t>A Heckman correction approach</w:t>
            </w:r>
            <w:r w:rsidRPr="00E66F0C" w:rsidDel="00C96833">
              <w:t xml:space="preserve"> </w:t>
            </w:r>
            <w:r w:rsidRPr="00E66F0C">
              <w:t xml:space="preserve">was used to correct for survivorship bias </w:t>
            </w:r>
            <w:r w:rsidRPr="0063461D">
              <w:rPr>
                <w:rFonts w:cs="Arial"/>
                <w:szCs w:val="24"/>
              </w:rPr>
              <w:t>(Heckman 1979)</w:t>
            </w:r>
            <w:r w:rsidRPr="00E66F0C">
              <w:t>.</w:t>
            </w:r>
            <w:r w:rsidRPr="00C13DA5">
              <w:rPr>
                <w:rStyle w:val="NoteLabel"/>
              </w:rPr>
              <w:t>c</w:t>
            </w:r>
          </w:p>
          <w:p w14:paraId="631B063A" w14:textId="77777777" w:rsidR="0011262F" w:rsidRDefault="0011262F" w:rsidP="00B54007">
            <w:pPr>
              <w:pStyle w:val="BoxListBullet"/>
            </w:pPr>
            <w:r>
              <w:t>Large variation in the shape of cost functions across</w:t>
            </w:r>
            <w:r w:rsidDel="00D43697">
              <w:t xml:space="preserve"> </w:t>
            </w:r>
            <w:r>
              <w:t>funds was addressed using m</w:t>
            </w:r>
            <w:r w:rsidRPr="00BF0D97">
              <w:t xml:space="preserve">ultilevel modelling — effectively, </w:t>
            </w:r>
            <w:r>
              <w:t xml:space="preserve">estimation of </w:t>
            </w:r>
            <w:r w:rsidRPr="00BF0D97">
              <w:t>separate cost curves for each fund</w:t>
            </w:r>
            <w:r>
              <w:t xml:space="preserve">. This </w:t>
            </w:r>
            <w:r w:rsidRPr="00BF0D97">
              <w:t xml:space="preserve">enabled the derivation of more defensible results in those parts of the analysis that pose ‘what if’ questions. For example, what cost savings might arise if funds were larger by some amount? </w:t>
            </w:r>
            <w:r>
              <w:t xml:space="preserve">Use of </w:t>
            </w:r>
            <w:r w:rsidRPr="00B556E3">
              <w:t>system or segment curves</w:t>
            </w:r>
            <w:r w:rsidRPr="00EC0508">
              <w:t xml:space="preserve"> </w:t>
            </w:r>
            <w:r>
              <w:t xml:space="preserve">for this analysis would impose the assumption that the </w:t>
            </w:r>
            <w:r w:rsidRPr="00BF0D97">
              <w:t xml:space="preserve">impact </w:t>
            </w:r>
            <w:r>
              <w:t xml:space="preserve">would be similar </w:t>
            </w:r>
            <w:r w:rsidRPr="00BF0D97">
              <w:t>for all</w:t>
            </w:r>
            <w:r>
              <w:t xml:space="preserve"> </w:t>
            </w:r>
            <w:r w:rsidRPr="00BF0D97">
              <w:t>funds</w:t>
            </w:r>
            <w:r>
              <w:t xml:space="preserve"> (or members of a segment). This </w:t>
            </w:r>
            <w:r w:rsidRPr="00BF0D97">
              <w:t xml:space="preserve">would </w:t>
            </w:r>
            <w:r>
              <w:t xml:space="preserve">clearly </w:t>
            </w:r>
            <w:r w:rsidRPr="00BF0D97">
              <w:t xml:space="preserve">not be accurate. </w:t>
            </w:r>
            <w:r>
              <w:t>The multilevel approach</w:t>
            </w:r>
            <w:r w:rsidRPr="00BF0D97">
              <w:t xml:space="preserve"> also enabled analysis of the extent to which </w:t>
            </w:r>
            <w:r>
              <w:t>individual funds’ cost curves</w:t>
            </w:r>
            <w:r w:rsidRPr="00BF0D97">
              <w:t xml:space="preserve"> </w:t>
            </w:r>
            <w:r w:rsidRPr="00D02EA3">
              <w:t>exhibit</w:t>
            </w:r>
            <w:r w:rsidRPr="00BF0D97">
              <w:t xml:space="preserve"> economies of scale</w:t>
            </w:r>
            <w:r>
              <w:t>, taking into account</w:t>
            </w:r>
            <w:r w:rsidRPr="00BF0D97">
              <w:t xml:space="preserve"> other factors that influence costs.</w:t>
            </w:r>
            <w:r w:rsidRPr="00C13DA5">
              <w:rPr>
                <w:rStyle w:val="NoteLabel"/>
              </w:rPr>
              <w:t>d</w:t>
            </w:r>
          </w:p>
        </w:tc>
      </w:tr>
      <w:tr w:rsidR="0011262F" w14:paraId="2C6DDB95" w14:textId="77777777" w:rsidTr="00B54007">
        <w:tc>
          <w:tcPr>
            <w:tcW w:w="5000" w:type="pct"/>
            <w:tcBorders>
              <w:top w:val="nil"/>
              <w:left w:val="nil"/>
              <w:bottom w:val="nil"/>
              <w:right w:val="nil"/>
            </w:tcBorders>
            <w:shd w:val="clear" w:color="auto" w:fill="F2F2F2"/>
          </w:tcPr>
          <w:p w14:paraId="62107538" w14:textId="77777777" w:rsidR="0011262F" w:rsidRPr="00E97CFD" w:rsidRDefault="0011262F" w:rsidP="00B54007">
            <w:pPr>
              <w:pStyle w:val="Note"/>
            </w:pPr>
            <w:r w:rsidRPr="00C13DA5">
              <w:rPr>
                <w:rStyle w:val="NoteLabel"/>
              </w:rPr>
              <w:t>a</w:t>
            </w:r>
            <w:r>
              <w:t xml:space="preserve"> </w:t>
            </w:r>
            <w:r w:rsidRPr="006B02DB">
              <w:t xml:space="preserve">Plots </w:t>
            </w:r>
            <w:r>
              <w:t xml:space="preserve">supporting the use of </w:t>
            </w:r>
            <w:r w:rsidRPr="006B02DB">
              <w:t>log transformations of investment and administration expenses</w:t>
            </w:r>
            <w:r>
              <w:t xml:space="preserve"> and allowing for fund</w:t>
            </w:r>
            <w:r>
              <w:noBreakHyphen/>
              <w:t>level variation in the size–expenses relationship are included in annex </w:t>
            </w:r>
            <w:r w:rsidRPr="00BD3D88">
              <w:t>F</w:t>
            </w:r>
            <w:r>
              <w:t xml:space="preserve">. </w:t>
            </w:r>
            <w:r w:rsidRPr="00C13DA5">
              <w:rPr>
                <w:rStyle w:val="NoteLabel"/>
              </w:rPr>
              <w:t>b</w:t>
            </w:r>
            <w:r>
              <w:t xml:space="preserve"> The model imposes an assumption that a fund can only experience economies of scale or diseconomies of scale. But testing of this assumption reveals that most funds’ experiences fit one of these cases. </w:t>
            </w:r>
            <w:r w:rsidRPr="00C13DA5">
              <w:rPr>
                <w:rStyle w:val="NoteLabel"/>
              </w:rPr>
              <w:t>c</w:t>
            </w:r>
            <w:r>
              <w:t xml:space="preserve"> It is assumed that funds make their decision about whether to stay in the market in any year based on their outcomes in the preceding year. The cost model is therefore estimated on data covering 2004–16. Costs are predicted forward to 2017, so that estimates of realised and unrealised economies of scale and the pass</w:t>
            </w:r>
            <w:r>
              <w:noBreakHyphen/>
              <w:t xml:space="preserve">through model are based on data to 2017. </w:t>
            </w:r>
            <w:r w:rsidRPr="00C13DA5">
              <w:rPr>
                <w:rStyle w:val="NoteLabel"/>
              </w:rPr>
              <w:t>d</w:t>
            </w:r>
            <w:r>
              <w:t xml:space="preserve"> </w:t>
            </w:r>
            <w:r w:rsidRPr="00BD3D88">
              <w:t>Multilevel modelling also has the advantage that it puts less weight on information from funds that appear to be markedly different from their peers — a strong plus given many funds report data of questionable quality.</w:t>
            </w:r>
          </w:p>
        </w:tc>
      </w:tr>
      <w:tr w:rsidR="0011262F" w14:paraId="0F752057" w14:textId="77777777" w:rsidTr="00B54007">
        <w:tc>
          <w:tcPr>
            <w:tcW w:w="5000" w:type="pct"/>
            <w:tcBorders>
              <w:top w:val="nil"/>
              <w:left w:val="nil"/>
              <w:bottom w:val="single" w:sz="6" w:space="0" w:color="78A22F"/>
              <w:right w:val="nil"/>
            </w:tcBorders>
            <w:shd w:val="clear" w:color="auto" w:fill="F2F2F2"/>
          </w:tcPr>
          <w:p w14:paraId="0D8DAEBC" w14:textId="77777777" w:rsidR="0011262F" w:rsidRDefault="0011262F" w:rsidP="00B54007">
            <w:pPr>
              <w:pStyle w:val="Box"/>
              <w:spacing w:before="0" w:line="120" w:lineRule="exact"/>
            </w:pPr>
          </w:p>
        </w:tc>
      </w:tr>
      <w:tr w:rsidR="0011262F" w:rsidRPr="000863A5" w14:paraId="435825EB" w14:textId="77777777" w:rsidTr="00B54007">
        <w:tc>
          <w:tcPr>
            <w:tcW w:w="5000" w:type="pct"/>
            <w:tcBorders>
              <w:top w:val="single" w:sz="6" w:space="0" w:color="78A22F"/>
              <w:left w:val="nil"/>
              <w:bottom w:val="nil"/>
              <w:right w:val="nil"/>
            </w:tcBorders>
          </w:tcPr>
          <w:p w14:paraId="1B666C5E" w14:textId="77777777" w:rsidR="0011262F" w:rsidRPr="00626D32" w:rsidRDefault="0011262F" w:rsidP="00B54007">
            <w:pPr>
              <w:pStyle w:val="BoxSpaceBelow"/>
            </w:pPr>
          </w:p>
        </w:tc>
      </w:tr>
    </w:tbl>
    <w:p w14:paraId="27B3850F" w14:textId="77777777" w:rsidR="0011262F" w:rsidRDefault="0011262F" w:rsidP="0011262F">
      <w:pPr>
        <w:pStyle w:val="Heading3"/>
      </w:pPr>
      <w:r>
        <w:t>The modelling does a good job of representing the data</w:t>
      </w:r>
    </w:p>
    <w:p w14:paraId="2D045E60" w14:textId="77777777" w:rsidR="0011262F" w:rsidRDefault="0011262F" w:rsidP="0011262F">
      <w:pPr>
        <w:pStyle w:val="BodyText"/>
      </w:pPr>
      <w:r>
        <w:t>Comparisons of the raw data and predictions from the model indicated that the cost models fit the data well (figure 8.6). For example, the distribution of the (log) administration expenses data (captured by the black line) sits within the distributions of predicted administration expenses (captured by the set of blue lines) at most levels of expenses. A similar conclusion emerges for investment expenses and when the original raw data (rather than log transformations) are considered (annex D).</w:t>
      </w:r>
    </w:p>
    <w:p w14:paraId="1BA55F1F" w14:textId="77777777" w:rsidR="0011262F" w:rsidRDefault="0011262F" w:rsidP="0011262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1262F" w14:paraId="30E54ECF" w14:textId="77777777" w:rsidTr="00B54007">
        <w:trPr>
          <w:tblHeader/>
        </w:trPr>
        <w:tc>
          <w:tcPr>
            <w:tcW w:w="5000" w:type="pct"/>
            <w:tcBorders>
              <w:top w:val="single" w:sz="6" w:space="0" w:color="78A22F"/>
              <w:left w:val="nil"/>
              <w:bottom w:val="nil"/>
              <w:right w:val="nil"/>
            </w:tcBorders>
            <w:shd w:val="clear" w:color="auto" w:fill="auto"/>
          </w:tcPr>
          <w:p w14:paraId="323EDE5C" w14:textId="77777777" w:rsidR="0011262F" w:rsidRPr="00176D3F" w:rsidRDefault="0011262F" w:rsidP="00B54007">
            <w:pPr>
              <w:pStyle w:val="FigureTitle"/>
            </w:pPr>
            <w:r w:rsidRPr="00784A05">
              <w:rPr>
                <w:b w:val="0"/>
              </w:rPr>
              <w:t xml:space="preserve">Figure </w:t>
            </w:r>
            <w:bookmarkStart w:id="26" w:name="OLE_LINK12"/>
            <w:r>
              <w:rPr>
                <w:b w:val="0"/>
              </w:rPr>
              <w:t>8.</w:t>
            </w:r>
            <w:r>
              <w:rPr>
                <w:b w:val="0"/>
                <w:noProof/>
              </w:rPr>
              <w:t>6</w:t>
            </w:r>
            <w:bookmarkEnd w:id="26"/>
            <w:r>
              <w:tab/>
              <w:t>The models for both administration and investment expenses fit the data well</w:t>
            </w:r>
          </w:p>
        </w:tc>
      </w:tr>
      <w:tr w:rsidR="0011262F" w14:paraId="485D54B4" w14:textId="77777777" w:rsidTr="00B5400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1262F" w:rsidRPr="00B1465D" w14:paraId="59492563" w14:textId="77777777" w:rsidTr="00B54007">
              <w:trPr>
                <w:tblHeader/>
                <w:jc w:val="center"/>
              </w:trPr>
              <w:tc>
                <w:tcPr>
                  <w:tcW w:w="5000" w:type="pct"/>
                  <w:tcBorders>
                    <w:top w:val="nil"/>
                    <w:bottom w:val="nil"/>
                  </w:tcBorders>
                </w:tcPr>
                <w:p w14:paraId="680D1770" w14:textId="77777777" w:rsidR="0011262F" w:rsidRPr="00B1465D" w:rsidRDefault="0011262F" w:rsidP="00B54007">
                  <w:pPr>
                    <w:pStyle w:val="Figure"/>
                    <w:spacing w:before="60" w:after="60"/>
                    <w:rPr>
                      <w:rFonts w:ascii="Arial" w:hAnsi="Arial" w:cs="Arial"/>
                      <w:sz w:val="18"/>
                      <w:szCs w:val="18"/>
                    </w:rPr>
                  </w:pPr>
                  <w:r>
                    <w:rPr>
                      <w:rFonts w:ascii="Arial" w:hAnsi="Arial" w:cs="Arial"/>
                      <w:noProof/>
                      <w:sz w:val="18"/>
                      <w:szCs w:val="18"/>
                    </w:rPr>
                    <w:drawing>
                      <wp:inline distT="0" distB="0" distL="0" distR="0" wp14:anchorId="5BA392D6" wp14:editId="2D45108F">
                        <wp:extent cx="5349240" cy="2459469"/>
                        <wp:effectExtent l="0" t="0" r="3810" b="0"/>
                        <wp:docPr id="59" name="Picture 59" descr="The figure shows the density of administration and investment expenses generated by the model against the actual density. The density generated by the model lies approximately on top of the actual densities, indicating the model fits the data well." title="The models for both administration and investment expenses fit the data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nsit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53090" cy="2461239"/>
                                </a:xfrm>
                                <a:prstGeom prst="rect">
                                  <a:avLst/>
                                </a:prstGeom>
                              </pic:spPr>
                            </pic:pic>
                          </a:graphicData>
                        </a:graphic>
                      </wp:inline>
                    </w:drawing>
                  </w:r>
                </w:p>
              </w:tc>
            </w:tr>
          </w:tbl>
          <w:p w14:paraId="662C30E9" w14:textId="77777777" w:rsidR="0011262F" w:rsidRDefault="0011262F" w:rsidP="00B54007">
            <w:pPr>
              <w:pStyle w:val="Figure"/>
            </w:pPr>
          </w:p>
        </w:tc>
      </w:tr>
      <w:tr w:rsidR="0011262F" w:rsidRPr="00176D3F" w14:paraId="4417637A" w14:textId="77777777" w:rsidTr="00B54007">
        <w:tc>
          <w:tcPr>
            <w:tcW w:w="5000" w:type="pct"/>
            <w:tcBorders>
              <w:top w:val="nil"/>
              <w:left w:val="nil"/>
              <w:bottom w:val="nil"/>
              <w:right w:val="nil"/>
            </w:tcBorders>
            <w:shd w:val="clear" w:color="auto" w:fill="auto"/>
          </w:tcPr>
          <w:tbl>
            <w:tblPr>
              <w:tblW w:w="0" w:type="auto"/>
              <w:tblLook w:val="04A0" w:firstRow="1" w:lastRow="0" w:firstColumn="1" w:lastColumn="0" w:noHBand="0" w:noVBand="1"/>
            </w:tblPr>
            <w:tblGrid>
              <w:gridCol w:w="1559"/>
              <w:gridCol w:w="6935"/>
            </w:tblGrid>
            <w:tr w:rsidR="0011262F" w14:paraId="2D62D937" w14:textId="77777777" w:rsidTr="00B54007">
              <w:trPr>
                <w:tblHeader/>
              </w:trPr>
              <w:tc>
                <w:tcPr>
                  <w:tcW w:w="1559" w:type="dxa"/>
                  <w:shd w:val="clear" w:color="auto" w:fill="F2F2F2" w:themeFill="background1" w:themeFillShade="F2"/>
                </w:tcPr>
                <w:p w14:paraId="3F87531C" w14:textId="77777777" w:rsidR="0011262F" w:rsidRDefault="0011262F" w:rsidP="00B54007">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935" w:type="dxa"/>
                  <w:shd w:val="clear" w:color="auto" w:fill="F2F2F2" w:themeFill="background1" w:themeFillShade="F2"/>
                </w:tcPr>
                <w:p w14:paraId="458C2B38" w14:textId="77777777" w:rsidR="0011262F" w:rsidRDefault="0011262F" w:rsidP="00B54007">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PC analysis of unpublished APRA data.</w:t>
                  </w:r>
                </w:p>
              </w:tc>
            </w:tr>
            <w:tr w:rsidR="0011262F" w:rsidRPr="00AF556C" w14:paraId="48D8AAC5" w14:textId="77777777" w:rsidTr="00B54007">
              <w:tc>
                <w:tcPr>
                  <w:tcW w:w="1559" w:type="dxa"/>
                  <w:shd w:val="clear" w:color="auto" w:fill="F2F2F2" w:themeFill="background1" w:themeFillShade="F2"/>
                </w:tcPr>
                <w:p w14:paraId="4433CC9A" w14:textId="77777777" w:rsidR="0011262F" w:rsidRDefault="0011262F" w:rsidP="00B54007">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shd w:val="clear" w:color="auto" w:fill="F2F2F2" w:themeFill="background1" w:themeFillShade="F2"/>
                </w:tcPr>
                <w:p w14:paraId="123CFD93" w14:textId="77777777" w:rsidR="0011262F" w:rsidRPr="00AF556C" w:rsidRDefault="0011262F" w:rsidP="00B54007">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 xml:space="preserve">494 </w:t>
                  </w:r>
                  <w:r w:rsidRPr="00A95597">
                    <w:rPr>
                      <w:rFonts w:ascii="Arial" w:eastAsia="+mn-ea" w:hAnsi="Arial" w:cs="Arial"/>
                      <w:color w:val="000000" w:themeColor="text1"/>
                      <w:kern w:val="24"/>
                      <w:sz w:val="18"/>
                      <w:szCs w:val="18"/>
                    </w:rPr>
                    <w:t>funds</w:t>
                  </w:r>
                  <w:r>
                    <w:rPr>
                      <w:rFonts w:ascii="Arial" w:eastAsia="+mn-ea" w:hAnsi="Arial" w:cs="Arial"/>
                      <w:color w:val="000000" w:themeColor="text1"/>
                      <w:kern w:val="24"/>
                      <w:sz w:val="18"/>
                      <w:szCs w:val="18"/>
                    </w:rPr>
                    <w:t xml:space="preserve"> representing 100 per cent and 91</w:t>
                  </w:r>
                  <w:r w:rsidRPr="00262154">
                    <w:rPr>
                      <w:rFonts w:ascii="Arial" w:eastAsia="+mn-ea" w:hAnsi="Arial" w:cs="Arial"/>
                      <w:color w:val="000000" w:themeColor="text1"/>
                      <w:kern w:val="24"/>
                      <w:sz w:val="18"/>
                      <w:szCs w:val="18"/>
                    </w:rPr>
                    <w:t> per cent</w:t>
                  </w:r>
                  <w:r>
                    <w:rPr>
                      <w:rFonts w:ascii="Arial" w:eastAsia="+mn-ea" w:hAnsi="Arial" w:cs="Arial"/>
                      <w:color w:val="000000" w:themeColor="text1"/>
                      <w:kern w:val="24"/>
                      <w:sz w:val="18"/>
                      <w:szCs w:val="18"/>
                    </w:rPr>
                    <w:t xml:space="preserve"> of the system by assets in 2015</w:t>
                  </w:r>
                  <w:r>
                    <w:rPr>
                      <w:rFonts w:ascii="Arial" w:eastAsia="+mn-ea" w:hAnsi="Arial" w:cs="Arial"/>
                      <w:color w:val="000000" w:themeColor="text1"/>
                      <w:kern w:val="24"/>
                      <w:sz w:val="18"/>
                      <w:szCs w:val="18"/>
                    </w:rPr>
                    <w:noBreakHyphen/>
                    <w:t>16 and 2004</w:t>
                  </w:r>
                  <w:r>
                    <w:rPr>
                      <w:rFonts w:ascii="Arial" w:eastAsia="+mn-ea" w:hAnsi="Arial" w:cs="Arial"/>
                      <w:color w:val="000000" w:themeColor="text1"/>
                      <w:kern w:val="24"/>
                      <w:sz w:val="18"/>
                      <w:szCs w:val="18"/>
                    </w:rPr>
                    <w:noBreakHyphen/>
                    <w:t>05 respectively. Excludes funds with less than two years of data.</w:t>
                  </w:r>
                </w:p>
              </w:tc>
            </w:tr>
          </w:tbl>
          <w:p w14:paraId="3B1C3483" w14:textId="77777777" w:rsidR="0011262F" w:rsidRPr="00176D3F" w:rsidRDefault="0011262F" w:rsidP="00B54007">
            <w:pPr>
              <w:pStyle w:val="Source"/>
            </w:pPr>
          </w:p>
        </w:tc>
      </w:tr>
      <w:tr w:rsidR="0011262F" w14:paraId="298F0657" w14:textId="77777777" w:rsidTr="00B54007">
        <w:tc>
          <w:tcPr>
            <w:tcW w:w="5000" w:type="pct"/>
            <w:tcBorders>
              <w:top w:val="nil"/>
              <w:left w:val="nil"/>
              <w:bottom w:val="single" w:sz="6" w:space="0" w:color="78A22F"/>
              <w:right w:val="nil"/>
            </w:tcBorders>
            <w:shd w:val="clear" w:color="auto" w:fill="auto"/>
          </w:tcPr>
          <w:p w14:paraId="505009A6" w14:textId="77777777" w:rsidR="0011262F" w:rsidRDefault="0011262F" w:rsidP="00B54007">
            <w:pPr>
              <w:pStyle w:val="Figurespace"/>
            </w:pPr>
          </w:p>
        </w:tc>
      </w:tr>
      <w:tr w:rsidR="0011262F" w:rsidRPr="000863A5" w14:paraId="797BE76D" w14:textId="77777777" w:rsidTr="00B54007">
        <w:tc>
          <w:tcPr>
            <w:tcW w:w="5000" w:type="pct"/>
            <w:tcBorders>
              <w:top w:val="single" w:sz="6" w:space="0" w:color="78A22F"/>
              <w:left w:val="nil"/>
              <w:bottom w:val="nil"/>
              <w:right w:val="nil"/>
            </w:tcBorders>
          </w:tcPr>
          <w:p w14:paraId="6EF2F3B2" w14:textId="77777777" w:rsidR="0011262F" w:rsidRPr="00626D32" w:rsidRDefault="0011262F" w:rsidP="00B54007">
            <w:pPr>
              <w:pStyle w:val="BoxSpaceBelow"/>
            </w:pPr>
          </w:p>
        </w:tc>
      </w:tr>
    </w:tbl>
    <w:p w14:paraId="216A32DE" w14:textId="77777777" w:rsidR="0011262F" w:rsidRDefault="0011262F" w:rsidP="0011262F">
      <w:pPr>
        <w:pStyle w:val="Heading3"/>
      </w:pPr>
      <w:r>
        <w:t>Estimated economy of scale gains are likely to be a lower bound</w:t>
      </w:r>
    </w:p>
    <w:p w14:paraId="022E2247" w14:textId="77777777" w:rsidR="0011262F" w:rsidRPr="00EF49D7" w:rsidRDefault="0011262F" w:rsidP="0011262F">
      <w:pPr>
        <w:pStyle w:val="BodyText"/>
        <w:rPr>
          <w:spacing w:val="-2"/>
        </w:rPr>
      </w:pPr>
      <w:r>
        <w:t xml:space="preserve">Restrictions that prevent </w:t>
      </w:r>
      <w:r w:rsidRPr="00EF49D7">
        <w:rPr>
          <w:spacing w:val="-2"/>
        </w:rPr>
        <w:t xml:space="preserve">the trustees of registrable superannuation entities from directly realising profits mean that any realised gains from economies of scale not resulting in lower fees can only manifest in increased expenses or operational reserves. Stakeholders suggested some scenarios where economies of scale gains </w:t>
      </w:r>
      <w:r>
        <w:rPr>
          <w:spacing w:val="-2"/>
        </w:rPr>
        <w:t>might not be reflected in lower</w:t>
      </w:r>
      <w:r w:rsidRPr="00EF49D7">
        <w:rPr>
          <w:spacing w:val="-2"/>
        </w:rPr>
        <w:t xml:space="preserve"> expenses:</w:t>
      </w:r>
    </w:p>
    <w:p w14:paraId="3EE5B70A" w14:textId="77777777" w:rsidR="0011262F" w:rsidRDefault="0011262F" w:rsidP="0011262F">
      <w:pPr>
        <w:pStyle w:val="ListBullet"/>
      </w:pPr>
      <w:r>
        <w:t>higher related party expenses. To secure the gains from scale as profit, some funds might keep related</w:t>
      </w:r>
      <w:r>
        <w:noBreakHyphen/>
        <w:t>party administration and investment expenses artificially high</w:t>
      </w:r>
    </w:p>
    <w:p w14:paraId="0DABCBC9" w14:textId="77777777" w:rsidR="0011262F" w:rsidRDefault="0011262F" w:rsidP="0011262F">
      <w:pPr>
        <w:pStyle w:val="ListBullet"/>
      </w:pPr>
      <w:r>
        <w:t>more investments in higher</w:t>
      </w:r>
      <w:r>
        <w:noBreakHyphen/>
        <w:t xml:space="preserve">costs asset classes (such as unlisted assets) </w:t>
      </w:r>
    </w:p>
    <w:p w14:paraId="12B59DA3" w14:textId="77777777" w:rsidR="0011262F" w:rsidRDefault="0011262F" w:rsidP="0011262F">
      <w:pPr>
        <w:pStyle w:val="ListBullet"/>
      </w:pPr>
      <w:r>
        <w:t>increased expenditure on member services. In recent years, funds have invested more heavily in member services, particularly through digital transformations. (Some funds have financed these investments from operational reserves.)</w:t>
      </w:r>
    </w:p>
    <w:p w14:paraId="5C6D31DB" w14:textId="77777777" w:rsidR="0011262F" w:rsidRDefault="0011262F" w:rsidP="0011262F">
      <w:pPr>
        <w:pStyle w:val="ListBullet"/>
      </w:pPr>
      <w:r>
        <w:t>meeting increased regulatory costs arising from changes in the prudential standards (for example, the Stronger Super reforms in 2013).</w:t>
      </w:r>
    </w:p>
    <w:p w14:paraId="641E8EE0" w14:textId="77777777" w:rsidR="0011262F" w:rsidRDefault="0011262F" w:rsidP="0011262F">
      <w:pPr>
        <w:pStyle w:val="BodyText"/>
      </w:pPr>
      <w:r>
        <w:t>Gains from scale that do not translate into lower expenses have the potential to lead to underestimates of economies of scale if the drivers of expenses noted above cannot be adequately captured by variables in the model. (And it is not possible, for example, for the Commission to determine whether related</w:t>
      </w:r>
      <w:r>
        <w:noBreakHyphen/>
        <w:t xml:space="preserve">party expenses have been inflated and whether member services have been expanded.) For example, if funds move into more expensive asset classes as they get bigger, but the costs of investing in those asset classes are not </w:t>
      </w:r>
      <w:r>
        <w:lastRenderedPageBreak/>
        <w:t>accurately captured in the model, the estimation procedure will conflate those higher investment costs with the changes in costs associated with scale, meaning the estimated gains from scale will be understated.</w:t>
      </w:r>
    </w:p>
    <w:p w14:paraId="035C0BEF" w14:textId="77777777" w:rsidR="0011262F" w:rsidRDefault="0011262F" w:rsidP="0011262F">
      <w:pPr>
        <w:pStyle w:val="Heading2"/>
      </w:pPr>
      <w:bookmarkStart w:id="27" w:name="OLE_LINK23"/>
      <w:bookmarkStart w:id="28" w:name="_Toc532997274"/>
      <w:bookmarkStart w:id="29" w:name="_Toc534642293"/>
      <w:r>
        <w:rPr>
          <w:spacing w:val="-4"/>
        </w:rPr>
        <w:t>8.</w:t>
      </w:r>
      <w:r>
        <w:rPr>
          <w:noProof/>
          <w:spacing w:val="-4"/>
        </w:rPr>
        <w:t>3</w:t>
      </w:r>
      <w:bookmarkEnd w:id="27"/>
      <w:r>
        <w:tab/>
        <w:t>Evidence of economies of scale is compelling</w:t>
      </w:r>
      <w:bookmarkEnd w:id="28"/>
      <w:bookmarkEnd w:id="29"/>
    </w:p>
    <w:p w14:paraId="7D427A28" w14:textId="77777777" w:rsidR="0011262F" w:rsidRDefault="0011262F" w:rsidP="0011262F">
      <w:pPr>
        <w:pStyle w:val="Heading3"/>
        <w:spacing w:before="280"/>
      </w:pPr>
      <w:r>
        <w:t>Economies exist at the system and segment level</w:t>
      </w:r>
    </w:p>
    <w:p w14:paraId="7A55426B" w14:textId="77777777" w:rsidR="0011262F" w:rsidRPr="00CF1A0E" w:rsidRDefault="0011262F" w:rsidP="0011262F">
      <w:pPr>
        <w:pStyle w:val="BodyText"/>
        <w:rPr>
          <w:spacing w:val="-2"/>
        </w:rPr>
      </w:pPr>
      <w:r w:rsidRPr="00CF1A0E">
        <w:rPr>
          <w:spacing w:val="-2"/>
        </w:rPr>
        <w:t xml:space="preserve">When other factors that influence administration expenses </w:t>
      </w:r>
      <w:r>
        <w:rPr>
          <w:spacing w:val="-2"/>
        </w:rPr>
        <w:t>(as distinct from fees charged)</w:t>
      </w:r>
      <w:r w:rsidRPr="00170A0A">
        <w:rPr>
          <w:spacing w:val="-2"/>
        </w:rPr>
        <w:t xml:space="preserve"> </w:t>
      </w:r>
      <w:r w:rsidRPr="00CF1A0E">
        <w:rPr>
          <w:spacing w:val="-2"/>
        </w:rPr>
        <w:t>are held constant, Commission modelling suggests a clear relationship with scale for all segments</w:t>
      </w:r>
      <w:r>
        <w:rPr>
          <w:spacing w:val="-2"/>
        </w:rPr>
        <w:t xml:space="preserve"> of the system</w:t>
      </w:r>
      <w:r w:rsidRPr="00CF1A0E">
        <w:rPr>
          <w:spacing w:val="-2"/>
        </w:rPr>
        <w:t>. That is, average administration expenses are typically lower in larger funds, with corporate funds realising economies most rapidly.</w:t>
      </w:r>
      <w:r>
        <w:rPr>
          <w:rStyle w:val="FootnoteReference"/>
          <w:spacing w:val="-2"/>
        </w:rPr>
        <w:footnoteReference w:id="12"/>
      </w:r>
    </w:p>
    <w:p w14:paraId="33E206AC" w14:textId="77777777" w:rsidR="0011262F" w:rsidRPr="00C2577F" w:rsidRDefault="0011262F" w:rsidP="0011262F">
      <w:pPr>
        <w:pStyle w:val="BodyText"/>
      </w:pPr>
      <w:r w:rsidRPr="00C2577F">
        <w:t>A similar result exists on the investment side, though the evidence suggests economies of scale in investment expenses</w:t>
      </w:r>
      <w:r w:rsidRPr="00C2577F" w:rsidDel="009A1FF4">
        <w:t xml:space="preserve"> </w:t>
      </w:r>
      <w:r w:rsidRPr="00C2577F">
        <w:t xml:space="preserve">are more pronounced for public sector and retail funds (and for the system as a whole) than for industry </w:t>
      </w:r>
      <w:r>
        <w:t xml:space="preserve">and </w:t>
      </w:r>
      <w:r w:rsidRPr="00C2577F">
        <w:t>corporate</w:t>
      </w:r>
      <w:r>
        <w:t xml:space="preserve"> </w:t>
      </w:r>
      <w:r w:rsidRPr="00C2577F">
        <w:t>funds. As discussed further below, this may reflect the greater use of (higher</w:t>
      </w:r>
      <w:r w:rsidRPr="00C2577F">
        <w:noBreakHyphen/>
        <w:t>cost) unlisted assets by industry funds, with members (potentially) benefiting through higher returns, although data limitations preclude a firm conclusion on this point.</w:t>
      </w:r>
    </w:p>
    <w:p w14:paraId="0126BB72" w14:textId="77777777" w:rsidR="0011262F" w:rsidRPr="0034540B" w:rsidRDefault="0011262F" w:rsidP="0011262F">
      <w:pPr>
        <w:pStyle w:val="BodyText"/>
        <w:rPr>
          <w:spacing w:val="-2"/>
        </w:rPr>
      </w:pPr>
      <w:r w:rsidRPr="0034540B">
        <w:rPr>
          <w:spacing w:val="-2"/>
        </w:rPr>
        <w:t xml:space="preserve">While it is difficult to </w:t>
      </w:r>
      <w:r>
        <w:rPr>
          <w:spacing w:val="-2"/>
        </w:rPr>
        <w:t xml:space="preserve">illustrate </w:t>
      </w:r>
      <w:r w:rsidRPr="0034540B">
        <w:rPr>
          <w:spacing w:val="-2"/>
        </w:rPr>
        <w:t>these aggregate relationships</w:t>
      </w:r>
      <w:r>
        <w:rPr>
          <w:spacing w:val="-2"/>
        </w:rPr>
        <w:t xml:space="preserve"> through traditional figures</w:t>
      </w:r>
      <w:r w:rsidRPr="0034540B">
        <w:rPr>
          <w:spacing w:val="-2"/>
        </w:rPr>
        <w:t>, the presence of economies of scale can be seen in the ‘power coefficients’ estimated for each segment (box </w:t>
      </w:r>
      <w:r>
        <w:rPr>
          <w:spacing w:val="-2"/>
        </w:rPr>
        <w:t>8.3</w:t>
      </w:r>
      <w:r w:rsidRPr="0034540B">
        <w:rPr>
          <w:spacing w:val="-2"/>
        </w:rPr>
        <w:t>; table </w:t>
      </w:r>
      <w:r>
        <w:rPr>
          <w:spacing w:val="-2"/>
        </w:rPr>
        <w:t>8.7</w:t>
      </w:r>
      <w:r w:rsidRPr="0034540B">
        <w:rPr>
          <w:spacing w:val="-2"/>
        </w:rPr>
        <w:t>).</w:t>
      </w:r>
      <w:r w:rsidRPr="0034540B">
        <w:rPr>
          <w:rStyle w:val="FootnoteReference"/>
          <w:spacing w:val="-2"/>
        </w:rPr>
        <w:footnoteReference w:id="13"/>
      </w:r>
      <w:r w:rsidRPr="0034540B">
        <w:rPr>
          <w:spacing w:val="-2"/>
        </w:rPr>
        <w:t xml:space="preserve"> Given these parameters are estimated with uncertainty, a range of estimates spanning the likely true values is reported (box </w:t>
      </w:r>
      <w:r>
        <w:rPr>
          <w:spacing w:val="-2"/>
        </w:rPr>
        <w:t>8.4</w:t>
      </w:r>
      <w:r w:rsidRPr="0034540B">
        <w:rPr>
          <w:spacing w:val="-2"/>
        </w:rPr>
        <w:t>). For each segment, the range lies between zero and one</w:t>
      </w:r>
      <w:r>
        <w:rPr>
          <w:spacing w:val="-2"/>
        </w:rPr>
        <w:t xml:space="preserve"> (</w:t>
      </w:r>
      <w:r>
        <w:t>the closer the value to zero, the stronger the economies relationship</w:t>
      </w:r>
      <w:r>
        <w:rPr>
          <w:rStyle w:val="FootnoteReference"/>
        </w:rPr>
        <w:footnoteReference w:id="14"/>
      </w:r>
      <w:r>
        <w:rPr>
          <w:spacing w:val="-2"/>
        </w:rPr>
        <w:t>)</w:t>
      </w:r>
      <w:r w:rsidRPr="0034540B">
        <w:rPr>
          <w:spacing w:val="-2"/>
        </w:rPr>
        <w:t>, indicating economies</w:t>
      </w:r>
      <w:r>
        <w:rPr>
          <w:spacing w:val="-2"/>
        </w:rPr>
        <w:t xml:space="preserve"> are evident</w:t>
      </w:r>
      <w:r w:rsidRPr="0034540B">
        <w:rPr>
          <w:spacing w:val="-2"/>
        </w:rPr>
        <w:t>, though the coefficient for investment expenses for industry funds is about one at the top of the distribution</w:t>
      </w:r>
      <w:r w:rsidRPr="0034540B">
        <w:rPr>
          <w:rStyle w:val="FootnoteReference"/>
          <w:spacing w:val="-2"/>
        </w:rPr>
        <w:footnoteReference w:id="15"/>
      </w:r>
      <w:r w:rsidRPr="0034540B">
        <w:rPr>
          <w:spacing w:val="-2"/>
        </w:rPr>
        <w:t xml:space="preserve"> — indicating </w:t>
      </w:r>
      <w:r>
        <w:rPr>
          <w:spacing w:val="-2"/>
        </w:rPr>
        <w:t xml:space="preserve">(with 10 per cent probability) </w:t>
      </w:r>
      <w:r w:rsidRPr="0034540B">
        <w:rPr>
          <w:spacing w:val="-2"/>
        </w:rPr>
        <w:t>that investment costs m</w:t>
      </w:r>
      <w:r>
        <w:rPr>
          <w:spacing w:val="-2"/>
        </w:rPr>
        <w:t>ight</w:t>
      </w:r>
      <w:r w:rsidRPr="0034540B">
        <w:rPr>
          <w:spacing w:val="-2"/>
        </w:rPr>
        <w:t xml:space="preserve"> not decrease with size for the average industry fund.</w:t>
      </w:r>
    </w:p>
    <w:p w14:paraId="45F1B86A" w14:textId="77777777" w:rsidR="0011262F" w:rsidRDefault="0011262F" w:rsidP="0011262F">
      <w:pPr>
        <w:pStyle w:val="BodyText"/>
      </w:pPr>
      <w:r>
        <w:t>M</w:t>
      </w:r>
      <w:r w:rsidDel="00323C19">
        <w:t>odel outputs indicate about a 90 per cent chance that the system cost curve</w:t>
      </w:r>
      <w:r>
        <w:t>s</w:t>
      </w:r>
      <w:r w:rsidDel="00323C19">
        <w:t xml:space="preserve"> </w:t>
      </w:r>
      <w:r>
        <w:t>for both administration or investment expenses</w:t>
      </w:r>
      <w:r w:rsidDel="00323C19">
        <w:t xml:space="preserve"> exhibit economies of scale.</w:t>
      </w:r>
      <w:r>
        <w:rPr>
          <w:rStyle w:val="FootnoteReference"/>
        </w:rPr>
        <w:footnoteReference w:id="16"/>
      </w:r>
    </w:p>
    <w:p w14:paraId="653C9698" w14:textId="77777777" w:rsidR="0011262F" w:rsidRDefault="0011262F" w:rsidP="0011262F">
      <w:pPr>
        <w:pStyle w:val="BodyText"/>
      </w:pPr>
      <w:r>
        <w:lastRenderedPageBreak/>
        <w:t>Further, the potential impact of economies of scale is evident in estimates of how expenses might fall as funds grow. For example, the results imply that, on average, administration expenses (as a share of assets) for an industry fund starting at 65 basis points would fall to 50 basis points (or by 23 per cent) with an increase in size from $500 million to $1 billion.</w:t>
      </w:r>
      <w:r>
        <w:rPr>
          <w:rStyle w:val="FootnoteReference"/>
        </w:rPr>
        <w:footnoteReference w:id="17"/>
      </w:r>
      <w:r>
        <w:t xml:space="preserve"> Similarly on the investment expenses side, on average, an industry fund starting at 40 basis points would experience a fall to 37 basis points (or by 7 per cent).</w:t>
      </w:r>
    </w:p>
    <w:p w14:paraId="606A3396" w14:textId="77777777" w:rsidR="0011262F" w:rsidRDefault="0011262F" w:rsidP="00B54007">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1262F" w14:paraId="60A358B1" w14:textId="77777777" w:rsidTr="00B54007">
        <w:trPr>
          <w:tblHeader/>
        </w:trPr>
        <w:tc>
          <w:tcPr>
            <w:tcW w:w="5000" w:type="pct"/>
            <w:tcBorders>
              <w:top w:val="single" w:sz="6" w:space="0" w:color="78A22F"/>
              <w:left w:val="nil"/>
              <w:bottom w:val="nil"/>
              <w:right w:val="nil"/>
            </w:tcBorders>
            <w:shd w:val="clear" w:color="auto" w:fill="F2F2F2"/>
          </w:tcPr>
          <w:p w14:paraId="6549F0AF" w14:textId="77777777" w:rsidR="0011262F" w:rsidRDefault="0011262F" w:rsidP="00B54007">
            <w:pPr>
              <w:pStyle w:val="BoxTitle"/>
            </w:pPr>
            <w:r>
              <w:rPr>
                <w:b w:val="0"/>
              </w:rPr>
              <w:t xml:space="preserve">Box </w:t>
            </w:r>
            <w:bookmarkStart w:id="30" w:name="OLE_LINK17"/>
            <w:r>
              <w:rPr>
                <w:b w:val="0"/>
              </w:rPr>
              <w:t>8.</w:t>
            </w:r>
            <w:r>
              <w:rPr>
                <w:b w:val="0"/>
                <w:noProof/>
              </w:rPr>
              <w:t>3</w:t>
            </w:r>
            <w:bookmarkEnd w:id="30"/>
            <w:r>
              <w:tab/>
              <w:t>Power coefficients as an indicator of economies of scale</w:t>
            </w:r>
          </w:p>
        </w:tc>
      </w:tr>
      <w:tr w:rsidR="0011262F" w14:paraId="35CAB967" w14:textId="77777777" w:rsidTr="00B54007">
        <w:tc>
          <w:tcPr>
            <w:tcW w:w="5000" w:type="pct"/>
            <w:tcBorders>
              <w:top w:val="nil"/>
              <w:left w:val="nil"/>
              <w:bottom w:val="nil"/>
              <w:right w:val="nil"/>
            </w:tcBorders>
            <w:shd w:val="clear" w:color="auto" w:fill="F2F2F2"/>
          </w:tcPr>
          <w:p w14:paraId="758E6673" w14:textId="77777777" w:rsidR="0011262F" w:rsidRPr="00097618" w:rsidRDefault="0011262F" w:rsidP="00B54007">
            <w:pPr>
              <w:pStyle w:val="Box"/>
              <w:rPr>
                <w:spacing w:val="-8"/>
              </w:rPr>
            </w:pPr>
            <w:r w:rsidRPr="005B78BC">
              <w:rPr>
                <w:spacing w:val="-2"/>
              </w:rPr>
              <w:t>‘</w:t>
            </w:r>
            <w:r w:rsidRPr="00097618">
              <w:rPr>
                <w:spacing w:val="-8"/>
              </w:rPr>
              <w:t>Power coefficients’, calculated from the estimated coefficients relating to scale, capture the strength of the economies of scale relationship.</w:t>
            </w:r>
          </w:p>
          <w:p w14:paraId="72FD360C" w14:textId="77777777" w:rsidR="0011262F" w:rsidRPr="00097618" w:rsidRDefault="0011262F" w:rsidP="00B54007">
            <w:pPr>
              <w:pStyle w:val="Box"/>
              <w:rPr>
                <w:spacing w:val="-8"/>
              </w:rPr>
            </w:pPr>
            <w:r w:rsidRPr="00097618">
              <w:rPr>
                <w:spacing w:val="-8"/>
              </w:rPr>
              <w:t>A value between zero and one indicates that, when all of the other factors that might influence expenses are taken into account, the relationship between average costs and scale exhibits economies. And the closer the value to zero, the stronger the relationship. Values above one are consistent with diseconomies and values below zero arise when the data suggest that a fund’s total costs would fall with larger size.</w:t>
            </w:r>
          </w:p>
          <w:p w14:paraId="770F5654" w14:textId="77777777" w:rsidR="0011262F" w:rsidRPr="00097618" w:rsidRDefault="0011262F" w:rsidP="00B54007">
            <w:pPr>
              <w:pStyle w:val="Box"/>
              <w:rPr>
                <w:spacing w:val="-8"/>
              </w:rPr>
            </w:pPr>
            <w:r w:rsidRPr="00097618">
              <w:rPr>
                <w:spacing w:val="-8"/>
              </w:rPr>
              <w:t>Power coefficients can be calculated for individual funds (by adding fund</w:t>
            </w:r>
            <w:r w:rsidRPr="00097618">
              <w:rPr>
                <w:spacing w:val="-8"/>
              </w:rPr>
              <w:noBreakHyphen/>
              <w:t>specific scale terms to segment</w:t>
            </w:r>
            <w:r w:rsidRPr="00097618">
              <w:rPr>
                <w:spacing w:val="-8"/>
              </w:rPr>
              <w:noBreakHyphen/>
              <w:t>level scale terms) or at the segment level (by only considering segment</w:t>
            </w:r>
            <w:r w:rsidRPr="00097618">
              <w:rPr>
                <w:spacing w:val="-8"/>
              </w:rPr>
              <w:noBreakHyphen/>
              <w:t>level scale terms).</w:t>
            </w:r>
          </w:p>
          <w:p w14:paraId="226FCAFB" w14:textId="77777777" w:rsidR="0011262F" w:rsidRDefault="0011262F" w:rsidP="00B54007">
            <w:pPr>
              <w:pStyle w:val="Box"/>
            </w:pPr>
            <w:r w:rsidRPr="00097618">
              <w:rPr>
                <w:spacing w:val="-8"/>
              </w:rPr>
              <w:t>More detail on the interpretation of scale parameters (and how they are calculated) is presented in annex </w:t>
            </w:r>
            <w:r w:rsidRPr="00097618" w:rsidDel="005159A8">
              <w:rPr>
                <w:spacing w:val="-8"/>
              </w:rPr>
              <w:t>B</w:t>
            </w:r>
            <w:r w:rsidRPr="00097618">
              <w:rPr>
                <w:spacing w:val="-8"/>
              </w:rPr>
              <w:t>.</w:t>
            </w:r>
          </w:p>
        </w:tc>
      </w:tr>
      <w:tr w:rsidR="0011262F" w14:paraId="15B9D2BA" w14:textId="77777777" w:rsidTr="00B54007">
        <w:tc>
          <w:tcPr>
            <w:tcW w:w="5000" w:type="pct"/>
            <w:tcBorders>
              <w:top w:val="nil"/>
              <w:left w:val="nil"/>
              <w:bottom w:val="single" w:sz="6" w:space="0" w:color="78A22F"/>
              <w:right w:val="nil"/>
            </w:tcBorders>
            <w:shd w:val="clear" w:color="auto" w:fill="F2F2F2"/>
          </w:tcPr>
          <w:p w14:paraId="3D37836D" w14:textId="77777777" w:rsidR="0011262F" w:rsidRDefault="0011262F" w:rsidP="00B54007">
            <w:pPr>
              <w:pStyle w:val="Box"/>
              <w:spacing w:before="0" w:line="120" w:lineRule="exact"/>
            </w:pPr>
          </w:p>
        </w:tc>
      </w:tr>
    </w:tbl>
    <w:p w14:paraId="5108FD0A" w14:textId="77777777" w:rsidR="0011262F" w:rsidRDefault="0011262F" w:rsidP="0011262F">
      <w:pPr>
        <w:pStyle w:val="BoxSpaceAbove"/>
        <w:spacing w:before="24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1262F" w14:paraId="19B5C75A" w14:textId="77777777" w:rsidTr="00B54007">
        <w:trPr>
          <w:tblHeader/>
        </w:trPr>
        <w:tc>
          <w:tcPr>
            <w:tcW w:w="5000" w:type="pct"/>
            <w:tcBorders>
              <w:top w:val="single" w:sz="6" w:space="0" w:color="78A22F"/>
              <w:left w:val="nil"/>
              <w:bottom w:val="nil"/>
              <w:right w:val="nil"/>
            </w:tcBorders>
            <w:shd w:val="clear" w:color="auto" w:fill="auto"/>
          </w:tcPr>
          <w:p w14:paraId="60E058A6" w14:textId="77777777" w:rsidR="0011262F" w:rsidRPr="00784A05" w:rsidRDefault="0011262F" w:rsidP="00B54007">
            <w:pPr>
              <w:pStyle w:val="TableTitle"/>
            </w:pPr>
            <w:r>
              <w:rPr>
                <w:b w:val="0"/>
              </w:rPr>
              <w:t xml:space="preserve">Table </w:t>
            </w:r>
            <w:bookmarkStart w:id="31" w:name="OLE_LINK43"/>
            <w:r>
              <w:rPr>
                <w:b w:val="0"/>
              </w:rPr>
              <w:t>8.</w:t>
            </w:r>
            <w:r>
              <w:rPr>
                <w:b w:val="0"/>
                <w:noProof/>
              </w:rPr>
              <w:t>7</w:t>
            </w:r>
            <w:bookmarkEnd w:id="31"/>
            <w:r>
              <w:tab/>
              <w:t>Segment power coefficients suggest economies of scale evident</w:t>
            </w:r>
            <w:proofErr w:type="spellStart"/>
            <w:r w:rsidRPr="00E968CB">
              <w:rPr>
                <w:rStyle w:val="NoteLabel"/>
              </w:rPr>
              <w:t>a</w:t>
            </w:r>
            <w:r>
              <w:rPr>
                <w:rStyle w:val="NoteLabel"/>
              </w:rPr>
              <w:t>,b</w:t>
            </w:r>
            <w:proofErr w:type="spellEnd"/>
          </w:p>
        </w:tc>
      </w:tr>
      <w:tr w:rsidR="0011262F" w14:paraId="1302AAF9" w14:textId="77777777" w:rsidTr="00B5400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699"/>
              <w:gridCol w:w="9"/>
              <w:gridCol w:w="1699"/>
              <w:gridCol w:w="1640"/>
              <w:gridCol w:w="1641"/>
              <w:gridCol w:w="1817"/>
            </w:tblGrid>
            <w:tr w:rsidR="0011262F" w14:paraId="687EA94F" w14:textId="77777777" w:rsidTr="00B54007">
              <w:trPr>
                <w:tblHeader/>
              </w:trPr>
              <w:tc>
                <w:tcPr>
                  <w:tcW w:w="999" w:type="pct"/>
                  <w:tcBorders>
                    <w:top w:val="single" w:sz="6" w:space="0" w:color="BFBFBF"/>
                    <w:bottom w:val="single" w:sz="6" w:space="0" w:color="BFBFBF"/>
                  </w:tcBorders>
                  <w:shd w:val="clear" w:color="auto" w:fill="auto"/>
                  <w:tcMar>
                    <w:top w:w="28" w:type="dxa"/>
                  </w:tcMar>
                </w:tcPr>
                <w:p w14:paraId="6DAD8283" w14:textId="77777777" w:rsidR="0011262F" w:rsidRDefault="0011262F" w:rsidP="00B54007">
                  <w:pPr>
                    <w:pStyle w:val="TableColumnHeading"/>
                    <w:jc w:val="left"/>
                  </w:pPr>
                </w:p>
              </w:tc>
              <w:tc>
                <w:tcPr>
                  <w:tcW w:w="1004" w:type="pct"/>
                  <w:gridSpan w:val="2"/>
                  <w:tcBorders>
                    <w:top w:val="single" w:sz="6" w:space="0" w:color="BFBFBF"/>
                    <w:bottom w:val="single" w:sz="6" w:space="0" w:color="BFBFBF"/>
                  </w:tcBorders>
                </w:tcPr>
                <w:p w14:paraId="3474CBFC" w14:textId="77777777" w:rsidR="0011262F" w:rsidRDefault="0011262F" w:rsidP="00B54007">
                  <w:pPr>
                    <w:pStyle w:val="TableColumnHeading"/>
                  </w:pPr>
                  <w:r>
                    <w:t>10</w:t>
                  </w:r>
                  <w:r w:rsidRPr="00EE4FC5">
                    <w:rPr>
                      <w:vertAlign w:val="superscript"/>
                    </w:rPr>
                    <w:t>th</w:t>
                  </w:r>
                  <w:r>
                    <w:t xml:space="preserve"> percentile</w:t>
                  </w:r>
                </w:p>
              </w:tc>
              <w:tc>
                <w:tcPr>
                  <w:tcW w:w="964" w:type="pct"/>
                  <w:tcBorders>
                    <w:top w:val="single" w:sz="6" w:space="0" w:color="BFBFBF"/>
                    <w:bottom w:val="single" w:sz="6" w:space="0" w:color="BFBFBF"/>
                  </w:tcBorders>
                  <w:shd w:val="clear" w:color="auto" w:fill="auto"/>
                  <w:tcMar>
                    <w:top w:w="28" w:type="dxa"/>
                  </w:tcMar>
                </w:tcPr>
                <w:p w14:paraId="7FC247B4" w14:textId="77777777" w:rsidR="0011262F" w:rsidRDefault="0011262F" w:rsidP="00B54007">
                  <w:pPr>
                    <w:pStyle w:val="TableColumnHeading"/>
                  </w:pPr>
                  <w:r>
                    <w:t>50</w:t>
                  </w:r>
                  <w:r w:rsidRPr="00EE4FC5">
                    <w:rPr>
                      <w:vertAlign w:val="superscript"/>
                    </w:rPr>
                    <w:t>th</w:t>
                  </w:r>
                  <w:r>
                    <w:t xml:space="preserve"> percentile</w:t>
                  </w:r>
                </w:p>
              </w:tc>
              <w:tc>
                <w:tcPr>
                  <w:tcW w:w="965" w:type="pct"/>
                  <w:tcBorders>
                    <w:top w:val="single" w:sz="6" w:space="0" w:color="BFBFBF"/>
                    <w:bottom w:val="single" w:sz="6" w:space="0" w:color="BFBFBF"/>
                  </w:tcBorders>
                  <w:shd w:val="clear" w:color="auto" w:fill="auto"/>
                  <w:tcMar>
                    <w:top w:w="28" w:type="dxa"/>
                  </w:tcMar>
                </w:tcPr>
                <w:p w14:paraId="5B45B754" w14:textId="77777777" w:rsidR="0011262F" w:rsidRDefault="0011262F" w:rsidP="00B54007">
                  <w:pPr>
                    <w:pStyle w:val="TableColumnHeading"/>
                    <w:ind w:right="28"/>
                  </w:pPr>
                  <w:r>
                    <w:t>90</w:t>
                  </w:r>
                  <w:r w:rsidRPr="00EE4FC5">
                    <w:rPr>
                      <w:vertAlign w:val="superscript"/>
                    </w:rPr>
                    <w:t>th</w:t>
                  </w:r>
                  <w:r>
                    <w:t xml:space="preserve"> percentile</w:t>
                  </w:r>
                </w:p>
              </w:tc>
              <w:tc>
                <w:tcPr>
                  <w:tcW w:w="1069" w:type="pct"/>
                  <w:tcBorders>
                    <w:top w:val="single" w:sz="6" w:space="0" w:color="BFBFBF"/>
                    <w:bottom w:val="single" w:sz="6" w:space="0" w:color="BFBFBF"/>
                  </w:tcBorders>
                </w:tcPr>
                <w:p w14:paraId="1C9703EF" w14:textId="77777777" w:rsidR="0011262F" w:rsidRDefault="0011262F" w:rsidP="00B54007">
                  <w:pPr>
                    <w:pStyle w:val="TableColumnHeading"/>
                    <w:spacing w:before="0"/>
                    <w:ind w:right="28"/>
                  </w:pPr>
                  <w:r>
                    <w:t>Marginal effect</w:t>
                  </w:r>
                  <w:r>
                    <w:rPr>
                      <w:rStyle w:val="NoteLabel"/>
                    </w:rPr>
                    <w:t xml:space="preserve">c </w:t>
                  </w:r>
                  <w:r>
                    <w:t>(%)</w:t>
                  </w:r>
                </w:p>
              </w:tc>
            </w:tr>
            <w:tr w:rsidR="0011262F" w14:paraId="31881FBA" w14:textId="77777777" w:rsidTr="00B54007">
              <w:tc>
                <w:tcPr>
                  <w:tcW w:w="1004" w:type="pct"/>
                  <w:gridSpan w:val="2"/>
                  <w:tcBorders>
                    <w:top w:val="single" w:sz="6" w:space="0" w:color="BFBFBF"/>
                  </w:tcBorders>
                  <w:shd w:val="clear" w:color="auto" w:fill="F2F2F2" w:themeFill="background1" w:themeFillShade="F2"/>
                </w:tcPr>
                <w:p w14:paraId="5E323276" w14:textId="77777777" w:rsidR="0011262F" w:rsidRPr="009F3C8D" w:rsidRDefault="0011262F" w:rsidP="00B54007">
                  <w:pPr>
                    <w:pStyle w:val="TableUnitsRow"/>
                    <w:jc w:val="left"/>
                    <w:rPr>
                      <w:b/>
                    </w:rPr>
                  </w:pPr>
                  <w:r w:rsidRPr="009F3C8D">
                    <w:rPr>
                      <w:b/>
                    </w:rPr>
                    <w:t>Administration</w:t>
                  </w:r>
                </w:p>
              </w:tc>
              <w:tc>
                <w:tcPr>
                  <w:tcW w:w="998" w:type="pct"/>
                  <w:tcBorders>
                    <w:top w:val="single" w:sz="6" w:space="0" w:color="BFBFBF"/>
                  </w:tcBorders>
                  <w:shd w:val="clear" w:color="auto" w:fill="F2F2F2" w:themeFill="background1" w:themeFillShade="F2"/>
                </w:tcPr>
                <w:p w14:paraId="46C6AEE3" w14:textId="77777777" w:rsidR="0011262F" w:rsidRDefault="0011262F" w:rsidP="00B54007">
                  <w:pPr>
                    <w:pStyle w:val="TableUnitsRow"/>
                  </w:pPr>
                </w:p>
              </w:tc>
              <w:tc>
                <w:tcPr>
                  <w:tcW w:w="964" w:type="pct"/>
                  <w:tcBorders>
                    <w:top w:val="single" w:sz="6" w:space="0" w:color="BFBFBF"/>
                  </w:tcBorders>
                  <w:shd w:val="clear" w:color="auto" w:fill="F2F2F2" w:themeFill="background1" w:themeFillShade="F2"/>
                </w:tcPr>
                <w:p w14:paraId="4F300205" w14:textId="77777777" w:rsidR="0011262F" w:rsidRDefault="0011262F" w:rsidP="00B54007">
                  <w:pPr>
                    <w:pStyle w:val="TableUnitsRow"/>
                  </w:pPr>
                </w:p>
              </w:tc>
              <w:tc>
                <w:tcPr>
                  <w:tcW w:w="965" w:type="pct"/>
                  <w:tcBorders>
                    <w:top w:val="single" w:sz="6" w:space="0" w:color="BFBFBF"/>
                  </w:tcBorders>
                  <w:shd w:val="clear" w:color="auto" w:fill="F2F2F2" w:themeFill="background1" w:themeFillShade="F2"/>
                </w:tcPr>
                <w:p w14:paraId="7FCA658F" w14:textId="77777777" w:rsidR="0011262F" w:rsidRDefault="0011262F" w:rsidP="00B54007">
                  <w:pPr>
                    <w:pStyle w:val="TableUnitsRow"/>
                    <w:ind w:right="28"/>
                  </w:pPr>
                </w:p>
              </w:tc>
              <w:tc>
                <w:tcPr>
                  <w:tcW w:w="1069" w:type="pct"/>
                  <w:tcBorders>
                    <w:top w:val="single" w:sz="6" w:space="0" w:color="BFBFBF"/>
                  </w:tcBorders>
                  <w:shd w:val="clear" w:color="auto" w:fill="F2F2F2" w:themeFill="background1" w:themeFillShade="F2"/>
                </w:tcPr>
                <w:p w14:paraId="12A726CC" w14:textId="77777777" w:rsidR="0011262F" w:rsidRDefault="0011262F" w:rsidP="00B54007">
                  <w:pPr>
                    <w:pStyle w:val="TableUnitsRow"/>
                    <w:ind w:right="28"/>
                  </w:pPr>
                </w:p>
              </w:tc>
            </w:tr>
            <w:tr w:rsidR="0011262F" w14:paraId="2A166AEB" w14:textId="77777777" w:rsidTr="00B54007">
              <w:tc>
                <w:tcPr>
                  <w:tcW w:w="1004" w:type="pct"/>
                  <w:gridSpan w:val="2"/>
                </w:tcPr>
                <w:p w14:paraId="4E35DE36" w14:textId="77777777" w:rsidR="0011262F" w:rsidRDefault="0011262F" w:rsidP="00B54007">
                  <w:pPr>
                    <w:pStyle w:val="TableBodyText"/>
                    <w:ind w:left="170"/>
                    <w:jc w:val="left"/>
                  </w:pPr>
                  <w:r>
                    <w:t>Industry</w:t>
                  </w:r>
                </w:p>
              </w:tc>
              <w:tc>
                <w:tcPr>
                  <w:tcW w:w="998" w:type="pct"/>
                </w:tcPr>
                <w:p w14:paraId="039AADF0" w14:textId="77777777" w:rsidR="0011262F" w:rsidRDefault="0011262F" w:rsidP="00B54007">
                  <w:pPr>
                    <w:pStyle w:val="TableBodyText"/>
                  </w:pPr>
                  <w:r w:rsidRPr="00DF7C20">
                    <w:t>0.</w:t>
                  </w:r>
                  <w:r w:rsidRPr="00070803">
                    <w:t>57</w:t>
                  </w:r>
                </w:p>
              </w:tc>
              <w:tc>
                <w:tcPr>
                  <w:tcW w:w="964" w:type="pct"/>
                </w:tcPr>
                <w:p w14:paraId="600F8E60" w14:textId="77777777" w:rsidR="0011262F" w:rsidRDefault="0011262F" w:rsidP="00B54007">
                  <w:pPr>
                    <w:pStyle w:val="TableBodyText"/>
                  </w:pPr>
                  <w:r w:rsidRPr="00DF7C20">
                    <w:t>0.</w:t>
                  </w:r>
                  <w:r w:rsidRPr="00070803">
                    <w:t>63</w:t>
                  </w:r>
                </w:p>
              </w:tc>
              <w:tc>
                <w:tcPr>
                  <w:tcW w:w="965" w:type="pct"/>
                </w:tcPr>
                <w:p w14:paraId="4FD5EFEF" w14:textId="77777777" w:rsidR="0011262F" w:rsidRDefault="0011262F" w:rsidP="00B54007">
                  <w:pPr>
                    <w:pStyle w:val="TableBodyText"/>
                    <w:ind w:right="28"/>
                  </w:pPr>
                  <w:r w:rsidRPr="00DF7C20">
                    <w:t>0.</w:t>
                  </w:r>
                  <w:r>
                    <w:t>70</w:t>
                  </w:r>
                </w:p>
              </w:tc>
              <w:tc>
                <w:tcPr>
                  <w:tcW w:w="1069" w:type="pct"/>
                </w:tcPr>
                <w:p w14:paraId="5D6295B7" w14:textId="77777777" w:rsidR="0011262F" w:rsidRPr="00DF7C20" w:rsidRDefault="0011262F" w:rsidP="00B54007">
                  <w:pPr>
                    <w:pStyle w:val="TableBodyText"/>
                  </w:pPr>
                  <w:r>
                    <w:t>23</w:t>
                  </w:r>
                </w:p>
              </w:tc>
            </w:tr>
            <w:tr w:rsidR="0011262F" w14:paraId="1573C6AC" w14:textId="77777777" w:rsidTr="00B54007">
              <w:tc>
                <w:tcPr>
                  <w:tcW w:w="1004" w:type="pct"/>
                  <w:gridSpan w:val="2"/>
                </w:tcPr>
                <w:p w14:paraId="39108041" w14:textId="77777777" w:rsidR="0011262F" w:rsidRDefault="0011262F" w:rsidP="00B54007">
                  <w:pPr>
                    <w:pStyle w:val="TableBodyText"/>
                    <w:ind w:left="170"/>
                    <w:jc w:val="left"/>
                  </w:pPr>
                  <w:r>
                    <w:t>Retail</w:t>
                  </w:r>
                </w:p>
              </w:tc>
              <w:tc>
                <w:tcPr>
                  <w:tcW w:w="998" w:type="pct"/>
                </w:tcPr>
                <w:p w14:paraId="49151102" w14:textId="77777777" w:rsidR="0011262F" w:rsidRDefault="0011262F" w:rsidP="00B54007">
                  <w:pPr>
                    <w:pStyle w:val="TableBodyText"/>
                  </w:pPr>
                  <w:r w:rsidRPr="00DF7C20">
                    <w:t>0.</w:t>
                  </w:r>
                  <w:r w:rsidRPr="00070803">
                    <w:t>65</w:t>
                  </w:r>
                </w:p>
              </w:tc>
              <w:tc>
                <w:tcPr>
                  <w:tcW w:w="964" w:type="pct"/>
                </w:tcPr>
                <w:p w14:paraId="483A59EF" w14:textId="77777777" w:rsidR="0011262F" w:rsidRDefault="0011262F" w:rsidP="00B54007">
                  <w:pPr>
                    <w:pStyle w:val="TableBodyText"/>
                  </w:pPr>
                  <w:r w:rsidRPr="00DF7C20">
                    <w:t>0.</w:t>
                  </w:r>
                  <w:r w:rsidRPr="00070803">
                    <w:t>69</w:t>
                  </w:r>
                </w:p>
              </w:tc>
              <w:tc>
                <w:tcPr>
                  <w:tcW w:w="965" w:type="pct"/>
                </w:tcPr>
                <w:p w14:paraId="0199085C" w14:textId="77777777" w:rsidR="0011262F" w:rsidRDefault="0011262F" w:rsidP="00B54007">
                  <w:pPr>
                    <w:pStyle w:val="TableBodyText"/>
                    <w:ind w:right="28"/>
                  </w:pPr>
                  <w:r w:rsidRPr="00DF7C20">
                    <w:t>0.</w:t>
                  </w:r>
                  <w:r w:rsidRPr="00070803">
                    <w:t>74</w:t>
                  </w:r>
                </w:p>
              </w:tc>
              <w:tc>
                <w:tcPr>
                  <w:tcW w:w="1069" w:type="pct"/>
                </w:tcPr>
                <w:p w14:paraId="66E25F6D" w14:textId="77777777" w:rsidR="0011262F" w:rsidRPr="00DF7C20" w:rsidRDefault="0011262F" w:rsidP="00B54007">
                  <w:pPr>
                    <w:pStyle w:val="TableBodyText"/>
                  </w:pPr>
                  <w:r>
                    <w:t>19</w:t>
                  </w:r>
                </w:p>
              </w:tc>
            </w:tr>
            <w:tr w:rsidR="0011262F" w14:paraId="4E4B1B92" w14:textId="77777777" w:rsidTr="00B54007">
              <w:tc>
                <w:tcPr>
                  <w:tcW w:w="1004" w:type="pct"/>
                  <w:gridSpan w:val="2"/>
                  <w:shd w:val="clear" w:color="auto" w:fill="auto"/>
                </w:tcPr>
                <w:p w14:paraId="15996CE9" w14:textId="77777777" w:rsidR="0011262F" w:rsidRDefault="0011262F" w:rsidP="00B54007">
                  <w:pPr>
                    <w:pStyle w:val="TableBodyText"/>
                    <w:ind w:left="170"/>
                    <w:jc w:val="left"/>
                  </w:pPr>
                  <w:r>
                    <w:t>Corporate</w:t>
                  </w:r>
                </w:p>
              </w:tc>
              <w:tc>
                <w:tcPr>
                  <w:tcW w:w="998" w:type="pct"/>
                </w:tcPr>
                <w:p w14:paraId="39F3D181" w14:textId="77777777" w:rsidR="0011262F" w:rsidRDefault="0011262F" w:rsidP="00B54007">
                  <w:pPr>
                    <w:pStyle w:val="TableBodyText"/>
                  </w:pPr>
                  <w:r w:rsidRPr="00DF7C20">
                    <w:t>0.4</w:t>
                  </w:r>
                  <w:r>
                    <w:t>3</w:t>
                  </w:r>
                </w:p>
              </w:tc>
              <w:tc>
                <w:tcPr>
                  <w:tcW w:w="964" w:type="pct"/>
                  <w:shd w:val="clear" w:color="auto" w:fill="auto"/>
                </w:tcPr>
                <w:p w14:paraId="59B917CE" w14:textId="77777777" w:rsidR="0011262F" w:rsidRDefault="0011262F" w:rsidP="00B54007">
                  <w:pPr>
                    <w:pStyle w:val="TableBodyText"/>
                  </w:pPr>
                  <w:r w:rsidRPr="00DF7C20">
                    <w:t>0.48</w:t>
                  </w:r>
                </w:p>
              </w:tc>
              <w:tc>
                <w:tcPr>
                  <w:tcW w:w="965" w:type="pct"/>
                  <w:shd w:val="clear" w:color="auto" w:fill="auto"/>
                </w:tcPr>
                <w:p w14:paraId="2CD320CA" w14:textId="77777777" w:rsidR="0011262F" w:rsidRDefault="0011262F" w:rsidP="00B54007">
                  <w:pPr>
                    <w:pStyle w:val="TableBodyText"/>
                    <w:ind w:right="28"/>
                  </w:pPr>
                  <w:r w:rsidRPr="00DF7C20">
                    <w:t>0.53</w:t>
                  </w:r>
                </w:p>
              </w:tc>
              <w:tc>
                <w:tcPr>
                  <w:tcW w:w="1069" w:type="pct"/>
                </w:tcPr>
                <w:p w14:paraId="3A9DAEE3" w14:textId="77777777" w:rsidR="0011262F" w:rsidRPr="00DF7C20" w:rsidRDefault="0011262F" w:rsidP="00B54007">
                  <w:pPr>
                    <w:pStyle w:val="TableBodyText"/>
                  </w:pPr>
                  <w:r>
                    <w:t>30</w:t>
                  </w:r>
                </w:p>
              </w:tc>
            </w:tr>
            <w:tr w:rsidR="0011262F" w14:paraId="290A32D9" w14:textId="77777777" w:rsidTr="00B54007">
              <w:tc>
                <w:tcPr>
                  <w:tcW w:w="1004" w:type="pct"/>
                  <w:gridSpan w:val="2"/>
                  <w:shd w:val="clear" w:color="auto" w:fill="auto"/>
                </w:tcPr>
                <w:p w14:paraId="326D9977" w14:textId="77777777" w:rsidR="0011262F" w:rsidRDefault="0011262F" w:rsidP="00B54007">
                  <w:pPr>
                    <w:pStyle w:val="TableBodyText"/>
                    <w:ind w:left="170"/>
                    <w:jc w:val="left"/>
                  </w:pPr>
                  <w:r>
                    <w:t>Public sector</w:t>
                  </w:r>
                </w:p>
              </w:tc>
              <w:tc>
                <w:tcPr>
                  <w:tcW w:w="998" w:type="pct"/>
                </w:tcPr>
                <w:p w14:paraId="31A53383" w14:textId="77777777" w:rsidR="0011262F" w:rsidRDefault="0011262F" w:rsidP="00B54007">
                  <w:pPr>
                    <w:pStyle w:val="TableBodyText"/>
                  </w:pPr>
                  <w:r w:rsidRPr="00DF7C20">
                    <w:t>0.</w:t>
                  </w:r>
                  <w:r w:rsidRPr="00070803">
                    <w:t>43</w:t>
                  </w:r>
                </w:p>
              </w:tc>
              <w:tc>
                <w:tcPr>
                  <w:tcW w:w="964" w:type="pct"/>
                  <w:shd w:val="clear" w:color="auto" w:fill="auto"/>
                </w:tcPr>
                <w:p w14:paraId="29B5F4CB" w14:textId="77777777" w:rsidR="0011262F" w:rsidRDefault="0011262F" w:rsidP="00B54007">
                  <w:pPr>
                    <w:pStyle w:val="TableBodyText"/>
                  </w:pPr>
                  <w:r w:rsidRPr="00DF7C20">
                    <w:t>0.</w:t>
                  </w:r>
                  <w:r w:rsidRPr="00070803">
                    <w:t>55</w:t>
                  </w:r>
                </w:p>
              </w:tc>
              <w:tc>
                <w:tcPr>
                  <w:tcW w:w="965" w:type="pct"/>
                  <w:shd w:val="clear" w:color="auto" w:fill="auto"/>
                </w:tcPr>
                <w:p w14:paraId="447CDF2C" w14:textId="77777777" w:rsidR="0011262F" w:rsidRDefault="0011262F" w:rsidP="00B54007">
                  <w:pPr>
                    <w:pStyle w:val="TableBodyText"/>
                    <w:ind w:right="28"/>
                  </w:pPr>
                  <w:r w:rsidRPr="00DF7C20">
                    <w:t>0.</w:t>
                  </w:r>
                  <w:r w:rsidRPr="00070803">
                    <w:t>6</w:t>
                  </w:r>
                  <w:r>
                    <w:t>7</w:t>
                  </w:r>
                </w:p>
              </w:tc>
              <w:tc>
                <w:tcPr>
                  <w:tcW w:w="1069" w:type="pct"/>
                </w:tcPr>
                <w:p w14:paraId="058A6325" w14:textId="77777777" w:rsidR="0011262F" w:rsidRPr="00DF7C20" w:rsidRDefault="0011262F" w:rsidP="00B54007">
                  <w:pPr>
                    <w:pStyle w:val="TableBodyText"/>
                  </w:pPr>
                  <w:r>
                    <w:t>27</w:t>
                  </w:r>
                </w:p>
              </w:tc>
            </w:tr>
            <w:tr w:rsidR="0011262F" w14:paraId="0A6575DE" w14:textId="77777777" w:rsidTr="00B54007">
              <w:tc>
                <w:tcPr>
                  <w:tcW w:w="1004" w:type="pct"/>
                  <w:gridSpan w:val="2"/>
                  <w:shd w:val="clear" w:color="auto" w:fill="F2F2F2" w:themeFill="background1" w:themeFillShade="F2"/>
                </w:tcPr>
                <w:p w14:paraId="074D6F59" w14:textId="77777777" w:rsidR="0011262F" w:rsidRDefault="0011262F" w:rsidP="00B54007">
                  <w:pPr>
                    <w:pStyle w:val="TableBodyText"/>
                    <w:jc w:val="left"/>
                  </w:pPr>
                  <w:r>
                    <w:rPr>
                      <w:b/>
                    </w:rPr>
                    <w:t>Investment</w:t>
                  </w:r>
                </w:p>
              </w:tc>
              <w:tc>
                <w:tcPr>
                  <w:tcW w:w="998" w:type="pct"/>
                  <w:shd w:val="clear" w:color="auto" w:fill="F2F2F2" w:themeFill="background1" w:themeFillShade="F2"/>
                </w:tcPr>
                <w:p w14:paraId="40B56BDE" w14:textId="77777777" w:rsidR="0011262F" w:rsidRDefault="0011262F" w:rsidP="00B54007">
                  <w:pPr>
                    <w:pStyle w:val="TableBodyText"/>
                  </w:pPr>
                </w:p>
              </w:tc>
              <w:tc>
                <w:tcPr>
                  <w:tcW w:w="964" w:type="pct"/>
                  <w:shd w:val="clear" w:color="auto" w:fill="F2F2F2" w:themeFill="background1" w:themeFillShade="F2"/>
                </w:tcPr>
                <w:p w14:paraId="0AF808E1" w14:textId="77777777" w:rsidR="0011262F" w:rsidRDefault="0011262F" w:rsidP="00B54007">
                  <w:pPr>
                    <w:pStyle w:val="TableBodyText"/>
                  </w:pPr>
                </w:p>
              </w:tc>
              <w:tc>
                <w:tcPr>
                  <w:tcW w:w="965" w:type="pct"/>
                  <w:shd w:val="clear" w:color="auto" w:fill="F2F2F2" w:themeFill="background1" w:themeFillShade="F2"/>
                </w:tcPr>
                <w:p w14:paraId="6879626C" w14:textId="77777777" w:rsidR="0011262F" w:rsidRDefault="0011262F" w:rsidP="00B54007">
                  <w:pPr>
                    <w:pStyle w:val="TableBodyText"/>
                    <w:ind w:right="28"/>
                  </w:pPr>
                </w:p>
              </w:tc>
              <w:tc>
                <w:tcPr>
                  <w:tcW w:w="1069" w:type="pct"/>
                  <w:shd w:val="clear" w:color="auto" w:fill="F2F2F2" w:themeFill="background1" w:themeFillShade="F2"/>
                </w:tcPr>
                <w:p w14:paraId="13C1BC67" w14:textId="77777777" w:rsidR="0011262F" w:rsidRDefault="0011262F" w:rsidP="00B54007">
                  <w:pPr>
                    <w:pStyle w:val="TableBodyText"/>
                  </w:pPr>
                </w:p>
              </w:tc>
            </w:tr>
            <w:tr w:rsidR="0011262F" w14:paraId="6FF05B60" w14:textId="77777777" w:rsidTr="00B54007">
              <w:tc>
                <w:tcPr>
                  <w:tcW w:w="1004" w:type="pct"/>
                  <w:gridSpan w:val="2"/>
                  <w:shd w:val="clear" w:color="auto" w:fill="auto"/>
                </w:tcPr>
                <w:p w14:paraId="71676CD5" w14:textId="77777777" w:rsidR="0011262F" w:rsidRDefault="0011262F" w:rsidP="00B54007">
                  <w:pPr>
                    <w:pStyle w:val="TableBodyText"/>
                    <w:ind w:left="170"/>
                    <w:jc w:val="left"/>
                  </w:pPr>
                  <w:r>
                    <w:t>Industry</w:t>
                  </w:r>
                </w:p>
              </w:tc>
              <w:tc>
                <w:tcPr>
                  <w:tcW w:w="998" w:type="pct"/>
                </w:tcPr>
                <w:p w14:paraId="27C72782" w14:textId="77777777" w:rsidR="0011262F" w:rsidRDefault="0011262F" w:rsidP="00B54007">
                  <w:pPr>
                    <w:pStyle w:val="TableBodyText"/>
                  </w:pPr>
                  <w:r w:rsidRPr="00D5691D">
                    <w:t>0.</w:t>
                  </w:r>
                  <w:r>
                    <w:t>80</w:t>
                  </w:r>
                </w:p>
              </w:tc>
              <w:tc>
                <w:tcPr>
                  <w:tcW w:w="964" w:type="pct"/>
                  <w:shd w:val="clear" w:color="auto" w:fill="auto"/>
                </w:tcPr>
                <w:p w14:paraId="1E437115" w14:textId="77777777" w:rsidR="0011262F" w:rsidRDefault="0011262F" w:rsidP="00B54007">
                  <w:pPr>
                    <w:pStyle w:val="TableBodyText"/>
                  </w:pPr>
                  <w:r w:rsidRPr="009326A0">
                    <w:t>0.89</w:t>
                  </w:r>
                </w:p>
              </w:tc>
              <w:tc>
                <w:tcPr>
                  <w:tcW w:w="965" w:type="pct"/>
                  <w:shd w:val="clear" w:color="auto" w:fill="auto"/>
                </w:tcPr>
                <w:p w14:paraId="1C55F7B7" w14:textId="77777777" w:rsidR="0011262F" w:rsidRDefault="0011262F" w:rsidP="00B54007">
                  <w:pPr>
                    <w:pStyle w:val="TableBodyText"/>
                    <w:ind w:right="28"/>
                  </w:pPr>
                  <w:r w:rsidRPr="009326A0">
                    <w:t>0.9</w:t>
                  </w:r>
                  <w:r>
                    <w:t>9</w:t>
                  </w:r>
                </w:p>
              </w:tc>
              <w:tc>
                <w:tcPr>
                  <w:tcW w:w="1069" w:type="pct"/>
                </w:tcPr>
                <w:p w14:paraId="290CED17" w14:textId="77777777" w:rsidR="0011262F" w:rsidRPr="009326A0" w:rsidRDefault="0011262F" w:rsidP="00B54007">
                  <w:pPr>
                    <w:pStyle w:val="TableBodyText"/>
                  </w:pPr>
                  <w:r>
                    <w:t>7</w:t>
                  </w:r>
                </w:p>
              </w:tc>
            </w:tr>
            <w:tr w:rsidR="0011262F" w14:paraId="65CE5D77" w14:textId="77777777" w:rsidTr="00B54007">
              <w:tc>
                <w:tcPr>
                  <w:tcW w:w="1004" w:type="pct"/>
                  <w:gridSpan w:val="2"/>
                  <w:shd w:val="clear" w:color="auto" w:fill="auto"/>
                </w:tcPr>
                <w:p w14:paraId="72EE71C6" w14:textId="77777777" w:rsidR="0011262F" w:rsidRDefault="0011262F" w:rsidP="00B54007">
                  <w:pPr>
                    <w:pStyle w:val="TableBodyText"/>
                    <w:ind w:left="170"/>
                    <w:jc w:val="left"/>
                  </w:pPr>
                  <w:r>
                    <w:t>Retail</w:t>
                  </w:r>
                </w:p>
              </w:tc>
              <w:tc>
                <w:tcPr>
                  <w:tcW w:w="998" w:type="pct"/>
                </w:tcPr>
                <w:p w14:paraId="408FBB88" w14:textId="77777777" w:rsidR="0011262F" w:rsidRDefault="0011262F" w:rsidP="00B54007">
                  <w:pPr>
                    <w:pStyle w:val="TableBodyText"/>
                  </w:pPr>
                  <w:r w:rsidRPr="00D5691D">
                    <w:t>0.</w:t>
                  </w:r>
                  <w:r w:rsidRPr="009326A0">
                    <w:t>53</w:t>
                  </w:r>
                </w:p>
              </w:tc>
              <w:tc>
                <w:tcPr>
                  <w:tcW w:w="964" w:type="pct"/>
                  <w:shd w:val="clear" w:color="auto" w:fill="auto"/>
                </w:tcPr>
                <w:p w14:paraId="651A1AF5" w14:textId="77777777" w:rsidR="0011262F" w:rsidRDefault="0011262F" w:rsidP="00B54007">
                  <w:pPr>
                    <w:pStyle w:val="TableBodyText"/>
                  </w:pPr>
                  <w:r w:rsidRPr="00D5691D">
                    <w:t>0.</w:t>
                  </w:r>
                  <w:r w:rsidRPr="009326A0">
                    <w:t>59</w:t>
                  </w:r>
                </w:p>
              </w:tc>
              <w:tc>
                <w:tcPr>
                  <w:tcW w:w="965" w:type="pct"/>
                  <w:shd w:val="clear" w:color="auto" w:fill="auto"/>
                </w:tcPr>
                <w:p w14:paraId="35891EF1" w14:textId="77777777" w:rsidR="0011262F" w:rsidRDefault="0011262F" w:rsidP="00B54007">
                  <w:pPr>
                    <w:pStyle w:val="TableBodyText"/>
                    <w:ind w:right="28"/>
                  </w:pPr>
                  <w:r w:rsidRPr="00D5691D">
                    <w:t>0.</w:t>
                  </w:r>
                  <w:r w:rsidRPr="009326A0">
                    <w:t>65</w:t>
                  </w:r>
                </w:p>
              </w:tc>
              <w:tc>
                <w:tcPr>
                  <w:tcW w:w="1069" w:type="pct"/>
                </w:tcPr>
                <w:p w14:paraId="6874D9A4" w14:textId="77777777" w:rsidR="0011262F" w:rsidRPr="00D5691D" w:rsidRDefault="0011262F" w:rsidP="00B54007">
                  <w:pPr>
                    <w:pStyle w:val="TableBodyText"/>
                  </w:pPr>
                  <w:r>
                    <w:t>25</w:t>
                  </w:r>
                </w:p>
              </w:tc>
            </w:tr>
            <w:tr w:rsidR="0011262F" w14:paraId="08C86C75" w14:textId="77777777" w:rsidTr="00B54007">
              <w:tc>
                <w:tcPr>
                  <w:tcW w:w="1004" w:type="pct"/>
                  <w:gridSpan w:val="2"/>
                  <w:shd w:val="clear" w:color="auto" w:fill="auto"/>
                </w:tcPr>
                <w:p w14:paraId="38E485DB" w14:textId="77777777" w:rsidR="0011262F" w:rsidRDefault="0011262F" w:rsidP="00B54007">
                  <w:pPr>
                    <w:pStyle w:val="TableBodyText"/>
                    <w:ind w:left="170"/>
                    <w:jc w:val="left"/>
                  </w:pPr>
                  <w:r>
                    <w:t>Corporate</w:t>
                  </w:r>
                </w:p>
              </w:tc>
              <w:tc>
                <w:tcPr>
                  <w:tcW w:w="998" w:type="pct"/>
                </w:tcPr>
                <w:p w14:paraId="31F0046B" w14:textId="77777777" w:rsidR="0011262F" w:rsidRDefault="0011262F" w:rsidP="00B54007">
                  <w:pPr>
                    <w:pStyle w:val="TableBodyText"/>
                  </w:pPr>
                  <w:r w:rsidRPr="00D5691D">
                    <w:t>0.70</w:t>
                  </w:r>
                </w:p>
              </w:tc>
              <w:tc>
                <w:tcPr>
                  <w:tcW w:w="964" w:type="pct"/>
                  <w:shd w:val="clear" w:color="auto" w:fill="auto"/>
                </w:tcPr>
                <w:p w14:paraId="5FE638E3" w14:textId="77777777" w:rsidR="0011262F" w:rsidRDefault="0011262F" w:rsidP="00B54007">
                  <w:pPr>
                    <w:pStyle w:val="TableBodyText"/>
                  </w:pPr>
                  <w:r w:rsidRPr="00D5691D">
                    <w:t>0.76</w:t>
                  </w:r>
                </w:p>
              </w:tc>
              <w:tc>
                <w:tcPr>
                  <w:tcW w:w="965" w:type="pct"/>
                  <w:shd w:val="clear" w:color="auto" w:fill="auto"/>
                </w:tcPr>
                <w:p w14:paraId="1E214943" w14:textId="77777777" w:rsidR="0011262F" w:rsidRDefault="0011262F" w:rsidP="00B54007">
                  <w:pPr>
                    <w:pStyle w:val="TableBodyText"/>
                    <w:ind w:right="28"/>
                  </w:pPr>
                  <w:r w:rsidRPr="00D5691D">
                    <w:t>0.8</w:t>
                  </w:r>
                  <w:r>
                    <w:t>4</w:t>
                  </w:r>
                </w:p>
              </w:tc>
              <w:tc>
                <w:tcPr>
                  <w:tcW w:w="1069" w:type="pct"/>
                </w:tcPr>
                <w:p w14:paraId="7E045F49" w14:textId="77777777" w:rsidR="0011262F" w:rsidRPr="00D5691D" w:rsidRDefault="0011262F" w:rsidP="00B54007">
                  <w:pPr>
                    <w:pStyle w:val="TableBodyText"/>
                  </w:pPr>
                  <w:r>
                    <w:t>15</w:t>
                  </w:r>
                </w:p>
              </w:tc>
            </w:tr>
            <w:tr w:rsidR="0011262F" w:rsidRPr="000D4C74" w14:paraId="5E795C24" w14:textId="77777777" w:rsidTr="00B54007">
              <w:tc>
                <w:tcPr>
                  <w:tcW w:w="1004" w:type="pct"/>
                  <w:gridSpan w:val="2"/>
                  <w:tcBorders>
                    <w:bottom w:val="single" w:sz="6" w:space="0" w:color="BFBFBF"/>
                  </w:tcBorders>
                  <w:shd w:val="clear" w:color="auto" w:fill="auto"/>
                </w:tcPr>
                <w:p w14:paraId="0BF57E94" w14:textId="77777777" w:rsidR="0011262F" w:rsidRDefault="0011262F" w:rsidP="00B54007">
                  <w:pPr>
                    <w:pStyle w:val="TableBodyText"/>
                    <w:ind w:left="170"/>
                    <w:jc w:val="left"/>
                  </w:pPr>
                  <w:r>
                    <w:t>Public sector</w:t>
                  </w:r>
                </w:p>
              </w:tc>
              <w:tc>
                <w:tcPr>
                  <w:tcW w:w="998" w:type="pct"/>
                  <w:tcBorders>
                    <w:bottom w:val="single" w:sz="6" w:space="0" w:color="BFBFBF"/>
                  </w:tcBorders>
                </w:tcPr>
                <w:p w14:paraId="64059E79" w14:textId="77777777" w:rsidR="0011262F" w:rsidRDefault="0011262F" w:rsidP="00B54007">
                  <w:pPr>
                    <w:pStyle w:val="TableBodyText"/>
                  </w:pPr>
                  <w:r w:rsidRPr="00D5691D">
                    <w:t>0.</w:t>
                  </w:r>
                  <w:r w:rsidRPr="009326A0">
                    <w:t>41</w:t>
                  </w:r>
                </w:p>
              </w:tc>
              <w:tc>
                <w:tcPr>
                  <w:tcW w:w="964" w:type="pct"/>
                  <w:tcBorders>
                    <w:bottom w:val="single" w:sz="6" w:space="0" w:color="BFBFBF"/>
                  </w:tcBorders>
                  <w:shd w:val="clear" w:color="auto" w:fill="auto"/>
                </w:tcPr>
                <w:p w14:paraId="469D7654" w14:textId="77777777" w:rsidR="0011262F" w:rsidRDefault="0011262F" w:rsidP="00B54007">
                  <w:pPr>
                    <w:pStyle w:val="TableBodyText"/>
                  </w:pPr>
                  <w:r w:rsidRPr="00D5691D">
                    <w:t>0.</w:t>
                  </w:r>
                  <w:r w:rsidRPr="009326A0">
                    <w:t>5</w:t>
                  </w:r>
                  <w:r>
                    <w:t>3</w:t>
                  </w:r>
                </w:p>
              </w:tc>
              <w:tc>
                <w:tcPr>
                  <w:tcW w:w="965" w:type="pct"/>
                  <w:tcBorders>
                    <w:bottom w:val="single" w:sz="6" w:space="0" w:color="BFBFBF"/>
                  </w:tcBorders>
                  <w:shd w:val="clear" w:color="auto" w:fill="auto"/>
                </w:tcPr>
                <w:p w14:paraId="21D13D59" w14:textId="77777777" w:rsidR="0011262F" w:rsidRDefault="0011262F" w:rsidP="00B54007">
                  <w:pPr>
                    <w:pStyle w:val="TableBodyText"/>
                    <w:ind w:right="28"/>
                  </w:pPr>
                  <w:r w:rsidRPr="00D5691D">
                    <w:t>0.</w:t>
                  </w:r>
                  <w:r w:rsidRPr="009326A0">
                    <w:t>64</w:t>
                  </w:r>
                </w:p>
              </w:tc>
              <w:tc>
                <w:tcPr>
                  <w:tcW w:w="1069" w:type="pct"/>
                  <w:tcBorders>
                    <w:bottom w:val="single" w:sz="6" w:space="0" w:color="BFBFBF"/>
                  </w:tcBorders>
                </w:tcPr>
                <w:p w14:paraId="732B4816" w14:textId="77777777" w:rsidR="0011262F" w:rsidRPr="000D4C74" w:rsidRDefault="0011262F" w:rsidP="00B54007">
                  <w:pPr>
                    <w:pStyle w:val="TableBodyText"/>
                    <w:rPr>
                      <w:b/>
                      <w:vanish/>
                    </w:rPr>
                  </w:pPr>
                  <w:r>
                    <w:t>28</w:t>
                  </w:r>
                </w:p>
              </w:tc>
            </w:tr>
          </w:tbl>
          <w:p w14:paraId="70D0BD7F" w14:textId="77777777" w:rsidR="0011262F" w:rsidRDefault="0011262F" w:rsidP="00B54007">
            <w:pPr>
              <w:pStyle w:val="Box"/>
            </w:pPr>
          </w:p>
        </w:tc>
      </w:tr>
      <w:tr w:rsidR="0011262F" w14:paraId="256C9C38" w14:textId="77777777" w:rsidTr="00B54007">
        <w:tc>
          <w:tcPr>
            <w:tcW w:w="5000" w:type="pct"/>
            <w:tcBorders>
              <w:top w:val="nil"/>
              <w:left w:val="nil"/>
              <w:bottom w:val="nil"/>
              <w:right w:val="nil"/>
            </w:tcBorders>
            <w:shd w:val="clear" w:color="auto" w:fill="auto"/>
          </w:tcPr>
          <w:p w14:paraId="6865D36B" w14:textId="77777777" w:rsidR="0011262F" w:rsidRDefault="0011262F" w:rsidP="00B54007">
            <w:pPr>
              <w:pStyle w:val="Note"/>
              <w:rPr>
                <w:i/>
              </w:rPr>
            </w:pPr>
            <w:r w:rsidRPr="008E77FE">
              <w:rPr>
                <w:rStyle w:val="NoteLabel"/>
              </w:rPr>
              <w:t>a</w:t>
            </w:r>
            <w:r>
              <w:t xml:space="preserve"> </w:t>
            </w:r>
            <w:proofErr w:type="spellStart"/>
            <w:r w:rsidRPr="00D47877">
              <w:rPr>
                <w:spacing w:val="-6"/>
              </w:rPr>
              <w:t>A</w:t>
            </w:r>
            <w:proofErr w:type="spellEnd"/>
            <w:r w:rsidRPr="00D47877">
              <w:rPr>
                <w:spacing w:val="-6"/>
              </w:rPr>
              <w:t xml:space="preserve"> power coefficient of less than one indicates economies of scale. The lower the coefficient, the stronger the economies. </w:t>
            </w:r>
            <w:r w:rsidRPr="00D47877">
              <w:rPr>
                <w:rStyle w:val="NoteLabel"/>
                <w:spacing w:val="-6"/>
              </w:rPr>
              <w:t>b</w:t>
            </w:r>
            <w:r w:rsidRPr="00D47877">
              <w:rPr>
                <w:spacing w:val="-6"/>
              </w:rPr>
              <w:t xml:space="preserve"> Multiple power coefficients, spanning a range of values, are generated for each segment by the modelling, reflecting the fact that the coefficients are estimated with uncertainty. Values from different percentiles of that distribution indicate that uncertainty. The value at the 90</w:t>
            </w:r>
            <w:r w:rsidRPr="00D47877">
              <w:rPr>
                <w:spacing w:val="-6"/>
                <w:vertAlign w:val="superscript"/>
              </w:rPr>
              <w:t>th</w:t>
            </w:r>
            <w:r w:rsidRPr="00D47877">
              <w:rPr>
                <w:spacing w:val="-6"/>
              </w:rPr>
              <w:t xml:space="preserve"> percentile, for example, can be interpreted as meaning that ‘</w:t>
            </w:r>
            <w:r w:rsidRPr="00D47877">
              <w:rPr>
                <w:i/>
                <w:spacing w:val="-6"/>
              </w:rPr>
              <w:t>there is only a 10 per cent probability that the true parameter value is greater than this figure</w:t>
            </w:r>
            <w:r w:rsidRPr="00D47877">
              <w:rPr>
                <w:spacing w:val="-6"/>
              </w:rPr>
              <w:t xml:space="preserve">’. </w:t>
            </w:r>
            <w:r w:rsidRPr="00D47877">
              <w:rPr>
                <w:rStyle w:val="NoteLabel"/>
                <w:spacing w:val="-6"/>
              </w:rPr>
              <w:t>c</w:t>
            </w:r>
            <w:r w:rsidRPr="00D47877">
              <w:rPr>
                <w:spacing w:val="-6"/>
              </w:rPr>
              <w:t xml:space="preserve"> The percentage reduction in average expenses (using median estimates) of a fund increasing in size from $500 million to $1 billion.</w:t>
            </w:r>
          </w:p>
        </w:tc>
      </w:tr>
      <w:tr w:rsidR="0011262F" w14:paraId="7766A7F2" w14:textId="77777777" w:rsidTr="00B54007">
        <w:tc>
          <w:tcPr>
            <w:tcW w:w="5000" w:type="pct"/>
            <w:tcBorders>
              <w:top w:val="nil"/>
              <w:left w:val="nil"/>
              <w:bottom w:val="nil"/>
              <w:right w:val="nil"/>
            </w:tcBorders>
            <w:shd w:val="clear" w:color="auto" w:fill="auto"/>
          </w:tcPr>
          <w:tbl>
            <w:tblPr>
              <w:tblW w:w="0" w:type="auto"/>
              <w:tblLook w:val="04A0" w:firstRow="1" w:lastRow="0" w:firstColumn="1" w:lastColumn="0" w:noHBand="0" w:noVBand="1"/>
            </w:tblPr>
            <w:tblGrid>
              <w:gridCol w:w="1559"/>
              <w:gridCol w:w="6935"/>
            </w:tblGrid>
            <w:tr w:rsidR="0011262F" w14:paraId="14857E3E" w14:textId="77777777" w:rsidTr="00B54007">
              <w:trPr>
                <w:tblHeader/>
              </w:trPr>
              <w:tc>
                <w:tcPr>
                  <w:tcW w:w="1559" w:type="dxa"/>
                  <w:shd w:val="clear" w:color="auto" w:fill="F2F2F2" w:themeFill="background1" w:themeFillShade="F2"/>
                </w:tcPr>
                <w:p w14:paraId="52B1DCD8" w14:textId="77777777" w:rsidR="0011262F" w:rsidRDefault="0011262F" w:rsidP="00B54007">
                  <w:pPr>
                    <w:pStyle w:val="Figure"/>
                    <w:keepNext w:val="0"/>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935" w:type="dxa"/>
                  <w:shd w:val="clear" w:color="auto" w:fill="F2F2F2" w:themeFill="background1" w:themeFillShade="F2"/>
                </w:tcPr>
                <w:p w14:paraId="0C7235C5" w14:textId="77777777" w:rsidR="0011262F" w:rsidRDefault="0011262F" w:rsidP="00B54007">
                  <w:pPr>
                    <w:pStyle w:val="Figure"/>
                    <w:keepNext w:val="0"/>
                    <w:spacing w:before="0" w:after="0"/>
                    <w:jc w:val="left"/>
                    <w:rPr>
                      <w:rFonts w:ascii="Arial" w:hAnsi="Arial" w:cs="Arial"/>
                      <w:sz w:val="18"/>
                      <w:szCs w:val="18"/>
                    </w:rPr>
                  </w:pPr>
                  <w:r>
                    <w:rPr>
                      <w:rFonts w:ascii="Arial" w:eastAsia="+mn-ea" w:hAnsi="Arial" w:cs="Arial"/>
                      <w:color w:val="000000" w:themeColor="text1"/>
                      <w:kern w:val="24"/>
                      <w:sz w:val="18"/>
                      <w:szCs w:val="18"/>
                    </w:rPr>
                    <w:t>PC analysis of unpublished APRA data.</w:t>
                  </w:r>
                </w:p>
              </w:tc>
            </w:tr>
            <w:tr w:rsidR="0011262F" w:rsidRPr="00AF556C" w14:paraId="57E3C12B" w14:textId="77777777" w:rsidTr="00B54007">
              <w:tc>
                <w:tcPr>
                  <w:tcW w:w="1559" w:type="dxa"/>
                  <w:shd w:val="clear" w:color="auto" w:fill="F2F2F2" w:themeFill="background1" w:themeFillShade="F2"/>
                </w:tcPr>
                <w:p w14:paraId="6048C26D" w14:textId="77777777" w:rsidR="0011262F" w:rsidRDefault="0011262F" w:rsidP="00B54007">
                  <w:pPr>
                    <w:pStyle w:val="Figure"/>
                    <w:keepNext w:val="0"/>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shd w:val="clear" w:color="auto" w:fill="F2F2F2" w:themeFill="background1" w:themeFillShade="F2"/>
                </w:tcPr>
                <w:p w14:paraId="6257A863" w14:textId="77777777" w:rsidR="0011262F" w:rsidRPr="00AF556C" w:rsidRDefault="0011262F" w:rsidP="00B54007">
                  <w:pPr>
                    <w:pStyle w:val="Figure"/>
                    <w:keepNext w:val="0"/>
                    <w:spacing w:before="0" w:after="0"/>
                    <w:jc w:val="left"/>
                    <w:rPr>
                      <w:rFonts w:ascii="Arial" w:hAnsi="Arial" w:cs="Arial"/>
                      <w:sz w:val="18"/>
                      <w:szCs w:val="18"/>
                    </w:rPr>
                  </w:pPr>
                  <w:r>
                    <w:rPr>
                      <w:rFonts w:ascii="Arial" w:eastAsia="+mn-ea" w:hAnsi="Arial" w:cs="Arial"/>
                      <w:color w:val="000000" w:themeColor="text1"/>
                      <w:kern w:val="24"/>
                      <w:sz w:val="18"/>
                      <w:szCs w:val="18"/>
                    </w:rPr>
                    <w:t xml:space="preserve">494 </w:t>
                  </w:r>
                  <w:r w:rsidRPr="00A95597">
                    <w:rPr>
                      <w:rFonts w:ascii="Arial" w:eastAsia="+mn-ea" w:hAnsi="Arial" w:cs="Arial"/>
                      <w:color w:val="000000" w:themeColor="text1"/>
                      <w:kern w:val="24"/>
                      <w:sz w:val="18"/>
                      <w:szCs w:val="18"/>
                    </w:rPr>
                    <w:t>funds</w:t>
                  </w:r>
                  <w:r>
                    <w:rPr>
                      <w:rFonts w:ascii="Arial" w:eastAsia="+mn-ea" w:hAnsi="Arial" w:cs="Arial"/>
                      <w:color w:val="000000" w:themeColor="text1"/>
                      <w:kern w:val="24"/>
                      <w:sz w:val="18"/>
                      <w:szCs w:val="18"/>
                    </w:rPr>
                    <w:t xml:space="preserve"> representing 100 per cent and 91</w:t>
                  </w:r>
                  <w:r w:rsidRPr="00262154">
                    <w:rPr>
                      <w:rFonts w:ascii="Arial" w:eastAsia="+mn-ea" w:hAnsi="Arial" w:cs="Arial"/>
                      <w:color w:val="000000" w:themeColor="text1"/>
                      <w:kern w:val="24"/>
                      <w:sz w:val="18"/>
                      <w:szCs w:val="18"/>
                    </w:rPr>
                    <w:t> per cent</w:t>
                  </w:r>
                  <w:r>
                    <w:rPr>
                      <w:rFonts w:ascii="Arial" w:eastAsia="+mn-ea" w:hAnsi="Arial" w:cs="Arial"/>
                      <w:color w:val="000000" w:themeColor="text1"/>
                      <w:kern w:val="24"/>
                      <w:sz w:val="18"/>
                      <w:szCs w:val="18"/>
                    </w:rPr>
                    <w:t xml:space="preserve"> of the system by assets in 2015</w:t>
                  </w:r>
                  <w:r>
                    <w:rPr>
                      <w:rFonts w:ascii="Arial" w:eastAsia="+mn-ea" w:hAnsi="Arial" w:cs="Arial"/>
                      <w:color w:val="000000" w:themeColor="text1"/>
                      <w:kern w:val="24"/>
                      <w:sz w:val="18"/>
                      <w:szCs w:val="18"/>
                    </w:rPr>
                    <w:noBreakHyphen/>
                    <w:t>16 and 2004</w:t>
                  </w:r>
                  <w:r>
                    <w:rPr>
                      <w:rFonts w:ascii="Arial" w:eastAsia="+mn-ea" w:hAnsi="Arial" w:cs="Arial"/>
                      <w:color w:val="000000" w:themeColor="text1"/>
                      <w:kern w:val="24"/>
                      <w:sz w:val="18"/>
                      <w:szCs w:val="18"/>
                    </w:rPr>
                    <w:noBreakHyphen/>
                    <w:t>05 respectively. Excludes funds with less than two years of data.</w:t>
                  </w:r>
                </w:p>
              </w:tc>
            </w:tr>
          </w:tbl>
          <w:p w14:paraId="57767B57" w14:textId="77777777" w:rsidR="0011262F" w:rsidRDefault="0011262F" w:rsidP="00B54007">
            <w:pPr>
              <w:pStyle w:val="Source"/>
              <w:keepLines w:val="0"/>
            </w:pPr>
          </w:p>
        </w:tc>
      </w:tr>
      <w:tr w:rsidR="0011262F" w14:paraId="6D7A6913" w14:textId="77777777" w:rsidTr="00B54007">
        <w:tc>
          <w:tcPr>
            <w:tcW w:w="5000" w:type="pct"/>
            <w:tcBorders>
              <w:top w:val="nil"/>
              <w:left w:val="nil"/>
              <w:bottom w:val="single" w:sz="6" w:space="0" w:color="78A22F"/>
              <w:right w:val="nil"/>
            </w:tcBorders>
            <w:shd w:val="clear" w:color="auto" w:fill="auto"/>
          </w:tcPr>
          <w:p w14:paraId="3845EBF8" w14:textId="77777777" w:rsidR="0011262F" w:rsidRDefault="0011262F" w:rsidP="00B54007">
            <w:pPr>
              <w:pStyle w:val="Box"/>
              <w:keepNext w:val="0"/>
              <w:spacing w:before="0" w:line="120" w:lineRule="exact"/>
            </w:pPr>
          </w:p>
        </w:tc>
      </w:tr>
    </w:tbl>
    <w:p w14:paraId="644A92E5" w14:textId="77777777" w:rsidR="0011262F" w:rsidRDefault="0011262F" w:rsidP="0011262F">
      <w:pPr>
        <w:pStyle w:val="BodyText"/>
      </w:pPr>
      <w:r>
        <w:lastRenderedPageBreak/>
        <w:t>And even small falls in average costs for funds that have already achieved considerable scale (and are typically on a flatter section of their cost curve), would translate into material savings.</w:t>
      </w:r>
      <w:r w:rsidDel="00323C19">
        <w:t xml:space="preserve"> For example, a </w:t>
      </w:r>
      <w:r>
        <w:t>one</w:t>
      </w:r>
      <w:r w:rsidDel="00323C19">
        <w:t xml:space="preserve"> basis point reduction per year in administration expense ratios </w:t>
      </w:r>
      <w:r>
        <w:t xml:space="preserve">for funds with assets of over $10 billion (currently about 35 basis points on average) </w:t>
      </w:r>
      <w:r w:rsidDel="00323C19">
        <w:t xml:space="preserve">would translate to </w:t>
      </w:r>
      <w:r>
        <w:t>about</w:t>
      </w:r>
      <w:r w:rsidDel="00323C19">
        <w:t xml:space="preserve"> $</w:t>
      </w:r>
      <w:r>
        <w:t>130</w:t>
      </w:r>
      <w:r w:rsidDel="00323C19">
        <w:t> million in savings per year.</w:t>
      </w:r>
    </w:p>
    <w:p w14:paraId="1BF2393B" w14:textId="77777777" w:rsidR="0011262F" w:rsidRDefault="0011262F" w:rsidP="0011262F">
      <w:pPr>
        <w:pStyle w:val="BodyText"/>
      </w:pPr>
      <w:r>
        <w:t>The findings of economies of scale in administration expenses is consistent with past studies (table 8.1). Cummings (2016) found evidence of economies of scale in operating expenses for both retail and not</w:t>
      </w:r>
      <w:r>
        <w:noBreakHyphen/>
        <w:t>for</w:t>
      </w:r>
      <w:r>
        <w:noBreakHyphen/>
        <w:t xml:space="preserve">profit funds as assets increase, and </w:t>
      </w:r>
      <w:proofErr w:type="spellStart"/>
      <w:r>
        <w:t>Minifie</w:t>
      </w:r>
      <w:proofErr w:type="spellEnd"/>
      <w:r>
        <w:t>, Cameron and Savage (2015) had similar</w:t>
      </w:r>
      <w:r w:rsidDel="00E84DEC">
        <w:t xml:space="preserve"> </w:t>
      </w:r>
      <w:r>
        <w:t>findings as the number of member accounts rise. For investment expenses, Higgs and Worthington (2012) found economies of scale across the system (however their results only utilise a single year of data).</w:t>
      </w:r>
    </w:p>
    <w:p w14:paraId="368A3E56" w14:textId="77777777" w:rsidR="0011262F" w:rsidRDefault="0011262F" w:rsidP="0011262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1262F" w14:paraId="69A0101C" w14:textId="77777777" w:rsidTr="00B54007">
        <w:trPr>
          <w:tblHeader/>
        </w:trPr>
        <w:tc>
          <w:tcPr>
            <w:tcW w:w="5000" w:type="pct"/>
            <w:tcBorders>
              <w:top w:val="single" w:sz="6" w:space="0" w:color="78A22F"/>
              <w:left w:val="nil"/>
              <w:bottom w:val="nil"/>
              <w:right w:val="nil"/>
            </w:tcBorders>
            <w:shd w:val="clear" w:color="auto" w:fill="F2F2F2"/>
          </w:tcPr>
          <w:p w14:paraId="70864208" w14:textId="77777777" w:rsidR="0011262F" w:rsidRDefault="0011262F" w:rsidP="00B54007">
            <w:pPr>
              <w:pStyle w:val="BoxTitle"/>
            </w:pPr>
            <w:r>
              <w:rPr>
                <w:b w:val="0"/>
              </w:rPr>
              <w:t xml:space="preserve">Box </w:t>
            </w:r>
            <w:bookmarkStart w:id="32" w:name="OLE_LINK19"/>
            <w:r>
              <w:rPr>
                <w:b w:val="0"/>
              </w:rPr>
              <w:t>8.</w:t>
            </w:r>
            <w:r>
              <w:rPr>
                <w:b w:val="0"/>
                <w:noProof/>
              </w:rPr>
              <w:t>4</w:t>
            </w:r>
            <w:bookmarkEnd w:id="32"/>
            <w:r>
              <w:tab/>
              <w:t>How are Bayesian outputs interpreted?</w:t>
            </w:r>
          </w:p>
        </w:tc>
      </w:tr>
      <w:tr w:rsidR="0011262F" w14:paraId="0557902D" w14:textId="77777777" w:rsidTr="00B54007">
        <w:tc>
          <w:tcPr>
            <w:tcW w:w="5000" w:type="pct"/>
            <w:tcBorders>
              <w:top w:val="nil"/>
              <w:left w:val="nil"/>
              <w:bottom w:val="nil"/>
              <w:right w:val="nil"/>
            </w:tcBorders>
            <w:shd w:val="clear" w:color="auto" w:fill="F2F2F2"/>
          </w:tcPr>
          <w:p w14:paraId="3C96EEE5" w14:textId="77777777" w:rsidR="0011262F" w:rsidRDefault="0011262F" w:rsidP="00B54007">
            <w:pPr>
              <w:pStyle w:val="Box"/>
            </w:pPr>
            <w:r>
              <w:t>Bayesian methods deliver parameter estimates spanning a range of possible values. The choice of which statistic to present requires judgment. In this work, the median (50</w:t>
            </w:r>
            <w:r w:rsidRPr="00F640BB">
              <w:rPr>
                <w:vertAlign w:val="superscript"/>
              </w:rPr>
              <w:t>th</w:t>
            </w:r>
            <w:r>
              <w:t xml:space="preserve"> percentile) is preferred as it represents outcomes with a reasonable chance of occurring and is not skewed, as the mean can be, by outlier draws. Uncertainty associated with an estimate is often indicated by presenting values from percentiles at the top and bottom of the span. The value at the 90</w:t>
            </w:r>
            <w:r w:rsidRPr="00F640BB">
              <w:rPr>
                <w:vertAlign w:val="superscript"/>
              </w:rPr>
              <w:t>th</w:t>
            </w:r>
            <w:r>
              <w:t xml:space="preserve"> percentile, for example, can be interpreted as meaning that ‘</w:t>
            </w:r>
            <w:r w:rsidRPr="00F640BB">
              <w:rPr>
                <w:i/>
              </w:rPr>
              <w:t xml:space="preserve">there is </w:t>
            </w:r>
            <w:r>
              <w:rPr>
                <w:i/>
              </w:rPr>
              <w:t xml:space="preserve">only </w:t>
            </w:r>
            <w:r w:rsidRPr="00F640BB">
              <w:rPr>
                <w:i/>
              </w:rPr>
              <w:t>a 10 per cent probability that the true parameter value is greater than this figure</w:t>
            </w:r>
            <w:r>
              <w:t xml:space="preserve">’. Values between the </w:t>
            </w:r>
            <w:proofErr w:type="spellStart"/>
            <w:r>
              <w:t>2.5</w:t>
            </w:r>
            <w:r w:rsidRPr="00F640BB">
              <w:rPr>
                <w:vertAlign w:val="superscript"/>
              </w:rPr>
              <w:t>th</w:t>
            </w:r>
            <w:proofErr w:type="spellEnd"/>
            <w:r>
              <w:t xml:space="preserve"> and </w:t>
            </w:r>
            <w:proofErr w:type="spellStart"/>
            <w:r>
              <w:t>97.5</w:t>
            </w:r>
            <w:r w:rsidRPr="00F640BB">
              <w:rPr>
                <w:vertAlign w:val="superscript"/>
              </w:rPr>
              <w:t>th</w:t>
            </w:r>
            <w:proofErr w:type="spellEnd"/>
            <w:r>
              <w:t> percentiles can be interpreted as indicating that ‘</w:t>
            </w:r>
            <w:r w:rsidRPr="00967ACA">
              <w:rPr>
                <w:i/>
              </w:rPr>
              <w:t>there is a 95 per</w:t>
            </w:r>
            <w:r>
              <w:rPr>
                <w:i/>
              </w:rPr>
              <w:t> </w:t>
            </w:r>
            <w:r w:rsidRPr="00967ACA">
              <w:rPr>
                <w:i/>
              </w:rPr>
              <w:t>cent chance that the true parameter value lies in this range</w:t>
            </w:r>
            <w:r>
              <w:rPr>
                <w:i/>
              </w:rPr>
              <w:t>’</w:t>
            </w:r>
            <w:r>
              <w:t xml:space="preserve">. This is sometimes referred to as a </w:t>
            </w:r>
            <w:r>
              <w:rPr>
                <w:i/>
              </w:rPr>
              <w:t xml:space="preserve">credibility interval. </w:t>
            </w:r>
          </w:p>
        </w:tc>
      </w:tr>
      <w:tr w:rsidR="0011262F" w14:paraId="1A99D2C2" w14:textId="77777777" w:rsidTr="00B54007">
        <w:tc>
          <w:tcPr>
            <w:tcW w:w="5000" w:type="pct"/>
            <w:tcBorders>
              <w:top w:val="nil"/>
              <w:left w:val="nil"/>
              <w:bottom w:val="single" w:sz="6" w:space="0" w:color="78A22F"/>
              <w:right w:val="nil"/>
            </w:tcBorders>
            <w:shd w:val="clear" w:color="auto" w:fill="F2F2F2"/>
          </w:tcPr>
          <w:p w14:paraId="0B42BEAE" w14:textId="77777777" w:rsidR="0011262F" w:rsidRDefault="0011262F" w:rsidP="00B54007">
            <w:pPr>
              <w:pStyle w:val="Box"/>
              <w:spacing w:before="0" w:line="120" w:lineRule="exact"/>
            </w:pPr>
          </w:p>
        </w:tc>
      </w:tr>
      <w:tr w:rsidR="0011262F" w:rsidRPr="000863A5" w14:paraId="504BB434" w14:textId="77777777" w:rsidTr="00B54007">
        <w:tc>
          <w:tcPr>
            <w:tcW w:w="5000" w:type="pct"/>
            <w:tcBorders>
              <w:top w:val="single" w:sz="6" w:space="0" w:color="78A22F"/>
              <w:left w:val="nil"/>
              <w:bottom w:val="nil"/>
              <w:right w:val="nil"/>
            </w:tcBorders>
          </w:tcPr>
          <w:p w14:paraId="1A372323" w14:textId="77777777" w:rsidR="0011262F" w:rsidRPr="00626D32" w:rsidRDefault="0011262F" w:rsidP="00B54007">
            <w:pPr>
              <w:pStyle w:val="BoxSpaceBelow"/>
            </w:pPr>
          </w:p>
        </w:tc>
      </w:tr>
    </w:tbl>
    <w:p w14:paraId="034D1B77" w14:textId="77777777" w:rsidR="0011262F" w:rsidRDefault="0011262F" w:rsidP="0011262F">
      <w:pPr>
        <w:pStyle w:val="Heading3"/>
      </w:pPr>
      <w:r>
        <w:t>Economies of scale are also evident at the fund level</w:t>
      </w:r>
    </w:p>
    <w:p w14:paraId="40235F46" w14:textId="77777777" w:rsidR="0011262F" w:rsidRDefault="0011262F" w:rsidP="0011262F">
      <w:pPr>
        <w:pStyle w:val="BodyText"/>
        <w:rPr>
          <w:spacing w:val="-2"/>
        </w:rPr>
      </w:pPr>
      <w:r w:rsidRPr="00C85ED0">
        <w:rPr>
          <w:spacing w:val="-2"/>
        </w:rPr>
        <w:t>As noted above (box </w:t>
      </w:r>
      <w:r>
        <w:rPr>
          <w:spacing w:val="-2"/>
        </w:rPr>
        <w:t>8.2</w:t>
      </w:r>
      <w:r w:rsidRPr="00C85ED0">
        <w:rPr>
          <w:spacing w:val="-2"/>
        </w:rPr>
        <w:t>), use of a multilevel model has the advantage of shedding light on the relationship between costs and scale at a fund level (by adding fund</w:t>
      </w:r>
      <w:r>
        <w:rPr>
          <w:spacing w:val="-2"/>
        </w:rPr>
        <w:noBreakHyphen/>
      </w:r>
      <w:r w:rsidRPr="00C85ED0">
        <w:rPr>
          <w:spacing w:val="-2"/>
        </w:rPr>
        <w:t xml:space="preserve">specific effects to segment effects). </w:t>
      </w:r>
      <w:r>
        <w:rPr>
          <w:spacing w:val="-2"/>
        </w:rPr>
        <w:t>To illustrate this point, f</w:t>
      </w:r>
      <w:r w:rsidRPr="00C85ED0">
        <w:rPr>
          <w:spacing w:val="-2"/>
        </w:rPr>
        <w:t>igures</w:t>
      </w:r>
      <w:r>
        <w:rPr>
          <w:spacing w:val="-2"/>
        </w:rPr>
        <w:t> 8.7</w:t>
      </w:r>
      <w:r w:rsidRPr="00C85ED0">
        <w:rPr>
          <w:spacing w:val="-2"/>
        </w:rPr>
        <w:t xml:space="preserve"> and </w:t>
      </w:r>
      <w:r>
        <w:rPr>
          <w:spacing w:val="-2"/>
        </w:rPr>
        <w:t>8.8</w:t>
      </w:r>
      <w:r w:rsidRPr="00C85ED0">
        <w:rPr>
          <w:spacing w:val="-2"/>
        </w:rPr>
        <w:t xml:space="preserve"> provide examples of estimated average cost curves </w:t>
      </w:r>
      <w:r w:rsidRPr="0088045F">
        <w:rPr>
          <w:i/>
          <w:spacing w:val="-2"/>
        </w:rPr>
        <w:t>for selected funds</w:t>
      </w:r>
      <w:r w:rsidRPr="00C85ED0">
        <w:rPr>
          <w:spacing w:val="-2"/>
        </w:rPr>
        <w:t xml:space="preserve"> — holding constant factors other than scale that </w:t>
      </w:r>
      <w:r>
        <w:rPr>
          <w:spacing w:val="-2"/>
        </w:rPr>
        <w:t>are associated with</w:t>
      </w:r>
      <w:r w:rsidRPr="00C85ED0">
        <w:rPr>
          <w:spacing w:val="-2"/>
        </w:rPr>
        <w:t xml:space="preserve"> expenses.</w:t>
      </w:r>
    </w:p>
    <w:p w14:paraId="280ADF5E" w14:textId="77777777" w:rsidR="0011262F" w:rsidRDefault="0011262F" w:rsidP="0011262F">
      <w:pPr>
        <w:pStyle w:val="BodyText"/>
      </w:pPr>
      <w:r>
        <w:t xml:space="preserve">Power coefficients can also be generated for individual funds. Those estimates indicate, for both administration and investment expenses </w:t>
      </w:r>
      <w:r>
        <w:rPr>
          <w:spacing w:val="-2"/>
        </w:rPr>
        <w:t>(as distinct from fees charged)</w:t>
      </w:r>
      <w:r>
        <w:t>, that at least half of all funds almost certainly have cost curves that exhibit economies of scale — that is, they have power coefficients that are less than one (with 97.5 per cent probability) (figures 8.9 and 8.10). Consistent with observations at a segment level, however, industry funds are less likely to be in this group for investment expenses.</w:t>
      </w:r>
    </w:p>
    <w:p w14:paraId="4427E8F2" w14:textId="77777777" w:rsidR="0011262F" w:rsidRDefault="0011262F" w:rsidP="0011262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1262F" w14:paraId="495FA75F" w14:textId="77777777" w:rsidTr="00B54007">
        <w:trPr>
          <w:tblHeader/>
        </w:trPr>
        <w:tc>
          <w:tcPr>
            <w:tcW w:w="5000" w:type="pct"/>
            <w:tcBorders>
              <w:top w:val="single" w:sz="6" w:space="0" w:color="78A22F"/>
              <w:left w:val="nil"/>
              <w:bottom w:val="nil"/>
              <w:right w:val="nil"/>
            </w:tcBorders>
            <w:shd w:val="clear" w:color="auto" w:fill="auto"/>
          </w:tcPr>
          <w:p w14:paraId="4A2076E9" w14:textId="77777777" w:rsidR="0011262F" w:rsidRDefault="0011262F" w:rsidP="00B54007">
            <w:pPr>
              <w:pStyle w:val="FigureTitle"/>
            </w:pPr>
            <w:r w:rsidRPr="00784A05">
              <w:rPr>
                <w:b w:val="0"/>
              </w:rPr>
              <w:t xml:space="preserve">Figure </w:t>
            </w:r>
            <w:bookmarkStart w:id="33" w:name="OLE_LINK44"/>
            <w:r>
              <w:rPr>
                <w:b w:val="0"/>
              </w:rPr>
              <w:t>8.</w:t>
            </w:r>
            <w:r>
              <w:rPr>
                <w:b w:val="0"/>
                <w:noProof/>
              </w:rPr>
              <w:t>7</w:t>
            </w:r>
            <w:bookmarkEnd w:id="33"/>
            <w:r>
              <w:tab/>
            </w:r>
            <w:r w:rsidRPr="00A55FFD">
              <w:rPr>
                <w:rStyle w:val="TableTitleChar"/>
                <w:spacing w:val="-4"/>
              </w:rPr>
              <w:t>Examples of economies of scale in administration expenses</w:t>
            </w:r>
            <w:proofErr w:type="spellStart"/>
            <w:r w:rsidRPr="00A55FFD">
              <w:rPr>
                <w:rStyle w:val="NoteLabel"/>
                <w:spacing w:val="-4"/>
              </w:rPr>
              <w:t>a,b,c</w:t>
            </w:r>
            <w:proofErr w:type="spellEnd"/>
          </w:p>
          <w:p w14:paraId="5A7EB12B" w14:textId="77777777" w:rsidR="0011262F" w:rsidRPr="00176D3F" w:rsidRDefault="0011262F" w:rsidP="00B54007">
            <w:pPr>
              <w:pStyle w:val="Subtitle"/>
            </w:pPr>
            <w:r w:rsidRPr="00B86A6F">
              <w:rPr>
                <w:spacing w:val="-2"/>
              </w:rPr>
              <w:t>P</w:t>
            </w:r>
            <w:r>
              <w:rPr>
                <w:spacing w:val="-2"/>
              </w:rPr>
              <w:t>rojected</w:t>
            </w:r>
            <w:r w:rsidRPr="00B86A6F">
              <w:rPr>
                <w:spacing w:val="-2"/>
              </w:rPr>
              <w:t xml:space="preserve"> average administration expenses</w:t>
            </w:r>
            <w:r>
              <w:rPr>
                <w:spacing w:val="-2"/>
              </w:rPr>
              <w:t>,</w:t>
            </w:r>
            <w:r w:rsidRPr="00B86A6F">
              <w:rPr>
                <w:spacing w:val="-2"/>
              </w:rPr>
              <w:t xml:space="preserve"> </w:t>
            </w:r>
            <w:r w:rsidRPr="00261706">
              <w:rPr>
                <w:b/>
                <w:spacing w:val="-2"/>
              </w:rPr>
              <w:t>selected</w:t>
            </w:r>
            <w:r w:rsidRPr="00B86A6F">
              <w:rPr>
                <w:spacing w:val="-2"/>
              </w:rPr>
              <w:t xml:space="preserve"> funds, basis points (bps)</w:t>
            </w:r>
          </w:p>
        </w:tc>
      </w:tr>
      <w:tr w:rsidR="0011262F" w14:paraId="7E7EAB76" w14:textId="77777777" w:rsidTr="00B54007">
        <w:trPr>
          <w:trHeight w:val="3969"/>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1262F" w:rsidRPr="00B1465D" w14:paraId="4C38AFC4" w14:textId="77777777" w:rsidTr="00B54007">
              <w:trPr>
                <w:tblHeader/>
                <w:jc w:val="center"/>
              </w:trPr>
              <w:tc>
                <w:tcPr>
                  <w:tcW w:w="5000" w:type="pct"/>
                  <w:tcBorders>
                    <w:top w:val="nil"/>
                    <w:bottom w:val="nil"/>
                  </w:tcBorders>
                </w:tcPr>
                <w:p w14:paraId="75A4BECD" w14:textId="77777777" w:rsidR="0011262F" w:rsidRPr="00B1465D" w:rsidRDefault="0011262F" w:rsidP="00B54007">
                  <w:pPr>
                    <w:pStyle w:val="Figure"/>
                    <w:spacing w:before="60" w:after="60"/>
                    <w:rPr>
                      <w:rFonts w:ascii="Arial" w:hAnsi="Arial" w:cs="Arial"/>
                      <w:sz w:val="18"/>
                      <w:szCs w:val="18"/>
                    </w:rPr>
                  </w:pPr>
                  <w:r w:rsidRPr="001F65FA">
                    <w:rPr>
                      <w:rFonts w:ascii="Arial" w:hAnsi="Arial" w:cs="Arial"/>
                      <w:noProof/>
                      <w:sz w:val="18"/>
                      <w:szCs w:val="18"/>
                    </w:rPr>
                    <w:drawing>
                      <wp:inline distT="0" distB="0" distL="0" distR="0" wp14:anchorId="4D98F83E" wp14:editId="00784881">
                        <wp:extent cx="5241600" cy="2520000"/>
                        <wp:effectExtent l="0" t="0" r="0" b="0"/>
                        <wp:docPr id="60" name="Picture 60" descr="This figure shows the average administration expenses against total assets for selected small and large funds. The data is plotted as points, and the estimated average cost curves are plotted as lines. The estimated average cost curves fit the data well and suggest economies of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41600" cy="2520000"/>
                                </a:xfrm>
                                <a:prstGeom prst="rect">
                                  <a:avLst/>
                                </a:prstGeom>
                                <a:noFill/>
                                <a:ln>
                                  <a:noFill/>
                                </a:ln>
                              </pic:spPr>
                            </pic:pic>
                          </a:graphicData>
                        </a:graphic>
                      </wp:inline>
                    </w:drawing>
                  </w:r>
                </w:p>
              </w:tc>
            </w:tr>
          </w:tbl>
          <w:p w14:paraId="35BBBE42" w14:textId="77777777" w:rsidR="0011262F" w:rsidRDefault="0011262F" w:rsidP="00B54007">
            <w:pPr>
              <w:pStyle w:val="Figure"/>
            </w:pPr>
          </w:p>
        </w:tc>
      </w:tr>
      <w:tr w:rsidR="0011262F" w:rsidRPr="00655794" w14:paraId="6C782A94" w14:textId="77777777" w:rsidTr="00B54007">
        <w:tc>
          <w:tcPr>
            <w:tcW w:w="5000" w:type="pct"/>
            <w:tcBorders>
              <w:top w:val="nil"/>
              <w:left w:val="nil"/>
              <w:bottom w:val="nil"/>
              <w:right w:val="nil"/>
            </w:tcBorders>
            <w:shd w:val="clear" w:color="auto" w:fill="auto"/>
          </w:tcPr>
          <w:p w14:paraId="5C84C4A1" w14:textId="77777777" w:rsidR="0011262F" w:rsidRPr="00655794" w:rsidRDefault="0011262F" w:rsidP="00B54007">
            <w:pPr>
              <w:pStyle w:val="Note"/>
              <w:rPr>
                <w:spacing w:val="-2"/>
              </w:rPr>
            </w:pPr>
            <w:proofErr w:type="spellStart"/>
            <w:r w:rsidRPr="00655794">
              <w:rPr>
                <w:rStyle w:val="NoteLabel"/>
                <w:spacing w:val="-2"/>
              </w:rPr>
              <w:t>a</w:t>
            </w:r>
            <w:proofErr w:type="spellEnd"/>
            <w:r w:rsidRPr="00655794">
              <w:rPr>
                <w:spacing w:val="-2"/>
              </w:rPr>
              <w:t xml:space="preserve"> Each line represents </w:t>
            </w:r>
            <w:r w:rsidRPr="00320596">
              <w:rPr>
                <w:spacing w:val="-2"/>
              </w:rPr>
              <w:t>the median estimate</w:t>
            </w:r>
            <w:r>
              <w:rPr>
                <w:spacing w:val="-2"/>
              </w:rPr>
              <w:t>d</w:t>
            </w:r>
            <w:r w:rsidRPr="00320596">
              <w:rPr>
                <w:spacing w:val="-2"/>
              </w:rPr>
              <w:t xml:space="preserve"> cost curve</w:t>
            </w:r>
            <w:r w:rsidRPr="00655794">
              <w:rPr>
                <w:spacing w:val="-2"/>
              </w:rPr>
              <w:t xml:space="preserve"> </w:t>
            </w:r>
            <w:r>
              <w:rPr>
                <w:spacing w:val="-2"/>
              </w:rPr>
              <w:t xml:space="preserve">for a </w:t>
            </w:r>
            <w:r w:rsidRPr="00655794">
              <w:rPr>
                <w:spacing w:val="-2"/>
              </w:rPr>
              <w:t xml:space="preserve">single fund </w:t>
            </w:r>
            <w:r>
              <w:rPr>
                <w:spacing w:val="-2"/>
              </w:rPr>
              <w:t>chosen for illustrative purposes</w:t>
            </w:r>
            <w:r w:rsidRPr="00655794">
              <w:rPr>
                <w:spacing w:val="-2"/>
              </w:rPr>
              <w:t>; the</w:t>
            </w:r>
            <w:r>
              <w:rPr>
                <w:spacing w:val="-2"/>
              </w:rPr>
              <w:t xml:space="preserve"> curves</w:t>
            </w:r>
            <w:r w:rsidRPr="00655794">
              <w:rPr>
                <w:spacing w:val="-2"/>
              </w:rPr>
              <w:t xml:space="preserve"> are not representative of </w:t>
            </w:r>
            <w:r>
              <w:rPr>
                <w:spacing w:val="-2"/>
              </w:rPr>
              <w:t>all funds within a segment</w:t>
            </w:r>
            <w:r w:rsidRPr="00655794">
              <w:rPr>
                <w:spacing w:val="-2"/>
              </w:rPr>
              <w:t xml:space="preserve">. </w:t>
            </w:r>
            <w:r w:rsidRPr="00655794">
              <w:rPr>
                <w:rStyle w:val="NoteLabel"/>
                <w:spacing w:val="-2"/>
              </w:rPr>
              <w:t>b</w:t>
            </w:r>
            <w:r w:rsidRPr="00655794">
              <w:rPr>
                <w:spacing w:val="-2"/>
              </w:rPr>
              <w:t xml:space="preserve"> Curves estimated using data over 2004–2016. Small funds had assets of less than </w:t>
            </w:r>
            <w:r w:rsidRPr="00655794">
              <w:rPr>
                <w:b/>
                <w:spacing w:val="-2"/>
              </w:rPr>
              <w:t>$1 billion</w:t>
            </w:r>
            <w:r w:rsidRPr="00655794">
              <w:rPr>
                <w:spacing w:val="-2"/>
              </w:rPr>
              <w:t xml:space="preserve">, and large funds of more than </w:t>
            </w:r>
            <w:r w:rsidRPr="00655794">
              <w:rPr>
                <w:b/>
                <w:spacing w:val="-2"/>
              </w:rPr>
              <w:t>$50 billion</w:t>
            </w:r>
            <w:r w:rsidRPr="00655794">
              <w:rPr>
                <w:spacing w:val="-2"/>
              </w:rPr>
              <w:t xml:space="preserve">, when last observed in the data. </w:t>
            </w:r>
            <w:r w:rsidRPr="00655794">
              <w:rPr>
                <w:rStyle w:val="NoteLabel"/>
                <w:spacing w:val="-2"/>
              </w:rPr>
              <w:t>c</w:t>
            </w:r>
            <w:r w:rsidRPr="00655794">
              <w:rPr>
                <w:spacing w:val="-2"/>
              </w:rPr>
              <w:t> No example is presented for a large corporate fund</w:t>
            </w:r>
            <w:r>
              <w:rPr>
                <w:spacing w:val="-2"/>
              </w:rPr>
              <w:t> — no</w:t>
            </w:r>
            <w:r w:rsidRPr="00655794">
              <w:rPr>
                <w:spacing w:val="-2"/>
              </w:rPr>
              <w:t xml:space="preserve"> corporate fund in the dataset </w:t>
            </w:r>
            <w:r>
              <w:rPr>
                <w:spacing w:val="-2"/>
              </w:rPr>
              <w:t>is</w:t>
            </w:r>
            <w:r w:rsidRPr="00655794">
              <w:rPr>
                <w:spacing w:val="-2"/>
              </w:rPr>
              <w:t xml:space="preserve"> </w:t>
            </w:r>
            <w:r>
              <w:rPr>
                <w:spacing w:val="-2"/>
              </w:rPr>
              <w:t>large.</w:t>
            </w:r>
          </w:p>
        </w:tc>
      </w:tr>
      <w:tr w:rsidR="0011262F" w:rsidRPr="00176D3F" w14:paraId="6550424B" w14:textId="77777777" w:rsidTr="00B54007">
        <w:tc>
          <w:tcPr>
            <w:tcW w:w="5000" w:type="pct"/>
            <w:tcBorders>
              <w:top w:val="nil"/>
              <w:left w:val="nil"/>
              <w:bottom w:val="nil"/>
              <w:right w:val="nil"/>
            </w:tcBorders>
            <w:shd w:val="clear" w:color="auto" w:fill="auto"/>
          </w:tcPr>
          <w:p w14:paraId="590664A7" w14:textId="77777777" w:rsidR="0011262F" w:rsidRPr="00176D3F" w:rsidRDefault="0011262F" w:rsidP="00B54007">
            <w:pPr>
              <w:pStyle w:val="Source"/>
            </w:pPr>
            <w:r>
              <w:rPr>
                <w:i/>
              </w:rPr>
              <w:t>S</w:t>
            </w:r>
            <w:r w:rsidRPr="00784A05">
              <w:rPr>
                <w:i/>
              </w:rPr>
              <w:t>ource</w:t>
            </w:r>
            <w:r w:rsidRPr="00176D3F">
              <w:t xml:space="preserve">: </w:t>
            </w:r>
            <w:r>
              <w:rPr>
                <w:rFonts w:eastAsia="+mn-ea" w:cs="Arial"/>
                <w:color w:val="000000" w:themeColor="text1"/>
                <w:kern w:val="24"/>
                <w:szCs w:val="18"/>
              </w:rPr>
              <w:t>PC analysis of unpublished APRA data and SR data — sample of funds.</w:t>
            </w:r>
          </w:p>
        </w:tc>
      </w:tr>
      <w:tr w:rsidR="0011262F" w14:paraId="122BDCD4" w14:textId="77777777" w:rsidTr="00B54007">
        <w:tc>
          <w:tcPr>
            <w:tcW w:w="5000" w:type="pct"/>
            <w:tcBorders>
              <w:top w:val="nil"/>
              <w:left w:val="nil"/>
              <w:bottom w:val="single" w:sz="6" w:space="0" w:color="78A22F"/>
              <w:right w:val="nil"/>
            </w:tcBorders>
            <w:shd w:val="clear" w:color="auto" w:fill="auto"/>
          </w:tcPr>
          <w:p w14:paraId="530C191A" w14:textId="77777777" w:rsidR="0011262F" w:rsidRDefault="0011262F" w:rsidP="00B54007">
            <w:pPr>
              <w:pStyle w:val="Figurespace"/>
            </w:pPr>
          </w:p>
        </w:tc>
      </w:tr>
      <w:tr w:rsidR="0011262F" w:rsidRPr="000863A5" w14:paraId="60CA46B9" w14:textId="77777777" w:rsidTr="00B54007">
        <w:tc>
          <w:tcPr>
            <w:tcW w:w="5000" w:type="pct"/>
            <w:tcBorders>
              <w:top w:val="single" w:sz="6" w:space="0" w:color="78A22F"/>
              <w:left w:val="nil"/>
              <w:bottom w:val="nil"/>
              <w:right w:val="nil"/>
            </w:tcBorders>
          </w:tcPr>
          <w:p w14:paraId="37C37773" w14:textId="77777777" w:rsidR="0011262F" w:rsidRPr="00626D32" w:rsidRDefault="0011262F" w:rsidP="00B54007">
            <w:pPr>
              <w:pStyle w:val="BoxSpaceBelow"/>
            </w:pPr>
          </w:p>
        </w:tc>
      </w:tr>
    </w:tbl>
    <w:p w14:paraId="4B082024" w14:textId="77777777" w:rsidR="0011262F" w:rsidRDefault="0011262F" w:rsidP="0011262F">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1262F" w14:paraId="53C0A4FB" w14:textId="77777777" w:rsidTr="00B54007">
        <w:trPr>
          <w:tblHeader/>
        </w:trPr>
        <w:tc>
          <w:tcPr>
            <w:tcW w:w="5000" w:type="pct"/>
            <w:tcBorders>
              <w:top w:val="single" w:sz="6" w:space="0" w:color="78A22F"/>
              <w:left w:val="nil"/>
              <w:bottom w:val="nil"/>
              <w:right w:val="nil"/>
            </w:tcBorders>
            <w:shd w:val="clear" w:color="auto" w:fill="auto"/>
          </w:tcPr>
          <w:p w14:paraId="11C5E55D" w14:textId="77777777" w:rsidR="0011262F" w:rsidRDefault="0011262F" w:rsidP="00B54007">
            <w:pPr>
              <w:pStyle w:val="FigureTitle"/>
            </w:pPr>
            <w:r w:rsidRPr="00784A05">
              <w:rPr>
                <w:b w:val="0"/>
              </w:rPr>
              <w:t xml:space="preserve">Figure </w:t>
            </w:r>
            <w:bookmarkStart w:id="34" w:name="OLE_LINK45"/>
            <w:r>
              <w:rPr>
                <w:b w:val="0"/>
              </w:rPr>
              <w:t>8.</w:t>
            </w:r>
            <w:r>
              <w:rPr>
                <w:b w:val="0"/>
                <w:noProof/>
              </w:rPr>
              <w:t>8</w:t>
            </w:r>
            <w:bookmarkEnd w:id="34"/>
            <w:r>
              <w:tab/>
              <w:t>Examples of economies of scale in investment expenses</w:t>
            </w:r>
            <w:proofErr w:type="spellStart"/>
            <w:r w:rsidRPr="00B86A6F">
              <w:rPr>
                <w:rStyle w:val="NoteLabel"/>
              </w:rPr>
              <w:t>a</w:t>
            </w:r>
            <w:r>
              <w:rPr>
                <w:rStyle w:val="NoteLabel"/>
              </w:rPr>
              <w:t>,b,c</w:t>
            </w:r>
            <w:proofErr w:type="spellEnd"/>
          </w:p>
          <w:p w14:paraId="6FFCE3EB" w14:textId="77777777" w:rsidR="0011262F" w:rsidRPr="00176D3F" w:rsidRDefault="0011262F" w:rsidP="00B54007">
            <w:pPr>
              <w:pStyle w:val="Subtitle"/>
            </w:pPr>
            <w:r w:rsidRPr="00CB24B0">
              <w:t xml:space="preserve">Predicted average </w:t>
            </w:r>
            <w:r>
              <w:t>investment</w:t>
            </w:r>
            <w:r w:rsidRPr="00CB24B0">
              <w:t xml:space="preserve"> expenses</w:t>
            </w:r>
            <w:r>
              <w:t xml:space="preserve">, </w:t>
            </w:r>
            <w:r w:rsidRPr="00261706">
              <w:rPr>
                <w:b/>
              </w:rPr>
              <w:t>selected</w:t>
            </w:r>
            <w:r>
              <w:t xml:space="preserve"> funds, basis points (bps)</w:t>
            </w:r>
          </w:p>
        </w:tc>
      </w:tr>
      <w:tr w:rsidR="0011262F" w14:paraId="1DA09AAF" w14:textId="77777777" w:rsidTr="00B54007">
        <w:tc>
          <w:tcPr>
            <w:tcW w:w="5000" w:type="pct"/>
            <w:tcBorders>
              <w:top w:val="nil"/>
              <w:left w:val="nil"/>
              <w:bottom w:val="nil"/>
              <w:right w:val="nil"/>
            </w:tcBorders>
            <w:shd w:val="clear" w:color="auto" w:fill="auto"/>
            <w:tcMar>
              <w:top w:w="28" w:type="dxa"/>
              <w:bottom w:w="28" w:type="dxa"/>
            </w:tcMar>
          </w:tcPr>
          <w:tbl>
            <w:tblPr>
              <w:tblW w:w="8601"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601"/>
            </w:tblGrid>
            <w:tr w:rsidR="0011262F" w:rsidRPr="00B1465D" w14:paraId="547B1328" w14:textId="77777777" w:rsidTr="00B54007">
              <w:trPr>
                <w:trHeight w:val="3946"/>
                <w:tblHeader/>
                <w:jc w:val="center"/>
              </w:trPr>
              <w:tc>
                <w:tcPr>
                  <w:tcW w:w="5000" w:type="pct"/>
                  <w:tcBorders>
                    <w:top w:val="nil"/>
                    <w:bottom w:val="nil"/>
                  </w:tcBorders>
                </w:tcPr>
                <w:p w14:paraId="20861FB4" w14:textId="77777777" w:rsidR="0011262F" w:rsidRPr="00B1465D" w:rsidRDefault="0011262F" w:rsidP="00B54007">
                  <w:pPr>
                    <w:pStyle w:val="Figure"/>
                    <w:spacing w:before="60" w:after="60"/>
                    <w:rPr>
                      <w:rFonts w:ascii="Arial" w:hAnsi="Arial" w:cs="Arial"/>
                      <w:sz w:val="18"/>
                      <w:szCs w:val="18"/>
                    </w:rPr>
                  </w:pPr>
                  <w:r w:rsidRPr="001F65FA">
                    <w:rPr>
                      <w:rFonts w:ascii="Arial" w:hAnsi="Arial" w:cs="Arial"/>
                      <w:noProof/>
                      <w:sz w:val="18"/>
                      <w:szCs w:val="18"/>
                    </w:rPr>
                    <w:drawing>
                      <wp:inline distT="0" distB="0" distL="0" distR="0" wp14:anchorId="21823882" wp14:editId="1BBE9D2F">
                        <wp:extent cx="5173200" cy="2520000"/>
                        <wp:effectExtent l="0" t="0" r="0" b="0"/>
                        <wp:docPr id="61" name="Picture 61" descr="This figure shows the average investment expenses against total assets for selected small and large funds. The data is plotted as points, and the estimated average cost curves are plotted as lines. Although there are economies of scale, it is less evident here compared to administration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73200" cy="2520000"/>
                                </a:xfrm>
                                <a:prstGeom prst="rect">
                                  <a:avLst/>
                                </a:prstGeom>
                                <a:noFill/>
                                <a:ln>
                                  <a:noFill/>
                                </a:ln>
                              </pic:spPr>
                            </pic:pic>
                          </a:graphicData>
                        </a:graphic>
                      </wp:inline>
                    </w:drawing>
                  </w:r>
                </w:p>
              </w:tc>
            </w:tr>
          </w:tbl>
          <w:p w14:paraId="109ACC69" w14:textId="77777777" w:rsidR="0011262F" w:rsidRDefault="0011262F" w:rsidP="00B54007">
            <w:pPr>
              <w:pStyle w:val="Figure"/>
            </w:pPr>
          </w:p>
        </w:tc>
      </w:tr>
      <w:tr w:rsidR="0011262F" w:rsidRPr="00176D3F" w14:paraId="7BE0B3BC" w14:textId="77777777" w:rsidTr="00B54007">
        <w:tc>
          <w:tcPr>
            <w:tcW w:w="5000" w:type="pct"/>
            <w:tcBorders>
              <w:top w:val="nil"/>
              <w:left w:val="nil"/>
              <w:bottom w:val="nil"/>
              <w:right w:val="nil"/>
            </w:tcBorders>
            <w:shd w:val="clear" w:color="auto" w:fill="auto"/>
          </w:tcPr>
          <w:p w14:paraId="355AEA71" w14:textId="77777777" w:rsidR="0011262F" w:rsidRPr="00176D3F" w:rsidRDefault="0011262F" w:rsidP="00B54007">
            <w:pPr>
              <w:pStyle w:val="Note"/>
            </w:pPr>
            <w:proofErr w:type="spellStart"/>
            <w:r w:rsidRPr="00655794">
              <w:rPr>
                <w:rStyle w:val="NoteLabel"/>
                <w:spacing w:val="-2"/>
              </w:rPr>
              <w:t>a</w:t>
            </w:r>
            <w:proofErr w:type="spellEnd"/>
            <w:r w:rsidRPr="00655794">
              <w:rPr>
                <w:spacing w:val="-2"/>
              </w:rPr>
              <w:t xml:space="preserve"> Each line represents </w:t>
            </w:r>
            <w:r w:rsidRPr="00320596">
              <w:rPr>
                <w:spacing w:val="-2"/>
              </w:rPr>
              <w:t>the median estimate</w:t>
            </w:r>
            <w:r>
              <w:rPr>
                <w:spacing w:val="-2"/>
              </w:rPr>
              <w:t>d</w:t>
            </w:r>
            <w:r w:rsidRPr="00320596">
              <w:rPr>
                <w:spacing w:val="-2"/>
              </w:rPr>
              <w:t xml:space="preserve"> cost curve</w:t>
            </w:r>
            <w:r>
              <w:rPr>
                <w:spacing w:val="-2"/>
              </w:rPr>
              <w:t xml:space="preserve"> for a </w:t>
            </w:r>
            <w:r w:rsidRPr="00655794">
              <w:rPr>
                <w:spacing w:val="-2"/>
              </w:rPr>
              <w:t xml:space="preserve">single fund </w:t>
            </w:r>
            <w:r>
              <w:rPr>
                <w:spacing w:val="-2"/>
              </w:rPr>
              <w:t>chosen for illustrative purposes</w:t>
            </w:r>
            <w:r w:rsidRPr="00655794">
              <w:rPr>
                <w:spacing w:val="-2"/>
              </w:rPr>
              <w:t>; the</w:t>
            </w:r>
            <w:r>
              <w:rPr>
                <w:spacing w:val="-2"/>
              </w:rPr>
              <w:t xml:space="preserve"> curves</w:t>
            </w:r>
            <w:r w:rsidRPr="00655794">
              <w:rPr>
                <w:spacing w:val="-2"/>
              </w:rPr>
              <w:t xml:space="preserve"> are not representative of </w:t>
            </w:r>
            <w:r>
              <w:rPr>
                <w:spacing w:val="-2"/>
              </w:rPr>
              <w:t>all funds within a segment</w:t>
            </w:r>
            <w:r w:rsidRPr="00655794">
              <w:rPr>
                <w:spacing w:val="-2"/>
              </w:rPr>
              <w:t xml:space="preserve">. </w:t>
            </w:r>
            <w:r w:rsidRPr="00655794">
              <w:rPr>
                <w:rStyle w:val="NoteLabel"/>
                <w:spacing w:val="-2"/>
              </w:rPr>
              <w:t>b</w:t>
            </w:r>
            <w:r w:rsidRPr="00655794">
              <w:rPr>
                <w:spacing w:val="-2"/>
              </w:rPr>
              <w:t xml:space="preserve"> Curves estimated using data over 2004–2016. Small funds had assets of less than </w:t>
            </w:r>
            <w:r w:rsidRPr="00655794">
              <w:rPr>
                <w:b/>
                <w:spacing w:val="-2"/>
              </w:rPr>
              <w:t>$1 billion</w:t>
            </w:r>
            <w:r w:rsidRPr="00655794">
              <w:rPr>
                <w:spacing w:val="-2"/>
              </w:rPr>
              <w:t xml:space="preserve">, and large funds of more than </w:t>
            </w:r>
            <w:r w:rsidRPr="00655794">
              <w:rPr>
                <w:b/>
                <w:spacing w:val="-2"/>
              </w:rPr>
              <w:t>$50 billion</w:t>
            </w:r>
            <w:r w:rsidRPr="00655794">
              <w:rPr>
                <w:spacing w:val="-2"/>
              </w:rPr>
              <w:t xml:space="preserve">, when last observed in the data. </w:t>
            </w:r>
            <w:r w:rsidRPr="00655794">
              <w:rPr>
                <w:rStyle w:val="NoteLabel"/>
                <w:spacing w:val="-2"/>
              </w:rPr>
              <w:t>c</w:t>
            </w:r>
            <w:r w:rsidRPr="00655794">
              <w:rPr>
                <w:spacing w:val="-2"/>
              </w:rPr>
              <w:t> No example is presented for a large corporate fund</w:t>
            </w:r>
            <w:r>
              <w:rPr>
                <w:spacing w:val="-2"/>
              </w:rPr>
              <w:t> — no</w:t>
            </w:r>
            <w:r w:rsidRPr="00655794">
              <w:rPr>
                <w:spacing w:val="-2"/>
              </w:rPr>
              <w:t xml:space="preserve"> corporate fund in the dataset </w:t>
            </w:r>
            <w:r>
              <w:rPr>
                <w:spacing w:val="-2"/>
              </w:rPr>
              <w:t>is</w:t>
            </w:r>
            <w:r w:rsidRPr="00655794">
              <w:rPr>
                <w:spacing w:val="-2"/>
              </w:rPr>
              <w:t xml:space="preserve"> </w:t>
            </w:r>
            <w:r>
              <w:rPr>
                <w:spacing w:val="-2"/>
              </w:rPr>
              <w:t>large</w:t>
            </w:r>
            <w:r w:rsidRPr="00655794">
              <w:rPr>
                <w:spacing w:val="-2"/>
              </w:rPr>
              <w:t>.</w:t>
            </w:r>
          </w:p>
        </w:tc>
      </w:tr>
      <w:tr w:rsidR="0011262F" w:rsidRPr="00176D3F" w14:paraId="483C5DC0" w14:textId="77777777" w:rsidTr="00B54007">
        <w:tc>
          <w:tcPr>
            <w:tcW w:w="5000" w:type="pct"/>
            <w:tcBorders>
              <w:top w:val="nil"/>
              <w:left w:val="nil"/>
              <w:bottom w:val="nil"/>
              <w:right w:val="nil"/>
            </w:tcBorders>
            <w:shd w:val="clear" w:color="auto" w:fill="auto"/>
          </w:tcPr>
          <w:p w14:paraId="765C2675" w14:textId="77777777" w:rsidR="0011262F" w:rsidRPr="00176D3F" w:rsidRDefault="0011262F" w:rsidP="00B54007">
            <w:pPr>
              <w:pStyle w:val="Source"/>
            </w:pPr>
            <w:r>
              <w:rPr>
                <w:i/>
              </w:rPr>
              <w:t>S</w:t>
            </w:r>
            <w:r w:rsidRPr="00784A05">
              <w:rPr>
                <w:i/>
              </w:rPr>
              <w:t>ource</w:t>
            </w:r>
            <w:r w:rsidRPr="00176D3F">
              <w:t xml:space="preserve">: </w:t>
            </w:r>
            <w:r>
              <w:rPr>
                <w:rFonts w:eastAsia="+mn-ea" w:cs="Arial"/>
                <w:color w:val="000000" w:themeColor="text1"/>
                <w:kern w:val="24"/>
                <w:szCs w:val="18"/>
              </w:rPr>
              <w:t>PC analysis of unpublished APRA data and SR data — sample of funds.</w:t>
            </w:r>
          </w:p>
        </w:tc>
      </w:tr>
      <w:tr w:rsidR="0011262F" w14:paraId="51210394" w14:textId="77777777" w:rsidTr="00B54007">
        <w:tc>
          <w:tcPr>
            <w:tcW w:w="5000" w:type="pct"/>
            <w:tcBorders>
              <w:top w:val="nil"/>
              <w:left w:val="nil"/>
              <w:bottom w:val="single" w:sz="6" w:space="0" w:color="78A22F"/>
              <w:right w:val="nil"/>
            </w:tcBorders>
            <w:shd w:val="clear" w:color="auto" w:fill="auto"/>
          </w:tcPr>
          <w:p w14:paraId="4EE56358" w14:textId="77777777" w:rsidR="0011262F" w:rsidRDefault="0011262F" w:rsidP="00B54007">
            <w:pPr>
              <w:pStyle w:val="Figurespace"/>
            </w:pPr>
          </w:p>
        </w:tc>
      </w:tr>
      <w:tr w:rsidR="0011262F" w:rsidRPr="000863A5" w14:paraId="7BF5505A" w14:textId="77777777" w:rsidTr="00B54007">
        <w:tc>
          <w:tcPr>
            <w:tcW w:w="5000" w:type="pct"/>
            <w:tcBorders>
              <w:top w:val="single" w:sz="6" w:space="0" w:color="78A22F"/>
              <w:left w:val="nil"/>
              <w:bottom w:val="nil"/>
              <w:right w:val="nil"/>
            </w:tcBorders>
          </w:tcPr>
          <w:p w14:paraId="7A933215" w14:textId="77777777" w:rsidR="0011262F" w:rsidRPr="00626D32" w:rsidRDefault="0011262F" w:rsidP="00B54007">
            <w:pPr>
              <w:pStyle w:val="BoxSpaceBelow"/>
            </w:pPr>
          </w:p>
        </w:tc>
      </w:tr>
    </w:tbl>
    <w:p w14:paraId="0D188F4C" w14:textId="77777777" w:rsidR="0011262F" w:rsidRDefault="0011262F" w:rsidP="0011262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1262F" w14:paraId="071E1C7A" w14:textId="77777777" w:rsidTr="00B54007">
        <w:trPr>
          <w:tblHeader/>
        </w:trPr>
        <w:tc>
          <w:tcPr>
            <w:tcW w:w="5000" w:type="pct"/>
            <w:tcBorders>
              <w:top w:val="single" w:sz="6" w:space="0" w:color="78A22F"/>
              <w:left w:val="nil"/>
              <w:bottom w:val="nil"/>
              <w:right w:val="nil"/>
            </w:tcBorders>
            <w:shd w:val="clear" w:color="auto" w:fill="auto"/>
          </w:tcPr>
          <w:p w14:paraId="023E212B" w14:textId="77777777" w:rsidR="0011262F" w:rsidRDefault="0011262F" w:rsidP="00B54007">
            <w:pPr>
              <w:pStyle w:val="FigureTitle"/>
            </w:pPr>
            <w:r w:rsidRPr="00784A05">
              <w:rPr>
                <w:b w:val="0"/>
              </w:rPr>
              <w:t xml:space="preserve">Figure </w:t>
            </w:r>
            <w:bookmarkStart w:id="35" w:name="OLE_LINK18"/>
            <w:r>
              <w:rPr>
                <w:b w:val="0"/>
              </w:rPr>
              <w:t>8.</w:t>
            </w:r>
            <w:r>
              <w:rPr>
                <w:b w:val="0"/>
                <w:noProof/>
              </w:rPr>
              <w:t>9</w:t>
            </w:r>
            <w:bookmarkEnd w:id="35"/>
            <w:r>
              <w:tab/>
              <w:t>Most funds’ administration cost functions exhibit economies of scale</w:t>
            </w:r>
            <w:r w:rsidRPr="001E3030">
              <w:rPr>
                <w:rStyle w:val="NoteLabel"/>
              </w:rPr>
              <w:t>a</w:t>
            </w:r>
          </w:p>
          <w:p w14:paraId="248B17D5" w14:textId="77777777" w:rsidR="0011262F" w:rsidRPr="00176D3F" w:rsidRDefault="0011262F" w:rsidP="00B54007">
            <w:pPr>
              <w:pStyle w:val="Subtitle"/>
            </w:pPr>
            <w:r>
              <w:t>Power coefficient estimates,</w:t>
            </w:r>
            <w:r w:rsidRPr="00CB24B0">
              <w:t xml:space="preserve"> </w:t>
            </w:r>
            <w:r>
              <w:t>administration</w:t>
            </w:r>
            <w:r w:rsidRPr="00CB24B0">
              <w:t xml:space="preserve"> expenses</w:t>
            </w:r>
          </w:p>
        </w:tc>
      </w:tr>
      <w:tr w:rsidR="0011262F" w14:paraId="76A80DE4" w14:textId="77777777" w:rsidTr="00B54007">
        <w:trPr>
          <w:trHeight w:val="4365"/>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11262F" w:rsidRPr="00B1465D" w14:paraId="47948023" w14:textId="77777777" w:rsidTr="00B54007">
              <w:trPr>
                <w:trHeight w:val="4643"/>
                <w:tblHeader/>
                <w:jc w:val="center"/>
              </w:trPr>
              <w:tc>
                <w:tcPr>
                  <w:tcW w:w="5000" w:type="pct"/>
                  <w:tcBorders>
                    <w:top w:val="nil"/>
                    <w:bottom w:val="nil"/>
                  </w:tcBorders>
                </w:tcPr>
                <w:p w14:paraId="2937337D" w14:textId="77777777" w:rsidR="0011262F" w:rsidRDefault="0011262F" w:rsidP="00B54007">
                  <w:pPr>
                    <w:pStyle w:val="Figure"/>
                    <w:spacing w:before="60" w:after="60"/>
                    <w:rPr>
                      <w:rFonts w:ascii="Arial" w:hAnsi="Arial" w:cs="Arial"/>
                      <w:sz w:val="18"/>
                      <w:szCs w:val="18"/>
                    </w:rPr>
                  </w:pPr>
                  <w:r w:rsidRPr="00610D79">
                    <w:rPr>
                      <w:rFonts w:ascii="Arial" w:hAnsi="Arial" w:cs="Arial"/>
                      <w:noProof/>
                      <w:sz w:val="18"/>
                      <w:szCs w:val="18"/>
                    </w:rPr>
                    <w:drawing>
                      <wp:inline distT="0" distB="0" distL="0" distR="0" wp14:anchorId="7AA0DDC3" wp14:editId="0868878E">
                        <wp:extent cx="5577840" cy="2788920"/>
                        <wp:effectExtent l="0" t="0" r="0" b="0"/>
                        <wp:docPr id="62" name="Picture 62" descr="The figure shows the estimated range of the administration power coefficient for each fund type represented as a vertical bar. The plot is split into three parts: the top part corresponds to diseconomies of scale, the middle part corresponds to economies of scale, and the bottom part corresponds to decreasing cost. Most funds have bars lying in the economies of scale region, suggesting economies of scale in administration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77840" cy="2788920"/>
                                </a:xfrm>
                                <a:prstGeom prst="rect">
                                  <a:avLst/>
                                </a:prstGeom>
                                <a:noFill/>
                                <a:ln>
                                  <a:noFill/>
                                </a:ln>
                              </pic:spPr>
                            </pic:pic>
                          </a:graphicData>
                        </a:graphic>
                      </wp:inline>
                    </w:drawing>
                  </w:r>
                </w:p>
                <w:tbl>
                  <w:tblPr>
                    <w:tblW w:w="0" w:type="auto"/>
                    <w:tblLook w:val="04A0" w:firstRow="1" w:lastRow="0" w:firstColumn="1" w:lastColumn="0" w:noHBand="0" w:noVBand="1"/>
                  </w:tblPr>
                  <w:tblGrid>
                    <w:gridCol w:w="1559"/>
                    <w:gridCol w:w="6935"/>
                  </w:tblGrid>
                  <w:tr w:rsidR="0011262F" w14:paraId="1AFD4238" w14:textId="77777777" w:rsidTr="00B54007">
                    <w:trPr>
                      <w:tblHeader/>
                    </w:trPr>
                    <w:tc>
                      <w:tcPr>
                        <w:tcW w:w="1559" w:type="dxa"/>
                        <w:shd w:val="clear" w:color="auto" w:fill="F2F2F2" w:themeFill="background1" w:themeFillShade="F2"/>
                      </w:tcPr>
                      <w:p w14:paraId="45BEFA9B" w14:textId="77777777" w:rsidR="0011262F" w:rsidRDefault="0011262F" w:rsidP="00B54007">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935" w:type="dxa"/>
                        <w:shd w:val="clear" w:color="auto" w:fill="F2F2F2" w:themeFill="background1" w:themeFillShade="F2"/>
                      </w:tcPr>
                      <w:p w14:paraId="4AA0EEFD" w14:textId="77777777" w:rsidR="0011262F" w:rsidRDefault="0011262F" w:rsidP="00B54007">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PC analysis of unpublished APRA data.</w:t>
                        </w:r>
                      </w:p>
                    </w:tc>
                  </w:tr>
                  <w:tr w:rsidR="0011262F" w:rsidRPr="001F53B0" w14:paraId="402CC344" w14:textId="77777777" w:rsidTr="00B54007">
                    <w:tc>
                      <w:tcPr>
                        <w:tcW w:w="1559" w:type="dxa"/>
                        <w:shd w:val="clear" w:color="auto" w:fill="F2F2F2" w:themeFill="background1" w:themeFillShade="F2"/>
                      </w:tcPr>
                      <w:p w14:paraId="00E21DD0" w14:textId="77777777" w:rsidR="0011262F" w:rsidRDefault="0011262F" w:rsidP="00B54007">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shd w:val="clear" w:color="auto" w:fill="F2F2F2" w:themeFill="background1" w:themeFillShade="F2"/>
                      </w:tcPr>
                      <w:p w14:paraId="7D9E6244" w14:textId="77777777" w:rsidR="0011262F" w:rsidRPr="001F53B0" w:rsidRDefault="0011262F" w:rsidP="00B54007">
                        <w:pPr>
                          <w:pStyle w:val="NormalWeb"/>
                          <w:spacing w:before="0" w:beforeAutospacing="0" w:after="0" w:afterAutospacing="0"/>
                          <w:rPr>
                            <w:color w:val="000000" w:themeColor="text1"/>
                          </w:rPr>
                        </w:pPr>
                        <w:r>
                          <w:rPr>
                            <w:rFonts w:ascii="Arial" w:eastAsia="+mn-ea" w:hAnsi="Arial" w:cs="Arial"/>
                            <w:color w:val="000000" w:themeColor="text1"/>
                            <w:kern w:val="24"/>
                            <w:sz w:val="18"/>
                            <w:szCs w:val="18"/>
                          </w:rPr>
                          <w:t xml:space="preserve">494 </w:t>
                        </w:r>
                        <w:r w:rsidRPr="00A95597">
                          <w:rPr>
                            <w:rFonts w:ascii="Arial" w:eastAsia="+mn-ea" w:hAnsi="Arial" w:cs="Arial"/>
                            <w:color w:val="000000" w:themeColor="text1"/>
                            <w:kern w:val="24"/>
                            <w:sz w:val="18"/>
                            <w:szCs w:val="18"/>
                          </w:rPr>
                          <w:t>funds</w:t>
                        </w:r>
                        <w:r>
                          <w:rPr>
                            <w:rFonts w:ascii="Arial" w:eastAsia="+mn-ea" w:hAnsi="Arial" w:cs="Arial"/>
                            <w:color w:val="000000" w:themeColor="text1"/>
                            <w:kern w:val="24"/>
                            <w:sz w:val="18"/>
                            <w:szCs w:val="18"/>
                          </w:rPr>
                          <w:t xml:space="preserve"> representing 100 per cent and 91</w:t>
                        </w:r>
                        <w:r w:rsidRPr="00262154">
                          <w:rPr>
                            <w:rFonts w:ascii="Arial" w:eastAsia="+mn-ea" w:hAnsi="Arial" w:cs="Arial"/>
                            <w:color w:val="000000" w:themeColor="text1"/>
                            <w:kern w:val="24"/>
                            <w:sz w:val="18"/>
                            <w:szCs w:val="18"/>
                          </w:rPr>
                          <w:t> per cent</w:t>
                        </w:r>
                        <w:r>
                          <w:rPr>
                            <w:rFonts w:ascii="Arial" w:eastAsia="+mn-ea" w:hAnsi="Arial" w:cs="Arial"/>
                            <w:color w:val="000000" w:themeColor="text1"/>
                            <w:kern w:val="24"/>
                            <w:sz w:val="18"/>
                            <w:szCs w:val="18"/>
                          </w:rPr>
                          <w:t xml:space="preserve"> of the system by assets in 2015</w:t>
                        </w:r>
                        <w:r>
                          <w:rPr>
                            <w:rFonts w:ascii="Arial" w:eastAsia="+mn-ea" w:hAnsi="Arial" w:cs="Arial"/>
                            <w:color w:val="000000" w:themeColor="text1"/>
                            <w:kern w:val="24"/>
                            <w:sz w:val="18"/>
                            <w:szCs w:val="18"/>
                          </w:rPr>
                          <w:noBreakHyphen/>
                          <w:t>16 and 2004</w:t>
                        </w:r>
                        <w:r>
                          <w:rPr>
                            <w:rFonts w:ascii="Arial" w:eastAsia="+mn-ea" w:hAnsi="Arial" w:cs="Arial"/>
                            <w:color w:val="000000" w:themeColor="text1"/>
                            <w:kern w:val="24"/>
                            <w:sz w:val="18"/>
                            <w:szCs w:val="18"/>
                          </w:rPr>
                          <w:noBreakHyphen/>
                          <w:t>05 respectively. Excludes funds with less than two years of data.</w:t>
                        </w:r>
                      </w:p>
                    </w:tc>
                  </w:tr>
                </w:tbl>
                <w:p w14:paraId="104BD0C3" w14:textId="77777777" w:rsidR="0011262F" w:rsidRPr="00B1465D" w:rsidRDefault="0011262F" w:rsidP="00B54007">
                  <w:pPr>
                    <w:pStyle w:val="Figure"/>
                    <w:spacing w:before="60" w:after="60"/>
                    <w:rPr>
                      <w:rFonts w:ascii="Arial" w:hAnsi="Arial" w:cs="Arial"/>
                      <w:sz w:val="18"/>
                      <w:szCs w:val="18"/>
                    </w:rPr>
                  </w:pPr>
                </w:p>
              </w:tc>
            </w:tr>
          </w:tbl>
          <w:p w14:paraId="27049A81" w14:textId="77777777" w:rsidR="0011262F" w:rsidRDefault="0011262F" w:rsidP="00B54007">
            <w:pPr>
              <w:pStyle w:val="Figure"/>
            </w:pPr>
          </w:p>
        </w:tc>
      </w:tr>
      <w:tr w:rsidR="0011262F" w:rsidRPr="00261706" w14:paraId="6B3D4BB8" w14:textId="77777777" w:rsidTr="00B54007">
        <w:tc>
          <w:tcPr>
            <w:tcW w:w="5000" w:type="pct"/>
            <w:tcBorders>
              <w:top w:val="nil"/>
              <w:left w:val="nil"/>
              <w:bottom w:val="nil"/>
              <w:right w:val="nil"/>
            </w:tcBorders>
            <w:shd w:val="clear" w:color="auto" w:fill="auto"/>
          </w:tcPr>
          <w:p w14:paraId="2829EB86" w14:textId="77777777" w:rsidR="0011262F" w:rsidRPr="00261706" w:rsidRDefault="0011262F" w:rsidP="00B54007">
            <w:pPr>
              <w:pStyle w:val="Note"/>
              <w:rPr>
                <w:spacing w:val="-2"/>
              </w:rPr>
            </w:pPr>
            <w:proofErr w:type="spellStart"/>
            <w:r w:rsidRPr="00261706">
              <w:rPr>
                <w:rStyle w:val="NoteLabel"/>
                <w:spacing w:val="-2"/>
              </w:rPr>
              <w:t>a</w:t>
            </w:r>
            <w:proofErr w:type="spellEnd"/>
            <w:r w:rsidRPr="00261706">
              <w:rPr>
                <w:spacing w:val="-2"/>
              </w:rPr>
              <w:t xml:space="preserve"> The power coefficient summarises the relationship between costs and scale in a fund’s cost function. Estimates spanning the </w:t>
            </w:r>
            <w:proofErr w:type="spellStart"/>
            <w:r w:rsidRPr="00261706">
              <w:rPr>
                <w:spacing w:val="-2"/>
              </w:rPr>
              <w:t>2.5</w:t>
            </w:r>
            <w:r w:rsidRPr="00261706">
              <w:rPr>
                <w:spacing w:val="-2"/>
                <w:vertAlign w:val="superscript"/>
              </w:rPr>
              <w:t>th</w:t>
            </w:r>
            <w:proofErr w:type="spellEnd"/>
            <w:r w:rsidRPr="00261706">
              <w:rPr>
                <w:spacing w:val="-2"/>
              </w:rPr>
              <w:t xml:space="preserve"> and </w:t>
            </w:r>
            <w:proofErr w:type="spellStart"/>
            <w:r w:rsidRPr="00261706">
              <w:rPr>
                <w:spacing w:val="-2"/>
              </w:rPr>
              <w:t>97.5</w:t>
            </w:r>
            <w:r w:rsidRPr="00261706">
              <w:rPr>
                <w:spacing w:val="-2"/>
                <w:vertAlign w:val="superscript"/>
              </w:rPr>
              <w:t>th</w:t>
            </w:r>
            <w:proofErr w:type="spellEnd"/>
            <w:r w:rsidRPr="00261706">
              <w:rPr>
                <w:spacing w:val="-2"/>
              </w:rPr>
              <w:t xml:space="preserve"> percentiles are presented for each fund.</w:t>
            </w:r>
            <w:r>
              <w:rPr>
                <w:spacing w:val="-2"/>
              </w:rPr>
              <w:t xml:space="preserve"> Black dots represent the median for each fund.</w:t>
            </w:r>
          </w:p>
        </w:tc>
      </w:tr>
      <w:tr w:rsidR="0011262F" w14:paraId="63D2AE12" w14:textId="77777777" w:rsidTr="00B54007">
        <w:tc>
          <w:tcPr>
            <w:tcW w:w="5000" w:type="pct"/>
            <w:tcBorders>
              <w:top w:val="nil"/>
              <w:left w:val="nil"/>
              <w:bottom w:val="single" w:sz="6" w:space="0" w:color="78A22F"/>
              <w:right w:val="nil"/>
            </w:tcBorders>
            <w:shd w:val="clear" w:color="auto" w:fill="auto"/>
          </w:tcPr>
          <w:p w14:paraId="298EBC18" w14:textId="77777777" w:rsidR="0011262F" w:rsidRDefault="0011262F" w:rsidP="00B54007">
            <w:pPr>
              <w:pStyle w:val="Figurespace"/>
            </w:pPr>
          </w:p>
        </w:tc>
      </w:tr>
      <w:tr w:rsidR="0011262F" w:rsidRPr="000863A5" w14:paraId="0029BE36" w14:textId="77777777" w:rsidTr="00B54007">
        <w:tc>
          <w:tcPr>
            <w:tcW w:w="5000" w:type="pct"/>
            <w:tcBorders>
              <w:top w:val="single" w:sz="6" w:space="0" w:color="78A22F"/>
              <w:left w:val="nil"/>
              <w:bottom w:val="nil"/>
              <w:right w:val="nil"/>
            </w:tcBorders>
          </w:tcPr>
          <w:p w14:paraId="246CE213" w14:textId="77777777" w:rsidR="0011262F" w:rsidRPr="00626D32" w:rsidRDefault="0011262F" w:rsidP="00B54007">
            <w:pPr>
              <w:pStyle w:val="BoxSpaceBelow"/>
            </w:pPr>
          </w:p>
        </w:tc>
      </w:tr>
    </w:tbl>
    <w:p w14:paraId="5C72BFC8" w14:textId="77777777" w:rsidR="0011262F" w:rsidRDefault="0011262F" w:rsidP="0011262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1262F" w14:paraId="56D99966" w14:textId="77777777" w:rsidTr="00B54007">
        <w:trPr>
          <w:tblHeader/>
        </w:trPr>
        <w:tc>
          <w:tcPr>
            <w:tcW w:w="5000" w:type="pct"/>
            <w:tcBorders>
              <w:top w:val="single" w:sz="6" w:space="0" w:color="78A22F"/>
              <w:left w:val="nil"/>
              <w:bottom w:val="nil"/>
              <w:right w:val="nil"/>
            </w:tcBorders>
            <w:shd w:val="clear" w:color="auto" w:fill="auto"/>
          </w:tcPr>
          <w:p w14:paraId="39345544" w14:textId="77777777" w:rsidR="0011262F" w:rsidRDefault="0011262F" w:rsidP="00B54007">
            <w:pPr>
              <w:pStyle w:val="FigureTitle"/>
            </w:pPr>
            <w:r w:rsidRPr="00784A05">
              <w:rPr>
                <w:b w:val="0"/>
              </w:rPr>
              <w:t xml:space="preserve">Figure </w:t>
            </w:r>
            <w:bookmarkStart w:id="36" w:name="OLE_LINK20"/>
            <w:r>
              <w:rPr>
                <w:b w:val="0"/>
              </w:rPr>
              <w:t>8.</w:t>
            </w:r>
            <w:r>
              <w:rPr>
                <w:b w:val="0"/>
                <w:noProof/>
              </w:rPr>
              <w:t>10</w:t>
            </w:r>
            <w:bookmarkEnd w:id="36"/>
            <w:r>
              <w:tab/>
              <w:t>Most funds’ investment cost functions exhibit economies of scale</w:t>
            </w:r>
            <w:r w:rsidRPr="00ED324C">
              <w:rPr>
                <w:rStyle w:val="NoteLabel"/>
              </w:rPr>
              <w:t>a</w:t>
            </w:r>
          </w:p>
          <w:p w14:paraId="27B7F25D" w14:textId="77777777" w:rsidR="0011262F" w:rsidRPr="00176D3F" w:rsidRDefault="0011262F" w:rsidP="00B54007">
            <w:pPr>
              <w:pStyle w:val="Subtitle"/>
            </w:pPr>
            <w:r>
              <w:t>Power coefficient estimates,</w:t>
            </w:r>
            <w:r w:rsidRPr="00CB24B0">
              <w:t xml:space="preserve"> </w:t>
            </w:r>
            <w:r>
              <w:t>investment</w:t>
            </w:r>
            <w:r w:rsidRPr="00CB24B0">
              <w:t xml:space="preserve"> expenses</w:t>
            </w:r>
          </w:p>
        </w:tc>
      </w:tr>
      <w:tr w:rsidR="0011262F" w14:paraId="3D49B603" w14:textId="77777777" w:rsidTr="00B54007">
        <w:trPr>
          <w:trHeight w:val="4535"/>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11262F" w:rsidRPr="00B1465D" w14:paraId="5D853BB6" w14:textId="77777777" w:rsidTr="00B54007">
              <w:trPr>
                <w:tblHeader/>
                <w:jc w:val="center"/>
              </w:trPr>
              <w:tc>
                <w:tcPr>
                  <w:tcW w:w="5000" w:type="pct"/>
                  <w:tcBorders>
                    <w:top w:val="nil"/>
                    <w:bottom w:val="nil"/>
                  </w:tcBorders>
                </w:tcPr>
                <w:p w14:paraId="74DEC00F" w14:textId="77777777" w:rsidR="0011262F" w:rsidRDefault="0011262F" w:rsidP="00B54007">
                  <w:pPr>
                    <w:pStyle w:val="Figure"/>
                    <w:spacing w:before="60" w:after="60"/>
                    <w:rPr>
                      <w:rFonts w:ascii="Arial" w:hAnsi="Arial" w:cs="Arial"/>
                      <w:sz w:val="18"/>
                      <w:szCs w:val="18"/>
                    </w:rPr>
                  </w:pPr>
                  <w:r w:rsidRPr="00610D79">
                    <w:rPr>
                      <w:rFonts w:ascii="Arial" w:hAnsi="Arial" w:cs="Arial"/>
                      <w:noProof/>
                      <w:sz w:val="18"/>
                      <w:szCs w:val="18"/>
                    </w:rPr>
                    <w:drawing>
                      <wp:inline distT="0" distB="0" distL="0" distR="0" wp14:anchorId="2D24F847" wp14:editId="7E557D47">
                        <wp:extent cx="5577840" cy="2788920"/>
                        <wp:effectExtent l="0" t="0" r="0" b="0"/>
                        <wp:docPr id="65" name="Picture 65" descr="The figure shows the estimated range of the investment power coefficient for each fund type represented as a vertical bar. The plot is split into three parts: the top part corresponds to diseconomies of scale, the middle part corresponds to economies of scale, and the bottom part corresponds to decreasing cost. Most funds have bars lying in the economies of scale region, suggesting economies of scale in investment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77840" cy="2788920"/>
                                </a:xfrm>
                                <a:prstGeom prst="rect">
                                  <a:avLst/>
                                </a:prstGeom>
                                <a:noFill/>
                                <a:ln>
                                  <a:noFill/>
                                </a:ln>
                              </pic:spPr>
                            </pic:pic>
                          </a:graphicData>
                        </a:graphic>
                      </wp:inline>
                    </w:drawing>
                  </w:r>
                </w:p>
                <w:tbl>
                  <w:tblPr>
                    <w:tblW w:w="0" w:type="auto"/>
                    <w:tblLook w:val="04A0" w:firstRow="1" w:lastRow="0" w:firstColumn="1" w:lastColumn="0" w:noHBand="0" w:noVBand="1"/>
                  </w:tblPr>
                  <w:tblGrid>
                    <w:gridCol w:w="1559"/>
                    <w:gridCol w:w="6935"/>
                  </w:tblGrid>
                  <w:tr w:rsidR="0011262F" w14:paraId="5371C10B" w14:textId="77777777" w:rsidTr="00B54007">
                    <w:trPr>
                      <w:tblHeader/>
                    </w:trPr>
                    <w:tc>
                      <w:tcPr>
                        <w:tcW w:w="1559" w:type="dxa"/>
                        <w:shd w:val="clear" w:color="auto" w:fill="F2F2F2" w:themeFill="background1" w:themeFillShade="F2"/>
                      </w:tcPr>
                      <w:p w14:paraId="207AEFC5" w14:textId="77777777" w:rsidR="0011262F" w:rsidRDefault="0011262F" w:rsidP="00B54007">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935" w:type="dxa"/>
                        <w:shd w:val="clear" w:color="auto" w:fill="F2F2F2" w:themeFill="background1" w:themeFillShade="F2"/>
                      </w:tcPr>
                      <w:p w14:paraId="274D16D5" w14:textId="77777777" w:rsidR="0011262F" w:rsidRDefault="0011262F" w:rsidP="00B54007">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PC analysis of unpublished APRA data.</w:t>
                        </w:r>
                      </w:p>
                    </w:tc>
                  </w:tr>
                  <w:tr w:rsidR="0011262F" w:rsidRPr="001F53B0" w14:paraId="7F6CB5CF" w14:textId="77777777" w:rsidTr="00B54007">
                    <w:tc>
                      <w:tcPr>
                        <w:tcW w:w="1559" w:type="dxa"/>
                        <w:shd w:val="clear" w:color="auto" w:fill="F2F2F2" w:themeFill="background1" w:themeFillShade="F2"/>
                      </w:tcPr>
                      <w:p w14:paraId="4E07B0C4" w14:textId="77777777" w:rsidR="0011262F" w:rsidRDefault="0011262F" w:rsidP="00B54007">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shd w:val="clear" w:color="auto" w:fill="F2F2F2" w:themeFill="background1" w:themeFillShade="F2"/>
                      </w:tcPr>
                      <w:p w14:paraId="18152D04" w14:textId="77777777" w:rsidR="0011262F" w:rsidRPr="001F53B0" w:rsidRDefault="0011262F" w:rsidP="00B54007">
                        <w:pPr>
                          <w:pStyle w:val="NormalWeb"/>
                          <w:spacing w:before="0" w:beforeAutospacing="0" w:after="0" w:afterAutospacing="0"/>
                          <w:rPr>
                            <w:color w:val="000000" w:themeColor="text1"/>
                          </w:rPr>
                        </w:pPr>
                        <w:r>
                          <w:rPr>
                            <w:rFonts w:ascii="Arial" w:eastAsia="+mn-ea" w:hAnsi="Arial" w:cs="Arial"/>
                            <w:color w:val="000000" w:themeColor="text1"/>
                            <w:kern w:val="24"/>
                            <w:sz w:val="18"/>
                            <w:szCs w:val="18"/>
                          </w:rPr>
                          <w:t xml:space="preserve">494 </w:t>
                        </w:r>
                        <w:r w:rsidRPr="00A95597">
                          <w:rPr>
                            <w:rFonts w:ascii="Arial" w:eastAsia="+mn-ea" w:hAnsi="Arial" w:cs="Arial"/>
                            <w:color w:val="000000" w:themeColor="text1"/>
                            <w:kern w:val="24"/>
                            <w:sz w:val="18"/>
                            <w:szCs w:val="18"/>
                          </w:rPr>
                          <w:t>funds</w:t>
                        </w:r>
                        <w:r>
                          <w:rPr>
                            <w:rFonts w:ascii="Arial" w:eastAsia="+mn-ea" w:hAnsi="Arial" w:cs="Arial"/>
                            <w:color w:val="000000" w:themeColor="text1"/>
                            <w:kern w:val="24"/>
                            <w:sz w:val="18"/>
                            <w:szCs w:val="18"/>
                          </w:rPr>
                          <w:t xml:space="preserve"> representing 100 per cent and 91</w:t>
                        </w:r>
                        <w:r w:rsidRPr="00262154">
                          <w:rPr>
                            <w:rFonts w:ascii="Arial" w:eastAsia="+mn-ea" w:hAnsi="Arial" w:cs="Arial"/>
                            <w:color w:val="000000" w:themeColor="text1"/>
                            <w:kern w:val="24"/>
                            <w:sz w:val="18"/>
                            <w:szCs w:val="18"/>
                          </w:rPr>
                          <w:t> per cent</w:t>
                        </w:r>
                        <w:r>
                          <w:rPr>
                            <w:rFonts w:ascii="Arial" w:eastAsia="+mn-ea" w:hAnsi="Arial" w:cs="Arial"/>
                            <w:color w:val="000000" w:themeColor="text1"/>
                            <w:kern w:val="24"/>
                            <w:sz w:val="18"/>
                            <w:szCs w:val="18"/>
                          </w:rPr>
                          <w:t xml:space="preserve"> of the system by assets in 2015</w:t>
                        </w:r>
                        <w:r>
                          <w:rPr>
                            <w:rFonts w:ascii="Arial" w:eastAsia="+mn-ea" w:hAnsi="Arial" w:cs="Arial"/>
                            <w:color w:val="000000" w:themeColor="text1"/>
                            <w:kern w:val="24"/>
                            <w:sz w:val="18"/>
                            <w:szCs w:val="18"/>
                          </w:rPr>
                          <w:noBreakHyphen/>
                          <w:t>16 and 2004</w:t>
                        </w:r>
                        <w:r>
                          <w:rPr>
                            <w:rFonts w:ascii="Arial" w:eastAsia="+mn-ea" w:hAnsi="Arial" w:cs="Arial"/>
                            <w:color w:val="000000" w:themeColor="text1"/>
                            <w:kern w:val="24"/>
                            <w:sz w:val="18"/>
                            <w:szCs w:val="18"/>
                          </w:rPr>
                          <w:noBreakHyphen/>
                          <w:t>05 respectively. Excludes funds with less than two years of data.</w:t>
                        </w:r>
                      </w:p>
                    </w:tc>
                  </w:tr>
                </w:tbl>
                <w:p w14:paraId="0887D1B8" w14:textId="77777777" w:rsidR="0011262F" w:rsidRPr="00B1465D" w:rsidRDefault="0011262F" w:rsidP="00B54007">
                  <w:pPr>
                    <w:pStyle w:val="Figure"/>
                    <w:spacing w:before="60" w:after="60"/>
                    <w:rPr>
                      <w:rFonts w:ascii="Arial" w:hAnsi="Arial" w:cs="Arial"/>
                      <w:sz w:val="18"/>
                      <w:szCs w:val="18"/>
                    </w:rPr>
                  </w:pPr>
                </w:p>
              </w:tc>
            </w:tr>
          </w:tbl>
          <w:p w14:paraId="5B5093FA" w14:textId="77777777" w:rsidR="0011262F" w:rsidRDefault="0011262F" w:rsidP="00B54007">
            <w:pPr>
              <w:pStyle w:val="Figure"/>
            </w:pPr>
          </w:p>
        </w:tc>
      </w:tr>
      <w:tr w:rsidR="0011262F" w:rsidRPr="00176D3F" w14:paraId="3B576BF9" w14:textId="77777777" w:rsidTr="00B54007">
        <w:tc>
          <w:tcPr>
            <w:tcW w:w="5000" w:type="pct"/>
            <w:tcBorders>
              <w:top w:val="nil"/>
              <w:left w:val="nil"/>
              <w:bottom w:val="nil"/>
              <w:right w:val="nil"/>
            </w:tcBorders>
            <w:shd w:val="clear" w:color="auto" w:fill="auto"/>
          </w:tcPr>
          <w:p w14:paraId="4FD862E9" w14:textId="77777777" w:rsidR="0011262F" w:rsidRPr="00176D3F" w:rsidRDefault="0011262F" w:rsidP="00B54007">
            <w:pPr>
              <w:pStyle w:val="Note"/>
            </w:pPr>
            <w:proofErr w:type="spellStart"/>
            <w:r>
              <w:rPr>
                <w:rStyle w:val="NoteLabel"/>
              </w:rPr>
              <w:t>a</w:t>
            </w:r>
            <w:proofErr w:type="spellEnd"/>
            <w:r>
              <w:t xml:space="preserve"> </w:t>
            </w:r>
            <w:r w:rsidRPr="00ED324C">
              <w:rPr>
                <w:spacing w:val="-2"/>
              </w:rPr>
              <w:t xml:space="preserve">The power coefficient </w:t>
            </w:r>
            <w:r>
              <w:rPr>
                <w:spacing w:val="-2"/>
              </w:rPr>
              <w:t>summarises</w:t>
            </w:r>
            <w:r w:rsidRPr="00ED324C">
              <w:rPr>
                <w:spacing w:val="-2"/>
              </w:rPr>
              <w:t xml:space="preserve"> the relationship between costs and scale in a fund’s cost function.</w:t>
            </w:r>
            <w:r>
              <w:rPr>
                <w:spacing w:val="-2"/>
              </w:rPr>
              <w:t xml:space="preserve"> </w:t>
            </w:r>
            <w:r w:rsidRPr="00261706">
              <w:rPr>
                <w:spacing w:val="-2"/>
              </w:rPr>
              <w:t xml:space="preserve">Estimates spanning the </w:t>
            </w:r>
            <w:proofErr w:type="spellStart"/>
            <w:r w:rsidRPr="00261706">
              <w:rPr>
                <w:spacing w:val="-2"/>
              </w:rPr>
              <w:t>2.5</w:t>
            </w:r>
            <w:r w:rsidRPr="00261706">
              <w:rPr>
                <w:spacing w:val="-2"/>
                <w:vertAlign w:val="superscript"/>
              </w:rPr>
              <w:t>th</w:t>
            </w:r>
            <w:proofErr w:type="spellEnd"/>
            <w:r w:rsidRPr="00261706">
              <w:rPr>
                <w:spacing w:val="-2"/>
              </w:rPr>
              <w:t xml:space="preserve"> and </w:t>
            </w:r>
            <w:proofErr w:type="spellStart"/>
            <w:r w:rsidRPr="00261706">
              <w:rPr>
                <w:spacing w:val="-2"/>
              </w:rPr>
              <w:t>97.5</w:t>
            </w:r>
            <w:r w:rsidRPr="00261706">
              <w:rPr>
                <w:spacing w:val="-2"/>
                <w:vertAlign w:val="superscript"/>
              </w:rPr>
              <w:t>th</w:t>
            </w:r>
            <w:proofErr w:type="spellEnd"/>
            <w:r w:rsidRPr="00261706">
              <w:rPr>
                <w:spacing w:val="-2"/>
              </w:rPr>
              <w:t xml:space="preserve"> percentiles are presented for each fund.</w:t>
            </w:r>
            <w:r>
              <w:rPr>
                <w:spacing w:val="-2"/>
              </w:rPr>
              <w:t xml:space="preserve"> Black dots represent the median for each fund.</w:t>
            </w:r>
          </w:p>
        </w:tc>
      </w:tr>
      <w:tr w:rsidR="0011262F" w14:paraId="6235BC8D" w14:textId="77777777" w:rsidTr="00B54007">
        <w:tc>
          <w:tcPr>
            <w:tcW w:w="5000" w:type="pct"/>
            <w:tcBorders>
              <w:top w:val="nil"/>
              <w:left w:val="nil"/>
              <w:bottom w:val="single" w:sz="6" w:space="0" w:color="78A22F"/>
              <w:right w:val="nil"/>
            </w:tcBorders>
            <w:shd w:val="clear" w:color="auto" w:fill="auto"/>
          </w:tcPr>
          <w:p w14:paraId="23D5F571" w14:textId="77777777" w:rsidR="0011262F" w:rsidRDefault="0011262F" w:rsidP="00B54007">
            <w:pPr>
              <w:pStyle w:val="Figurespace"/>
            </w:pPr>
          </w:p>
        </w:tc>
      </w:tr>
      <w:tr w:rsidR="0011262F" w:rsidRPr="000863A5" w14:paraId="1043C45B" w14:textId="77777777" w:rsidTr="00B54007">
        <w:tc>
          <w:tcPr>
            <w:tcW w:w="5000" w:type="pct"/>
            <w:tcBorders>
              <w:top w:val="single" w:sz="6" w:space="0" w:color="78A22F"/>
              <w:left w:val="nil"/>
              <w:bottom w:val="nil"/>
              <w:right w:val="nil"/>
            </w:tcBorders>
          </w:tcPr>
          <w:p w14:paraId="428F5885" w14:textId="77777777" w:rsidR="0011262F" w:rsidRPr="00626D32" w:rsidRDefault="0011262F" w:rsidP="00B54007">
            <w:pPr>
              <w:pStyle w:val="BoxSpaceBelow"/>
            </w:pPr>
          </w:p>
        </w:tc>
      </w:tr>
    </w:tbl>
    <w:p w14:paraId="12D088F7" w14:textId="77777777" w:rsidR="0011262F" w:rsidRPr="00C77218" w:rsidRDefault="0011262F" w:rsidP="0011262F">
      <w:pPr>
        <w:pStyle w:val="Heading3"/>
      </w:pPr>
      <w:r>
        <w:t>Economies of scale have been realised across the system since 2004 but other expenses have risen</w:t>
      </w:r>
    </w:p>
    <w:p w14:paraId="65231E28" w14:textId="77777777" w:rsidR="0011262F" w:rsidRPr="001440DF" w:rsidRDefault="0011262F" w:rsidP="0011262F">
      <w:pPr>
        <w:pStyle w:val="Heading4"/>
        <w:spacing w:before="240"/>
      </w:pPr>
      <w:r>
        <w:t>Gains are evident</w:t>
      </w:r>
    </w:p>
    <w:p w14:paraId="0F48C7BD" w14:textId="77777777" w:rsidR="0011262F" w:rsidRDefault="0011262F" w:rsidP="0011262F">
      <w:pPr>
        <w:pStyle w:val="BodyText"/>
        <w:rPr>
          <w:spacing w:val="-2"/>
        </w:rPr>
      </w:pPr>
      <w:r>
        <w:rPr>
          <w:spacing w:val="-2"/>
        </w:rPr>
        <w:t>O</w:t>
      </w:r>
      <w:r w:rsidRPr="001E3030">
        <w:rPr>
          <w:spacing w:val="-2"/>
        </w:rPr>
        <w:t>ver the period 2004 to 2017</w:t>
      </w:r>
      <w:r>
        <w:rPr>
          <w:spacing w:val="-2"/>
        </w:rPr>
        <w:t xml:space="preserve">, </w:t>
      </w:r>
      <w:r w:rsidRPr="00AD5AD1">
        <w:rPr>
          <w:spacing w:val="-2"/>
        </w:rPr>
        <w:t>abstracting from other factors that influence costs,</w:t>
      </w:r>
      <w:r>
        <w:rPr>
          <w:i/>
          <w:spacing w:val="-2"/>
        </w:rPr>
        <w:t xml:space="preserve"> </w:t>
      </w:r>
      <w:r>
        <w:rPr>
          <w:spacing w:val="-2"/>
        </w:rPr>
        <w:t>the</w:t>
      </w:r>
      <w:r w:rsidRPr="00BB5935">
        <w:rPr>
          <w:spacing w:val="-2"/>
        </w:rPr>
        <w:t xml:space="preserve"> modelling estimates</w:t>
      </w:r>
      <w:r>
        <w:rPr>
          <w:spacing w:val="-2"/>
        </w:rPr>
        <w:t xml:space="preserve"> reveal that the majority of funds have realised economies of scale in administration </w:t>
      </w:r>
      <w:r w:rsidRPr="001E3030">
        <w:rPr>
          <w:spacing w:val="-2"/>
        </w:rPr>
        <w:t>(figure </w:t>
      </w:r>
      <w:r>
        <w:rPr>
          <w:spacing w:val="-2"/>
        </w:rPr>
        <w:t>8.11</w:t>
      </w:r>
      <w:r w:rsidRPr="001E3030">
        <w:rPr>
          <w:spacing w:val="-2"/>
        </w:rPr>
        <w:t>)</w:t>
      </w:r>
      <w:r>
        <w:rPr>
          <w:spacing w:val="-2"/>
        </w:rPr>
        <w:t xml:space="preserve"> and investment (figure 8.12) expenses</w:t>
      </w:r>
      <w:r w:rsidRPr="001E3030">
        <w:rPr>
          <w:spacing w:val="-2"/>
        </w:rPr>
        <w:t>.</w:t>
      </w:r>
      <w:r>
        <w:rPr>
          <w:spacing w:val="-2"/>
        </w:rPr>
        <w:t xml:space="preserve"> In other words, if nothing else that impacts fund expenses had changed over this period, average expenses (as distinct from fees charged) would have fallen for most funds. The black line in each figure plots individual fund’s estimated expenses in 2004 (or whenever a fund first appears in the dataset), ranked from lowest to highest. The dots represent estimated expenses in 2017 (or whenever a fund exited the system). The majority of dots in both figures fall below the black line, illustrating realised economies. Larger realised gains are evident for administration than for investment expenses.</w:t>
      </w:r>
    </w:p>
    <w:p w14:paraId="76236404" w14:textId="77777777" w:rsidR="0011262F" w:rsidRDefault="0011262F" w:rsidP="0011262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1262F" w14:paraId="7F3EDC1E" w14:textId="77777777" w:rsidTr="00B54007">
        <w:trPr>
          <w:tblHeader/>
        </w:trPr>
        <w:tc>
          <w:tcPr>
            <w:tcW w:w="5000" w:type="pct"/>
            <w:tcBorders>
              <w:top w:val="single" w:sz="6" w:space="0" w:color="78A22F"/>
              <w:left w:val="nil"/>
              <w:bottom w:val="nil"/>
              <w:right w:val="nil"/>
            </w:tcBorders>
            <w:shd w:val="clear" w:color="auto" w:fill="auto"/>
          </w:tcPr>
          <w:p w14:paraId="46C0DCCC" w14:textId="77777777" w:rsidR="0011262F" w:rsidRDefault="0011262F" w:rsidP="00B54007">
            <w:pPr>
              <w:pStyle w:val="FigureTitle"/>
            </w:pPr>
            <w:r w:rsidRPr="00784A05">
              <w:rPr>
                <w:b w:val="0"/>
              </w:rPr>
              <w:t xml:space="preserve">Figure </w:t>
            </w:r>
            <w:bookmarkStart w:id="37" w:name="OLE_LINK38"/>
            <w:r>
              <w:rPr>
                <w:b w:val="0"/>
              </w:rPr>
              <w:t>8.</w:t>
            </w:r>
            <w:r>
              <w:rPr>
                <w:b w:val="0"/>
                <w:noProof/>
              </w:rPr>
              <w:t>11</w:t>
            </w:r>
            <w:bookmarkEnd w:id="37"/>
            <w:r>
              <w:tab/>
              <w:t>Most funds have realised scale benefits in administration expenses</w:t>
            </w:r>
            <w:proofErr w:type="spellStart"/>
            <w:r w:rsidRPr="002028A2">
              <w:rPr>
                <w:rStyle w:val="NoteLabel"/>
              </w:rPr>
              <w:t>a</w:t>
            </w:r>
            <w:r>
              <w:rPr>
                <w:rStyle w:val="NoteLabel"/>
              </w:rPr>
              <w:t>,b</w:t>
            </w:r>
            <w:proofErr w:type="spellEnd"/>
          </w:p>
          <w:p w14:paraId="6FE354F3" w14:textId="77777777" w:rsidR="0011262F" w:rsidRPr="00176D3F" w:rsidRDefault="0011262F" w:rsidP="00B54007">
            <w:pPr>
              <w:pStyle w:val="Subtitle"/>
            </w:pPr>
            <w:r>
              <w:t>Projected cost changes, basis points (bps), 2004–17, administration expenses</w:t>
            </w:r>
          </w:p>
        </w:tc>
      </w:tr>
      <w:tr w:rsidR="0011262F" w14:paraId="53F60692" w14:textId="77777777" w:rsidTr="00B54007">
        <w:trPr>
          <w:hidden/>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11262F" w:rsidRPr="00B1465D" w14:paraId="7FB6030C" w14:textId="77777777" w:rsidTr="00B54007">
              <w:trPr>
                <w:tblHeader/>
                <w:jc w:val="center"/>
                <w:hidden/>
              </w:trPr>
              <w:tc>
                <w:tcPr>
                  <w:tcW w:w="5000" w:type="pct"/>
                  <w:tcBorders>
                    <w:top w:val="nil"/>
                    <w:bottom w:val="nil"/>
                  </w:tcBorders>
                </w:tcPr>
                <w:p w14:paraId="298F7631" w14:textId="77777777" w:rsidR="0011262F" w:rsidRPr="00B1465D" w:rsidRDefault="0011262F" w:rsidP="00B54007">
                  <w:pPr>
                    <w:pStyle w:val="Figure"/>
                    <w:spacing w:before="60" w:after="60"/>
                    <w:rPr>
                      <w:rFonts w:ascii="Arial" w:hAnsi="Arial" w:cs="Arial"/>
                      <w:sz w:val="18"/>
                      <w:szCs w:val="18"/>
                    </w:rPr>
                  </w:pPr>
                  <w:r w:rsidRPr="00682E35">
                    <w:rPr>
                      <w:rStyle w:val="CommentReference"/>
                      <w:rFonts w:ascii="Arial" w:hAnsi="Arial" w:cs="Arial"/>
                      <w:sz w:val="18"/>
                      <w:szCs w:val="18"/>
                    </w:rPr>
                    <w:t xml:space="preserve"> </w:t>
                  </w:r>
                  <w:r w:rsidRPr="001A28C6">
                    <w:rPr>
                      <w:rStyle w:val="CommentReference"/>
                      <w:rFonts w:ascii="Arial" w:hAnsi="Arial" w:cs="Arial"/>
                      <w:b w:val="0"/>
                      <w:noProof/>
                      <w:vanish w:val="0"/>
                      <w:sz w:val="18"/>
                      <w:szCs w:val="18"/>
                    </w:rPr>
                    <w:drawing>
                      <wp:inline distT="0" distB="0" distL="0" distR="0" wp14:anchorId="30B4038E" wp14:editId="04F934AF">
                        <wp:extent cx="5417820" cy="2486868"/>
                        <wp:effectExtent l="0" t="0" r="0" b="0"/>
                        <wp:docPr id="66" name="Picture 66" descr="This figure shows the estimated starting and ending average administration expense, only due to changes in size. The starting estimated average expense is represented as a line, and the ending estimated average expense are represented as dots. Most dots lie below the black line, suggesting that most funds have realised scale benefits in administration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22663" cy="2489091"/>
                                </a:xfrm>
                                <a:prstGeom prst="rect">
                                  <a:avLst/>
                                </a:prstGeom>
                                <a:noFill/>
                                <a:ln>
                                  <a:noFill/>
                                </a:ln>
                              </pic:spPr>
                            </pic:pic>
                          </a:graphicData>
                        </a:graphic>
                      </wp:inline>
                    </w:drawing>
                  </w:r>
                </w:p>
              </w:tc>
            </w:tr>
            <w:tr w:rsidR="0011262F" w:rsidRPr="00B1465D" w14:paraId="253FFD0B" w14:textId="77777777" w:rsidTr="00B54007">
              <w:trPr>
                <w:tblHeader/>
                <w:jc w:val="center"/>
              </w:trPr>
              <w:tc>
                <w:tcPr>
                  <w:tcW w:w="5000" w:type="pct"/>
                  <w:tcBorders>
                    <w:top w:val="nil"/>
                    <w:bottom w:val="nil"/>
                  </w:tcBorders>
                </w:tcPr>
                <w:tbl>
                  <w:tblPr>
                    <w:tblW w:w="0" w:type="auto"/>
                    <w:tblLook w:val="04A0" w:firstRow="1" w:lastRow="0" w:firstColumn="1" w:lastColumn="0" w:noHBand="0" w:noVBand="1"/>
                  </w:tblPr>
                  <w:tblGrid>
                    <w:gridCol w:w="1559"/>
                    <w:gridCol w:w="6935"/>
                  </w:tblGrid>
                  <w:tr w:rsidR="0011262F" w14:paraId="7B10C77A" w14:textId="77777777" w:rsidTr="00B54007">
                    <w:trPr>
                      <w:tblHeader/>
                    </w:trPr>
                    <w:tc>
                      <w:tcPr>
                        <w:tcW w:w="1559" w:type="dxa"/>
                        <w:shd w:val="clear" w:color="auto" w:fill="F2F2F2" w:themeFill="background1" w:themeFillShade="F2"/>
                      </w:tcPr>
                      <w:p w14:paraId="049FEDFB" w14:textId="77777777" w:rsidR="0011262F" w:rsidRDefault="0011262F" w:rsidP="00B54007">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935" w:type="dxa"/>
                        <w:shd w:val="clear" w:color="auto" w:fill="F2F2F2" w:themeFill="background1" w:themeFillShade="F2"/>
                      </w:tcPr>
                      <w:p w14:paraId="06796B29" w14:textId="77777777" w:rsidR="0011262F" w:rsidRDefault="0011262F" w:rsidP="00B54007">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PC analysis of unpublished APRA data.</w:t>
                        </w:r>
                      </w:p>
                    </w:tc>
                  </w:tr>
                  <w:tr w:rsidR="0011262F" w:rsidRPr="001F53B0" w14:paraId="292A43EC" w14:textId="77777777" w:rsidTr="00B54007">
                    <w:tc>
                      <w:tcPr>
                        <w:tcW w:w="1559" w:type="dxa"/>
                        <w:shd w:val="clear" w:color="auto" w:fill="F2F2F2" w:themeFill="background1" w:themeFillShade="F2"/>
                      </w:tcPr>
                      <w:p w14:paraId="4DC18D61" w14:textId="77777777" w:rsidR="0011262F" w:rsidRDefault="0011262F" w:rsidP="00B54007">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shd w:val="clear" w:color="auto" w:fill="F2F2F2" w:themeFill="background1" w:themeFillShade="F2"/>
                      </w:tcPr>
                      <w:p w14:paraId="15599809" w14:textId="77777777" w:rsidR="0011262F" w:rsidRPr="001F53B0" w:rsidRDefault="0011262F" w:rsidP="00B54007">
                        <w:pPr>
                          <w:pStyle w:val="NormalWeb"/>
                          <w:spacing w:before="0" w:beforeAutospacing="0" w:after="0" w:afterAutospacing="0"/>
                          <w:rPr>
                            <w:color w:val="000000" w:themeColor="text1"/>
                          </w:rPr>
                        </w:pPr>
                        <w:r>
                          <w:rPr>
                            <w:rFonts w:ascii="Arial" w:eastAsia="+mn-ea" w:hAnsi="Arial" w:cs="Arial"/>
                            <w:color w:val="000000" w:themeColor="text1"/>
                            <w:kern w:val="24"/>
                            <w:sz w:val="18"/>
                            <w:szCs w:val="18"/>
                          </w:rPr>
                          <w:t xml:space="preserve">494 </w:t>
                        </w:r>
                        <w:r w:rsidRPr="00A95597">
                          <w:rPr>
                            <w:rFonts w:ascii="Arial" w:eastAsia="+mn-ea" w:hAnsi="Arial" w:cs="Arial"/>
                            <w:color w:val="000000" w:themeColor="text1"/>
                            <w:kern w:val="24"/>
                            <w:sz w:val="18"/>
                            <w:szCs w:val="18"/>
                          </w:rPr>
                          <w:t>funds</w:t>
                        </w:r>
                        <w:r>
                          <w:rPr>
                            <w:rFonts w:ascii="Arial" w:eastAsia="+mn-ea" w:hAnsi="Arial" w:cs="Arial"/>
                            <w:color w:val="000000" w:themeColor="text1"/>
                            <w:kern w:val="24"/>
                            <w:sz w:val="18"/>
                            <w:szCs w:val="18"/>
                          </w:rPr>
                          <w:t xml:space="preserve"> representing 100 per cent and 91</w:t>
                        </w:r>
                        <w:r w:rsidRPr="00262154">
                          <w:rPr>
                            <w:rFonts w:ascii="Arial" w:eastAsia="+mn-ea" w:hAnsi="Arial" w:cs="Arial"/>
                            <w:color w:val="000000" w:themeColor="text1"/>
                            <w:kern w:val="24"/>
                            <w:sz w:val="18"/>
                            <w:szCs w:val="18"/>
                          </w:rPr>
                          <w:t> per cent</w:t>
                        </w:r>
                        <w:r>
                          <w:rPr>
                            <w:rFonts w:ascii="Arial" w:eastAsia="+mn-ea" w:hAnsi="Arial" w:cs="Arial"/>
                            <w:color w:val="000000" w:themeColor="text1"/>
                            <w:kern w:val="24"/>
                            <w:sz w:val="18"/>
                            <w:szCs w:val="18"/>
                          </w:rPr>
                          <w:t xml:space="preserve"> of the system by assets in 2015</w:t>
                        </w:r>
                        <w:r>
                          <w:rPr>
                            <w:rFonts w:ascii="Arial" w:eastAsia="+mn-ea" w:hAnsi="Arial" w:cs="Arial"/>
                            <w:color w:val="000000" w:themeColor="text1"/>
                            <w:kern w:val="24"/>
                            <w:sz w:val="18"/>
                            <w:szCs w:val="18"/>
                          </w:rPr>
                          <w:noBreakHyphen/>
                          <w:t>16 and 2004</w:t>
                        </w:r>
                        <w:r>
                          <w:rPr>
                            <w:rFonts w:ascii="Arial" w:eastAsia="+mn-ea" w:hAnsi="Arial" w:cs="Arial"/>
                            <w:color w:val="000000" w:themeColor="text1"/>
                            <w:kern w:val="24"/>
                            <w:sz w:val="18"/>
                            <w:szCs w:val="18"/>
                          </w:rPr>
                          <w:noBreakHyphen/>
                          <w:t>05 respectively. Excludes funds with less than two years of data.</w:t>
                        </w:r>
                      </w:p>
                    </w:tc>
                  </w:tr>
                </w:tbl>
                <w:p w14:paraId="557C867B" w14:textId="77777777" w:rsidR="0011262F" w:rsidRPr="00E82902" w:rsidRDefault="0011262F" w:rsidP="00B54007">
                  <w:pPr>
                    <w:pStyle w:val="Figure"/>
                    <w:spacing w:before="60" w:after="60"/>
                    <w:rPr>
                      <w:rFonts w:ascii="Arial" w:hAnsi="Arial" w:cs="Arial"/>
                      <w:sz w:val="18"/>
                      <w:szCs w:val="18"/>
                    </w:rPr>
                  </w:pPr>
                </w:p>
              </w:tc>
            </w:tr>
          </w:tbl>
          <w:p w14:paraId="22DB591A" w14:textId="77777777" w:rsidR="0011262F" w:rsidRDefault="0011262F" w:rsidP="00B54007">
            <w:pPr>
              <w:pStyle w:val="Figure"/>
            </w:pPr>
          </w:p>
        </w:tc>
      </w:tr>
      <w:tr w:rsidR="0011262F" w:rsidRPr="00176D3F" w14:paraId="2A25AD33" w14:textId="77777777" w:rsidTr="00B54007">
        <w:tc>
          <w:tcPr>
            <w:tcW w:w="5000" w:type="pct"/>
            <w:tcBorders>
              <w:top w:val="nil"/>
              <w:left w:val="nil"/>
              <w:bottom w:val="nil"/>
              <w:right w:val="nil"/>
            </w:tcBorders>
            <w:shd w:val="clear" w:color="auto" w:fill="auto"/>
          </w:tcPr>
          <w:p w14:paraId="2066FDDC" w14:textId="77777777" w:rsidR="0011262F" w:rsidRPr="00176D3F" w:rsidRDefault="0011262F" w:rsidP="00B54007">
            <w:pPr>
              <w:pStyle w:val="Note"/>
            </w:pPr>
            <w:proofErr w:type="spellStart"/>
            <w:r>
              <w:rPr>
                <w:rStyle w:val="NoteLabel"/>
              </w:rPr>
              <w:t>a</w:t>
            </w:r>
            <w:proofErr w:type="spellEnd"/>
            <w:r>
              <w:t xml:space="preserve"> </w:t>
            </w:r>
            <w:r w:rsidRPr="00655794">
              <w:rPr>
                <w:spacing w:val="-2"/>
              </w:rPr>
              <w:t>The black line denotes the estimate average cost for funds in 2004 (or their first year of operation). The dots denote their estimated average costs with their assets and number of member accounts for 2017 (or their last year of operation). The vertical gap between the dots and the black line represent the fund’s estimated average cost reduction or increase from scale. Funds are ordered by estimated average cost in 2004.</w:t>
            </w:r>
            <w:r>
              <w:rPr>
                <w:spacing w:val="-2"/>
              </w:rPr>
              <w:t xml:space="preserve"> </w:t>
            </w:r>
            <w:r>
              <w:rPr>
                <w:rStyle w:val="NoteLabel"/>
              </w:rPr>
              <w:t>b</w:t>
            </w:r>
            <w:r w:rsidRPr="00F24F59">
              <w:t xml:space="preserve"> </w:t>
            </w:r>
            <w:r>
              <w:rPr>
                <w:spacing w:val="-2"/>
              </w:rPr>
              <w:t>Starting estimated average costs close to zero for some funds are likely to be due to underreported costs.</w:t>
            </w:r>
          </w:p>
        </w:tc>
      </w:tr>
      <w:tr w:rsidR="0011262F" w14:paraId="770A48C4" w14:textId="77777777" w:rsidTr="00B54007">
        <w:tc>
          <w:tcPr>
            <w:tcW w:w="5000" w:type="pct"/>
            <w:tcBorders>
              <w:top w:val="nil"/>
              <w:left w:val="nil"/>
              <w:bottom w:val="single" w:sz="6" w:space="0" w:color="78A22F"/>
              <w:right w:val="nil"/>
            </w:tcBorders>
            <w:shd w:val="clear" w:color="auto" w:fill="auto"/>
          </w:tcPr>
          <w:p w14:paraId="027253EC" w14:textId="77777777" w:rsidR="0011262F" w:rsidRDefault="0011262F" w:rsidP="00B54007">
            <w:pPr>
              <w:pStyle w:val="Figurespace"/>
            </w:pPr>
          </w:p>
        </w:tc>
      </w:tr>
      <w:tr w:rsidR="0011262F" w:rsidRPr="000863A5" w14:paraId="096E0E1E" w14:textId="77777777" w:rsidTr="00B54007">
        <w:tc>
          <w:tcPr>
            <w:tcW w:w="5000" w:type="pct"/>
            <w:tcBorders>
              <w:top w:val="single" w:sz="6" w:space="0" w:color="78A22F"/>
              <w:left w:val="nil"/>
              <w:bottom w:val="nil"/>
              <w:right w:val="nil"/>
            </w:tcBorders>
          </w:tcPr>
          <w:p w14:paraId="609684B5" w14:textId="77777777" w:rsidR="0011262F" w:rsidRPr="00626D32" w:rsidRDefault="0011262F" w:rsidP="00B54007">
            <w:pPr>
              <w:pStyle w:val="BoxSpaceBelow"/>
            </w:pPr>
          </w:p>
        </w:tc>
      </w:tr>
    </w:tbl>
    <w:p w14:paraId="5E2039C3" w14:textId="77777777" w:rsidR="0011262F" w:rsidRDefault="0011262F" w:rsidP="0011262F">
      <w:pPr>
        <w:pStyle w:val="BodyText"/>
      </w:pPr>
    </w:p>
    <w:p w14:paraId="1554D5C5" w14:textId="77777777" w:rsidR="0011262F" w:rsidRDefault="0011262F" w:rsidP="0011262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1262F" w14:paraId="2549F832" w14:textId="77777777" w:rsidTr="00B54007">
        <w:trPr>
          <w:tblHeader/>
        </w:trPr>
        <w:tc>
          <w:tcPr>
            <w:tcW w:w="5000" w:type="pct"/>
            <w:tcBorders>
              <w:top w:val="single" w:sz="6" w:space="0" w:color="78A22F"/>
              <w:left w:val="nil"/>
              <w:bottom w:val="nil"/>
              <w:right w:val="nil"/>
            </w:tcBorders>
            <w:shd w:val="clear" w:color="auto" w:fill="auto"/>
          </w:tcPr>
          <w:p w14:paraId="72999791" w14:textId="77777777" w:rsidR="0011262F" w:rsidRDefault="0011262F" w:rsidP="00B54007">
            <w:pPr>
              <w:pStyle w:val="FigureTitle"/>
            </w:pPr>
            <w:r w:rsidRPr="00784A05">
              <w:rPr>
                <w:b w:val="0"/>
              </w:rPr>
              <w:t xml:space="preserve">Figure </w:t>
            </w:r>
            <w:bookmarkStart w:id="38" w:name="OLE_LINK46"/>
            <w:r>
              <w:rPr>
                <w:b w:val="0"/>
              </w:rPr>
              <w:t>8.</w:t>
            </w:r>
            <w:r>
              <w:rPr>
                <w:b w:val="0"/>
                <w:noProof/>
              </w:rPr>
              <w:t>12</w:t>
            </w:r>
            <w:bookmarkEnd w:id="38"/>
            <w:r>
              <w:tab/>
              <w:t>A similar story for investment expenses</w:t>
            </w:r>
            <w:proofErr w:type="spellStart"/>
            <w:r w:rsidRPr="00707DC6">
              <w:rPr>
                <w:rStyle w:val="NoteLabel"/>
              </w:rPr>
              <w:t>a</w:t>
            </w:r>
            <w:r>
              <w:rPr>
                <w:rStyle w:val="NoteLabel"/>
              </w:rPr>
              <w:t>,b</w:t>
            </w:r>
            <w:proofErr w:type="spellEnd"/>
          </w:p>
          <w:p w14:paraId="09588DF0" w14:textId="77777777" w:rsidR="0011262F" w:rsidRPr="00176D3F" w:rsidRDefault="0011262F" w:rsidP="00B54007">
            <w:pPr>
              <w:pStyle w:val="Subtitle"/>
            </w:pPr>
            <w:r>
              <w:t>Projected cost changes, basis points (bps), 2004–17, investment expenses</w:t>
            </w:r>
          </w:p>
        </w:tc>
      </w:tr>
      <w:tr w:rsidR="0011262F" w14:paraId="29420202" w14:textId="77777777" w:rsidTr="00B5400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11262F" w:rsidRPr="00B1465D" w14:paraId="0C0F2052" w14:textId="77777777" w:rsidTr="00B54007">
              <w:trPr>
                <w:tblHeader/>
                <w:jc w:val="center"/>
              </w:trPr>
              <w:tc>
                <w:tcPr>
                  <w:tcW w:w="5000" w:type="pct"/>
                  <w:tcBorders>
                    <w:top w:val="nil"/>
                    <w:bottom w:val="nil"/>
                  </w:tcBorders>
                </w:tcPr>
                <w:p w14:paraId="21C35EFF" w14:textId="77777777" w:rsidR="0011262F" w:rsidRDefault="0011262F" w:rsidP="00B54007">
                  <w:pPr>
                    <w:pStyle w:val="Figure"/>
                    <w:spacing w:before="60" w:after="60"/>
                    <w:rPr>
                      <w:rFonts w:ascii="Arial" w:hAnsi="Arial" w:cs="Arial"/>
                      <w:sz w:val="18"/>
                      <w:szCs w:val="18"/>
                    </w:rPr>
                  </w:pPr>
                  <w:r w:rsidRPr="001A28C6">
                    <w:rPr>
                      <w:rFonts w:ascii="Arial" w:hAnsi="Arial" w:cs="Arial"/>
                      <w:noProof/>
                      <w:sz w:val="18"/>
                      <w:szCs w:val="18"/>
                    </w:rPr>
                    <w:drawing>
                      <wp:inline distT="0" distB="0" distL="0" distR="0" wp14:anchorId="6766C5BC" wp14:editId="6CBCA4EC">
                        <wp:extent cx="5478780" cy="2458331"/>
                        <wp:effectExtent l="0" t="0" r="0" b="0"/>
                        <wp:docPr id="67" name="Picture 67" descr="This figure shows the estimated starting and ending average investment expense, only due to changes in size. The starting estimated average expense is represented as a line, and the ending estimated average expense are represented as dots. Most dots lie below the black line, suggesting that most funds have realised scale benefits in investment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5665" cy="2461420"/>
                                </a:xfrm>
                                <a:prstGeom prst="rect">
                                  <a:avLst/>
                                </a:prstGeom>
                                <a:noFill/>
                                <a:ln>
                                  <a:noFill/>
                                </a:ln>
                              </pic:spPr>
                            </pic:pic>
                          </a:graphicData>
                        </a:graphic>
                      </wp:inline>
                    </w:drawing>
                  </w:r>
                </w:p>
                <w:tbl>
                  <w:tblPr>
                    <w:tblW w:w="0" w:type="auto"/>
                    <w:tblLook w:val="04A0" w:firstRow="1" w:lastRow="0" w:firstColumn="1" w:lastColumn="0" w:noHBand="0" w:noVBand="1"/>
                  </w:tblPr>
                  <w:tblGrid>
                    <w:gridCol w:w="1559"/>
                    <w:gridCol w:w="6935"/>
                  </w:tblGrid>
                  <w:tr w:rsidR="0011262F" w14:paraId="1EA71598" w14:textId="77777777" w:rsidTr="00B54007">
                    <w:trPr>
                      <w:tblHeader/>
                    </w:trPr>
                    <w:tc>
                      <w:tcPr>
                        <w:tcW w:w="1559" w:type="dxa"/>
                        <w:shd w:val="clear" w:color="auto" w:fill="F2F2F2" w:themeFill="background1" w:themeFillShade="F2"/>
                      </w:tcPr>
                      <w:p w14:paraId="5F202564" w14:textId="77777777" w:rsidR="0011262F" w:rsidRDefault="0011262F" w:rsidP="00B54007">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935" w:type="dxa"/>
                        <w:shd w:val="clear" w:color="auto" w:fill="F2F2F2" w:themeFill="background1" w:themeFillShade="F2"/>
                      </w:tcPr>
                      <w:p w14:paraId="6F47557A" w14:textId="77777777" w:rsidR="0011262F" w:rsidRDefault="0011262F" w:rsidP="00B54007">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PC analysis of unpublished APRA data.</w:t>
                        </w:r>
                      </w:p>
                    </w:tc>
                  </w:tr>
                  <w:tr w:rsidR="0011262F" w:rsidRPr="001F53B0" w14:paraId="0A4ECF2D" w14:textId="77777777" w:rsidTr="00B54007">
                    <w:tc>
                      <w:tcPr>
                        <w:tcW w:w="1559" w:type="dxa"/>
                        <w:shd w:val="clear" w:color="auto" w:fill="F2F2F2" w:themeFill="background1" w:themeFillShade="F2"/>
                      </w:tcPr>
                      <w:p w14:paraId="0AF42DD5" w14:textId="77777777" w:rsidR="0011262F" w:rsidRDefault="0011262F" w:rsidP="00B54007">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shd w:val="clear" w:color="auto" w:fill="F2F2F2" w:themeFill="background1" w:themeFillShade="F2"/>
                      </w:tcPr>
                      <w:p w14:paraId="548EEE0A" w14:textId="77777777" w:rsidR="0011262F" w:rsidRPr="001F53B0" w:rsidRDefault="0011262F" w:rsidP="00B54007">
                        <w:pPr>
                          <w:pStyle w:val="NormalWeb"/>
                          <w:spacing w:before="0" w:beforeAutospacing="0" w:after="0" w:afterAutospacing="0"/>
                          <w:rPr>
                            <w:color w:val="000000" w:themeColor="text1"/>
                          </w:rPr>
                        </w:pPr>
                        <w:r>
                          <w:rPr>
                            <w:rFonts w:ascii="Arial" w:eastAsia="+mn-ea" w:hAnsi="Arial" w:cs="Arial"/>
                            <w:color w:val="000000" w:themeColor="text1"/>
                            <w:kern w:val="24"/>
                            <w:sz w:val="18"/>
                            <w:szCs w:val="18"/>
                          </w:rPr>
                          <w:t xml:space="preserve">494 </w:t>
                        </w:r>
                        <w:r w:rsidRPr="00A95597">
                          <w:rPr>
                            <w:rFonts w:ascii="Arial" w:eastAsia="+mn-ea" w:hAnsi="Arial" w:cs="Arial"/>
                            <w:color w:val="000000" w:themeColor="text1"/>
                            <w:kern w:val="24"/>
                            <w:sz w:val="18"/>
                            <w:szCs w:val="18"/>
                          </w:rPr>
                          <w:t>funds</w:t>
                        </w:r>
                        <w:r>
                          <w:rPr>
                            <w:rFonts w:ascii="Arial" w:eastAsia="+mn-ea" w:hAnsi="Arial" w:cs="Arial"/>
                            <w:color w:val="000000" w:themeColor="text1"/>
                            <w:kern w:val="24"/>
                            <w:sz w:val="18"/>
                            <w:szCs w:val="18"/>
                          </w:rPr>
                          <w:t xml:space="preserve"> representing 100 per cent </w:t>
                        </w:r>
                        <w:r w:rsidRPr="000F2B85">
                          <w:rPr>
                            <w:rFonts w:ascii="Arial" w:eastAsia="+mn-ea" w:hAnsi="Arial" w:cs="Arial"/>
                            <w:color w:val="000000" w:themeColor="text1"/>
                            <w:kern w:val="24"/>
                            <w:sz w:val="18"/>
                            <w:szCs w:val="18"/>
                          </w:rPr>
                          <w:t xml:space="preserve">and </w:t>
                        </w:r>
                        <w:r>
                          <w:rPr>
                            <w:rFonts w:ascii="Arial" w:eastAsia="+mn-ea" w:hAnsi="Arial" w:cs="Arial"/>
                            <w:color w:val="000000" w:themeColor="text1"/>
                            <w:kern w:val="24"/>
                            <w:sz w:val="18"/>
                            <w:szCs w:val="18"/>
                          </w:rPr>
                          <w:t>91</w:t>
                        </w:r>
                        <w:r w:rsidRPr="00262154">
                          <w:rPr>
                            <w:rFonts w:ascii="Arial" w:eastAsia="+mn-ea" w:hAnsi="Arial" w:cs="Arial"/>
                            <w:color w:val="000000" w:themeColor="text1"/>
                            <w:kern w:val="24"/>
                            <w:sz w:val="18"/>
                            <w:szCs w:val="18"/>
                          </w:rPr>
                          <w:t> per cent</w:t>
                        </w:r>
                        <w:r>
                          <w:rPr>
                            <w:rFonts w:ascii="Arial" w:eastAsia="+mn-ea" w:hAnsi="Arial" w:cs="Arial"/>
                            <w:color w:val="000000" w:themeColor="text1"/>
                            <w:kern w:val="24"/>
                            <w:sz w:val="18"/>
                            <w:szCs w:val="18"/>
                          </w:rPr>
                          <w:t xml:space="preserve"> of the system by assets in 2015</w:t>
                        </w:r>
                        <w:r>
                          <w:rPr>
                            <w:rFonts w:ascii="Arial" w:eastAsia="+mn-ea" w:hAnsi="Arial" w:cs="Arial"/>
                            <w:color w:val="000000" w:themeColor="text1"/>
                            <w:kern w:val="24"/>
                            <w:sz w:val="18"/>
                            <w:szCs w:val="18"/>
                          </w:rPr>
                          <w:noBreakHyphen/>
                          <w:t>16 and 2004</w:t>
                        </w:r>
                        <w:r>
                          <w:rPr>
                            <w:rFonts w:ascii="Arial" w:eastAsia="+mn-ea" w:hAnsi="Arial" w:cs="Arial"/>
                            <w:color w:val="000000" w:themeColor="text1"/>
                            <w:kern w:val="24"/>
                            <w:sz w:val="18"/>
                            <w:szCs w:val="18"/>
                          </w:rPr>
                          <w:noBreakHyphen/>
                          <w:t>05 respectively. Excludes funds with less than two years of data.</w:t>
                        </w:r>
                      </w:p>
                    </w:tc>
                  </w:tr>
                </w:tbl>
                <w:p w14:paraId="0C6EA726" w14:textId="77777777" w:rsidR="0011262F" w:rsidRPr="00B1465D" w:rsidRDefault="0011262F" w:rsidP="00B54007">
                  <w:pPr>
                    <w:pStyle w:val="Figure"/>
                    <w:spacing w:before="60" w:after="60"/>
                    <w:rPr>
                      <w:rFonts w:ascii="Arial" w:hAnsi="Arial" w:cs="Arial"/>
                      <w:sz w:val="18"/>
                      <w:szCs w:val="18"/>
                    </w:rPr>
                  </w:pPr>
                </w:p>
              </w:tc>
            </w:tr>
          </w:tbl>
          <w:p w14:paraId="3B579027" w14:textId="77777777" w:rsidR="0011262F" w:rsidRDefault="0011262F" w:rsidP="00B54007">
            <w:pPr>
              <w:pStyle w:val="Figure"/>
            </w:pPr>
          </w:p>
        </w:tc>
      </w:tr>
      <w:tr w:rsidR="0011262F" w:rsidRPr="00176D3F" w14:paraId="7FA19A71" w14:textId="77777777" w:rsidTr="00B54007">
        <w:tc>
          <w:tcPr>
            <w:tcW w:w="5000" w:type="pct"/>
            <w:tcBorders>
              <w:top w:val="nil"/>
              <w:left w:val="nil"/>
              <w:bottom w:val="nil"/>
              <w:right w:val="nil"/>
            </w:tcBorders>
            <w:shd w:val="clear" w:color="auto" w:fill="auto"/>
          </w:tcPr>
          <w:p w14:paraId="6453D866" w14:textId="77777777" w:rsidR="0011262F" w:rsidRPr="00176D3F" w:rsidRDefault="0011262F" w:rsidP="00B54007">
            <w:pPr>
              <w:pStyle w:val="Note"/>
            </w:pPr>
            <w:proofErr w:type="spellStart"/>
            <w:r>
              <w:rPr>
                <w:rStyle w:val="NoteLabel"/>
              </w:rPr>
              <w:t>a</w:t>
            </w:r>
            <w:proofErr w:type="spellEnd"/>
            <w:r>
              <w:t xml:space="preserve"> </w:t>
            </w:r>
            <w:r w:rsidRPr="00655794">
              <w:rPr>
                <w:spacing w:val="-2"/>
              </w:rPr>
              <w:t>The black line denotes the estimate average cost for funds in 2004 (or their first year of operation). The dots denote their estimated average costs with their assets and number of member accounts for 2017 (or their last year of operation). The vertical gap between the dots and the black line represent the fund’s estimated average cost reduction or increase from scale. Funds are ordered by estimated average cost in 2004.</w:t>
            </w:r>
            <w:r>
              <w:rPr>
                <w:spacing w:val="-2"/>
              </w:rPr>
              <w:t xml:space="preserve"> </w:t>
            </w:r>
            <w:r>
              <w:rPr>
                <w:rStyle w:val="NoteLabel"/>
              </w:rPr>
              <w:t>b</w:t>
            </w:r>
            <w:r>
              <w:rPr>
                <w:spacing w:val="-2"/>
              </w:rPr>
              <w:t xml:space="preserve"> Starting estimated average costs close to zero for some funds are likely to be due to underreported costs (or imputed values that are estimated as larger than zero for zero expense reporting funds, but still small). The number of observations with low starting estimated average costs reinforces the problem of underreporting.</w:t>
            </w:r>
          </w:p>
        </w:tc>
      </w:tr>
      <w:tr w:rsidR="0011262F" w14:paraId="4F46C054" w14:textId="77777777" w:rsidTr="00B54007">
        <w:tc>
          <w:tcPr>
            <w:tcW w:w="5000" w:type="pct"/>
            <w:tcBorders>
              <w:top w:val="nil"/>
              <w:left w:val="nil"/>
              <w:bottom w:val="single" w:sz="6" w:space="0" w:color="78A22F"/>
              <w:right w:val="nil"/>
            </w:tcBorders>
            <w:shd w:val="clear" w:color="auto" w:fill="auto"/>
          </w:tcPr>
          <w:p w14:paraId="75AED5A3" w14:textId="77777777" w:rsidR="0011262F" w:rsidRDefault="0011262F" w:rsidP="00B54007">
            <w:pPr>
              <w:pStyle w:val="Figurespace"/>
            </w:pPr>
          </w:p>
        </w:tc>
      </w:tr>
      <w:tr w:rsidR="0011262F" w:rsidRPr="000863A5" w14:paraId="77F3BA4F" w14:textId="77777777" w:rsidTr="00B54007">
        <w:tc>
          <w:tcPr>
            <w:tcW w:w="5000" w:type="pct"/>
            <w:tcBorders>
              <w:top w:val="single" w:sz="6" w:space="0" w:color="78A22F"/>
              <w:left w:val="nil"/>
              <w:bottom w:val="nil"/>
              <w:right w:val="nil"/>
            </w:tcBorders>
          </w:tcPr>
          <w:p w14:paraId="684D48EE" w14:textId="77777777" w:rsidR="0011262F" w:rsidRPr="00626D32" w:rsidRDefault="0011262F" w:rsidP="00B54007">
            <w:pPr>
              <w:pStyle w:val="BoxSpaceBelow"/>
            </w:pPr>
          </w:p>
        </w:tc>
      </w:tr>
    </w:tbl>
    <w:p w14:paraId="5C3F5F76" w14:textId="77777777" w:rsidR="0011262F" w:rsidRDefault="0011262F" w:rsidP="0011262F">
      <w:pPr>
        <w:pStyle w:val="Heading4"/>
        <w:rPr>
          <w:lang w:eastAsia="en-US"/>
        </w:rPr>
      </w:pPr>
      <w:r>
        <w:t>…</w:t>
      </w:r>
      <w:r>
        <w:rPr>
          <w:lang w:eastAsia="en-US"/>
        </w:rPr>
        <w:t xml:space="preserve"> and translate to significant system savings</w:t>
      </w:r>
    </w:p>
    <w:p w14:paraId="063E07F7" w14:textId="77777777" w:rsidR="0011262F" w:rsidRDefault="0011262F" w:rsidP="0011262F">
      <w:pPr>
        <w:pStyle w:val="BodyText"/>
        <w:rPr>
          <w:lang w:eastAsia="en-US"/>
        </w:rPr>
      </w:pPr>
      <w:r>
        <w:rPr>
          <w:lang w:eastAsia="en-US"/>
        </w:rPr>
        <w:t>At a system level, potential cost savings associated with scale could be achieved through:</w:t>
      </w:r>
    </w:p>
    <w:p w14:paraId="14C436E5" w14:textId="77777777" w:rsidR="0011262F" w:rsidRPr="00915746" w:rsidRDefault="0011262F" w:rsidP="0011262F">
      <w:pPr>
        <w:pStyle w:val="ListBullet"/>
        <w:rPr>
          <w:lang w:eastAsia="en-US"/>
        </w:rPr>
      </w:pPr>
      <w:r>
        <w:rPr>
          <w:lang w:eastAsia="en-US"/>
        </w:rPr>
        <w:t>organic growth in funds’ assets stemming from investment returns or contributions</w:t>
      </w:r>
    </w:p>
    <w:p w14:paraId="467AB074" w14:textId="77777777" w:rsidR="0011262F" w:rsidRDefault="0011262F" w:rsidP="0011262F">
      <w:pPr>
        <w:pStyle w:val="ListBullet"/>
        <w:rPr>
          <w:lang w:eastAsia="en-US"/>
        </w:rPr>
      </w:pPr>
      <w:r>
        <w:rPr>
          <w:lang w:eastAsia="en-US"/>
        </w:rPr>
        <w:t>the exit of higher cost funds from the system and the transfer of their assets to lower cost funds.</w:t>
      </w:r>
    </w:p>
    <w:p w14:paraId="6BD033FF" w14:textId="77777777" w:rsidR="0011262F" w:rsidRDefault="0011262F" w:rsidP="0011262F">
      <w:pPr>
        <w:pStyle w:val="BodyText"/>
        <w:rPr>
          <w:lang w:eastAsia="en-US"/>
        </w:rPr>
      </w:pPr>
      <w:r>
        <w:rPr>
          <w:lang w:eastAsia="en-US"/>
        </w:rPr>
        <w:t>The approach used to calculate the savings from each of these sources is presented in box 8.5.</w:t>
      </w:r>
    </w:p>
    <w:p w14:paraId="2D67A005" w14:textId="77777777" w:rsidR="0011262F" w:rsidRDefault="0011262F" w:rsidP="0011262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1262F" w14:paraId="78639511" w14:textId="77777777" w:rsidTr="00B54007">
        <w:trPr>
          <w:tblHeader/>
        </w:trPr>
        <w:tc>
          <w:tcPr>
            <w:tcW w:w="5000" w:type="pct"/>
            <w:tcBorders>
              <w:top w:val="single" w:sz="6" w:space="0" w:color="78A22F"/>
              <w:left w:val="nil"/>
              <w:bottom w:val="nil"/>
              <w:right w:val="nil"/>
            </w:tcBorders>
            <w:shd w:val="clear" w:color="auto" w:fill="F2F2F2"/>
          </w:tcPr>
          <w:p w14:paraId="7B72A652" w14:textId="77777777" w:rsidR="0011262F" w:rsidRDefault="0011262F" w:rsidP="00B54007">
            <w:pPr>
              <w:pStyle w:val="BoxTitle"/>
            </w:pPr>
            <w:r>
              <w:rPr>
                <w:b w:val="0"/>
              </w:rPr>
              <w:t xml:space="preserve">Box </w:t>
            </w:r>
            <w:bookmarkStart w:id="39" w:name="OLE_LINK21"/>
            <w:r>
              <w:rPr>
                <w:b w:val="0"/>
              </w:rPr>
              <w:t>8.</w:t>
            </w:r>
            <w:r>
              <w:rPr>
                <w:b w:val="0"/>
                <w:noProof/>
              </w:rPr>
              <w:t>5</w:t>
            </w:r>
            <w:bookmarkEnd w:id="39"/>
            <w:r>
              <w:tab/>
              <w:t>Calculating system savings from realised economies of scale</w:t>
            </w:r>
          </w:p>
        </w:tc>
      </w:tr>
      <w:tr w:rsidR="0011262F" w14:paraId="5840F4AF" w14:textId="77777777" w:rsidTr="00B54007">
        <w:tc>
          <w:tcPr>
            <w:tcW w:w="5000" w:type="pct"/>
            <w:tcBorders>
              <w:top w:val="nil"/>
              <w:left w:val="nil"/>
              <w:bottom w:val="nil"/>
              <w:right w:val="nil"/>
            </w:tcBorders>
            <w:shd w:val="clear" w:color="auto" w:fill="F2F2F2"/>
          </w:tcPr>
          <w:p w14:paraId="1F5AA1FE" w14:textId="77777777" w:rsidR="0011262F" w:rsidRDefault="0011262F" w:rsidP="00B54007">
            <w:pPr>
              <w:pStyle w:val="Box"/>
            </w:pPr>
            <w:r>
              <w:t>The Commission has estimated realised economies of scale from two sources.</w:t>
            </w:r>
          </w:p>
          <w:p w14:paraId="730547A4" w14:textId="77777777" w:rsidR="0011262F" w:rsidRDefault="0011262F" w:rsidP="00B54007">
            <w:pPr>
              <w:pStyle w:val="BoxListNumber"/>
            </w:pPr>
            <w:r>
              <w:t>Reductions in costs generated by organic growth (due to investment returns or contributions). This is calculated by multiplying the stock of assets for a fund in a given year and the fund’s additional assets excluding net rollovers, by the difference between the fund’s:</w:t>
            </w:r>
          </w:p>
          <w:p w14:paraId="2C9A4B86" w14:textId="77777777" w:rsidR="0011262F" w:rsidRDefault="0011262F" w:rsidP="00B54007">
            <w:pPr>
              <w:pStyle w:val="BoxListNumber2"/>
            </w:pPr>
            <w:r>
              <w:t>estimated average cost in the previous year</w:t>
            </w:r>
          </w:p>
          <w:p w14:paraId="365031B7" w14:textId="77777777" w:rsidR="0011262F" w:rsidRDefault="0011262F" w:rsidP="00B54007">
            <w:pPr>
              <w:pStyle w:val="BoxListNumber2"/>
            </w:pPr>
            <w:r>
              <w:t>estimated average cost with the current year’s assets (other variables held constant).</w:t>
            </w:r>
          </w:p>
          <w:p w14:paraId="3D9011BF" w14:textId="77777777" w:rsidR="0011262F" w:rsidRPr="007E71F1" w:rsidRDefault="0011262F" w:rsidP="00B54007">
            <w:pPr>
              <w:pStyle w:val="BoxListNumber"/>
              <w:rPr>
                <w:spacing w:val="-2"/>
              </w:rPr>
            </w:pPr>
            <w:r w:rsidRPr="00F947DF">
              <w:rPr>
                <w:spacing w:val="-2"/>
              </w:rPr>
              <w:t>The gains generated from funds exiting the system and their members moving to (typically) lower cost funds.</w:t>
            </w:r>
            <w:r w:rsidRPr="007E71F1">
              <w:rPr>
                <w:spacing w:val="-2"/>
              </w:rPr>
              <w:t xml:space="preserve"> This is calculated by multiplying the value of net rollovers by the difference between:</w:t>
            </w:r>
          </w:p>
          <w:p w14:paraId="5B05A52D" w14:textId="77777777" w:rsidR="0011262F" w:rsidRDefault="0011262F" w:rsidP="00B54007">
            <w:pPr>
              <w:pStyle w:val="BoxListNumber2"/>
            </w:pPr>
            <w:r>
              <w:t>the estimated average costs of the leaving funds</w:t>
            </w:r>
          </w:p>
          <w:p w14:paraId="029E928F" w14:textId="77777777" w:rsidR="0011262F" w:rsidRDefault="0011262F" w:rsidP="00B54007">
            <w:pPr>
              <w:pStyle w:val="BoxListNumber2"/>
            </w:pPr>
            <w:r>
              <w:t>the estimated average system cost in the same year.</w:t>
            </w:r>
          </w:p>
          <w:p w14:paraId="186917F2" w14:textId="77777777" w:rsidR="0011262F" w:rsidRPr="0052570F" w:rsidRDefault="0011262F" w:rsidP="00B54007">
            <w:pPr>
              <w:pStyle w:val="Box"/>
            </w:pPr>
            <w:r w:rsidRPr="0052570F">
              <w:t>These</w:t>
            </w:r>
            <w:r w:rsidRPr="0052570F" w:rsidDel="00C8517A">
              <w:t xml:space="preserve"> </w:t>
            </w:r>
            <w:r w:rsidRPr="0052570F">
              <w:t>calculations are not perfect and likely understate the full extent of savings. First, because the calculations are performed on a year</w:t>
            </w:r>
            <w:r w:rsidRPr="0052570F">
              <w:noBreakHyphen/>
              <w:t>by</w:t>
            </w:r>
            <w:r w:rsidRPr="0052570F">
              <w:noBreakHyphen/>
              <w:t xml:space="preserve">year basis they only capture these ‘marginal’ savings and miss any cumulative savings. For example, in the </w:t>
            </w:r>
            <w:r w:rsidRPr="0052570F">
              <w:rPr>
                <w:i/>
              </w:rPr>
              <w:t>highly</w:t>
            </w:r>
            <w:r w:rsidRPr="0052570F">
              <w:t xml:space="preserve"> stylised figure below, the average expense ratio falls over the first year depicted, with savings represented by area A. In the following year, the ratio falls further, with savings represented by area C. The Commission’s modelling captures these (marginal) changes. But there are also potential gains in the second year, represented by the area B — that is, gains realised in the first year likely persist into the future. Similar arguments can be made for later years. These cumulative gains are not captured in the Commission’s estimates. Second, the estimated average system cost used in calculating the gains from funds exiting the system is likely to be high relative to the costs in the funds that actually receive assets from exiting funds.</w:t>
            </w:r>
          </w:p>
          <w:p w14:paraId="12C867E6" w14:textId="62A4BC6B" w:rsidR="0011262F" w:rsidRDefault="008E358A" w:rsidP="008E358A">
            <w:pPr>
              <w:pStyle w:val="BoxHeading1"/>
            </w:pPr>
            <w:r>
              <w:t xml:space="preserve">A </w:t>
            </w:r>
            <w:r w:rsidRPr="00017B87">
              <w:rPr>
                <w:i/>
              </w:rPr>
              <w:t>highly</w:t>
            </w:r>
            <w:r>
              <w:t xml:space="preserve"> stylised illustration of potential system savings</w:t>
            </w:r>
          </w:p>
          <w:p w14:paraId="7543CD6D" w14:textId="4C432A2D" w:rsidR="008E358A" w:rsidRDefault="008E358A" w:rsidP="008E358A">
            <w:pPr>
              <w:pStyle w:val="Box"/>
              <w:jc w:val="center"/>
            </w:pPr>
            <w:r>
              <w:rPr>
                <w:noProof/>
              </w:rPr>
              <w:drawing>
                <wp:inline distT="0" distB="0" distL="0" distR="0" wp14:anchorId="18CB201C" wp14:editId="3F888CCE">
                  <wp:extent cx="2604770" cy="2466340"/>
                  <wp:effectExtent l="0" t="0" r="0" b="0"/>
                  <wp:docPr id="3" name="Picture 3" descr="This figure shows a stylised illustration of potential savings from realised economies of scale over time. It illustrates the potential savings which are captured in the calculations and the savings which are not. &#10;"/>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4770" cy="2466340"/>
                          </a:xfrm>
                          <a:prstGeom prst="rect">
                            <a:avLst/>
                          </a:prstGeom>
                          <a:noFill/>
                          <a:ln>
                            <a:noFill/>
                          </a:ln>
                        </pic:spPr>
                      </pic:pic>
                    </a:graphicData>
                  </a:graphic>
                </wp:inline>
              </w:drawing>
            </w:r>
          </w:p>
          <w:p w14:paraId="2C4117F6" w14:textId="77777777" w:rsidR="0011262F" w:rsidRDefault="0011262F" w:rsidP="00B54007">
            <w:pPr>
              <w:pStyle w:val="Box"/>
            </w:pPr>
            <w:r>
              <w:t>Derivation of estimates of the size of both cumulative savings and those stemming from funds exits would require data on the flow of assets between funds, and this is not recorded in the data. The Commission has, therefore, taken a more conservative approach in deriving estimates of both realised (and unrealised) gains.</w:t>
            </w:r>
          </w:p>
        </w:tc>
      </w:tr>
      <w:tr w:rsidR="0011262F" w14:paraId="11890092" w14:textId="77777777" w:rsidTr="00B54007">
        <w:tc>
          <w:tcPr>
            <w:tcW w:w="5000" w:type="pct"/>
            <w:tcBorders>
              <w:top w:val="nil"/>
              <w:left w:val="nil"/>
              <w:bottom w:val="single" w:sz="6" w:space="0" w:color="78A22F"/>
              <w:right w:val="nil"/>
            </w:tcBorders>
            <w:shd w:val="clear" w:color="auto" w:fill="F2F2F2"/>
          </w:tcPr>
          <w:p w14:paraId="4EF7BFE1" w14:textId="77777777" w:rsidR="0011262F" w:rsidRDefault="0011262F" w:rsidP="00B54007">
            <w:pPr>
              <w:pStyle w:val="Box"/>
              <w:spacing w:before="0" w:line="120" w:lineRule="exact"/>
            </w:pPr>
          </w:p>
        </w:tc>
      </w:tr>
      <w:tr w:rsidR="0011262F" w:rsidRPr="000863A5" w14:paraId="015C0796" w14:textId="77777777" w:rsidTr="00B54007">
        <w:tc>
          <w:tcPr>
            <w:tcW w:w="5000" w:type="pct"/>
            <w:tcBorders>
              <w:top w:val="single" w:sz="6" w:space="0" w:color="78A22F"/>
              <w:left w:val="nil"/>
              <w:bottom w:val="nil"/>
              <w:right w:val="nil"/>
            </w:tcBorders>
          </w:tcPr>
          <w:p w14:paraId="4FE78EBF" w14:textId="77777777" w:rsidR="0011262F" w:rsidRPr="00626D32" w:rsidRDefault="0011262F" w:rsidP="00B54007">
            <w:pPr>
              <w:pStyle w:val="BoxSpaceBelow"/>
            </w:pPr>
          </w:p>
        </w:tc>
      </w:tr>
    </w:tbl>
    <w:p w14:paraId="429BC2EF" w14:textId="77777777" w:rsidR="0011262F" w:rsidRPr="00916067" w:rsidRDefault="0011262F" w:rsidP="0011262F">
      <w:pPr>
        <w:pStyle w:val="BodyText"/>
        <w:rPr>
          <w:lang w:eastAsia="en-US"/>
        </w:rPr>
      </w:pPr>
      <w:r w:rsidRPr="00E51698">
        <w:rPr>
          <w:lang w:eastAsia="en-US"/>
        </w:rPr>
        <w:lastRenderedPageBreak/>
        <w:t xml:space="preserve">Holding constant other factors that influence costs, </w:t>
      </w:r>
      <w:r w:rsidRPr="00F947DF">
        <w:rPr>
          <w:lang w:eastAsia="en-US"/>
        </w:rPr>
        <w:t xml:space="preserve">between 2004 and 2017, </w:t>
      </w:r>
      <w:r>
        <w:rPr>
          <w:i/>
          <w:lang w:eastAsia="en-US"/>
        </w:rPr>
        <w:t>marginal</w:t>
      </w:r>
      <w:r w:rsidRPr="00D04F5E">
        <w:rPr>
          <w:lang w:eastAsia="en-US"/>
        </w:rPr>
        <w:t xml:space="preserve"> </w:t>
      </w:r>
      <w:r w:rsidRPr="00E51698">
        <w:rPr>
          <w:lang w:eastAsia="en-US"/>
        </w:rPr>
        <w:t xml:space="preserve">system savings </w:t>
      </w:r>
      <w:r>
        <w:rPr>
          <w:lang w:eastAsia="en-US"/>
        </w:rPr>
        <w:t xml:space="preserve">— </w:t>
      </w:r>
      <w:r>
        <w:rPr>
          <w:spacing w:val="-2"/>
          <w:lang w:eastAsia="en-US"/>
        </w:rPr>
        <w:t xml:space="preserve">that is, the incremental gains accrued from year to year </w:t>
      </w:r>
      <w:r>
        <w:rPr>
          <w:lang w:eastAsia="en-US"/>
        </w:rPr>
        <w:t xml:space="preserve">(further defined in box 8.5) — </w:t>
      </w:r>
      <w:r w:rsidRPr="00E51698">
        <w:rPr>
          <w:lang w:eastAsia="en-US"/>
        </w:rPr>
        <w:t>associated with realised economies of</w:t>
      </w:r>
      <w:r w:rsidRPr="00F947DF">
        <w:rPr>
          <w:lang w:eastAsia="en-US"/>
        </w:rPr>
        <w:t xml:space="preserve"> scale are conservatively estimated to have averaged </w:t>
      </w:r>
      <w:r w:rsidRPr="007E71F1">
        <w:rPr>
          <w:lang w:eastAsia="en-US"/>
        </w:rPr>
        <w:t>about $3</w:t>
      </w:r>
      <w:r>
        <w:rPr>
          <w:lang w:eastAsia="en-US"/>
        </w:rPr>
        <w:t>4</w:t>
      </w:r>
      <w:r w:rsidRPr="007E71F1">
        <w:rPr>
          <w:lang w:eastAsia="en-US"/>
        </w:rPr>
        <w:t>0 million a year — or (with 50 per cent probability) to have totalled about $4.</w:t>
      </w:r>
      <w:r>
        <w:rPr>
          <w:lang w:eastAsia="en-US"/>
        </w:rPr>
        <w:t>5 </w:t>
      </w:r>
      <w:r w:rsidRPr="007E71F1">
        <w:rPr>
          <w:lang w:eastAsia="en-US"/>
        </w:rPr>
        <w:t>billion for the period (figure </w:t>
      </w:r>
      <w:r>
        <w:rPr>
          <w:lang w:eastAsia="en-US"/>
        </w:rPr>
        <w:t>8.13;</w:t>
      </w:r>
      <w:r w:rsidRPr="007E71F1">
        <w:rPr>
          <w:lang w:eastAsia="en-US"/>
        </w:rPr>
        <w:t xml:space="preserve"> table </w:t>
      </w:r>
      <w:r>
        <w:rPr>
          <w:lang w:eastAsia="en-US"/>
        </w:rPr>
        <w:t>8.8</w:t>
      </w:r>
      <w:r w:rsidRPr="007E71F1">
        <w:rPr>
          <w:lang w:eastAsia="en-US"/>
        </w:rPr>
        <w:t>).</w:t>
      </w:r>
    </w:p>
    <w:p w14:paraId="6C922290" w14:textId="77777777" w:rsidR="0011262F" w:rsidRPr="00E51698" w:rsidRDefault="0011262F" w:rsidP="0011262F">
      <w:pPr>
        <w:pStyle w:val="BodyText"/>
        <w:rPr>
          <w:lang w:eastAsia="en-US"/>
        </w:rPr>
      </w:pPr>
      <w:r w:rsidRPr="00E51698">
        <w:rPr>
          <w:lang w:eastAsia="en-US"/>
        </w:rPr>
        <w:t>These are significant savings (</w:t>
      </w:r>
      <w:r w:rsidRPr="00F947DF">
        <w:rPr>
          <w:lang w:eastAsia="en-US"/>
        </w:rPr>
        <w:t>and, as discussed in box </w:t>
      </w:r>
      <w:r>
        <w:rPr>
          <w:lang w:eastAsia="en-US"/>
        </w:rPr>
        <w:t>8.5</w:t>
      </w:r>
      <w:r w:rsidRPr="00F947DF">
        <w:rPr>
          <w:lang w:eastAsia="en-US"/>
        </w:rPr>
        <w:t xml:space="preserve">, are likely to be underestimates). </w:t>
      </w:r>
      <w:r w:rsidRPr="007E71F1">
        <w:rPr>
          <w:lang w:eastAsia="en-US"/>
        </w:rPr>
        <w:t xml:space="preserve">For context, recorded expenses </w:t>
      </w:r>
      <w:r>
        <w:rPr>
          <w:lang w:eastAsia="en-US"/>
        </w:rPr>
        <w:t>for</w:t>
      </w:r>
      <w:r w:rsidRPr="00E51698">
        <w:rPr>
          <w:lang w:eastAsia="en-US"/>
        </w:rPr>
        <w:t xml:space="preserve"> APRA</w:t>
      </w:r>
      <w:r w:rsidRPr="00E51698">
        <w:rPr>
          <w:lang w:eastAsia="en-US"/>
        </w:rPr>
        <w:noBreakHyphen/>
        <w:t xml:space="preserve">regulated funds were </w:t>
      </w:r>
      <w:r w:rsidRPr="00F947DF">
        <w:rPr>
          <w:lang w:eastAsia="en-US"/>
        </w:rPr>
        <w:t>about $2.5 billion in 2004 and just over $9 billion in 2017.</w:t>
      </w:r>
    </w:p>
    <w:p w14:paraId="3D44EE84" w14:textId="77777777" w:rsidR="0011262F" w:rsidRDefault="0011262F" w:rsidP="0011262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1262F" w14:paraId="17EF6E12" w14:textId="77777777" w:rsidTr="00B54007">
        <w:trPr>
          <w:tblHeader/>
        </w:trPr>
        <w:tc>
          <w:tcPr>
            <w:tcW w:w="5000" w:type="pct"/>
            <w:tcBorders>
              <w:top w:val="single" w:sz="6" w:space="0" w:color="78A22F"/>
              <w:left w:val="nil"/>
              <w:bottom w:val="nil"/>
              <w:right w:val="nil"/>
            </w:tcBorders>
            <w:shd w:val="clear" w:color="auto" w:fill="auto"/>
          </w:tcPr>
          <w:p w14:paraId="187F0FB4" w14:textId="77777777" w:rsidR="0011262F" w:rsidRDefault="0011262F" w:rsidP="00B54007">
            <w:pPr>
              <w:pStyle w:val="FigureTitle"/>
            </w:pPr>
            <w:r w:rsidRPr="00784A05">
              <w:rPr>
                <w:b w:val="0"/>
              </w:rPr>
              <w:t xml:space="preserve">Figure </w:t>
            </w:r>
            <w:bookmarkStart w:id="40" w:name="OLE_LINK24"/>
            <w:r>
              <w:rPr>
                <w:b w:val="0"/>
              </w:rPr>
              <w:t>8.</w:t>
            </w:r>
            <w:r>
              <w:rPr>
                <w:b w:val="0"/>
                <w:noProof/>
              </w:rPr>
              <w:t>13</w:t>
            </w:r>
            <w:bookmarkEnd w:id="40"/>
            <w:r>
              <w:tab/>
              <w:t>Large system savings from realised economies of scale</w:t>
            </w:r>
            <w:proofErr w:type="spellStart"/>
            <w:r w:rsidRPr="00215235">
              <w:rPr>
                <w:rStyle w:val="NoteLabel"/>
              </w:rPr>
              <w:t>a,b</w:t>
            </w:r>
            <w:r>
              <w:rPr>
                <w:rStyle w:val="NoteLabel"/>
              </w:rPr>
              <w:t>,c</w:t>
            </w:r>
            <w:proofErr w:type="spellEnd"/>
          </w:p>
          <w:p w14:paraId="5D8A2662" w14:textId="77777777" w:rsidR="0011262F" w:rsidRPr="00176D3F" w:rsidRDefault="0011262F" w:rsidP="00B54007">
            <w:pPr>
              <w:pStyle w:val="Subtitle"/>
            </w:pPr>
            <w:r>
              <w:t>Median marginal cost savings associated with realised economies of scale (EOS), 2005–2017</w:t>
            </w:r>
          </w:p>
        </w:tc>
      </w:tr>
      <w:tr w:rsidR="0011262F" w14:paraId="230C3780" w14:textId="77777777" w:rsidTr="00B5400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1262F" w:rsidRPr="00B1465D" w14:paraId="46CD566D" w14:textId="77777777" w:rsidTr="00B54007">
              <w:trPr>
                <w:tblHeader/>
                <w:jc w:val="center"/>
              </w:trPr>
              <w:tc>
                <w:tcPr>
                  <w:tcW w:w="5000" w:type="pct"/>
                  <w:tcBorders>
                    <w:top w:val="nil"/>
                    <w:bottom w:val="nil"/>
                  </w:tcBorders>
                </w:tcPr>
                <w:p w14:paraId="575E74AA" w14:textId="77777777" w:rsidR="0011262F" w:rsidRDefault="0011262F" w:rsidP="00B54007">
                  <w:pPr>
                    <w:pStyle w:val="Figure"/>
                    <w:spacing w:before="60" w:after="60"/>
                    <w:rPr>
                      <w:rFonts w:ascii="Arial" w:hAnsi="Arial" w:cs="Arial"/>
                      <w:sz w:val="18"/>
                      <w:szCs w:val="18"/>
                    </w:rPr>
                  </w:pPr>
                  <w:r w:rsidRPr="00EA6C60">
                    <w:rPr>
                      <w:rFonts w:ascii="Arial" w:hAnsi="Arial" w:cs="Arial"/>
                      <w:noProof/>
                      <w:sz w:val="18"/>
                      <w:szCs w:val="18"/>
                    </w:rPr>
                    <w:drawing>
                      <wp:inline distT="0" distB="0" distL="0" distR="0" wp14:anchorId="60A7EC55" wp14:editId="252266F3">
                        <wp:extent cx="4821382" cy="2736215"/>
                        <wp:effectExtent l="0" t="0" r="0" b="6985"/>
                        <wp:docPr id="69" name="Picture 69" descr="This figures shows the median marginal yearly savings from realised economies of scale for each year between 2005 to 2017. On average, the savings are around $300  million per year, with a dip during 2008 and 2009 and a jump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26429" cy="2739080"/>
                                </a:xfrm>
                                <a:prstGeom prst="rect">
                                  <a:avLst/>
                                </a:prstGeom>
                                <a:noFill/>
                                <a:ln>
                                  <a:noFill/>
                                </a:ln>
                              </pic:spPr>
                            </pic:pic>
                          </a:graphicData>
                        </a:graphic>
                      </wp:inline>
                    </w:drawing>
                  </w:r>
                </w:p>
                <w:tbl>
                  <w:tblPr>
                    <w:tblW w:w="0" w:type="auto"/>
                    <w:tblLook w:val="04A0" w:firstRow="1" w:lastRow="0" w:firstColumn="1" w:lastColumn="0" w:noHBand="0" w:noVBand="1"/>
                  </w:tblPr>
                  <w:tblGrid>
                    <w:gridCol w:w="1559"/>
                    <w:gridCol w:w="6935"/>
                  </w:tblGrid>
                  <w:tr w:rsidR="0011262F" w14:paraId="07473A64" w14:textId="77777777" w:rsidTr="00B54007">
                    <w:trPr>
                      <w:tblHeader/>
                    </w:trPr>
                    <w:tc>
                      <w:tcPr>
                        <w:tcW w:w="1559" w:type="dxa"/>
                        <w:shd w:val="clear" w:color="auto" w:fill="F2F2F2" w:themeFill="background1" w:themeFillShade="F2"/>
                      </w:tcPr>
                      <w:p w14:paraId="5DAE8C93" w14:textId="77777777" w:rsidR="0011262F" w:rsidRDefault="0011262F" w:rsidP="00B54007">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935" w:type="dxa"/>
                        <w:shd w:val="clear" w:color="auto" w:fill="F2F2F2" w:themeFill="background1" w:themeFillShade="F2"/>
                      </w:tcPr>
                      <w:p w14:paraId="0C53D60C" w14:textId="77777777" w:rsidR="0011262F" w:rsidRDefault="0011262F" w:rsidP="00B54007">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PC analysis of unpublished APRA data.</w:t>
                        </w:r>
                      </w:p>
                    </w:tc>
                  </w:tr>
                  <w:tr w:rsidR="0011262F" w:rsidRPr="001F53B0" w14:paraId="0A8C3775" w14:textId="77777777" w:rsidTr="00B54007">
                    <w:tc>
                      <w:tcPr>
                        <w:tcW w:w="1559" w:type="dxa"/>
                        <w:shd w:val="clear" w:color="auto" w:fill="F2F2F2" w:themeFill="background1" w:themeFillShade="F2"/>
                      </w:tcPr>
                      <w:p w14:paraId="5297D25D" w14:textId="77777777" w:rsidR="0011262F" w:rsidRDefault="0011262F" w:rsidP="00B54007">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shd w:val="clear" w:color="auto" w:fill="F2F2F2" w:themeFill="background1" w:themeFillShade="F2"/>
                      </w:tcPr>
                      <w:p w14:paraId="256E10EE" w14:textId="77777777" w:rsidR="0011262F" w:rsidRPr="001F53B0" w:rsidRDefault="0011262F" w:rsidP="00B54007">
                        <w:pPr>
                          <w:pStyle w:val="NormalWeb"/>
                          <w:spacing w:before="0" w:beforeAutospacing="0" w:after="0" w:afterAutospacing="0"/>
                          <w:rPr>
                            <w:color w:val="000000" w:themeColor="text1"/>
                          </w:rPr>
                        </w:pPr>
                        <w:r>
                          <w:rPr>
                            <w:rFonts w:ascii="Arial" w:eastAsia="+mn-ea" w:hAnsi="Arial" w:cs="Arial"/>
                            <w:color w:val="000000" w:themeColor="text1"/>
                            <w:kern w:val="24"/>
                            <w:sz w:val="18"/>
                            <w:szCs w:val="18"/>
                          </w:rPr>
                          <w:t xml:space="preserve">494 </w:t>
                        </w:r>
                        <w:r w:rsidRPr="00A95597">
                          <w:rPr>
                            <w:rFonts w:ascii="Arial" w:eastAsia="+mn-ea" w:hAnsi="Arial" w:cs="Arial"/>
                            <w:color w:val="000000" w:themeColor="text1"/>
                            <w:kern w:val="24"/>
                            <w:sz w:val="18"/>
                            <w:szCs w:val="18"/>
                          </w:rPr>
                          <w:t>funds</w:t>
                        </w:r>
                        <w:r>
                          <w:rPr>
                            <w:rFonts w:ascii="Arial" w:eastAsia="+mn-ea" w:hAnsi="Arial" w:cs="Arial"/>
                            <w:color w:val="000000" w:themeColor="text1"/>
                            <w:kern w:val="24"/>
                            <w:sz w:val="18"/>
                            <w:szCs w:val="18"/>
                          </w:rPr>
                          <w:t xml:space="preserve"> representing 100 per cent </w:t>
                        </w:r>
                        <w:r w:rsidRPr="000F2B85">
                          <w:rPr>
                            <w:rFonts w:ascii="Arial" w:eastAsia="+mn-ea" w:hAnsi="Arial" w:cs="Arial"/>
                            <w:color w:val="000000" w:themeColor="text1"/>
                            <w:kern w:val="24"/>
                            <w:sz w:val="18"/>
                            <w:szCs w:val="18"/>
                          </w:rPr>
                          <w:t xml:space="preserve">and </w:t>
                        </w:r>
                        <w:r>
                          <w:rPr>
                            <w:rFonts w:ascii="Arial" w:eastAsia="+mn-ea" w:hAnsi="Arial" w:cs="Arial"/>
                            <w:color w:val="000000" w:themeColor="text1"/>
                            <w:kern w:val="24"/>
                            <w:sz w:val="18"/>
                            <w:szCs w:val="18"/>
                          </w:rPr>
                          <w:t>91</w:t>
                        </w:r>
                        <w:r w:rsidRPr="00262154">
                          <w:rPr>
                            <w:rFonts w:ascii="Arial" w:eastAsia="+mn-ea" w:hAnsi="Arial" w:cs="Arial"/>
                            <w:color w:val="000000" w:themeColor="text1"/>
                            <w:kern w:val="24"/>
                            <w:sz w:val="18"/>
                            <w:szCs w:val="18"/>
                          </w:rPr>
                          <w:t> per cent</w:t>
                        </w:r>
                        <w:r>
                          <w:rPr>
                            <w:rFonts w:ascii="Arial" w:eastAsia="+mn-ea" w:hAnsi="Arial" w:cs="Arial"/>
                            <w:color w:val="000000" w:themeColor="text1"/>
                            <w:kern w:val="24"/>
                            <w:sz w:val="18"/>
                            <w:szCs w:val="18"/>
                          </w:rPr>
                          <w:t xml:space="preserve"> of the system by assets in 2015</w:t>
                        </w:r>
                        <w:r>
                          <w:rPr>
                            <w:rFonts w:ascii="Arial" w:eastAsia="+mn-ea" w:hAnsi="Arial" w:cs="Arial"/>
                            <w:color w:val="000000" w:themeColor="text1"/>
                            <w:kern w:val="24"/>
                            <w:sz w:val="18"/>
                            <w:szCs w:val="18"/>
                          </w:rPr>
                          <w:noBreakHyphen/>
                          <w:t>16 and 2004</w:t>
                        </w:r>
                        <w:r>
                          <w:rPr>
                            <w:rFonts w:ascii="Arial" w:eastAsia="+mn-ea" w:hAnsi="Arial" w:cs="Arial"/>
                            <w:color w:val="000000" w:themeColor="text1"/>
                            <w:kern w:val="24"/>
                            <w:sz w:val="18"/>
                            <w:szCs w:val="18"/>
                          </w:rPr>
                          <w:noBreakHyphen/>
                          <w:t>05 respectively. Excludes funds with less than two years of data.</w:t>
                        </w:r>
                      </w:p>
                    </w:tc>
                  </w:tr>
                </w:tbl>
                <w:p w14:paraId="4038316F" w14:textId="77777777" w:rsidR="0011262F" w:rsidRPr="00B1465D" w:rsidRDefault="0011262F" w:rsidP="00B54007">
                  <w:pPr>
                    <w:pStyle w:val="Figure"/>
                    <w:spacing w:before="60" w:after="60"/>
                    <w:rPr>
                      <w:rFonts w:ascii="Arial" w:hAnsi="Arial" w:cs="Arial"/>
                      <w:sz w:val="18"/>
                      <w:szCs w:val="18"/>
                    </w:rPr>
                  </w:pPr>
                </w:p>
              </w:tc>
            </w:tr>
          </w:tbl>
          <w:p w14:paraId="4E796B0A" w14:textId="77777777" w:rsidR="0011262F" w:rsidRDefault="0011262F" w:rsidP="00B54007">
            <w:pPr>
              <w:pStyle w:val="Figure"/>
            </w:pPr>
          </w:p>
        </w:tc>
      </w:tr>
      <w:tr w:rsidR="0011262F" w:rsidRPr="00176D3F" w14:paraId="45D1D84D" w14:textId="77777777" w:rsidTr="00B54007">
        <w:tc>
          <w:tcPr>
            <w:tcW w:w="5000" w:type="pct"/>
            <w:tcBorders>
              <w:top w:val="nil"/>
              <w:left w:val="nil"/>
              <w:bottom w:val="nil"/>
              <w:right w:val="nil"/>
            </w:tcBorders>
            <w:shd w:val="clear" w:color="auto" w:fill="auto"/>
          </w:tcPr>
          <w:p w14:paraId="26B9ED50" w14:textId="77777777" w:rsidR="0011262F" w:rsidRPr="00176D3F" w:rsidRDefault="0011262F" w:rsidP="00B54007">
            <w:pPr>
              <w:pStyle w:val="Note"/>
            </w:pPr>
            <w:proofErr w:type="spellStart"/>
            <w:r>
              <w:rPr>
                <w:rStyle w:val="NoteLabel"/>
              </w:rPr>
              <w:t>a</w:t>
            </w:r>
            <w:proofErr w:type="spellEnd"/>
            <w:r>
              <w:t xml:space="preserve"> Many factors contribute to these being underestimates (two key ones are described in box 8.5). On the other hand, the full extent of transition costs cannot be observed in APRA data — a source of overestimation in these estimates. </w:t>
            </w:r>
            <w:r>
              <w:rPr>
                <w:rStyle w:val="NoteLabel"/>
              </w:rPr>
              <w:t>b</w:t>
            </w:r>
            <w:r w:rsidRPr="00F947DF">
              <w:t xml:space="preserve"> </w:t>
            </w:r>
            <w:r>
              <w:t xml:space="preserve">Funds that reported asset allocations which included other assets of more than 95 per cent were excluded from this calculation. </w:t>
            </w:r>
            <w:r w:rsidRPr="003820DC">
              <w:rPr>
                <w:rStyle w:val="NoteLabel"/>
              </w:rPr>
              <w:t>c</w:t>
            </w:r>
            <w:r>
              <w:t xml:space="preserve"> The larger estimate for 2017 was influenced by a significant increase in reported net assets for Australian public service super funds. The effect of this is likely to be in the order of $150 million. The smaller estimates for 2008 and 2009 reflect the impact of the global financial crisis.</w:t>
            </w:r>
          </w:p>
        </w:tc>
      </w:tr>
      <w:tr w:rsidR="0011262F" w:rsidRPr="00176D3F" w14:paraId="757C28AF" w14:textId="77777777" w:rsidTr="00B54007">
        <w:tc>
          <w:tcPr>
            <w:tcW w:w="5000" w:type="pct"/>
            <w:tcBorders>
              <w:top w:val="nil"/>
              <w:left w:val="nil"/>
              <w:bottom w:val="nil"/>
              <w:right w:val="nil"/>
            </w:tcBorders>
            <w:shd w:val="clear" w:color="auto" w:fill="auto"/>
          </w:tcPr>
          <w:p w14:paraId="1E63CB54" w14:textId="77777777" w:rsidR="0011262F" w:rsidRPr="00176D3F" w:rsidRDefault="0011262F" w:rsidP="00B54007">
            <w:pPr>
              <w:pStyle w:val="Source"/>
            </w:pPr>
            <w:r>
              <w:rPr>
                <w:i/>
              </w:rPr>
              <w:t>S</w:t>
            </w:r>
            <w:r w:rsidRPr="00784A05">
              <w:rPr>
                <w:i/>
              </w:rPr>
              <w:t>ource</w:t>
            </w:r>
            <w:r w:rsidRPr="00176D3F">
              <w:t xml:space="preserve">: </w:t>
            </w:r>
            <w:r>
              <w:t>PC analysis of unpublished APRA data.</w:t>
            </w:r>
          </w:p>
        </w:tc>
      </w:tr>
      <w:tr w:rsidR="0011262F" w14:paraId="08B61A22" w14:textId="77777777" w:rsidTr="00B54007">
        <w:tc>
          <w:tcPr>
            <w:tcW w:w="5000" w:type="pct"/>
            <w:tcBorders>
              <w:top w:val="nil"/>
              <w:left w:val="nil"/>
              <w:bottom w:val="single" w:sz="6" w:space="0" w:color="78A22F"/>
              <w:right w:val="nil"/>
            </w:tcBorders>
            <w:shd w:val="clear" w:color="auto" w:fill="auto"/>
          </w:tcPr>
          <w:p w14:paraId="3731B33E" w14:textId="77777777" w:rsidR="0011262F" w:rsidRDefault="0011262F" w:rsidP="00B54007">
            <w:pPr>
              <w:pStyle w:val="Figurespace"/>
            </w:pPr>
          </w:p>
        </w:tc>
      </w:tr>
      <w:tr w:rsidR="0011262F" w:rsidRPr="000863A5" w14:paraId="43001F0A" w14:textId="77777777" w:rsidTr="00B54007">
        <w:tc>
          <w:tcPr>
            <w:tcW w:w="5000" w:type="pct"/>
            <w:tcBorders>
              <w:top w:val="single" w:sz="6" w:space="0" w:color="78A22F"/>
              <w:left w:val="nil"/>
              <w:bottom w:val="nil"/>
              <w:right w:val="nil"/>
            </w:tcBorders>
          </w:tcPr>
          <w:p w14:paraId="4D153E34" w14:textId="77777777" w:rsidR="0011262F" w:rsidRPr="00626D32" w:rsidRDefault="0011262F" w:rsidP="00B54007">
            <w:pPr>
              <w:pStyle w:val="BoxSpaceBelow"/>
            </w:pPr>
          </w:p>
        </w:tc>
      </w:tr>
    </w:tbl>
    <w:p w14:paraId="76B3ADC7" w14:textId="77777777" w:rsidR="0011262F" w:rsidRDefault="0011262F" w:rsidP="0011262F">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1262F" w14:paraId="178810AD" w14:textId="77777777" w:rsidTr="00B54007">
        <w:trPr>
          <w:tblHeader/>
        </w:trPr>
        <w:tc>
          <w:tcPr>
            <w:tcW w:w="5000" w:type="pct"/>
            <w:tcBorders>
              <w:top w:val="single" w:sz="6" w:space="0" w:color="78A22F"/>
              <w:left w:val="nil"/>
              <w:bottom w:val="nil"/>
              <w:right w:val="nil"/>
            </w:tcBorders>
            <w:shd w:val="clear" w:color="auto" w:fill="auto"/>
          </w:tcPr>
          <w:p w14:paraId="661EA1C1" w14:textId="77777777" w:rsidR="0011262F" w:rsidRDefault="0011262F" w:rsidP="00B54007">
            <w:pPr>
              <w:pStyle w:val="TableTitle"/>
            </w:pPr>
            <w:r>
              <w:rPr>
                <w:b w:val="0"/>
              </w:rPr>
              <w:t xml:space="preserve">Table </w:t>
            </w:r>
            <w:bookmarkStart w:id="41" w:name="OLE_LINK47"/>
            <w:r>
              <w:rPr>
                <w:b w:val="0"/>
              </w:rPr>
              <w:t>8.</w:t>
            </w:r>
            <w:bookmarkStart w:id="42" w:name="OLE_LINK22"/>
            <w:r>
              <w:rPr>
                <w:b w:val="0"/>
                <w:noProof/>
              </w:rPr>
              <w:t>8</w:t>
            </w:r>
            <w:bookmarkEnd w:id="41"/>
            <w:bookmarkEnd w:id="42"/>
            <w:r>
              <w:tab/>
              <w:t>Large system savings from realised economies of scale</w:t>
            </w:r>
            <w:proofErr w:type="spellStart"/>
            <w:r w:rsidRPr="00F158B6">
              <w:rPr>
                <w:rStyle w:val="NoteLabel"/>
                <w:b/>
              </w:rPr>
              <w:t>a,b</w:t>
            </w:r>
            <w:proofErr w:type="spellEnd"/>
          </w:p>
          <w:p w14:paraId="403049B2" w14:textId="77777777" w:rsidR="0011262F" w:rsidRPr="00784A05" w:rsidRDefault="0011262F" w:rsidP="00B54007">
            <w:pPr>
              <w:pStyle w:val="Subtitle"/>
            </w:pPr>
            <w:r>
              <w:t>Marginal cost savings associated with realised EOS between 2004 and 2017</w:t>
            </w:r>
          </w:p>
        </w:tc>
      </w:tr>
      <w:tr w:rsidR="0011262F" w14:paraId="127EC6EE" w14:textId="77777777" w:rsidTr="00B5400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263"/>
              <w:gridCol w:w="2123"/>
              <w:gridCol w:w="2119"/>
            </w:tblGrid>
            <w:tr w:rsidR="0011262F" w14:paraId="7411C27F" w14:textId="77777777" w:rsidTr="00B54007">
              <w:tc>
                <w:tcPr>
                  <w:tcW w:w="2506" w:type="pct"/>
                  <w:tcBorders>
                    <w:bottom w:val="single" w:sz="4" w:space="0" w:color="BFBFBF" w:themeColor="background1" w:themeShade="BF"/>
                  </w:tcBorders>
                </w:tcPr>
                <w:p w14:paraId="59F47C9C" w14:textId="77777777" w:rsidR="0011262F" w:rsidRDefault="0011262F" w:rsidP="00B54007">
                  <w:pPr>
                    <w:pStyle w:val="TableUnitsRow"/>
                    <w:jc w:val="left"/>
                  </w:pPr>
                </w:p>
              </w:tc>
              <w:tc>
                <w:tcPr>
                  <w:tcW w:w="1248" w:type="pct"/>
                  <w:tcBorders>
                    <w:bottom w:val="single" w:sz="4" w:space="0" w:color="BFBFBF" w:themeColor="background1" w:themeShade="BF"/>
                  </w:tcBorders>
                </w:tcPr>
                <w:p w14:paraId="135D5C9E" w14:textId="77777777" w:rsidR="0011262F" w:rsidRDefault="0011262F" w:rsidP="00B54007">
                  <w:pPr>
                    <w:pStyle w:val="TableUnitsRow"/>
                    <w:ind w:right="28"/>
                    <w:rPr>
                      <w:rStyle w:val="NoteLabel"/>
                    </w:rPr>
                  </w:pPr>
                  <w:r>
                    <w:t xml:space="preserve">Average marginal </w:t>
                  </w:r>
                  <w:r>
                    <w:br/>
                    <w:t>savings per year</w:t>
                  </w:r>
                  <w:r>
                    <w:rPr>
                      <w:rStyle w:val="NoteLabel"/>
                    </w:rPr>
                    <w:t>c</w:t>
                  </w:r>
                </w:p>
                <w:p w14:paraId="7FB6DB1B" w14:textId="77777777" w:rsidR="0011262F" w:rsidRPr="00BB5935" w:rsidRDefault="0011262F" w:rsidP="00B54007">
                  <w:pPr>
                    <w:pStyle w:val="TableUnitsRow"/>
                    <w:ind w:right="28"/>
                  </w:pPr>
                  <w:r w:rsidRPr="00BB5935">
                    <w:t xml:space="preserve">($ </w:t>
                  </w:r>
                  <w:r>
                    <w:t>m</w:t>
                  </w:r>
                  <w:r w:rsidRPr="00BB5935">
                    <w:t>illion)</w:t>
                  </w:r>
                </w:p>
              </w:tc>
              <w:tc>
                <w:tcPr>
                  <w:tcW w:w="1246" w:type="pct"/>
                  <w:tcBorders>
                    <w:bottom w:val="single" w:sz="4" w:space="0" w:color="BFBFBF" w:themeColor="background1" w:themeShade="BF"/>
                  </w:tcBorders>
                </w:tcPr>
                <w:p w14:paraId="2500A67A" w14:textId="77777777" w:rsidR="0011262F" w:rsidRDefault="0011262F" w:rsidP="00B54007">
                  <w:pPr>
                    <w:pStyle w:val="TableUnitsRow"/>
                  </w:pPr>
                  <w:r>
                    <w:t>Total marginal savings across the period</w:t>
                  </w:r>
                </w:p>
                <w:p w14:paraId="24FF5FFA" w14:textId="77777777" w:rsidR="0011262F" w:rsidRDefault="0011262F" w:rsidP="00B54007">
                  <w:pPr>
                    <w:pStyle w:val="TableUnitsRow"/>
                  </w:pPr>
                  <w:r>
                    <w:t>($ billion)</w:t>
                  </w:r>
                </w:p>
              </w:tc>
            </w:tr>
            <w:tr w:rsidR="0011262F" w14:paraId="3110DD10" w14:textId="77777777" w:rsidTr="00B54007">
              <w:tc>
                <w:tcPr>
                  <w:tcW w:w="2506" w:type="pct"/>
                  <w:tcBorders>
                    <w:top w:val="single" w:sz="4" w:space="0" w:color="BFBFBF" w:themeColor="background1" w:themeShade="BF"/>
                  </w:tcBorders>
                </w:tcPr>
                <w:p w14:paraId="685F89AE" w14:textId="77777777" w:rsidR="0011262F" w:rsidRDefault="0011262F" w:rsidP="00B54007">
                  <w:pPr>
                    <w:pStyle w:val="TableUnitsRow"/>
                    <w:jc w:val="left"/>
                  </w:pPr>
                  <w:r>
                    <w:t>With 90% probability system marginal realised economies of scale are at least</w:t>
                  </w:r>
                </w:p>
              </w:tc>
              <w:tc>
                <w:tcPr>
                  <w:tcW w:w="1248" w:type="pct"/>
                  <w:tcBorders>
                    <w:top w:val="single" w:sz="4" w:space="0" w:color="BFBFBF" w:themeColor="background1" w:themeShade="BF"/>
                  </w:tcBorders>
                </w:tcPr>
                <w:p w14:paraId="3431C8AE" w14:textId="77777777" w:rsidR="0011262F" w:rsidRDefault="0011262F" w:rsidP="00B54007">
                  <w:pPr>
                    <w:pStyle w:val="TableUnitsRow"/>
                    <w:ind w:right="28"/>
                  </w:pPr>
                  <w:r>
                    <w:t>264</w:t>
                  </w:r>
                </w:p>
              </w:tc>
              <w:tc>
                <w:tcPr>
                  <w:tcW w:w="1246" w:type="pct"/>
                  <w:tcBorders>
                    <w:top w:val="single" w:sz="4" w:space="0" w:color="BFBFBF" w:themeColor="background1" w:themeShade="BF"/>
                  </w:tcBorders>
                </w:tcPr>
                <w:p w14:paraId="74EC8756" w14:textId="77777777" w:rsidR="0011262F" w:rsidRDefault="0011262F" w:rsidP="00B54007">
                  <w:pPr>
                    <w:pStyle w:val="TableUnitsRow"/>
                  </w:pPr>
                  <w:r>
                    <w:t>3.4</w:t>
                  </w:r>
                </w:p>
              </w:tc>
            </w:tr>
            <w:tr w:rsidR="0011262F" w14:paraId="37E5BA1B" w14:textId="77777777" w:rsidTr="00B54007">
              <w:tc>
                <w:tcPr>
                  <w:tcW w:w="2506" w:type="pct"/>
                </w:tcPr>
                <w:p w14:paraId="6EFD7B29" w14:textId="77777777" w:rsidR="0011262F" w:rsidRDefault="0011262F" w:rsidP="00B54007">
                  <w:pPr>
                    <w:pStyle w:val="TableBodyText"/>
                    <w:jc w:val="left"/>
                  </w:pPr>
                  <w:r>
                    <w:t>With 50% probability system marginal realised economies of scale are at least</w:t>
                  </w:r>
                </w:p>
              </w:tc>
              <w:tc>
                <w:tcPr>
                  <w:tcW w:w="1248" w:type="pct"/>
                </w:tcPr>
                <w:p w14:paraId="0D6AD79F" w14:textId="77777777" w:rsidR="0011262F" w:rsidRDefault="0011262F" w:rsidP="00B54007">
                  <w:pPr>
                    <w:pStyle w:val="TableBodyText"/>
                    <w:ind w:right="28"/>
                  </w:pPr>
                  <w:r>
                    <w:t>344</w:t>
                  </w:r>
                </w:p>
              </w:tc>
              <w:tc>
                <w:tcPr>
                  <w:tcW w:w="1246" w:type="pct"/>
                </w:tcPr>
                <w:p w14:paraId="56DEAED3" w14:textId="77777777" w:rsidR="0011262F" w:rsidRDefault="0011262F" w:rsidP="00B54007">
                  <w:pPr>
                    <w:pStyle w:val="TableBodyText"/>
                  </w:pPr>
                  <w:r>
                    <w:t>4.5</w:t>
                  </w:r>
                </w:p>
              </w:tc>
            </w:tr>
            <w:tr w:rsidR="0011262F" w14:paraId="0E2EF2C4" w14:textId="77777777" w:rsidTr="00B54007">
              <w:tc>
                <w:tcPr>
                  <w:tcW w:w="2506" w:type="pct"/>
                  <w:tcBorders>
                    <w:bottom w:val="single" w:sz="6" w:space="0" w:color="BFBFBF"/>
                  </w:tcBorders>
                  <w:shd w:val="clear" w:color="auto" w:fill="auto"/>
                </w:tcPr>
                <w:p w14:paraId="03217567" w14:textId="77777777" w:rsidR="0011262F" w:rsidRDefault="0011262F" w:rsidP="00B54007">
                  <w:pPr>
                    <w:pStyle w:val="TableBodyText"/>
                    <w:jc w:val="left"/>
                  </w:pPr>
                  <w:r>
                    <w:t>With 10% probability system marginal realised economies of scale are at least</w:t>
                  </w:r>
                </w:p>
              </w:tc>
              <w:tc>
                <w:tcPr>
                  <w:tcW w:w="1248" w:type="pct"/>
                  <w:tcBorders>
                    <w:bottom w:val="single" w:sz="6" w:space="0" w:color="BFBFBF"/>
                  </w:tcBorders>
                </w:tcPr>
                <w:p w14:paraId="35A1B0DB" w14:textId="77777777" w:rsidR="0011262F" w:rsidRDefault="0011262F" w:rsidP="00B54007">
                  <w:pPr>
                    <w:pStyle w:val="TableBodyText"/>
                    <w:ind w:right="28"/>
                  </w:pPr>
                  <w:r>
                    <w:t>490</w:t>
                  </w:r>
                </w:p>
              </w:tc>
              <w:tc>
                <w:tcPr>
                  <w:tcW w:w="1246" w:type="pct"/>
                  <w:tcBorders>
                    <w:bottom w:val="single" w:sz="6" w:space="0" w:color="BFBFBF"/>
                  </w:tcBorders>
                </w:tcPr>
                <w:p w14:paraId="170AA37F" w14:textId="77777777" w:rsidR="0011262F" w:rsidRDefault="0011262F" w:rsidP="00B54007">
                  <w:pPr>
                    <w:pStyle w:val="TableBodyText"/>
                  </w:pPr>
                  <w:r>
                    <w:t>6.4</w:t>
                  </w:r>
                </w:p>
              </w:tc>
            </w:tr>
          </w:tbl>
          <w:p w14:paraId="3A240273" w14:textId="77777777" w:rsidR="0011262F" w:rsidRDefault="0011262F" w:rsidP="00B54007">
            <w:pPr>
              <w:pStyle w:val="Box"/>
            </w:pPr>
          </w:p>
        </w:tc>
      </w:tr>
      <w:tr w:rsidR="0011262F" w:rsidRPr="007E71F1" w14:paraId="7FA73A9C" w14:textId="77777777" w:rsidTr="00B54007">
        <w:tc>
          <w:tcPr>
            <w:tcW w:w="5000" w:type="pct"/>
            <w:tcBorders>
              <w:top w:val="nil"/>
              <w:left w:val="nil"/>
              <w:bottom w:val="nil"/>
              <w:right w:val="nil"/>
            </w:tcBorders>
            <w:shd w:val="clear" w:color="auto" w:fill="auto"/>
          </w:tcPr>
          <w:p w14:paraId="24A24113" w14:textId="77777777" w:rsidR="0011262F" w:rsidRPr="007E71F1" w:rsidRDefault="0011262F" w:rsidP="00B54007">
            <w:pPr>
              <w:pStyle w:val="Note"/>
              <w:rPr>
                <w:i/>
                <w:spacing w:val="-2"/>
              </w:rPr>
            </w:pPr>
            <w:r w:rsidRPr="007E71F1">
              <w:rPr>
                <w:spacing w:val="-2"/>
              </w:rPr>
              <w:t>Many factors contribute to these being underestimates (two key ones are described in box </w:t>
            </w:r>
            <w:r>
              <w:rPr>
                <w:spacing w:val="-2"/>
              </w:rPr>
              <w:t>8.5</w:t>
            </w:r>
            <w:r w:rsidRPr="007E71F1">
              <w:rPr>
                <w:spacing w:val="-2"/>
              </w:rPr>
              <w:t xml:space="preserve">)). On the other hand, the full extent of transition costs cannot be observed in APRA data — a source of overestimation in these estimates. </w:t>
            </w:r>
            <w:r w:rsidRPr="007E71F1">
              <w:rPr>
                <w:rStyle w:val="NoteLabel"/>
                <w:spacing w:val="-2"/>
              </w:rPr>
              <w:t>b</w:t>
            </w:r>
            <w:r w:rsidRPr="007E71F1">
              <w:rPr>
                <w:spacing w:val="-2"/>
              </w:rPr>
              <w:t xml:space="preserve"> Funds that reported asset allocations which included other assets of more than 95% were excluded from this calculation. </w:t>
            </w:r>
            <w:r w:rsidRPr="007E71F1">
              <w:rPr>
                <w:rStyle w:val="NoteLabel"/>
                <w:spacing w:val="-2"/>
              </w:rPr>
              <w:t>c</w:t>
            </w:r>
            <w:r w:rsidRPr="007E71F1">
              <w:rPr>
                <w:spacing w:val="-2"/>
              </w:rPr>
              <w:t xml:space="preserve"> Average in this case refers to average annual </w:t>
            </w:r>
            <w:r>
              <w:rPr>
                <w:spacing w:val="-2"/>
              </w:rPr>
              <w:t>marginal</w:t>
            </w:r>
            <w:r w:rsidRPr="007E71F1">
              <w:rPr>
                <w:spacing w:val="-2"/>
              </w:rPr>
              <w:t xml:space="preserve"> savings over the 14 year period.</w:t>
            </w:r>
          </w:p>
        </w:tc>
      </w:tr>
      <w:tr w:rsidR="0011262F" w14:paraId="5142C9E3" w14:textId="77777777" w:rsidTr="00B54007">
        <w:tc>
          <w:tcPr>
            <w:tcW w:w="5000" w:type="pct"/>
            <w:tcBorders>
              <w:top w:val="nil"/>
              <w:left w:val="nil"/>
              <w:bottom w:val="nil"/>
              <w:right w:val="nil"/>
            </w:tcBorders>
            <w:shd w:val="clear" w:color="auto" w:fill="auto"/>
          </w:tcPr>
          <w:p w14:paraId="4D80622A" w14:textId="77777777" w:rsidR="0011262F" w:rsidRDefault="0011262F" w:rsidP="00B54007">
            <w:pPr>
              <w:pStyle w:val="Source"/>
            </w:pPr>
            <w:r>
              <w:rPr>
                <w:i/>
              </w:rPr>
              <w:t>S</w:t>
            </w:r>
            <w:r w:rsidRPr="00784A05">
              <w:rPr>
                <w:i/>
              </w:rPr>
              <w:t>ource</w:t>
            </w:r>
            <w:r w:rsidRPr="00176D3F">
              <w:t xml:space="preserve">: </w:t>
            </w:r>
            <w:r>
              <w:rPr>
                <w:rFonts w:eastAsia="+mn-ea" w:cs="Arial"/>
                <w:color w:val="000000" w:themeColor="text1"/>
                <w:kern w:val="24"/>
                <w:szCs w:val="18"/>
              </w:rPr>
              <w:t>PC analysis of unpublished APRA data.</w:t>
            </w:r>
          </w:p>
        </w:tc>
      </w:tr>
      <w:tr w:rsidR="0011262F" w14:paraId="02949CC3" w14:textId="77777777" w:rsidTr="00B54007">
        <w:tc>
          <w:tcPr>
            <w:tcW w:w="5000" w:type="pct"/>
            <w:tcBorders>
              <w:top w:val="nil"/>
              <w:left w:val="nil"/>
              <w:bottom w:val="single" w:sz="6" w:space="0" w:color="78A22F"/>
              <w:right w:val="nil"/>
            </w:tcBorders>
            <w:shd w:val="clear" w:color="auto" w:fill="auto"/>
          </w:tcPr>
          <w:p w14:paraId="0A47E122" w14:textId="77777777" w:rsidR="0011262F" w:rsidRDefault="0011262F" w:rsidP="00B54007">
            <w:pPr>
              <w:pStyle w:val="Box"/>
              <w:spacing w:before="0" w:line="120" w:lineRule="exact"/>
            </w:pPr>
          </w:p>
        </w:tc>
      </w:tr>
      <w:tr w:rsidR="0011262F" w:rsidRPr="000863A5" w14:paraId="54CE863F" w14:textId="77777777" w:rsidTr="00B54007">
        <w:tc>
          <w:tcPr>
            <w:tcW w:w="5000" w:type="pct"/>
            <w:tcBorders>
              <w:top w:val="single" w:sz="6" w:space="0" w:color="78A22F"/>
              <w:left w:val="nil"/>
              <w:bottom w:val="nil"/>
              <w:right w:val="nil"/>
            </w:tcBorders>
          </w:tcPr>
          <w:p w14:paraId="1A4E9C4A" w14:textId="77777777" w:rsidR="0011262F" w:rsidRPr="00626D32" w:rsidRDefault="0011262F" w:rsidP="00B54007">
            <w:pPr>
              <w:pStyle w:val="BoxSpaceBelow"/>
            </w:pPr>
          </w:p>
        </w:tc>
      </w:tr>
    </w:tbl>
    <w:p w14:paraId="1200F4AF" w14:textId="77777777" w:rsidR="0011262F" w:rsidRDefault="0011262F" w:rsidP="0011262F">
      <w:pPr>
        <w:pStyle w:val="Heading4"/>
        <w:rPr>
          <w:lang w:eastAsia="en-US"/>
        </w:rPr>
      </w:pPr>
      <w:r>
        <w:t>But realised gains associated with scale have not been fully reflected in reported expenses</w:t>
      </w:r>
    </w:p>
    <w:p w14:paraId="49B7903A" w14:textId="77777777" w:rsidR="0011262F" w:rsidRPr="004C5A30" w:rsidRDefault="0011262F" w:rsidP="0011262F">
      <w:pPr>
        <w:pStyle w:val="BodyText"/>
      </w:pPr>
      <w:r>
        <w:t>A question to ask and answer at this point is ‘how do changes in reported expenses compare with the changes associated only with realised economies of scale (that is, the estimated changes in expenses when cost drivers other than scale are held constant)’?</w:t>
      </w:r>
    </w:p>
    <w:p w14:paraId="2224D2D2" w14:textId="77777777" w:rsidR="0011262F" w:rsidRDefault="0011262F" w:rsidP="0011262F">
      <w:pPr>
        <w:pStyle w:val="BodyText"/>
        <w:rPr>
          <w:spacing w:val="-2"/>
        </w:rPr>
      </w:pPr>
      <w:r>
        <w:t>Inspection of data for funds that were in the APRA panel in 2004 and/or 2017 reveals that reported administration expenses were markedly lower in 2017 than in 2004, while reported investment expenses were marginally lower (figure 8.14). Differences in administration expenses between the two points in time were driven, particularly, by lower expenses for retail and industry funds, while lower</w:t>
      </w:r>
      <w:r>
        <w:rPr>
          <w:spacing w:val="-2"/>
        </w:rPr>
        <w:t xml:space="preserve"> investment expenses for retail and public sector funds were offset by higher expenses for industry funds.</w:t>
      </w:r>
      <w:r w:rsidRPr="008B71FC">
        <w:rPr>
          <w:spacing w:val="-2"/>
        </w:rPr>
        <w:t xml:space="preserve"> </w:t>
      </w:r>
      <w:r>
        <w:rPr>
          <w:spacing w:val="-2"/>
        </w:rPr>
        <w:t>These observations are consistent with the analysis presented in chapter 3 of the Commission’s report.</w:t>
      </w:r>
    </w:p>
    <w:p w14:paraId="79B87C48" w14:textId="77777777" w:rsidR="0011262F" w:rsidRDefault="0011262F" w:rsidP="0011262F">
      <w:pPr>
        <w:pStyle w:val="BodyText"/>
        <w:rPr>
          <w:spacing w:val="-2"/>
        </w:rPr>
      </w:pPr>
      <w:r>
        <w:rPr>
          <w:spacing w:val="-2"/>
        </w:rPr>
        <w:t xml:space="preserve">But the economies of scale analysis that has to lie behind an answer to the question posed above draws on data that includes funds within the APRA panel </w:t>
      </w:r>
      <w:r w:rsidRPr="004C5A30">
        <w:rPr>
          <w:i/>
          <w:spacing w:val="-2"/>
        </w:rPr>
        <w:t>at any point</w:t>
      </w:r>
      <w:r>
        <w:rPr>
          <w:spacing w:val="-2"/>
        </w:rPr>
        <w:t xml:space="preserve"> between 2004 and 2017. Many funds were in the dataset for a relatively short period of time. In order to generate a robust comparison of reported and estimated changes in expenses, reported expenses for each fund were calculated as the difference in their reported expenses between the first and last years in which they appear in the data. So, for example, if a fund entered in 2010 and exited in 2014, the difference in their reported expenses is calculated as the difference between whatever expenses they reported in those two years. Not surprisingly, the calculated differences in reported expenses for many funds are relatively small.</w:t>
      </w:r>
    </w:p>
    <w:p w14:paraId="3584C6A0" w14:textId="77777777" w:rsidR="0011262F" w:rsidRDefault="0011262F" w:rsidP="0011262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1262F" w14:paraId="60BDEAB4" w14:textId="77777777" w:rsidTr="00B54007">
        <w:trPr>
          <w:tblHeader/>
        </w:trPr>
        <w:tc>
          <w:tcPr>
            <w:tcW w:w="5000" w:type="pct"/>
            <w:tcBorders>
              <w:top w:val="single" w:sz="6" w:space="0" w:color="78A22F"/>
              <w:left w:val="nil"/>
              <w:bottom w:val="nil"/>
              <w:right w:val="nil"/>
            </w:tcBorders>
            <w:shd w:val="clear" w:color="auto" w:fill="auto"/>
          </w:tcPr>
          <w:p w14:paraId="41C4B454" w14:textId="77777777" w:rsidR="0011262F" w:rsidRPr="00F158B6" w:rsidRDefault="0011262F" w:rsidP="00B54007">
            <w:pPr>
              <w:pStyle w:val="FigureTitle"/>
              <w:rPr>
                <w:spacing w:val="-4"/>
              </w:rPr>
            </w:pPr>
            <w:r w:rsidRPr="00784A05">
              <w:rPr>
                <w:b w:val="0"/>
              </w:rPr>
              <w:t xml:space="preserve">Figure </w:t>
            </w:r>
            <w:bookmarkStart w:id="43" w:name="OLE_LINK32"/>
            <w:r>
              <w:rPr>
                <w:b w:val="0"/>
              </w:rPr>
              <w:t>8.</w:t>
            </w:r>
            <w:bookmarkStart w:id="44" w:name="OLE_LINK31"/>
            <w:r>
              <w:rPr>
                <w:b w:val="0"/>
                <w:noProof/>
              </w:rPr>
              <w:t>14</w:t>
            </w:r>
            <w:bookmarkEnd w:id="43"/>
            <w:bookmarkEnd w:id="44"/>
            <w:r>
              <w:tab/>
            </w:r>
            <w:r w:rsidRPr="00F158B6">
              <w:rPr>
                <w:spacing w:val="-4"/>
              </w:rPr>
              <w:t>Reported</w:t>
            </w:r>
            <w:r w:rsidRPr="00F158B6" w:rsidDel="00537EA8">
              <w:rPr>
                <w:spacing w:val="-4"/>
              </w:rPr>
              <w:t xml:space="preserve"> </w:t>
            </w:r>
            <w:r w:rsidRPr="00F158B6">
              <w:rPr>
                <w:spacing w:val="-4"/>
              </w:rPr>
              <w:t>average administration expenses have fallen markedly at a system level; investment expenses much less so</w:t>
            </w:r>
          </w:p>
          <w:p w14:paraId="3246C9F1" w14:textId="77777777" w:rsidR="0011262F" w:rsidRPr="00176D3F" w:rsidRDefault="0011262F" w:rsidP="00B54007">
            <w:pPr>
              <w:pStyle w:val="Subtitle"/>
            </w:pPr>
            <w:r w:rsidRPr="00646637">
              <w:rPr>
                <w:spacing w:val="-2"/>
              </w:rPr>
              <w:t>2</w:t>
            </w:r>
            <w:r>
              <w:t>004–2017</w:t>
            </w:r>
          </w:p>
        </w:tc>
      </w:tr>
      <w:tr w:rsidR="0011262F" w14:paraId="068868BB" w14:textId="77777777" w:rsidTr="00B54007">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11262F" w:rsidRPr="00B1465D" w14:paraId="0C7E3177" w14:textId="77777777" w:rsidTr="00B54007">
              <w:trPr>
                <w:tblHeader/>
                <w:jc w:val="center"/>
              </w:trPr>
              <w:tc>
                <w:tcPr>
                  <w:tcW w:w="5000" w:type="pct"/>
                  <w:tcBorders>
                    <w:top w:val="nil"/>
                    <w:bottom w:val="nil"/>
                  </w:tcBorders>
                </w:tcPr>
                <w:p w14:paraId="70E1F885" w14:textId="77777777" w:rsidR="0011262F" w:rsidRDefault="0011262F" w:rsidP="00B54007">
                  <w:pPr>
                    <w:pStyle w:val="Figure"/>
                    <w:spacing w:before="60" w:after="60"/>
                    <w:rPr>
                      <w:rFonts w:ascii="Arial" w:hAnsi="Arial" w:cs="Arial"/>
                      <w:sz w:val="18"/>
                      <w:szCs w:val="18"/>
                    </w:rPr>
                  </w:pPr>
                  <w:r w:rsidRPr="007258E7">
                    <w:rPr>
                      <w:rFonts w:ascii="Arial" w:hAnsi="Arial" w:cs="Arial"/>
                      <w:noProof/>
                      <w:sz w:val="18"/>
                      <w:szCs w:val="18"/>
                    </w:rPr>
                    <w:drawing>
                      <wp:inline distT="0" distB="0" distL="0" distR="0" wp14:anchorId="33D44B99" wp14:editId="726505D2">
                        <wp:extent cx="5356860" cy="2855985"/>
                        <wp:effectExtent l="0" t="0" r="0" b="0"/>
                        <wp:docPr id="55" name="Picture 55" descr="This figure shows the change in the administration and investment expense ratios against average assets between 2004 to 2017. The administration expense ratio has markedly fallen over this time period for all fund types except public sector funds. The investment expense ratio has only evidently fallen for retail funds, with the other funds types showing small decreases, or an increase in the investment expense 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60216" cy="2857774"/>
                                </a:xfrm>
                                <a:prstGeom prst="rect">
                                  <a:avLst/>
                                </a:prstGeom>
                                <a:noFill/>
                                <a:ln>
                                  <a:noFill/>
                                </a:ln>
                              </pic:spPr>
                            </pic:pic>
                          </a:graphicData>
                        </a:graphic>
                      </wp:inline>
                    </w:drawing>
                  </w:r>
                </w:p>
                <w:tbl>
                  <w:tblPr>
                    <w:tblW w:w="0" w:type="auto"/>
                    <w:tblLook w:val="04A0" w:firstRow="1" w:lastRow="0" w:firstColumn="1" w:lastColumn="0" w:noHBand="0" w:noVBand="1"/>
                  </w:tblPr>
                  <w:tblGrid>
                    <w:gridCol w:w="1559"/>
                    <w:gridCol w:w="6935"/>
                  </w:tblGrid>
                  <w:tr w:rsidR="0011262F" w14:paraId="0E37ED21" w14:textId="77777777" w:rsidTr="00B54007">
                    <w:trPr>
                      <w:tblHeader/>
                    </w:trPr>
                    <w:tc>
                      <w:tcPr>
                        <w:tcW w:w="1559" w:type="dxa"/>
                        <w:shd w:val="clear" w:color="auto" w:fill="F2F2F2" w:themeFill="background1" w:themeFillShade="F2"/>
                      </w:tcPr>
                      <w:p w14:paraId="2807ED32" w14:textId="77777777" w:rsidR="0011262F" w:rsidRDefault="0011262F" w:rsidP="00B54007">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935" w:type="dxa"/>
                        <w:shd w:val="clear" w:color="auto" w:fill="F2F2F2" w:themeFill="background1" w:themeFillShade="F2"/>
                      </w:tcPr>
                      <w:p w14:paraId="532359C6" w14:textId="77777777" w:rsidR="0011262F" w:rsidRDefault="0011262F" w:rsidP="00B54007">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PC analysis of unpublished APRA data.</w:t>
                        </w:r>
                      </w:p>
                    </w:tc>
                  </w:tr>
                  <w:tr w:rsidR="0011262F" w14:paraId="74962B1F" w14:textId="77777777" w:rsidTr="00B54007">
                    <w:trPr>
                      <w:tblHeader/>
                    </w:trPr>
                    <w:tc>
                      <w:tcPr>
                        <w:tcW w:w="1559" w:type="dxa"/>
                        <w:shd w:val="clear" w:color="auto" w:fill="F2F2F2" w:themeFill="background1" w:themeFillShade="F2"/>
                      </w:tcPr>
                      <w:p w14:paraId="1290C98E" w14:textId="77777777" w:rsidR="0011262F" w:rsidRPr="002D6D85" w:rsidRDefault="0011262F" w:rsidP="00B54007">
                        <w:pPr>
                          <w:pStyle w:val="Figure"/>
                          <w:spacing w:before="0" w:after="0"/>
                          <w:jc w:val="left"/>
                          <w:rPr>
                            <w:rFonts w:asciiTheme="minorHAnsi" w:hAnsi="Arial" w:cstheme="minorBidi"/>
                            <w:b/>
                            <w:color w:val="000000" w:themeColor="text1"/>
                            <w:kern w:val="24"/>
                            <w:sz w:val="18"/>
                            <w:szCs w:val="18"/>
                          </w:rPr>
                        </w:pPr>
                        <w:r w:rsidRPr="002D6D85">
                          <w:rPr>
                            <w:rFonts w:asciiTheme="minorHAnsi" w:hAnsi="Arial" w:cstheme="minorBidi"/>
                            <w:b/>
                            <w:color w:val="000000" w:themeColor="text1"/>
                            <w:kern w:val="24"/>
                            <w:sz w:val="18"/>
                            <w:szCs w:val="18"/>
                          </w:rPr>
                          <w:t>Coverage</w:t>
                        </w:r>
                      </w:p>
                    </w:tc>
                    <w:tc>
                      <w:tcPr>
                        <w:tcW w:w="1559" w:type="dxa"/>
                        <w:shd w:val="clear" w:color="auto" w:fill="F2F2F2" w:themeFill="background1" w:themeFillShade="F2"/>
                      </w:tcPr>
                      <w:p w14:paraId="579119C3" w14:textId="77777777" w:rsidR="0011262F" w:rsidRDefault="0011262F" w:rsidP="00B54007">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 xml:space="preserve">494 </w:t>
                        </w:r>
                        <w:r w:rsidRPr="00A95597">
                          <w:rPr>
                            <w:rFonts w:ascii="Arial" w:eastAsia="+mn-ea" w:hAnsi="Arial" w:cs="Arial"/>
                            <w:color w:val="000000" w:themeColor="text1"/>
                            <w:kern w:val="24"/>
                            <w:sz w:val="18"/>
                            <w:szCs w:val="18"/>
                          </w:rPr>
                          <w:t>funds</w:t>
                        </w:r>
                        <w:r>
                          <w:rPr>
                            <w:rFonts w:ascii="Arial" w:eastAsia="+mn-ea" w:hAnsi="Arial" w:cs="Arial"/>
                            <w:color w:val="000000" w:themeColor="text1"/>
                            <w:kern w:val="24"/>
                            <w:sz w:val="18"/>
                            <w:szCs w:val="18"/>
                          </w:rPr>
                          <w:t xml:space="preserve"> representing 100 per cent and 91</w:t>
                        </w:r>
                        <w:r w:rsidRPr="00262154">
                          <w:rPr>
                            <w:rFonts w:ascii="Arial" w:eastAsia="+mn-ea" w:hAnsi="Arial" w:cs="Arial"/>
                            <w:color w:val="000000" w:themeColor="text1"/>
                            <w:kern w:val="24"/>
                            <w:sz w:val="18"/>
                            <w:szCs w:val="18"/>
                          </w:rPr>
                          <w:t> per cent</w:t>
                        </w:r>
                        <w:r>
                          <w:rPr>
                            <w:rFonts w:ascii="Arial" w:eastAsia="+mn-ea" w:hAnsi="Arial" w:cs="Arial"/>
                            <w:color w:val="000000" w:themeColor="text1"/>
                            <w:kern w:val="24"/>
                            <w:sz w:val="18"/>
                            <w:szCs w:val="18"/>
                          </w:rPr>
                          <w:t xml:space="preserve"> of the system by assets in 2015</w:t>
                        </w:r>
                        <w:r>
                          <w:rPr>
                            <w:rFonts w:ascii="Arial" w:eastAsia="+mn-ea" w:hAnsi="Arial" w:cs="Arial"/>
                            <w:color w:val="000000" w:themeColor="text1"/>
                            <w:kern w:val="24"/>
                            <w:sz w:val="18"/>
                            <w:szCs w:val="18"/>
                          </w:rPr>
                          <w:noBreakHyphen/>
                          <w:t>16 and 2004</w:t>
                        </w:r>
                        <w:r>
                          <w:rPr>
                            <w:rFonts w:ascii="Arial" w:eastAsia="+mn-ea" w:hAnsi="Arial" w:cs="Arial"/>
                            <w:color w:val="000000" w:themeColor="text1"/>
                            <w:kern w:val="24"/>
                            <w:sz w:val="18"/>
                            <w:szCs w:val="18"/>
                          </w:rPr>
                          <w:noBreakHyphen/>
                          <w:t xml:space="preserve">05 respectively. Excludes funds with less than two years of data. </w:t>
                        </w:r>
                      </w:p>
                    </w:tc>
                  </w:tr>
                </w:tbl>
                <w:p w14:paraId="400149EF" w14:textId="77777777" w:rsidR="0011262F" w:rsidRPr="00B1465D" w:rsidRDefault="0011262F" w:rsidP="00B54007">
                  <w:pPr>
                    <w:pStyle w:val="Figure"/>
                    <w:spacing w:before="60" w:after="60"/>
                    <w:rPr>
                      <w:rFonts w:ascii="Arial" w:hAnsi="Arial" w:cs="Arial"/>
                      <w:sz w:val="18"/>
                      <w:szCs w:val="18"/>
                    </w:rPr>
                  </w:pPr>
                </w:p>
              </w:tc>
            </w:tr>
          </w:tbl>
          <w:p w14:paraId="603C5B53" w14:textId="77777777" w:rsidR="0011262F" w:rsidRDefault="0011262F" w:rsidP="00B54007">
            <w:pPr>
              <w:pStyle w:val="Figure"/>
            </w:pPr>
          </w:p>
        </w:tc>
      </w:tr>
      <w:tr w:rsidR="0011262F" w14:paraId="71DACF57" w14:textId="77777777" w:rsidTr="00B54007">
        <w:tc>
          <w:tcPr>
            <w:tcW w:w="5000" w:type="pct"/>
            <w:tcBorders>
              <w:top w:val="nil"/>
              <w:left w:val="nil"/>
              <w:bottom w:val="single" w:sz="6" w:space="0" w:color="78A22F"/>
              <w:right w:val="nil"/>
            </w:tcBorders>
            <w:shd w:val="clear" w:color="auto" w:fill="auto"/>
          </w:tcPr>
          <w:p w14:paraId="3A267ECA" w14:textId="77777777" w:rsidR="0011262F" w:rsidRDefault="0011262F" w:rsidP="00B54007">
            <w:pPr>
              <w:pStyle w:val="Figurespace"/>
            </w:pPr>
          </w:p>
        </w:tc>
      </w:tr>
      <w:tr w:rsidR="0011262F" w:rsidRPr="000863A5" w14:paraId="3023D3B5" w14:textId="77777777" w:rsidTr="00B54007">
        <w:tc>
          <w:tcPr>
            <w:tcW w:w="5000" w:type="pct"/>
            <w:tcBorders>
              <w:top w:val="single" w:sz="6" w:space="0" w:color="78A22F"/>
              <w:left w:val="nil"/>
              <w:bottom w:val="nil"/>
              <w:right w:val="nil"/>
            </w:tcBorders>
          </w:tcPr>
          <w:p w14:paraId="72513324" w14:textId="77777777" w:rsidR="0011262F" w:rsidRPr="00626D32" w:rsidRDefault="0011262F" w:rsidP="00B54007">
            <w:pPr>
              <w:pStyle w:val="BoxSpaceBelow"/>
            </w:pPr>
          </w:p>
        </w:tc>
      </w:tr>
    </w:tbl>
    <w:p w14:paraId="697D8252" w14:textId="77777777" w:rsidR="0011262F" w:rsidRDefault="0011262F" w:rsidP="0011262F">
      <w:pPr>
        <w:pStyle w:val="BodyText"/>
        <w:rPr>
          <w:spacing w:val="-2"/>
        </w:rPr>
      </w:pPr>
      <w:r>
        <w:rPr>
          <w:spacing w:val="-2"/>
        </w:rPr>
        <w:t>In comparing changes in reported and estimated expenses, the Commission has used medians of the differences in reported expenses and estimated realised economies of scale for all funds in the APRA panel.</w:t>
      </w:r>
      <w:r>
        <w:rPr>
          <w:rStyle w:val="FootnoteReference"/>
          <w:spacing w:val="-2"/>
        </w:rPr>
        <w:footnoteReference w:id="18"/>
      </w:r>
      <w:r>
        <w:rPr>
          <w:spacing w:val="-2"/>
        </w:rPr>
        <w:t xml:space="preserve"> As would be expected, this median difference in reported expenses is markedly smaller than the figure implied by comparison of the system</w:t>
      </w:r>
      <w:r>
        <w:rPr>
          <w:spacing w:val="-2"/>
        </w:rPr>
        <w:noBreakHyphen/>
        <w:t>level means in 2004 and 2017 depicted in figure 8.14.</w:t>
      </w:r>
    </w:p>
    <w:p w14:paraId="0EFD6D24" w14:textId="77777777" w:rsidR="0011262F" w:rsidRDefault="0011262F" w:rsidP="0011262F">
      <w:pPr>
        <w:rPr>
          <w:szCs w:val="20"/>
        </w:rPr>
      </w:pPr>
      <w:r>
        <w:br w:type="page"/>
      </w:r>
    </w:p>
    <w:p w14:paraId="2B50C064" w14:textId="77777777" w:rsidR="0011262F" w:rsidRDefault="0011262F" w:rsidP="0011262F">
      <w:pPr>
        <w:pStyle w:val="BodyText"/>
      </w:pPr>
      <w:r>
        <w:lastRenderedPageBreak/>
        <w:t>The Commission’s comparison of changes in reported and estimated expenses suggests that not all realised gains associated with scale have been reflected in lower reported costs:</w:t>
      </w:r>
    </w:p>
    <w:p w14:paraId="53F18CA6" w14:textId="77777777" w:rsidR="0011262F" w:rsidRPr="00D93162" w:rsidRDefault="0011262F" w:rsidP="0011262F">
      <w:pPr>
        <w:pStyle w:val="ListBullet"/>
      </w:pPr>
      <w:r>
        <w:t xml:space="preserve">the median difference in </w:t>
      </w:r>
      <w:r>
        <w:rPr>
          <w:spacing w:val="-2"/>
        </w:rPr>
        <w:t xml:space="preserve">reported administration expenses was about 3 basis points. </w:t>
      </w:r>
      <w:r>
        <w:t>Holding constant other factors that influence administration expenses, the median estimated gains from scale for the same set of funds was 8 basis points over the period.</w:t>
      </w:r>
      <w:r>
        <w:rPr>
          <w:rStyle w:val="FootnoteReference"/>
          <w:spacing w:val="-2"/>
        </w:rPr>
        <w:footnoteReference w:id="19"/>
      </w:r>
      <w:r>
        <w:t xml:space="preserve"> There are a number of potential explanations for this observation. Inquiry participants noted that funds have significantly invested in member services over recent years. Funds may have also incurred costs associated with regulatory change (for example, the introduction of </w:t>
      </w:r>
      <w:proofErr w:type="spellStart"/>
      <w:r>
        <w:t>SuperStream</w:t>
      </w:r>
      <w:proofErr w:type="spellEnd"/>
      <w:r>
        <w:t>)</w:t>
      </w:r>
    </w:p>
    <w:p w14:paraId="74ADB1B7" w14:textId="77777777" w:rsidR="0011262F" w:rsidRDefault="0011262F" w:rsidP="0011262F">
      <w:pPr>
        <w:pStyle w:val="ListBullet"/>
      </w:pPr>
      <w:r>
        <w:rPr>
          <w:spacing w:val="-2"/>
        </w:rPr>
        <w:t xml:space="preserve">the median difference in reported investment expenses was smaller (around 1 basis point). </w:t>
      </w:r>
      <w:r>
        <w:t>Holding constant other factors that influence investment expenses, the median estimated gains from scale were also about 1 basis point over the period.</w:t>
      </w:r>
      <w:r>
        <w:rPr>
          <w:rStyle w:val="FootnoteReference"/>
          <w:spacing w:val="-2"/>
        </w:rPr>
        <w:footnoteReference w:id="20"/>
      </w:r>
    </w:p>
    <w:p w14:paraId="4687AB85" w14:textId="77777777" w:rsidR="0011262F" w:rsidRDefault="0011262F" w:rsidP="0011262F">
      <w:pPr>
        <w:pStyle w:val="BodyText"/>
      </w:pPr>
      <w:r>
        <w:t>Consistent with these observations for administration expenses, there has also been incomplete pass through of realised gains from scale to the fees charged to members (discussed below) — though this analysis only applies to the subset of funds with fees data.</w:t>
      </w:r>
    </w:p>
    <w:p w14:paraId="5DCBF8D6" w14:textId="77777777" w:rsidR="0011262F" w:rsidRPr="00154658" w:rsidRDefault="0011262F" w:rsidP="0011262F">
      <w:pPr>
        <w:pStyle w:val="Heading3"/>
      </w:pPr>
      <w:r>
        <w:t>Unrealised economies of scale are large</w:t>
      </w:r>
    </w:p>
    <w:p w14:paraId="75161CAE" w14:textId="77777777" w:rsidR="0011262F" w:rsidRDefault="0011262F" w:rsidP="0011262F">
      <w:pPr>
        <w:pStyle w:val="BodyText"/>
      </w:pPr>
      <w:r>
        <w:t>Clearly, organic growth in the system will deliver further gains from economies of scale in the future. But gains can and should also come from consolidation — particularly the exit of higher cost funds. The Commission has estimated the potential system savings that would arise if higher</w:t>
      </w:r>
      <w:r>
        <w:noBreakHyphen/>
        <w:t xml:space="preserve">cost funds merged with </w:t>
      </w:r>
      <w:r w:rsidRPr="00760A14">
        <w:t>the</w:t>
      </w:r>
      <w:r>
        <w:t xml:space="preserve"> lowest cost funds </w:t>
      </w:r>
      <w:r w:rsidRPr="00760A14">
        <w:rPr>
          <w:b/>
        </w:rPr>
        <w:t>and</w:t>
      </w:r>
      <w:r>
        <w:rPr>
          <w:b/>
        </w:rPr>
        <w:t xml:space="preserve"> </w:t>
      </w:r>
      <w:r>
        <w:t>those lowest cost funds experienced economies of scale as they increased in size.</w:t>
      </w:r>
      <w:r>
        <w:rPr>
          <w:rStyle w:val="FootnoteReference"/>
        </w:rPr>
        <w:footnoteReference w:id="21"/>
      </w:r>
    </w:p>
    <w:p w14:paraId="6C573179" w14:textId="77777777" w:rsidR="0011262F" w:rsidRDefault="0011262F" w:rsidP="0011262F">
      <w:pPr>
        <w:pStyle w:val="BodyText"/>
      </w:pPr>
      <w:r>
        <w:t xml:space="preserve">As for realised gains, estimated potential savings are significant. For example, savings from a scenario where mergers occurred between the 50 highest cost and 10 lowest cost funds (agnostic of fund type) are estimated to be at least $1.8 billion (with 50 per cent probability) </w:t>
      </w:r>
      <w:r>
        <w:lastRenderedPageBreak/>
        <w:t>(figure 8.15).</w:t>
      </w:r>
      <w:r w:rsidRPr="006007B3">
        <w:rPr>
          <w:rStyle w:val="FootnoteReference"/>
        </w:rPr>
        <w:footnoteReference w:id="22"/>
      </w:r>
      <w:r>
        <w:t xml:space="preserve"> And even under some conservative scenarios where the lowest cost group includes some funds estimated to have diseconomies of scale in investment, the potential gains are still at least as large as $750 million.</w:t>
      </w:r>
    </w:p>
    <w:p w14:paraId="6811EF4F" w14:textId="77777777" w:rsidR="0011262F" w:rsidRDefault="0011262F" w:rsidP="0011262F">
      <w:pPr>
        <w:pStyle w:val="BodyText"/>
      </w:pPr>
      <w:r>
        <w:t xml:space="preserve">If the median cost saving from these gains was passed through to </w:t>
      </w:r>
      <w:r w:rsidRPr="0061681A">
        <w:rPr>
          <w:i/>
        </w:rPr>
        <w:t>all</w:t>
      </w:r>
      <w:r>
        <w:t xml:space="preserve"> members as lower fees (a reduction of about 10 basis points) then holding all other costs constant an average member within the system would be $22 000 better off in retirement. (This benefit to members may appear modest relatively to Commission’s cameos in the report, but disparate to those cameos this benefit applies to all members.) Gains to members of higher cost funds would be markedly larger.</w:t>
      </w:r>
    </w:p>
    <w:p w14:paraId="13168963" w14:textId="77777777" w:rsidR="0011262F" w:rsidRDefault="0011262F" w:rsidP="0011262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1262F" w14:paraId="30600D1D" w14:textId="77777777" w:rsidTr="00B54007">
        <w:trPr>
          <w:tblHeader/>
        </w:trPr>
        <w:tc>
          <w:tcPr>
            <w:tcW w:w="5000" w:type="pct"/>
            <w:tcBorders>
              <w:top w:val="single" w:sz="6" w:space="0" w:color="78A22F"/>
              <w:left w:val="nil"/>
              <w:bottom w:val="nil"/>
              <w:right w:val="nil"/>
            </w:tcBorders>
            <w:shd w:val="clear" w:color="auto" w:fill="auto"/>
          </w:tcPr>
          <w:p w14:paraId="62A14CB7" w14:textId="77777777" w:rsidR="0011262F" w:rsidRDefault="0011262F" w:rsidP="00B54007">
            <w:pPr>
              <w:pStyle w:val="FigureTitle"/>
            </w:pPr>
            <w:r w:rsidRPr="00784A05">
              <w:rPr>
                <w:b w:val="0"/>
              </w:rPr>
              <w:t xml:space="preserve">Figure </w:t>
            </w:r>
            <w:bookmarkStart w:id="45" w:name="OLE_LINK34"/>
            <w:bookmarkStart w:id="46" w:name="OLE_LINK15"/>
            <w:r>
              <w:rPr>
                <w:b w:val="0"/>
              </w:rPr>
              <w:t>8.</w:t>
            </w:r>
            <w:r>
              <w:rPr>
                <w:b w:val="0"/>
                <w:noProof/>
              </w:rPr>
              <w:t>15</w:t>
            </w:r>
            <w:bookmarkEnd w:id="45"/>
            <w:bookmarkEnd w:id="46"/>
            <w:r>
              <w:tab/>
              <w:t>Unrealised economies of scale — a source of large potential savings</w:t>
            </w:r>
            <w:proofErr w:type="spellStart"/>
            <w:r w:rsidRPr="00AC05E3">
              <w:rPr>
                <w:rStyle w:val="NoteLabel"/>
              </w:rPr>
              <w:t>a</w:t>
            </w:r>
            <w:r>
              <w:rPr>
                <w:rStyle w:val="NoteLabel"/>
              </w:rPr>
              <w:t>,b</w:t>
            </w:r>
            <w:proofErr w:type="spellEnd"/>
          </w:p>
          <w:p w14:paraId="6108F9B2" w14:textId="77777777" w:rsidR="0011262F" w:rsidRPr="00176D3F" w:rsidRDefault="0011262F" w:rsidP="00B54007">
            <w:pPr>
              <w:pStyle w:val="Subtitle"/>
            </w:pPr>
            <w:r>
              <w:t>Estimated savings per annum, $billion</w:t>
            </w:r>
          </w:p>
        </w:tc>
      </w:tr>
      <w:tr w:rsidR="0011262F" w14:paraId="33AF416C" w14:textId="77777777" w:rsidTr="00B5400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11262F" w:rsidRPr="00B1465D" w14:paraId="1A1627B0" w14:textId="77777777" w:rsidTr="00B54007">
              <w:trPr>
                <w:tblHeader/>
                <w:jc w:val="center"/>
              </w:trPr>
              <w:tc>
                <w:tcPr>
                  <w:tcW w:w="5000" w:type="pct"/>
                  <w:tcBorders>
                    <w:top w:val="nil"/>
                    <w:bottom w:val="nil"/>
                  </w:tcBorders>
                </w:tcPr>
                <w:p w14:paraId="6FE3D724" w14:textId="77777777" w:rsidR="0011262F" w:rsidRDefault="0011262F" w:rsidP="00B54007">
                  <w:pPr>
                    <w:pStyle w:val="Figure"/>
                    <w:spacing w:before="60" w:after="60"/>
                    <w:rPr>
                      <w:rFonts w:ascii="Arial" w:hAnsi="Arial" w:cs="Arial"/>
                      <w:sz w:val="18"/>
                      <w:szCs w:val="18"/>
                    </w:rPr>
                  </w:pPr>
                  <w:r w:rsidRPr="00CB63C5">
                    <w:rPr>
                      <w:rFonts w:ascii="Arial" w:hAnsi="Arial" w:cs="Arial"/>
                      <w:noProof/>
                      <w:sz w:val="18"/>
                      <w:szCs w:val="18"/>
                    </w:rPr>
                    <w:drawing>
                      <wp:inline distT="0" distB="0" distL="0" distR="0" wp14:anchorId="289D2FF1" wp14:editId="314504B2">
                        <wp:extent cx="5402580" cy="2880360"/>
                        <wp:effectExtent l="0" t="0" r="0" b="0"/>
                        <wp:docPr id="70" name="Picture 70" descr="This figure shows the minimum savings to the system if funds were to exit the system and have their assets reallocated to lower cost funds. The 50th, 70th, and 90th percentile are presented, where up to 100 funds exit the system. As the number of funds exit, the savings per year 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bl>
                  <w:tblPr>
                    <w:tblW w:w="0" w:type="auto"/>
                    <w:tblLook w:val="04A0" w:firstRow="1" w:lastRow="0" w:firstColumn="1" w:lastColumn="0" w:noHBand="0" w:noVBand="1"/>
                  </w:tblPr>
                  <w:tblGrid>
                    <w:gridCol w:w="1985"/>
                    <w:gridCol w:w="3041"/>
                    <w:gridCol w:w="3468"/>
                  </w:tblGrid>
                  <w:tr w:rsidR="0011262F" w14:paraId="1B273DBB" w14:textId="77777777" w:rsidTr="00B54007">
                    <w:trPr>
                      <w:tblHeader/>
                    </w:trPr>
                    <w:tc>
                      <w:tcPr>
                        <w:tcW w:w="1985" w:type="dxa"/>
                        <w:shd w:val="clear" w:color="auto" w:fill="F2F2F2" w:themeFill="background1" w:themeFillShade="F2"/>
                      </w:tcPr>
                      <w:p w14:paraId="12C17678" w14:textId="77777777" w:rsidR="0011262F" w:rsidRDefault="0011262F" w:rsidP="00B54007">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509" w:type="dxa"/>
                        <w:gridSpan w:val="2"/>
                        <w:shd w:val="clear" w:color="auto" w:fill="F2F2F2" w:themeFill="background1" w:themeFillShade="F2"/>
                      </w:tcPr>
                      <w:p w14:paraId="22EA8CC6" w14:textId="77777777" w:rsidR="0011262F" w:rsidRDefault="0011262F" w:rsidP="00B54007">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PC analysis of unpublished APRA data.</w:t>
                        </w:r>
                      </w:p>
                    </w:tc>
                  </w:tr>
                  <w:tr w:rsidR="0011262F" w14:paraId="42BCBB0B" w14:textId="77777777" w:rsidTr="00B54007">
                    <w:trPr>
                      <w:trHeight w:val="240"/>
                    </w:trPr>
                    <w:tc>
                      <w:tcPr>
                        <w:tcW w:w="1985" w:type="dxa"/>
                        <w:vMerge w:val="restart"/>
                        <w:shd w:val="clear" w:color="auto" w:fill="F2F2F2" w:themeFill="background1" w:themeFillShade="F2"/>
                        <w:vAlign w:val="center"/>
                      </w:tcPr>
                      <w:p w14:paraId="4B77F272" w14:textId="77777777" w:rsidR="0011262F" w:rsidRDefault="0011262F" w:rsidP="00B54007">
                        <w:pPr>
                          <w:pStyle w:val="Figure"/>
                          <w:spacing w:before="0" w:after="0"/>
                          <w:jc w:val="left"/>
                          <w:rPr>
                            <w:rFonts w:asciiTheme="minorHAnsi" w:hAnsi="Arial" w:cstheme="minorBidi"/>
                            <w:b/>
                            <w:color w:val="000000" w:themeColor="text1"/>
                            <w:kern w:val="24"/>
                            <w:sz w:val="18"/>
                            <w:szCs w:val="18"/>
                          </w:rPr>
                        </w:pPr>
                        <w:r>
                          <w:rPr>
                            <w:rFonts w:asciiTheme="minorHAnsi" w:hAnsi="Arial" w:cstheme="minorBidi"/>
                            <w:b/>
                            <w:color w:val="000000" w:themeColor="text1"/>
                            <w:kern w:val="24"/>
                            <w:sz w:val="18"/>
                            <w:szCs w:val="18"/>
                          </w:rPr>
                          <w:t>Median coverage</w:t>
                        </w:r>
                        <w:r w:rsidRPr="00DF5BB0">
                          <w:rPr>
                            <w:rStyle w:val="NoteLabel"/>
                          </w:rPr>
                          <w:t>c</w:t>
                        </w:r>
                      </w:p>
                    </w:tc>
                    <w:tc>
                      <w:tcPr>
                        <w:tcW w:w="3041" w:type="dxa"/>
                        <w:shd w:val="clear" w:color="auto" w:fill="F2F2F2" w:themeFill="background1" w:themeFillShade="F2"/>
                      </w:tcPr>
                      <w:p w14:paraId="539CCC24" w14:textId="77777777" w:rsidR="0011262F" w:rsidRDefault="0011262F" w:rsidP="00B54007">
                        <w:pPr>
                          <w:pStyle w:val="Figure"/>
                          <w:spacing w:before="0" w:after="0"/>
                          <w:jc w:val="left"/>
                          <w:rPr>
                            <w:rFonts w:ascii="Arial" w:hAnsi="Arial" w:cs="Arial"/>
                            <w:sz w:val="18"/>
                            <w:szCs w:val="18"/>
                          </w:rPr>
                        </w:pPr>
                        <w:r>
                          <w:rPr>
                            <w:rFonts w:ascii="Arial" w:hAnsi="Arial" w:cs="Arial"/>
                            <w:sz w:val="18"/>
                            <w:szCs w:val="18"/>
                          </w:rPr>
                          <w:t>By funds</w:t>
                        </w:r>
                      </w:p>
                    </w:tc>
                    <w:tc>
                      <w:tcPr>
                        <w:tcW w:w="3468" w:type="dxa"/>
                        <w:shd w:val="clear" w:color="auto" w:fill="F2F2F2" w:themeFill="background1" w:themeFillShade="F2"/>
                      </w:tcPr>
                      <w:p w14:paraId="41505AEB" w14:textId="77777777" w:rsidR="0011262F" w:rsidRDefault="0011262F" w:rsidP="00B54007">
                        <w:pPr>
                          <w:pStyle w:val="Figure"/>
                          <w:spacing w:before="0" w:after="0"/>
                          <w:jc w:val="left"/>
                          <w:rPr>
                            <w:rFonts w:ascii="Arial" w:hAnsi="Arial" w:cs="Arial"/>
                            <w:sz w:val="18"/>
                            <w:szCs w:val="18"/>
                          </w:rPr>
                        </w:pPr>
                        <w:r>
                          <w:rPr>
                            <w:rFonts w:ascii="Arial" w:hAnsi="Arial" w:cs="Arial"/>
                            <w:sz w:val="18"/>
                            <w:szCs w:val="18"/>
                          </w:rPr>
                          <w:t>By assets</w:t>
                        </w:r>
                      </w:p>
                    </w:tc>
                  </w:tr>
                  <w:tr w:rsidR="0011262F" w14:paraId="4E3EB490" w14:textId="77777777" w:rsidTr="00B54007">
                    <w:trPr>
                      <w:trHeight w:val="240"/>
                    </w:trPr>
                    <w:tc>
                      <w:tcPr>
                        <w:tcW w:w="1985" w:type="dxa"/>
                        <w:vMerge/>
                        <w:shd w:val="clear" w:color="auto" w:fill="F2F2F2" w:themeFill="background1" w:themeFillShade="F2"/>
                      </w:tcPr>
                      <w:p w14:paraId="5D606E62" w14:textId="77777777" w:rsidR="0011262F" w:rsidRDefault="0011262F" w:rsidP="00B54007">
                        <w:pPr>
                          <w:pStyle w:val="Figure"/>
                          <w:spacing w:before="0" w:after="0"/>
                          <w:jc w:val="left"/>
                          <w:rPr>
                            <w:rFonts w:asciiTheme="minorHAnsi" w:hAnsi="Arial" w:cstheme="minorBidi"/>
                            <w:b/>
                            <w:color w:val="000000" w:themeColor="text1"/>
                            <w:kern w:val="24"/>
                            <w:sz w:val="18"/>
                            <w:szCs w:val="18"/>
                          </w:rPr>
                        </w:pPr>
                      </w:p>
                    </w:tc>
                    <w:tc>
                      <w:tcPr>
                        <w:tcW w:w="3041" w:type="dxa"/>
                        <w:shd w:val="clear" w:color="auto" w:fill="F2F2F2" w:themeFill="background1" w:themeFillShade="F2"/>
                      </w:tcPr>
                      <w:p w14:paraId="57779A30" w14:textId="77777777" w:rsidR="0011262F" w:rsidRDefault="0011262F" w:rsidP="00B54007">
                        <w:pPr>
                          <w:pStyle w:val="Figure"/>
                          <w:spacing w:before="0" w:after="0"/>
                          <w:jc w:val="left"/>
                          <w:rPr>
                            <w:rFonts w:ascii="Arial" w:hAnsi="Arial" w:cs="Arial"/>
                            <w:sz w:val="18"/>
                            <w:szCs w:val="18"/>
                          </w:rPr>
                        </w:pPr>
                        <w:r>
                          <w:rPr>
                            <w:rFonts w:ascii="Arial" w:hAnsi="Arial" w:cs="Arial"/>
                            <w:sz w:val="18"/>
                            <w:szCs w:val="18"/>
                          </w:rPr>
                          <w:t>107 (out of 180)</w:t>
                        </w:r>
                      </w:p>
                    </w:tc>
                    <w:tc>
                      <w:tcPr>
                        <w:tcW w:w="3468" w:type="dxa"/>
                        <w:shd w:val="clear" w:color="auto" w:fill="F2F2F2" w:themeFill="background1" w:themeFillShade="F2"/>
                      </w:tcPr>
                      <w:p w14:paraId="2263158E" w14:textId="77777777" w:rsidR="0011262F" w:rsidRDefault="0011262F" w:rsidP="00B54007">
                        <w:pPr>
                          <w:pStyle w:val="Figure"/>
                          <w:spacing w:before="0" w:after="0"/>
                          <w:jc w:val="left"/>
                          <w:rPr>
                            <w:rFonts w:ascii="Arial" w:hAnsi="Arial" w:cs="Arial"/>
                            <w:sz w:val="18"/>
                            <w:szCs w:val="18"/>
                          </w:rPr>
                        </w:pPr>
                        <w:r>
                          <w:rPr>
                            <w:rFonts w:ascii="Arial" w:hAnsi="Arial" w:cs="Arial"/>
                            <w:sz w:val="18"/>
                            <w:szCs w:val="18"/>
                          </w:rPr>
                          <w:t>$</w:t>
                        </w:r>
                        <w:proofErr w:type="spellStart"/>
                        <w:r>
                          <w:rPr>
                            <w:rFonts w:ascii="Arial" w:hAnsi="Arial" w:cs="Arial"/>
                            <w:sz w:val="18"/>
                            <w:szCs w:val="18"/>
                          </w:rPr>
                          <w:t>705b</w:t>
                        </w:r>
                        <w:proofErr w:type="spellEnd"/>
                        <w:r>
                          <w:rPr>
                            <w:rFonts w:ascii="Arial" w:hAnsi="Arial" w:cs="Arial"/>
                            <w:sz w:val="18"/>
                            <w:szCs w:val="18"/>
                          </w:rPr>
                          <w:t xml:space="preserve"> (out of $</w:t>
                        </w:r>
                        <w:proofErr w:type="spellStart"/>
                        <w:r>
                          <w:rPr>
                            <w:rFonts w:ascii="Arial" w:hAnsi="Arial" w:cs="Arial"/>
                            <w:sz w:val="18"/>
                            <w:szCs w:val="18"/>
                          </w:rPr>
                          <w:t>1532.7b</w:t>
                        </w:r>
                        <w:proofErr w:type="spellEnd"/>
                        <w:r>
                          <w:rPr>
                            <w:rFonts w:ascii="Arial" w:hAnsi="Arial" w:cs="Arial"/>
                            <w:sz w:val="18"/>
                            <w:szCs w:val="18"/>
                          </w:rPr>
                          <w:t>)</w:t>
                        </w:r>
                      </w:p>
                    </w:tc>
                  </w:tr>
                </w:tbl>
                <w:p w14:paraId="56A1D932" w14:textId="77777777" w:rsidR="0011262F" w:rsidRPr="00B1465D" w:rsidRDefault="0011262F" w:rsidP="00B54007">
                  <w:pPr>
                    <w:pStyle w:val="Figure"/>
                    <w:spacing w:before="60" w:after="60"/>
                    <w:rPr>
                      <w:rFonts w:ascii="Arial" w:hAnsi="Arial" w:cs="Arial"/>
                      <w:sz w:val="18"/>
                      <w:szCs w:val="18"/>
                    </w:rPr>
                  </w:pPr>
                </w:p>
              </w:tc>
            </w:tr>
          </w:tbl>
          <w:p w14:paraId="5EFD3A37" w14:textId="77777777" w:rsidR="0011262F" w:rsidRDefault="0011262F" w:rsidP="00B54007">
            <w:pPr>
              <w:pStyle w:val="Figure"/>
            </w:pPr>
          </w:p>
        </w:tc>
      </w:tr>
      <w:tr w:rsidR="0011262F" w:rsidRPr="00176D3F" w14:paraId="3A8EB851" w14:textId="77777777" w:rsidTr="00B54007">
        <w:tc>
          <w:tcPr>
            <w:tcW w:w="5000" w:type="pct"/>
            <w:tcBorders>
              <w:top w:val="nil"/>
              <w:left w:val="nil"/>
              <w:bottom w:val="nil"/>
              <w:right w:val="nil"/>
            </w:tcBorders>
            <w:shd w:val="clear" w:color="auto" w:fill="auto"/>
          </w:tcPr>
          <w:p w14:paraId="656DA639" w14:textId="77777777" w:rsidR="0011262F" w:rsidRPr="00176D3F" w:rsidRDefault="0011262F" w:rsidP="00B54007">
            <w:pPr>
              <w:pStyle w:val="Note"/>
            </w:pPr>
            <w:r>
              <w:rPr>
                <w:rStyle w:val="NoteLabel"/>
              </w:rPr>
              <w:t>a</w:t>
            </w:r>
            <w:r>
              <w:t xml:space="preserve"> Funds with estimated total average costs of less than 45 basis points were excluded from this analysis (to avoid allocating assets to funds with underreported expenses).</w:t>
            </w:r>
            <w:r w:rsidRPr="007E71F1">
              <w:t xml:space="preserve"> </w:t>
            </w:r>
            <w:r>
              <w:rPr>
                <w:rStyle w:val="NoteLabel"/>
              </w:rPr>
              <w:t>b</w:t>
            </w:r>
            <w:r>
              <w:t xml:space="preserve"> The 90 per cent probability curve shows a flattening of the savings because the group of lowest cost funds includes estimates for industry funds that exhibit diseconomies of scale. Similarly as funds are allocated to the lowest 10 at random, if industry funds have diseconomies of scale, then it is possible for the curves to start with losses. </w:t>
            </w:r>
            <w:r>
              <w:rPr>
                <w:rStyle w:val="NoteLabel"/>
              </w:rPr>
              <w:t>c</w:t>
            </w:r>
            <w:r>
              <w:t xml:space="preserve"> Because funds with estimated total average costs of less than 45 basis points were excluded, the number of funds excluded varies across each posterior draw.</w:t>
            </w:r>
          </w:p>
        </w:tc>
      </w:tr>
      <w:tr w:rsidR="0011262F" w14:paraId="4751F260" w14:textId="77777777" w:rsidTr="00B54007">
        <w:tc>
          <w:tcPr>
            <w:tcW w:w="5000" w:type="pct"/>
            <w:tcBorders>
              <w:top w:val="nil"/>
              <w:left w:val="nil"/>
              <w:bottom w:val="single" w:sz="6" w:space="0" w:color="78A22F"/>
              <w:right w:val="nil"/>
            </w:tcBorders>
            <w:shd w:val="clear" w:color="auto" w:fill="auto"/>
          </w:tcPr>
          <w:p w14:paraId="1041CC94" w14:textId="77777777" w:rsidR="0011262F" w:rsidRDefault="0011262F" w:rsidP="00B54007">
            <w:pPr>
              <w:pStyle w:val="Figurespace"/>
            </w:pPr>
          </w:p>
        </w:tc>
      </w:tr>
      <w:tr w:rsidR="0011262F" w:rsidRPr="000863A5" w14:paraId="0E8B2E69" w14:textId="77777777" w:rsidTr="00B54007">
        <w:tc>
          <w:tcPr>
            <w:tcW w:w="5000" w:type="pct"/>
            <w:tcBorders>
              <w:top w:val="single" w:sz="6" w:space="0" w:color="78A22F"/>
              <w:left w:val="nil"/>
              <w:bottom w:val="nil"/>
              <w:right w:val="nil"/>
            </w:tcBorders>
          </w:tcPr>
          <w:p w14:paraId="2DCC37F3" w14:textId="77777777" w:rsidR="0011262F" w:rsidRPr="00626D32" w:rsidRDefault="0011262F" w:rsidP="00B54007">
            <w:pPr>
              <w:pStyle w:val="BoxSpaceBelow"/>
            </w:pPr>
          </w:p>
        </w:tc>
      </w:tr>
    </w:tbl>
    <w:p w14:paraId="0C80306A" w14:textId="77777777" w:rsidR="0011262F" w:rsidRDefault="0011262F" w:rsidP="0011262F">
      <w:pPr>
        <w:pStyle w:val="Heading3"/>
      </w:pPr>
      <w:r>
        <w:lastRenderedPageBreak/>
        <w:t>No evidence that EOS gains have been systematically passed</w:t>
      </w:r>
      <w:r>
        <w:noBreakHyphen/>
      </w:r>
      <w:r w:rsidDel="00EE2F3B">
        <w:t>t</w:t>
      </w:r>
      <w:r>
        <w:t>hrough as lower fees</w:t>
      </w:r>
    </w:p>
    <w:p w14:paraId="2CCE03D0" w14:textId="77777777" w:rsidR="0011262F" w:rsidRPr="00B54007" w:rsidRDefault="0011262F" w:rsidP="0011262F">
      <w:pPr>
        <w:pStyle w:val="BodyText"/>
        <w:spacing w:before="200"/>
        <w:rPr>
          <w:spacing w:val="-4"/>
        </w:rPr>
      </w:pPr>
      <w:r w:rsidRPr="00B54007">
        <w:rPr>
          <w:spacing w:val="-4"/>
        </w:rPr>
        <w:t xml:space="preserve">Despite the realisation of economies of scale between 2004 and 2017, there was little change in the actual fees charged to members (as a percentage of assets) for </w:t>
      </w:r>
      <w:r w:rsidRPr="00B54007">
        <w:rPr>
          <w:i/>
          <w:spacing w:val="-4"/>
        </w:rPr>
        <w:t>the median fund (</w:t>
      </w:r>
      <w:r w:rsidRPr="00B54007">
        <w:rPr>
          <w:spacing w:val="-4"/>
        </w:rPr>
        <w:t>for which data on fees is available). (But there has been a reduction in the average (mean) investment fee for the retail segment, driven by significant reductions in fees by some large funds.)</w:t>
      </w:r>
    </w:p>
    <w:p w14:paraId="767509F7" w14:textId="77777777" w:rsidR="0011262F" w:rsidRPr="00FE2908" w:rsidRDefault="0011262F" w:rsidP="0011262F">
      <w:pPr>
        <w:pStyle w:val="BodyText"/>
        <w:spacing w:before="200"/>
        <w:rPr>
          <w:spacing w:val="-6"/>
        </w:rPr>
      </w:pPr>
      <w:r w:rsidRPr="00FE2908">
        <w:rPr>
          <w:spacing w:val="-6"/>
        </w:rPr>
        <w:t xml:space="preserve">At a system level, for example, the estimate of the median reduction in average expenses </w:t>
      </w:r>
      <w:r w:rsidRPr="00FE2908">
        <w:rPr>
          <w:i/>
          <w:spacing w:val="-6"/>
        </w:rPr>
        <w:t>attributable to size changes alone</w:t>
      </w:r>
      <w:r w:rsidRPr="00FE2908">
        <w:rPr>
          <w:spacing w:val="-6"/>
        </w:rPr>
        <w:t xml:space="preserve"> between 2004 and 2017 lies between 10 and 18 basis points for administration expenses (captured by the vertical purple line in figure 8.16 which also depicts the mid</w:t>
      </w:r>
      <w:r w:rsidRPr="00FE2908">
        <w:rPr>
          <w:spacing w:val="-6"/>
        </w:rPr>
        <w:noBreakHyphen/>
        <w:t>point of the range, - 14), and between 0 to 4 basis points for investment expenses (captured by the vertical purple line in figure 8.17</w:t>
      </w:r>
      <w:r w:rsidRPr="00FE2908" w:rsidDel="00365600">
        <w:rPr>
          <w:spacing w:val="-6"/>
        </w:rPr>
        <w:t xml:space="preserve"> </w:t>
      </w:r>
      <w:r w:rsidRPr="00FE2908">
        <w:rPr>
          <w:spacing w:val="-6"/>
        </w:rPr>
        <w:t>with a mid</w:t>
      </w:r>
      <w:r w:rsidRPr="00FE2908">
        <w:rPr>
          <w:spacing w:val="-6"/>
        </w:rPr>
        <w:noBreakHyphen/>
        <w:t xml:space="preserve">point value of </w:t>
      </w:r>
      <w:r w:rsidRPr="00FE2908">
        <w:rPr>
          <w:spacing w:val="-6"/>
        </w:rPr>
        <w:noBreakHyphen/>
        <w:t>2). In contrast, median fees (captured by the purple dot in each figure) barely changed and sit well above the top of the span of estimates for the median reduction in average expenses for both administration and investment.</w:t>
      </w:r>
    </w:p>
    <w:p w14:paraId="030C4CE8" w14:textId="77777777" w:rsidR="0011262F" w:rsidRDefault="0011262F" w:rsidP="0011262F">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1262F" w14:paraId="7E2F1201" w14:textId="77777777" w:rsidTr="00B54007">
        <w:trPr>
          <w:tblHeader/>
        </w:trPr>
        <w:tc>
          <w:tcPr>
            <w:tcW w:w="5000" w:type="pct"/>
            <w:tcBorders>
              <w:top w:val="single" w:sz="6" w:space="0" w:color="78A22F"/>
              <w:left w:val="nil"/>
              <w:bottom w:val="nil"/>
              <w:right w:val="nil"/>
            </w:tcBorders>
            <w:shd w:val="clear" w:color="auto" w:fill="auto"/>
          </w:tcPr>
          <w:p w14:paraId="09EF23A5" w14:textId="77777777" w:rsidR="0011262F" w:rsidRDefault="0011262F" w:rsidP="00B54007">
            <w:pPr>
              <w:pStyle w:val="FigureTitle"/>
              <w:spacing w:before="60" w:after="60"/>
            </w:pPr>
            <w:r w:rsidRPr="00784A05">
              <w:rPr>
                <w:b w:val="0"/>
              </w:rPr>
              <w:t xml:space="preserve">Figure </w:t>
            </w:r>
            <w:bookmarkStart w:id="47" w:name="OLE_LINK48"/>
            <w:r>
              <w:rPr>
                <w:b w:val="0"/>
              </w:rPr>
              <w:t>8.</w:t>
            </w:r>
            <w:bookmarkStart w:id="48" w:name="OLE_LINK40"/>
            <w:r>
              <w:rPr>
                <w:b w:val="0"/>
                <w:noProof/>
              </w:rPr>
              <w:t>16</w:t>
            </w:r>
            <w:bookmarkEnd w:id="47"/>
            <w:bookmarkEnd w:id="48"/>
            <w:r>
              <w:tab/>
              <w:t>Administration fees have increased despite economies of scale gains in administration expenses</w:t>
            </w:r>
            <w:proofErr w:type="spellStart"/>
            <w:r w:rsidRPr="00587B4F">
              <w:rPr>
                <w:rStyle w:val="NoteLabel"/>
              </w:rPr>
              <w:t>a</w:t>
            </w:r>
            <w:r>
              <w:rPr>
                <w:rStyle w:val="NoteLabel"/>
              </w:rPr>
              <w:t>,b</w:t>
            </w:r>
            <w:proofErr w:type="spellEnd"/>
          </w:p>
          <w:p w14:paraId="36372FBC" w14:textId="77777777" w:rsidR="0011262F" w:rsidRPr="00176D3F" w:rsidRDefault="0011262F" w:rsidP="00B54007">
            <w:pPr>
              <w:pStyle w:val="Subtitle"/>
            </w:pPr>
            <w:r>
              <w:t>Median fee change, basis points (bps), compared with size</w:t>
            </w:r>
            <w:r>
              <w:noBreakHyphen/>
              <w:t>related changes in average expenses over 2004–2017</w:t>
            </w:r>
          </w:p>
        </w:tc>
      </w:tr>
      <w:tr w:rsidR="0011262F" w14:paraId="1A314DF4" w14:textId="77777777" w:rsidTr="00B5400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1262F" w:rsidRPr="00B1465D" w14:paraId="486C2CBB" w14:textId="77777777" w:rsidTr="00B54007">
              <w:trPr>
                <w:tblHeader/>
                <w:jc w:val="center"/>
              </w:trPr>
              <w:tc>
                <w:tcPr>
                  <w:tcW w:w="5000" w:type="pct"/>
                  <w:tcBorders>
                    <w:top w:val="nil"/>
                    <w:bottom w:val="nil"/>
                  </w:tcBorders>
                </w:tcPr>
                <w:p w14:paraId="6ED2B5A8" w14:textId="77777777" w:rsidR="0011262F" w:rsidRDefault="0011262F" w:rsidP="00B54007">
                  <w:pPr>
                    <w:pStyle w:val="Figure"/>
                    <w:spacing w:before="100" w:beforeAutospacing="1" w:after="100" w:afterAutospacing="1"/>
                    <w:rPr>
                      <w:rFonts w:ascii="Arial" w:hAnsi="Arial" w:cs="Arial"/>
                      <w:sz w:val="18"/>
                      <w:szCs w:val="18"/>
                    </w:rPr>
                  </w:pPr>
                  <w:r w:rsidRPr="00EF4FBD">
                    <w:rPr>
                      <w:rFonts w:ascii="Arial" w:hAnsi="Arial" w:cs="Arial"/>
                      <w:noProof/>
                      <w:sz w:val="18"/>
                      <w:szCs w:val="18"/>
                    </w:rPr>
                    <w:drawing>
                      <wp:inline distT="0" distB="0" distL="0" distR="0" wp14:anchorId="3FD1F9D4" wp14:editId="756A19B2">
                        <wp:extent cx="5219330" cy="2717800"/>
                        <wp:effectExtent l="0" t="0" r="0" b="0"/>
                        <wp:docPr id="63" name="Picture 63" descr="For each fund type and the system, the figure shows the median of actual changes in administration fees as a dot. It also shows the range of each fund's median estimated change in average administration expenses due to size only, along with the median of the fund medians as an error bar. For the system and all fund types, the estimated change in average cost lies below the actual change in 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19330" cy="2717800"/>
                                </a:xfrm>
                                <a:prstGeom prst="rect">
                                  <a:avLst/>
                                </a:prstGeom>
                                <a:noFill/>
                                <a:ln>
                                  <a:noFill/>
                                </a:ln>
                              </pic:spPr>
                            </pic:pic>
                          </a:graphicData>
                        </a:graphic>
                      </wp:inline>
                    </w:drawing>
                  </w:r>
                </w:p>
                <w:tbl>
                  <w:tblPr>
                    <w:tblW w:w="0" w:type="auto"/>
                    <w:tblLook w:val="04A0" w:firstRow="1" w:lastRow="0" w:firstColumn="1" w:lastColumn="0" w:noHBand="0" w:noVBand="1"/>
                  </w:tblPr>
                  <w:tblGrid>
                    <w:gridCol w:w="1559"/>
                    <w:gridCol w:w="2311"/>
                    <w:gridCol w:w="2312"/>
                    <w:gridCol w:w="2312"/>
                  </w:tblGrid>
                  <w:tr w:rsidR="0011262F" w14:paraId="3C4D8DFB" w14:textId="77777777" w:rsidTr="00B54007">
                    <w:trPr>
                      <w:tblHeader/>
                    </w:trPr>
                    <w:tc>
                      <w:tcPr>
                        <w:tcW w:w="1559" w:type="dxa"/>
                        <w:shd w:val="clear" w:color="auto" w:fill="F2F2F2" w:themeFill="background1" w:themeFillShade="F2"/>
                      </w:tcPr>
                      <w:p w14:paraId="248FF3A1" w14:textId="77777777" w:rsidR="0011262F" w:rsidRDefault="0011262F" w:rsidP="00B54007">
                        <w:pPr>
                          <w:pStyle w:val="Figure"/>
                          <w:spacing w:before="100" w:beforeAutospacing="1" w:after="100" w:afterAutospacing="1"/>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935" w:type="dxa"/>
                        <w:gridSpan w:val="3"/>
                        <w:shd w:val="clear" w:color="auto" w:fill="F2F2F2" w:themeFill="background1" w:themeFillShade="F2"/>
                      </w:tcPr>
                      <w:p w14:paraId="41823C3B" w14:textId="77777777" w:rsidR="0011262F" w:rsidRDefault="0011262F" w:rsidP="00B54007">
                        <w:pPr>
                          <w:pStyle w:val="Figure"/>
                          <w:spacing w:before="100" w:beforeAutospacing="1" w:after="100" w:afterAutospacing="1"/>
                          <w:jc w:val="left"/>
                          <w:rPr>
                            <w:rFonts w:ascii="Arial" w:hAnsi="Arial" w:cs="Arial"/>
                            <w:sz w:val="18"/>
                            <w:szCs w:val="18"/>
                          </w:rPr>
                        </w:pPr>
                        <w:r>
                          <w:rPr>
                            <w:rFonts w:ascii="Arial" w:eastAsia="+mn-ea" w:hAnsi="Arial" w:cs="Arial"/>
                            <w:color w:val="000000" w:themeColor="text1"/>
                            <w:kern w:val="24"/>
                            <w:sz w:val="18"/>
                            <w:szCs w:val="18"/>
                          </w:rPr>
                          <w:t xml:space="preserve">PC analysis of </w:t>
                        </w:r>
                        <w:proofErr w:type="spellStart"/>
                        <w:r>
                          <w:rPr>
                            <w:rFonts w:ascii="Arial" w:eastAsia="+mn-ea" w:hAnsi="Arial" w:cs="Arial"/>
                            <w:color w:val="000000" w:themeColor="text1"/>
                            <w:kern w:val="24"/>
                            <w:sz w:val="18"/>
                            <w:szCs w:val="18"/>
                          </w:rPr>
                          <w:t>SuperRatings</w:t>
                        </w:r>
                        <w:proofErr w:type="spellEnd"/>
                        <w:r>
                          <w:rPr>
                            <w:rFonts w:ascii="Arial" w:eastAsia="+mn-ea" w:hAnsi="Arial" w:cs="Arial"/>
                            <w:color w:val="000000" w:themeColor="text1"/>
                            <w:kern w:val="24"/>
                            <w:sz w:val="18"/>
                            <w:szCs w:val="18"/>
                          </w:rPr>
                          <w:t xml:space="preserve"> and APRA data.</w:t>
                        </w:r>
                      </w:p>
                    </w:tc>
                  </w:tr>
                  <w:tr w:rsidR="0011262F" w:rsidRPr="001F53B0" w14:paraId="75BB3B2E" w14:textId="77777777" w:rsidTr="00B54007">
                    <w:tc>
                      <w:tcPr>
                        <w:tcW w:w="1559" w:type="dxa"/>
                        <w:shd w:val="clear" w:color="auto" w:fill="F2F2F2" w:themeFill="background1" w:themeFillShade="F2"/>
                      </w:tcPr>
                      <w:p w14:paraId="064CBB44" w14:textId="77777777" w:rsidR="0011262F" w:rsidRDefault="0011262F" w:rsidP="00B54007">
                        <w:pPr>
                          <w:pStyle w:val="Figure"/>
                          <w:spacing w:before="100" w:beforeAutospacing="1" w:after="100" w:afterAutospacing="1"/>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gridSpan w:val="3"/>
                        <w:shd w:val="clear" w:color="auto" w:fill="F2F2F2" w:themeFill="background1" w:themeFillShade="F2"/>
                      </w:tcPr>
                      <w:p w14:paraId="48B8D474" w14:textId="77777777" w:rsidR="0011262F" w:rsidRPr="001F53B0" w:rsidRDefault="0011262F" w:rsidP="00B54007">
                        <w:pPr>
                          <w:pStyle w:val="Figure"/>
                          <w:spacing w:before="100" w:beforeAutospacing="1" w:after="100" w:afterAutospacing="1"/>
                          <w:jc w:val="left"/>
                          <w:rPr>
                            <w:color w:val="000000" w:themeColor="text1"/>
                          </w:rPr>
                        </w:pPr>
                        <w:r>
                          <w:rPr>
                            <w:rFonts w:ascii="Arial" w:eastAsia="+mn-ea" w:hAnsi="Arial" w:cs="Arial"/>
                            <w:color w:val="000000" w:themeColor="text1"/>
                            <w:kern w:val="24"/>
                            <w:sz w:val="18"/>
                            <w:szCs w:val="18"/>
                          </w:rPr>
                          <w:t>118</w:t>
                        </w:r>
                        <w:r w:rsidRPr="00BF2E25">
                          <w:rPr>
                            <w:rFonts w:ascii="Arial" w:hAnsi="Arial"/>
                            <w:color w:val="000000" w:themeColor="text1"/>
                            <w:kern w:val="24"/>
                            <w:sz w:val="18"/>
                          </w:rPr>
                          <w:t xml:space="preserve"> funds representing </w:t>
                        </w:r>
                        <w:r>
                          <w:rPr>
                            <w:rFonts w:ascii="Arial" w:eastAsia="+mn-ea" w:hAnsi="Arial" w:cs="Arial"/>
                            <w:color w:val="000000" w:themeColor="text1"/>
                            <w:kern w:val="24"/>
                            <w:sz w:val="18"/>
                            <w:szCs w:val="18"/>
                          </w:rPr>
                          <w:t>81 per cent and 39</w:t>
                        </w:r>
                        <w:r w:rsidRPr="00BF2E25">
                          <w:rPr>
                            <w:rFonts w:ascii="Arial" w:hAnsi="Arial"/>
                            <w:color w:val="000000" w:themeColor="text1"/>
                            <w:kern w:val="24"/>
                            <w:sz w:val="18"/>
                          </w:rPr>
                          <w:t xml:space="preserve"> per cent of the system </w:t>
                        </w:r>
                        <w:r>
                          <w:rPr>
                            <w:rFonts w:ascii="Arial" w:hAnsi="Arial"/>
                            <w:color w:val="000000" w:themeColor="text1"/>
                            <w:kern w:val="24"/>
                            <w:sz w:val="18"/>
                          </w:rPr>
                          <w:t>by assets</w:t>
                        </w:r>
                        <w:r w:rsidRPr="00BF2E25">
                          <w:rPr>
                            <w:rFonts w:ascii="Arial" w:hAnsi="Arial"/>
                            <w:color w:val="000000" w:themeColor="text1"/>
                            <w:kern w:val="24"/>
                            <w:sz w:val="18"/>
                          </w:rPr>
                          <w:t xml:space="preserve"> in 2015</w:t>
                        </w:r>
                        <w:r>
                          <w:rPr>
                            <w:rFonts w:ascii="Arial" w:hAnsi="Arial"/>
                            <w:color w:val="000000" w:themeColor="text1"/>
                            <w:kern w:val="24"/>
                            <w:sz w:val="18"/>
                          </w:rPr>
                          <w:noBreakHyphen/>
                        </w:r>
                        <w:r w:rsidRPr="00BF2E25">
                          <w:rPr>
                            <w:rFonts w:ascii="Arial" w:hAnsi="Arial"/>
                            <w:color w:val="000000" w:themeColor="text1"/>
                            <w:kern w:val="24"/>
                            <w:sz w:val="18"/>
                          </w:rPr>
                          <w:t>16</w:t>
                        </w:r>
                        <w:r>
                          <w:rPr>
                            <w:rFonts w:ascii="Arial" w:eastAsia="+mn-ea" w:hAnsi="Arial" w:cs="Arial"/>
                            <w:color w:val="000000" w:themeColor="text1"/>
                            <w:kern w:val="24"/>
                            <w:sz w:val="18"/>
                            <w:szCs w:val="18"/>
                          </w:rPr>
                          <w:t xml:space="preserve"> and 2005</w:t>
                        </w:r>
                        <w:r>
                          <w:rPr>
                            <w:rFonts w:ascii="Arial" w:eastAsia="+mn-ea" w:hAnsi="Arial" w:cs="Arial"/>
                            <w:color w:val="000000" w:themeColor="text1"/>
                            <w:kern w:val="24"/>
                            <w:sz w:val="18"/>
                            <w:szCs w:val="18"/>
                          </w:rPr>
                          <w:noBreakHyphen/>
                          <w:t>06 respectively for administration and investment. Excludes funds with less than two years of data</w:t>
                        </w:r>
                        <w:r w:rsidRPr="00BF2E25">
                          <w:rPr>
                            <w:rFonts w:ascii="Arial" w:hAnsi="Arial"/>
                            <w:color w:val="000000" w:themeColor="text1"/>
                            <w:kern w:val="24"/>
                            <w:sz w:val="18"/>
                          </w:rPr>
                          <w:t>.</w:t>
                        </w:r>
                      </w:p>
                    </w:tc>
                  </w:tr>
                  <w:tr w:rsidR="0011262F" w:rsidRPr="001F53B0" w14:paraId="03546AC6" w14:textId="77777777" w:rsidTr="00B54007">
                    <w:tc>
                      <w:tcPr>
                        <w:tcW w:w="1559" w:type="dxa"/>
                        <w:shd w:val="clear" w:color="auto" w:fill="F2F2F2" w:themeFill="background1" w:themeFillShade="F2"/>
                      </w:tcPr>
                      <w:p w14:paraId="2ADA5A22" w14:textId="77777777" w:rsidR="0011262F" w:rsidRPr="002D6D85" w:rsidRDefault="0011262F" w:rsidP="00B54007">
                        <w:pPr>
                          <w:pStyle w:val="Figure"/>
                          <w:spacing w:before="100" w:beforeAutospacing="1" w:after="100" w:afterAutospacing="1"/>
                          <w:jc w:val="left"/>
                          <w:rPr>
                            <w:rFonts w:asciiTheme="minorHAnsi" w:hAnsi="Arial" w:cstheme="minorBidi"/>
                            <w:b/>
                            <w:color w:val="000000" w:themeColor="text1"/>
                            <w:kern w:val="24"/>
                            <w:sz w:val="18"/>
                            <w:szCs w:val="18"/>
                          </w:rPr>
                        </w:pPr>
                        <w:r w:rsidRPr="005F68B0">
                          <w:rPr>
                            <w:rFonts w:ascii="Arial" w:hAnsi="Arial" w:cs="Arial"/>
                            <w:b/>
                            <w:sz w:val="18"/>
                            <w:szCs w:val="18"/>
                          </w:rPr>
                          <w:t>Survivor bias</w:t>
                        </w:r>
                      </w:p>
                    </w:tc>
                    <w:tc>
                      <w:tcPr>
                        <w:tcW w:w="2311" w:type="dxa"/>
                        <w:shd w:val="clear" w:color="auto" w:fill="F2F2F2" w:themeFill="background1" w:themeFillShade="F2"/>
                      </w:tcPr>
                      <w:p w14:paraId="15C09F19" w14:textId="77777777" w:rsidR="0011262F" w:rsidRDefault="0011262F" w:rsidP="00B54007">
                        <w:pPr>
                          <w:pStyle w:val="Figure"/>
                          <w:spacing w:before="100" w:beforeAutospacing="1" w:after="100" w:afterAutospacing="1"/>
                          <w:jc w:val="left"/>
                          <w:rPr>
                            <w:rFonts w:ascii="Arial" w:hAnsi="Arial" w:cs="Arial"/>
                            <w:sz w:val="18"/>
                            <w:szCs w:val="18"/>
                          </w:rPr>
                        </w:pPr>
                        <w:r>
                          <w:rPr>
                            <w:rFonts w:asciiTheme="minorHAnsi" w:hAnsi="Arial" w:cstheme="minorBidi"/>
                            <w:color w:val="000000" w:themeColor="text1"/>
                            <w:kern w:val="24"/>
                            <w:sz w:val="18"/>
                            <w:szCs w:val="18"/>
                          </w:rPr>
                          <w:t>No.</w:t>
                        </w:r>
                      </w:p>
                    </w:tc>
                    <w:tc>
                      <w:tcPr>
                        <w:tcW w:w="2312" w:type="dxa"/>
                        <w:shd w:val="clear" w:color="auto" w:fill="F2F2F2" w:themeFill="background1" w:themeFillShade="F2"/>
                      </w:tcPr>
                      <w:p w14:paraId="19A44645" w14:textId="77777777" w:rsidR="0011262F" w:rsidRDefault="0011262F" w:rsidP="00B54007">
                        <w:pPr>
                          <w:pStyle w:val="Figure"/>
                          <w:spacing w:before="100" w:beforeAutospacing="1" w:after="100" w:afterAutospacing="1"/>
                          <w:jc w:val="left"/>
                          <w:rPr>
                            <w:rFonts w:ascii="Arial" w:hAnsi="Arial" w:cs="Arial"/>
                            <w:sz w:val="18"/>
                            <w:szCs w:val="18"/>
                          </w:rPr>
                        </w:pPr>
                        <w:r w:rsidRPr="005F68B0">
                          <w:rPr>
                            <w:rFonts w:asciiTheme="minorHAnsi" w:hAnsi="Arial" w:cstheme="minorBidi"/>
                            <w:b/>
                            <w:color w:val="000000" w:themeColor="text1"/>
                            <w:kern w:val="24"/>
                            <w:sz w:val="18"/>
                            <w:szCs w:val="18"/>
                          </w:rPr>
                          <w:t>Selection bias</w:t>
                        </w:r>
                      </w:p>
                    </w:tc>
                    <w:tc>
                      <w:tcPr>
                        <w:tcW w:w="2312" w:type="dxa"/>
                        <w:shd w:val="clear" w:color="auto" w:fill="F2F2F2" w:themeFill="background1" w:themeFillShade="F2"/>
                      </w:tcPr>
                      <w:p w14:paraId="4E2883C8" w14:textId="77777777" w:rsidR="0011262F" w:rsidRDefault="0011262F" w:rsidP="00B54007">
                        <w:pPr>
                          <w:pStyle w:val="Figure"/>
                          <w:spacing w:before="100" w:beforeAutospacing="1" w:after="100" w:afterAutospacing="1"/>
                          <w:jc w:val="left"/>
                          <w:rPr>
                            <w:rFonts w:ascii="Arial" w:hAnsi="Arial" w:cs="Arial"/>
                            <w:sz w:val="18"/>
                            <w:szCs w:val="18"/>
                          </w:rPr>
                        </w:pPr>
                        <w:r>
                          <w:rPr>
                            <w:rFonts w:asciiTheme="minorHAnsi" w:hAnsi="Arial" w:cstheme="minorBidi"/>
                            <w:color w:val="000000" w:themeColor="text1"/>
                            <w:kern w:val="24"/>
                            <w:sz w:val="18"/>
                            <w:szCs w:val="18"/>
                          </w:rPr>
                          <w:t>Yes.</w:t>
                        </w:r>
                      </w:p>
                    </w:tc>
                  </w:tr>
                </w:tbl>
                <w:p w14:paraId="5890DC9C" w14:textId="77777777" w:rsidR="0011262F" w:rsidRPr="00B1465D" w:rsidRDefault="0011262F" w:rsidP="00B54007">
                  <w:pPr>
                    <w:pStyle w:val="Figure"/>
                    <w:spacing w:before="100" w:beforeAutospacing="1" w:after="100" w:afterAutospacing="1"/>
                    <w:rPr>
                      <w:rFonts w:ascii="Arial" w:hAnsi="Arial" w:cs="Arial"/>
                      <w:sz w:val="18"/>
                      <w:szCs w:val="18"/>
                    </w:rPr>
                  </w:pPr>
                </w:p>
              </w:tc>
            </w:tr>
          </w:tbl>
          <w:p w14:paraId="78FCED87" w14:textId="77777777" w:rsidR="0011262F" w:rsidRDefault="0011262F" w:rsidP="00B54007">
            <w:pPr>
              <w:pStyle w:val="Figure"/>
              <w:spacing w:before="100" w:beforeAutospacing="1" w:after="100" w:afterAutospacing="1"/>
            </w:pPr>
          </w:p>
        </w:tc>
      </w:tr>
      <w:tr w:rsidR="0011262F" w14:paraId="38AB5665" w14:textId="77777777" w:rsidTr="00B54007">
        <w:tc>
          <w:tcPr>
            <w:tcW w:w="5000" w:type="pct"/>
            <w:tcBorders>
              <w:top w:val="nil"/>
              <w:left w:val="nil"/>
              <w:bottom w:val="nil"/>
              <w:right w:val="nil"/>
            </w:tcBorders>
            <w:shd w:val="clear" w:color="auto" w:fill="auto"/>
          </w:tcPr>
          <w:p w14:paraId="7088517F" w14:textId="77777777" w:rsidR="0011262F" w:rsidRDefault="0011262F" w:rsidP="00B54007">
            <w:pPr>
              <w:pStyle w:val="Note"/>
            </w:pPr>
            <w:r w:rsidRPr="00C96E40">
              <w:rPr>
                <w:rStyle w:val="NoteLabel"/>
              </w:rPr>
              <w:t>a</w:t>
            </w:r>
            <w:r>
              <w:t xml:space="preserve"> </w:t>
            </w:r>
            <w:r w:rsidRPr="003F67BC">
              <w:t>Dots capture the median of actual fee changes within the system or a segment between 2004 and 2017. Lines represent the 95 per cent range for fund</w:t>
            </w:r>
            <w:r w:rsidRPr="003F67BC">
              <w:noBreakHyphen/>
              <w:t>level estimates of the median change in expenses associated with changes in scale over this period. Crosses represent the median of that range. The time period for the actual change in fees can differ between funds, depending on when they entered/exited.</w:t>
            </w:r>
            <w:r w:rsidRPr="00C16772">
              <w:rPr>
                <w:spacing w:val="-10"/>
              </w:rPr>
              <w:t xml:space="preserve"> </w:t>
            </w:r>
            <w:r w:rsidRPr="003F67BC">
              <w:t>b Mid</w:t>
            </w:r>
            <w:r w:rsidRPr="003F67BC">
              <w:noBreakHyphen/>
              <w:t>point represents the 50th percentile of the estimated range.</w:t>
            </w:r>
          </w:p>
        </w:tc>
      </w:tr>
      <w:tr w:rsidR="0011262F" w14:paraId="416AD415" w14:textId="77777777" w:rsidTr="00B54007">
        <w:tc>
          <w:tcPr>
            <w:tcW w:w="5000" w:type="pct"/>
            <w:tcBorders>
              <w:top w:val="nil"/>
              <w:left w:val="nil"/>
              <w:bottom w:val="single" w:sz="6" w:space="0" w:color="78A22F"/>
              <w:right w:val="nil"/>
            </w:tcBorders>
            <w:shd w:val="clear" w:color="auto" w:fill="auto"/>
          </w:tcPr>
          <w:p w14:paraId="201E31D7" w14:textId="77777777" w:rsidR="0011262F" w:rsidRDefault="0011262F" w:rsidP="00B54007">
            <w:pPr>
              <w:pStyle w:val="Figurespace"/>
            </w:pPr>
          </w:p>
        </w:tc>
      </w:tr>
      <w:tr w:rsidR="0011262F" w:rsidRPr="000863A5" w14:paraId="340248BD" w14:textId="77777777" w:rsidTr="00B54007">
        <w:tc>
          <w:tcPr>
            <w:tcW w:w="5000" w:type="pct"/>
            <w:tcBorders>
              <w:top w:val="single" w:sz="6" w:space="0" w:color="78A22F"/>
              <w:left w:val="nil"/>
              <w:bottom w:val="nil"/>
              <w:right w:val="nil"/>
            </w:tcBorders>
          </w:tcPr>
          <w:p w14:paraId="3A56EE57" w14:textId="77777777" w:rsidR="0011262F" w:rsidRPr="00626D32" w:rsidRDefault="0011262F" w:rsidP="00B54007">
            <w:pPr>
              <w:pStyle w:val="BoxSpaceBelow"/>
            </w:pPr>
          </w:p>
        </w:tc>
      </w:tr>
    </w:tbl>
    <w:p w14:paraId="56AD38ED" w14:textId="77777777" w:rsidR="0011262F" w:rsidRDefault="0011262F" w:rsidP="0011262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1262F" w14:paraId="5960977B" w14:textId="77777777" w:rsidTr="00B54007">
        <w:trPr>
          <w:tblHeader/>
        </w:trPr>
        <w:tc>
          <w:tcPr>
            <w:tcW w:w="5000" w:type="pct"/>
            <w:tcBorders>
              <w:top w:val="single" w:sz="6" w:space="0" w:color="78A22F"/>
              <w:left w:val="nil"/>
              <w:bottom w:val="nil"/>
              <w:right w:val="nil"/>
            </w:tcBorders>
            <w:shd w:val="clear" w:color="auto" w:fill="auto"/>
          </w:tcPr>
          <w:p w14:paraId="4E6DB3C3" w14:textId="77777777" w:rsidR="0011262F" w:rsidRDefault="0011262F" w:rsidP="00B54007">
            <w:pPr>
              <w:pStyle w:val="FigureTitle"/>
            </w:pPr>
            <w:r w:rsidRPr="00784A05">
              <w:rPr>
                <w:b w:val="0"/>
              </w:rPr>
              <w:t xml:space="preserve">Figure </w:t>
            </w:r>
            <w:bookmarkStart w:id="49" w:name="OLE_LINK49"/>
            <w:r>
              <w:rPr>
                <w:b w:val="0"/>
              </w:rPr>
              <w:t>8.</w:t>
            </w:r>
            <w:bookmarkStart w:id="50" w:name="OLE_LINK41"/>
            <w:r>
              <w:rPr>
                <w:b w:val="0"/>
                <w:noProof/>
              </w:rPr>
              <w:t>17</w:t>
            </w:r>
            <w:bookmarkEnd w:id="49"/>
            <w:bookmarkEnd w:id="50"/>
            <w:r>
              <w:tab/>
              <w:t>Investment fees have increased despite economies of scale gains in investment expenses, though those gains are smaller</w:t>
            </w:r>
            <w:proofErr w:type="spellStart"/>
            <w:r w:rsidRPr="003C1533">
              <w:rPr>
                <w:rStyle w:val="NoteLabel"/>
              </w:rPr>
              <w:t>a</w:t>
            </w:r>
            <w:r>
              <w:rPr>
                <w:rStyle w:val="NoteLabel"/>
              </w:rPr>
              <w:t>,b,c</w:t>
            </w:r>
            <w:proofErr w:type="spellEnd"/>
          </w:p>
          <w:p w14:paraId="61962D9C" w14:textId="77777777" w:rsidR="0011262F" w:rsidRPr="00176D3F" w:rsidRDefault="0011262F" w:rsidP="00B54007">
            <w:pPr>
              <w:pStyle w:val="Subtitle"/>
            </w:pPr>
            <w:r>
              <w:t>Median fee change, basis points (bps) compared with size</w:t>
            </w:r>
            <w:r>
              <w:noBreakHyphen/>
              <w:t>related changes in average costs over 2004–2017</w:t>
            </w:r>
          </w:p>
        </w:tc>
      </w:tr>
      <w:tr w:rsidR="0011262F" w14:paraId="55AB4F4C" w14:textId="77777777" w:rsidTr="00B5400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11262F" w:rsidRPr="00B1465D" w14:paraId="65DF5DD2" w14:textId="77777777" w:rsidTr="00B54007">
              <w:trPr>
                <w:tblHeader/>
                <w:jc w:val="center"/>
              </w:trPr>
              <w:tc>
                <w:tcPr>
                  <w:tcW w:w="5000" w:type="pct"/>
                  <w:tcBorders>
                    <w:top w:val="nil"/>
                    <w:bottom w:val="nil"/>
                  </w:tcBorders>
                </w:tcPr>
                <w:p w14:paraId="69A03368" w14:textId="77777777" w:rsidR="0011262F" w:rsidRDefault="0011262F" w:rsidP="00B54007">
                  <w:pPr>
                    <w:pStyle w:val="Figure"/>
                    <w:spacing w:before="60" w:after="60"/>
                    <w:rPr>
                      <w:rFonts w:ascii="Arial" w:hAnsi="Arial" w:cs="Arial"/>
                      <w:sz w:val="18"/>
                      <w:szCs w:val="18"/>
                    </w:rPr>
                  </w:pPr>
                  <w:r w:rsidRPr="00EF4FBD">
                    <w:rPr>
                      <w:rFonts w:ascii="Arial" w:hAnsi="Arial" w:cs="Arial"/>
                      <w:noProof/>
                      <w:sz w:val="18"/>
                      <w:szCs w:val="18"/>
                    </w:rPr>
                    <w:drawing>
                      <wp:inline distT="0" distB="0" distL="0" distR="0" wp14:anchorId="0268C026" wp14:editId="07A0164C">
                        <wp:extent cx="5402580" cy="2872740"/>
                        <wp:effectExtent l="0" t="0" r="0" b="0"/>
                        <wp:docPr id="64" name="Picture 64" descr="For each fund type and the system, the figure shows the median of actual changes in investment fees as a dot. It also shows the range of each fund's median estimated change in average investment expense due to size only, along with the median of the fund medians as an error bar. For the system and all fund types, the estimated change in average cost lies below the actual change in 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2580" cy="2872740"/>
                                </a:xfrm>
                                <a:prstGeom prst="rect">
                                  <a:avLst/>
                                </a:prstGeom>
                                <a:noFill/>
                                <a:ln>
                                  <a:noFill/>
                                </a:ln>
                              </pic:spPr>
                            </pic:pic>
                          </a:graphicData>
                        </a:graphic>
                      </wp:inline>
                    </w:drawing>
                  </w:r>
                </w:p>
                <w:tbl>
                  <w:tblPr>
                    <w:tblW w:w="0" w:type="auto"/>
                    <w:tblLook w:val="04A0" w:firstRow="1" w:lastRow="0" w:firstColumn="1" w:lastColumn="0" w:noHBand="0" w:noVBand="1"/>
                  </w:tblPr>
                  <w:tblGrid>
                    <w:gridCol w:w="1559"/>
                    <w:gridCol w:w="2311"/>
                    <w:gridCol w:w="2312"/>
                    <w:gridCol w:w="2312"/>
                  </w:tblGrid>
                  <w:tr w:rsidR="0011262F" w14:paraId="4CB30834" w14:textId="77777777" w:rsidTr="00B54007">
                    <w:trPr>
                      <w:tblHeader/>
                    </w:trPr>
                    <w:tc>
                      <w:tcPr>
                        <w:tcW w:w="1559" w:type="dxa"/>
                        <w:shd w:val="clear" w:color="auto" w:fill="F2F2F2" w:themeFill="background1" w:themeFillShade="F2"/>
                      </w:tcPr>
                      <w:p w14:paraId="41E101EF" w14:textId="77777777" w:rsidR="0011262F" w:rsidRDefault="0011262F" w:rsidP="00B54007">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935" w:type="dxa"/>
                        <w:gridSpan w:val="3"/>
                        <w:shd w:val="clear" w:color="auto" w:fill="F2F2F2" w:themeFill="background1" w:themeFillShade="F2"/>
                      </w:tcPr>
                      <w:p w14:paraId="70140FE7" w14:textId="77777777" w:rsidR="0011262F" w:rsidRDefault="0011262F" w:rsidP="00B54007">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 xml:space="preserve">PC analysis of </w:t>
                        </w:r>
                        <w:proofErr w:type="spellStart"/>
                        <w:r>
                          <w:rPr>
                            <w:rFonts w:ascii="Arial" w:eastAsia="+mn-ea" w:hAnsi="Arial" w:cs="Arial"/>
                            <w:color w:val="000000" w:themeColor="text1"/>
                            <w:kern w:val="24"/>
                            <w:sz w:val="18"/>
                            <w:szCs w:val="18"/>
                          </w:rPr>
                          <w:t>SuperRatings</w:t>
                        </w:r>
                        <w:proofErr w:type="spellEnd"/>
                        <w:r>
                          <w:rPr>
                            <w:rFonts w:ascii="Arial" w:eastAsia="+mn-ea" w:hAnsi="Arial" w:cs="Arial"/>
                            <w:color w:val="000000" w:themeColor="text1"/>
                            <w:kern w:val="24"/>
                            <w:sz w:val="18"/>
                            <w:szCs w:val="18"/>
                          </w:rPr>
                          <w:t xml:space="preserve"> and APRA data.</w:t>
                        </w:r>
                      </w:p>
                    </w:tc>
                  </w:tr>
                  <w:tr w:rsidR="0011262F" w:rsidRPr="001F53B0" w14:paraId="43208114" w14:textId="77777777" w:rsidTr="00B54007">
                    <w:tc>
                      <w:tcPr>
                        <w:tcW w:w="1559" w:type="dxa"/>
                        <w:shd w:val="clear" w:color="auto" w:fill="F2F2F2" w:themeFill="background1" w:themeFillShade="F2"/>
                      </w:tcPr>
                      <w:p w14:paraId="0B4E9354" w14:textId="77777777" w:rsidR="0011262F" w:rsidRDefault="0011262F" w:rsidP="00B54007">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gridSpan w:val="3"/>
                        <w:shd w:val="clear" w:color="auto" w:fill="F2F2F2" w:themeFill="background1" w:themeFillShade="F2"/>
                      </w:tcPr>
                      <w:p w14:paraId="6076A839" w14:textId="77777777" w:rsidR="0011262F" w:rsidRPr="001F53B0" w:rsidRDefault="0011262F" w:rsidP="00B54007">
                        <w:pPr>
                          <w:pStyle w:val="Figure"/>
                          <w:spacing w:before="0" w:after="0"/>
                          <w:jc w:val="left"/>
                          <w:rPr>
                            <w:color w:val="000000" w:themeColor="text1"/>
                          </w:rPr>
                        </w:pPr>
                        <w:r>
                          <w:rPr>
                            <w:rFonts w:ascii="Arial" w:eastAsia="+mn-ea" w:hAnsi="Arial" w:cs="Arial"/>
                            <w:color w:val="000000" w:themeColor="text1"/>
                            <w:kern w:val="24"/>
                            <w:sz w:val="18"/>
                            <w:szCs w:val="18"/>
                          </w:rPr>
                          <w:t>118</w:t>
                        </w:r>
                        <w:r w:rsidRPr="00BF2E25">
                          <w:rPr>
                            <w:rFonts w:ascii="Arial" w:hAnsi="Arial"/>
                            <w:color w:val="000000" w:themeColor="text1"/>
                            <w:kern w:val="24"/>
                            <w:sz w:val="18"/>
                          </w:rPr>
                          <w:t xml:space="preserve"> funds representing </w:t>
                        </w:r>
                        <w:r>
                          <w:rPr>
                            <w:rFonts w:ascii="Arial" w:eastAsia="+mn-ea" w:hAnsi="Arial" w:cs="Arial"/>
                            <w:color w:val="000000" w:themeColor="text1"/>
                            <w:kern w:val="24"/>
                            <w:sz w:val="18"/>
                            <w:szCs w:val="18"/>
                          </w:rPr>
                          <w:t>81 per cent and 39</w:t>
                        </w:r>
                        <w:r w:rsidRPr="00BF2E25">
                          <w:rPr>
                            <w:rFonts w:ascii="Arial" w:hAnsi="Arial"/>
                            <w:color w:val="000000" w:themeColor="text1"/>
                            <w:kern w:val="24"/>
                            <w:sz w:val="18"/>
                          </w:rPr>
                          <w:t xml:space="preserve"> per cent of the system </w:t>
                        </w:r>
                        <w:r>
                          <w:rPr>
                            <w:rFonts w:ascii="Arial" w:hAnsi="Arial"/>
                            <w:color w:val="000000" w:themeColor="text1"/>
                            <w:kern w:val="24"/>
                            <w:sz w:val="18"/>
                          </w:rPr>
                          <w:t>by assets</w:t>
                        </w:r>
                        <w:r w:rsidRPr="00BF2E25">
                          <w:rPr>
                            <w:rFonts w:ascii="Arial" w:hAnsi="Arial"/>
                            <w:color w:val="000000" w:themeColor="text1"/>
                            <w:kern w:val="24"/>
                            <w:sz w:val="18"/>
                          </w:rPr>
                          <w:t xml:space="preserve"> in 2015</w:t>
                        </w:r>
                        <w:r>
                          <w:rPr>
                            <w:rFonts w:ascii="Arial" w:hAnsi="Arial"/>
                            <w:color w:val="000000" w:themeColor="text1"/>
                            <w:kern w:val="24"/>
                            <w:sz w:val="18"/>
                          </w:rPr>
                          <w:noBreakHyphen/>
                        </w:r>
                        <w:r w:rsidRPr="00BF2E25">
                          <w:rPr>
                            <w:rFonts w:ascii="Arial" w:hAnsi="Arial"/>
                            <w:color w:val="000000" w:themeColor="text1"/>
                            <w:kern w:val="24"/>
                            <w:sz w:val="18"/>
                          </w:rPr>
                          <w:t>16</w:t>
                        </w:r>
                        <w:r>
                          <w:rPr>
                            <w:rFonts w:ascii="Arial" w:eastAsia="+mn-ea" w:hAnsi="Arial" w:cs="Arial"/>
                            <w:color w:val="000000" w:themeColor="text1"/>
                            <w:kern w:val="24"/>
                            <w:sz w:val="18"/>
                            <w:szCs w:val="18"/>
                          </w:rPr>
                          <w:t xml:space="preserve"> and 2005</w:t>
                        </w:r>
                        <w:r>
                          <w:rPr>
                            <w:rFonts w:ascii="Arial" w:eastAsia="+mn-ea" w:hAnsi="Arial" w:cs="Arial"/>
                            <w:color w:val="000000" w:themeColor="text1"/>
                            <w:kern w:val="24"/>
                            <w:sz w:val="18"/>
                            <w:szCs w:val="18"/>
                          </w:rPr>
                          <w:noBreakHyphen/>
                          <w:t>06 respectively for administration and investment. Excludes funds with less than two years of data</w:t>
                        </w:r>
                        <w:r w:rsidRPr="00BF2E25">
                          <w:rPr>
                            <w:rFonts w:ascii="Arial" w:hAnsi="Arial"/>
                            <w:color w:val="000000" w:themeColor="text1"/>
                            <w:kern w:val="24"/>
                            <w:sz w:val="18"/>
                          </w:rPr>
                          <w:t>.</w:t>
                        </w:r>
                      </w:p>
                    </w:tc>
                  </w:tr>
                  <w:tr w:rsidR="0011262F" w14:paraId="22B2DEFB" w14:textId="77777777" w:rsidTr="00B54007">
                    <w:tc>
                      <w:tcPr>
                        <w:tcW w:w="1559" w:type="dxa"/>
                        <w:shd w:val="clear" w:color="auto" w:fill="F2F2F2" w:themeFill="background1" w:themeFillShade="F2"/>
                      </w:tcPr>
                      <w:p w14:paraId="5104A518" w14:textId="77777777" w:rsidR="0011262F" w:rsidRPr="002D6D85" w:rsidRDefault="0011262F" w:rsidP="00B54007">
                        <w:pPr>
                          <w:pStyle w:val="Figure"/>
                          <w:spacing w:before="0" w:after="0"/>
                          <w:jc w:val="left"/>
                          <w:rPr>
                            <w:rFonts w:asciiTheme="minorHAnsi" w:hAnsi="Arial" w:cstheme="minorBidi"/>
                            <w:b/>
                            <w:color w:val="000000" w:themeColor="text1"/>
                            <w:kern w:val="24"/>
                            <w:sz w:val="18"/>
                            <w:szCs w:val="18"/>
                          </w:rPr>
                        </w:pPr>
                        <w:r w:rsidRPr="005F68B0">
                          <w:rPr>
                            <w:rFonts w:ascii="Arial" w:hAnsi="Arial" w:cs="Arial"/>
                            <w:b/>
                            <w:sz w:val="18"/>
                            <w:szCs w:val="18"/>
                          </w:rPr>
                          <w:t>Survivor bias</w:t>
                        </w:r>
                      </w:p>
                    </w:tc>
                    <w:tc>
                      <w:tcPr>
                        <w:tcW w:w="2311" w:type="dxa"/>
                        <w:shd w:val="clear" w:color="auto" w:fill="F2F2F2" w:themeFill="background1" w:themeFillShade="F2"/>
                      </w:tcPr>
                      <w:p w14:paraId="3A3E78D7" w14:textId="77777777" w:rsidR="0011262F" w:rsidRDefault="0011262F" w:rsidP="00B54007">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No.</w:t>
                        </w:r>
                      </w:p>
                    </w:tc>
                    <w:tc>
                      <w:tcPr>
                        <w:tcW w:w="2312" w:type="dxa"/>
                        <w:shd w:val="clear" w:color="auto" w:fill="F2F2F2" w:themeFill="background1" w:themeFillShade="F2"/>
                      </w:tcPr>
                      <w:p w14:paraId="09AE91E5" w14:textId="77777777" w:rsidR="0011262F" w:rsidRDefault="0011262F" w:rsidP="00B54007">
                        <w:pPr>
                          <w:pStyle w:val="Figure"/>
                          <w:spacing w:before="0" w:after="0"/>
                          <w:jc w:val="left"/>
                          <w:rPr>
                            <w:rFonts w:ascii="Arial" w:hAnsi="Arial" w:cs="Arial"/>
                            <w:sz w:val="18"/>
                            <w:szCs w:val="18"/>
                          </w:rPr>
                        </w:pPr>
                        <w:r w:rsidRPr="005F68B0">
                          <w:rPr>
                            <w:rFonts w:asciiTheme="minorHAnsi" w:hAnsi="Arial" w:cstheme="minorBidi"/>
                            <w:b/>
                            <w:color w:val="000000" w:themeColor="text1"/>
                            <w:kern w:val="24"/>
                            <w:sz w:val="18"/>
                            <w:szCs w:val="18"/>
                          </w:rPr>
                          <w:t>Selection bias</w:t>
                        </w:r>
                      </w:p>
                    </w:tc>
                    <w:tc>
                      <w:tcPr>
                        <w:tcW w:w="2312" w:type="dxa"/>
                        <w:shd w:val="clear" w:color="auto" w:fill="F2F2F2" w:themeFill="background1" w:themeFillShade="F2"/>
                      </w:tcPr>
                      <w:p w14:paraId="091FC41A" w14:textId="77777777" w:rsidR="0011262F" w:rsidRDefault="0011262F" w:rsidP="00B54007">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Yes.</w:t>
                        </w:r>
                      </w:p>
                    </w:tc>
                  </w:tr>
                </w:tbl>
                <w:p w14:paraId="43210C3D" w14:textId="77777777" w:rsidR="0011262F" w:rsidRPr="00B1465D" w:rsidRDefault="0011262F" w:rsidP="00B54007">
                  <w:pPr>
                    <w:pStyle w:val="Figure"/>
                    <w:spacing w:before="60" w:after="60"/>
                    <w:rPr>
                      <w:rFonts w:ascii="Arial" w:hAnsi="Arial" w:cs="Arial"/>
                      <w:sz w:val="18"/>
                      <w:szCs w:val="18"/>
                    </w:rPr>
                  </w:pPr>
                </w:p>
              </w:tc>
            </w:tr>
          </w:tbl>
          <w:p w14:paraId="451F1D14" w14:textId="77777777" w:rsidR="0011262F" w:rsidRDefault="0011262F" w:rsidP="00B54007">
            <w:pPr>
              <w:pStyle w:val="Figure"/>
            </w:pPr>
          </w:p>
        </w:tc>
      </w:tr>
      <w:tr w:rsidR="0011262F" w14:paraId="3AEDB084" w14:textId="77777777" w:rsidTr="00B54007">
        <w:tc>
          <w:tcPr>
            <w:tcW w:w="5000" w:type="pct"/>
            <w:tcBorders>
              <w:top w:val="nil"/>
              <w:left w:val="nil"/>
              <w:bottom w:val="single" w:sz="4" w:space="0" w:color="FFFFFF" w:themeColor="background1"/>
              <w:right w:val="nil"/>
            </w:tcBorders>
            <w:shd w:val="clear" w:color="auto" w:fill="auto"/>
          </w:tcPr>
          <w:p w14:paraId="280DF7F1" w14:textId="77777777" w:rsidR="0011262F" w:rsidRDefault="0011262F" w:rsidP="00B54007">
            <w:pPr>
              <w:pStyle w:val="Note"/>
            </w:pPr>
            <w:r w:rsidRPr="00771D12">
              <w:rPr>
                <w:rStyle w:val="NoteLabel"/>
              </w:rPr>
              <w:t>a</w:t>
            </w:r>
            <w:r w:rsidRPr="003C1533">
              <w:t xml:space="preserve"> Dots capture the median of actual fee change within the system or a segment between 2004 and 2017. Lines represent the 95 per cent range for fund</w:t>
            </w:r>
            <w:r>
              <w:noBreakHyphen/>
            </w:r>
            <w:r w:rsidRPr="003C1533">
              <w:t>level estimates of the median change in expenses associated with changes in scale over this period. Crosses represent the median of that range. The time period for the actual change in fees can differ between funds, depending on when they entered/exited</w:t>
            </w:r>
            <w:r>
              <w:t xml:space="preserve"> and</w:t>
            </w:r>
            <w:r w:rsidRPr="003C1533">
              <w:t>.</w:t>
            </w:r>
            <w:r w:rsidRPr="00BD1F3A">
              <w:rPr>
                <w:rStyle w:val="NoteLabel"/>
              </w:rPr>
              <w:t xml:space="preserve"> </w:t>
            </w:r>
            <w:r>
              <w:rPr>
                <w:rStyle w:val="NoteLabel"/>
              </w:rPr>
              <w:t xml:space="preserve">b </w:t>
            </w:r>
            <w:r>
              <w:t xml:space="preserve">Over the period, average investment fees in investment reduced for the retail segment, driven by significant reductions for some large funds. </w:t>
            </w:r>
            <w:r>
              <w:rPr>
                <w:rStyle w:val="NoteLabel"/>
              </w:rPr>
              <w:t>c</w:t>
            </w:r>
            <w:r>
              <w:t xml:space="preserve"> Mid</w:t>
            </w:r>
            <w:r>
              <w:noBreakHyphen/>
              <w:t>point represents the 50</w:t>
            </w:r>
            <w:r w:rsidRPr="00C767AC">
              <w:rPr>
                <w:vertAlign w:val="superscript"/>
              </w:rPr>
              <w:t>th</w:t>
            </w:r>
            <w:r>
              <w:t xml:space="preserve"> percentile of the estimated range.</w:t>
            </w:r>
          </w:p>
        </w:tc>
      </w:tr>
      <w:tr w:rsidR="0011262F" w14:paraId="5EE51A1F" w14:textId="77777777" w:rsidTr="00B54007">
        <w:tc>
          <w:tcPr>
            <w:tcW w:w="5000" w:type="pct"/>
            <w:tcBorders>
              <w:top w:val="single" w:sz="4" w:space="0" w:color="FFFFFF" w:themeColor="background1"/>
              <w:left w:val="nil"/>
              <w:bottom w:val="single" w:sz="6" w:space="0" w:color="78A22F"/>
              <w:right w:val="nil"/>
            </w:tcBorders>
            <w:shd w:val="clear" w:color="auto" w:fill="auto"/>
          </w:tcPr>
          <w:p w14:paraId="4B999B3C" w14:textId="77777777" w:rsidR="0011262F" w:rsidRDefault="0011262F" w:rsidP="00B54007">
            <w:pPr>
              <w:pStyle w:val="Figurespace"/>
            </w:pPr>
          </w:p>
        </w:tc>
      </w:tr>
      <w:tr w:rsidR="0011262F" w:rsidRPr="000863A5" w14:paraId="17F4261E" w14:textId="77777777" w:rsidTr="00B54007">
        <w:tc>
          <w:tcPr>
            <w:tcW w:w="5000" w:type="pct"/>
            <w:tcBorders>
              <w:top w:val="single" w:sz="6" w:space="0" w:color="78A22F"/>
              <w:left w:val="nil"/>
              <w:bottom w:val="nil"/>
              <w:right w:val="nil"/>
            </w:tcBorders>
          </w:tcPr>
          <w:p w14:paraId="1628027D" w14:textId="77777777" w:rsidR="0011262F" w:rsidRPr="00626D32" w:rsidRDefault="0011262F" w:rsidP="00B54007">
            <w:pPr>
              <w:pStyle w:val="BoxSpaceBelow"/>
            </w:pPr>
          </w:p>
        </w:tc>
      </w:tr>
    </w:tbl>
    <w:p w14:paraId="0C6702ED" w14:textId="77777777" w:rsidR="0011262F" w:rsidRDefault="0011262F" w:rsidP="0011262F">
      <w:pPr>
        <w:pStyle w:val="BodyText"/>
        <w:rPr>
          <w:spacing w:val="-2"/>
        </w:rPr>
      </w:pPr>
      <w:r>
        <w:t>In other words</w:t>
      </w:r>
      <w:r w:rsidRPr="00043B23">
        <w:t xml:space="preserve">, </w:t>
      </w:r>
      <w:r w:rsidRPr="00F520B9">
        <w:rPr>
          <w:i/>
        </w:rPr>
        <w:t>the average fund</w:t>
      </w:r>
      <w:r>
        <w:t xml:space="preserve"> did not pass</w:t>
      </w:r>
      <w:r w:rsidRPr="00043B23">
        <w:t xml:space="preserve"> through the lower average costs realised with greater scale to their members in the form of lower fees.</w:t>
      </w:r>
      <w:r>
        <w:t xml:space="preserve"> Underlying the average, however, some funds might have passed through at least some of the gains over the period.</w:t>
      </w:r>
    </w:p>
    <w:p w14:paraId="66E7F026" w14:textId="77777777" w:rsidR="0011262F" w:rsidRDefault="0011262F" w:rsidP="0011262F">
      <w:pPr>
        <w:pStyle w:val="BodyText"/>
        <w:rPr>
          <w:spacing w:val="-2"/>
        </w:rPr>
      </w:pPr>
      <w:r>
        <w:rPr>
          <w:spacing w:val="-2"/>
        </w:rPr>
        <w:t>A similar result arises from the pass</w:t>
      </w:r>
      <w:r>
        <w:rPr>
          <w:spacing w:val="-2"/>
        </w:rPr>
        <w:noBreakHyphen/>
        <w:t xml:space="preserve">through component of the Commission’s model, which compares annual changes in estimated cost savings to annual changes in fees. </w:t>
      </w:r>
      <w:r w:rsidRPr="001E3030">
        <w:rPr>
          <w:spacing w:val="-2"/>
        </w:rPr>
        <w:t xml:space="preserve">For example, in the case of administration expenses, the largest share </w:t>
      </w:r>
      <w:r>
        <w:rPr>
          <w:spacing w:val="-2"/>
        </w:rPr>
        <w:t xml:space="preserve">of lower expenses </w:t>
      </w:r>
      <w:r w:rsidRPr="001E3030">
        <w:rPr>
          <w:spacing w:val="-2"/>
        </w:rPr>
        <w:t xml:space="preserve">that might have been passed through by </w:t>
      </w:r>
      <w:r>
        <w:rPr>
          <w:spacing w:val="-2"/>
        </w:rPr>
        <w:t xml:space="preserve">the </w:t>
      </w:r>
      <w:r w:rsidRPr="001E3030">
        <w:rPr>
          <w:spacing w:val="-2"/>
        </w:rPr>
        <w:t xml:space="preserve">industry </w:t>
      </w:r>
      <w:r>
        <w:rPr>
          <w:spacing w:val="-2"/>
        </w:rPr>
        <w:t>segment in a year</w:t>
      </w:r>
      <w:r w:rsidRPr="001E3030">
        <w:rPr>
          <w:spacing w:val="-2"/>
        </w:rPr>
        <w:t xml:space="preserve"> was in the order of 20 per cent (figure </w:t>
      </w:r>
      <w:r>
        <w:rPr>
          <w:spacing w:val="-2"/>
        </w:rPr>
        <w:t>8.18</w:t>
      </w:r>
      <w:r w:rsidRPr="001E3030">
        <w:rPr>
          <w:spacing w:val="-2"/>
        </w:rPr>
        <w:t>)</w:t>
      </w:r>
      <w:r>
        <w:rPr>
          <w:spacing w:val="-2"/>
        </w:rPr>
        <w:t xml:space="preserve">. And, on average, the </w:t>
      </w:r>
      <w:r w:rsidRPr="001E3030">
        <w:rPr>
          <w:spacing w:val="-2"/>
        </w:rPr>
        <w:t xml:space="preserve">industry </w:t>
      </w:r>
      <w:r>
        <w:rPr>
          <w:spacing w:val="-2"/>
        </w:rPr>
        <w:t>segment</w:t>
      </w:r>
      <w:r w:rsidRPr="001E3030">
        <w:rPr>
          <w:spacing w:val="-2"/>
        </w:rPr>
        <w:t xml:space="preserve"> potentially increased fees to members, despite the gains realised from scale</w:t>
      </w:r>
      <w:r>
        <w:rPr>
          <w:spacing w:val="-2"/>
        </w:rPr>
        <w:t xml:space="preserve"> (an outcome captured in the fact that the extent of pass</w:t>
      </w:r>
      <w:r>
        <w:rPr>
          <w:spacing w:val="-2"/>
        </w:rPr>
        <w:noBreakHyphen/>
        <w:t>through was potentially negative)</w:t>
      </w:r>
      <w:r w:rsidRPr="001E3030">
        <w:rPr>
          <w:spacing w:val="-2"/>
        </w:rPr>
        <w:t>. Similar conclusions apply for investment expenses (figure </w:t>
      </w:r>
      <w:r>
        <w:rPr>
          <w:spacing w:val="-2"/>
        </w:rPr>
        <w:t>8.19</w:t>
      </w:r>
      <w:r w:rsidRPr="001E3030">
        <w:rPr>
          <w:spacing w:val="-2"/>
        </w:rPr>
        <w:t xml:space="preserve">). And plots of the </w:t>
      </w:r>
      <w:r>
        <w:rPr>
          <w:spacing w:val="-2"/>
        </w:rPr>
        <w:t xml:space="preserve">estimated extent to which individual funds passed through realised gains in the </w:t>
      </w:r>
      <w:r>
        <w:rPr>
          <w:spacing w:val="-2"/>
        </w:rPr>
        <w:lastRenderedPageBreak/>
        <w:t xml:space="preserve">form of lower fees reveal </w:t>
      </w:r>
      <w:r w:rsidRPr="001E3030">
        <w:rPr>
          <w:spacing w:val="-2"/>
        </w:rPr>
        <w:t>relatively little variation, especially for investment expenses (figures </w:t>
      </w:r>
      <w:r>
        <w:rPr>
          <w:spacing w:val="-2"/>
        </w:rPr>
        <w:t>8.20</w:t>
      </w:r>
      <w:r w:rsidRPr="001E3030">
        <w:rPr>
          <w:spacing w:val="-2"/>
        </w:rPr>
        <w:t xml:space="preserve"> and </w:t>
      </w:r>
      <w:r>
        <w:rPr>
          <w:spacing w:val="-2"/>
        </w:rPr>
        <w:t>8.21</w:t>
      </w:r>
      <w:r w:rsidRPr="001E3030">
        <w:rPr>
          <w:spacing w:val="-2"/>
        </w:rPr>
        <w:t>)</w:t>
      </w:r>
      <w:r>
        <w:rPr>
          <w:spacing w:val="-2"/>
        </w:rPr>
        <w:t>, but also indicate the possibility that some funds might have passed through some gains</w:t>
      </w:r>
      <w:r w:rsidRPr="001E3030">
        <w:rPr>
          <w:spacing w:val="-2"/>
        </w:rPr>
        <w:t>.</w:t>
      </w:r>
    </w:p>
    <w:p w14:paraId="6AF4C887" w14:textId="77777777" w:rsidR="0011262F" w:rsidRPr="001E3030" w:rsidRDefault="0011262F" w:rsidP="0011262F">
      <w:pPr>
        <w:pStyle w:val="BodyText"/>
        <w:rPr>
          <w:spacing w:val="-2"/>
        </w:rPr>
      </w:pPr>
      <w:r>
        <w:rPr>
          <w:spacing w:val="-2"/>
        </w:rPr>
        <w:t>As mentioned previously, this result could be explained by funds increasing the size of their operational reserves, investing in improved members services or spending to enable compliance with new regulatory requirements. On the investment side, it is possible that some funds used economies of scale gains to invest more heavily in unlisted asset classes, which may then have led to higher net returns for members (this is discussed further below). Finally, it is also possible that data limitations (including underreporting of expenses and patchy fee data) are muddying the analysis.</w:t>
      </w:r>
    </w:p>
    <w:p w14:paraId="4BBDE45E" w14:textId="77777777" w:rsidR="0011262F" w:rsidRDefault="0011262F" w:rsidP="0011262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1262F" w14:paraId="795E6AA6" w14:textId="77777777" w:rsidTr="00B54007">
        <w:trPr>
          <w:tblHeader/>
        </w:trPr>
        <w:tc>
          <w:tcPr>
            <w:tcW w:w="5000" w:type="pct"/>
            <w:tcBorders>
              <w:top w:val="single" w:sz="6" w:space="0" w:color="78A22F"/>
              <w:left w:val="nil"/>
              <w:bottom w:val="nil"/>
              <w:right w:val="nil"/>
            </w:tcBorders>
            <w:shd w:val="clear" w:color="auto" w:fill="auto"/>
          </w:tcPr>
          <w:p w14:paraId="4EEED7C5" w14:textId="77777777" w:rsidR="0011262F" w:rsidRDefault="0011262F" w:rsidP="00B54007">
            <w:pPr>
              <w:pStyle w:val="FigureTitle"/>
            </w:pPr>
            <w:r w:rsidRPr="00784A05">
              <w:rPr>
                <w:b w:val="0"/>
              </w:rPr>
              <w:t xml:space="preserve">Figure </w:t>
            </w:r>
            <w:bookmarkStart w:id="51" w:name="OLE_LINK25"/>
            <w:r>
              <w:rPr>
                <w:b w:val="0"/>
              </w:rPr>
              <w:t>8.</w:t>
            </w:r>
            <w:bookmarkStart w:id="52" w:name="OLE_LINK33"/>
            <w:r>
              <w:rPr>
                <w:b w:val="0"/>
                <w:noProof/>
              </w:rPr>
              <w:t>18</w:t>
            </w:r>
            <w:bookmarkEnd w:id="51"/>
            <w:bookmarkEnd w:id="52"/>
            <w:r>
              <w:tab/>
              <w:t>Little pass</w:t>
            </w:r>
            <w:r>
              <w:noBreakHyphen/>
              <w:t>through of economies of scale gains in administration expenses via lower fees — by segment</w:t>
            </w:r>
            <w:r w:rsidRPr="00573776">
              <w:rPr>
                <w:rStyle w:val="NoteLabel"/>
              </w:rPr>
              <w:t>a</w:t>
            </w:r>
          </w:p>
          <w:p w14:paraId="3BD87071" w14:textId="77777777" w:rsidR="0011262F" w:rsidRPr="00176D3F" w:rsidRDefault="0011262F" w:rsidP="00B54007">
            <w:pPr>
              <w:pStyle w:val="Subtitle"/>
            </w:pPr>
            <w:r>
              <w:t>Annual share of realised EOS administration expense gains passed through as lower fees, per cent</w:t>
            </w:r>
          </w:p>
        </w:tc>
      </w:tr>
      <w:tr w:rsidR="0011262F" w:rsidRPr="00B83E86" w14:paraId="1DB5AC13" w14:textId="77777777" w:rsidTr="00B5400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1262F" w:rsidRPr="00B83E86" w14:paraId="43E7D3F0" w14:textId="77777777" w:rsidTr="00B54007">
              <w:trPr>
                <w:tblHeader/>
                <w:jc w:val="center"/>
              </w:trPr>
              <w:tc>
                <w:tcPr>
                  <w:tcW w:w="5000" w:type="pct"/>
                  <w:tcBorders>
                    <w:top w:val="nil"/>
                    <w:bottom w:val="nil"/>
                  </w:tcBorders>
                </w:tcPr>
                <w:p w14:paraId="362E6D13" w14:textId="77777777" w:rsidR="0011262F" w:rsidRPr="00C407C1" w:rsidRDefault="0011262F" w:rsidP="00B54007">
                  <w:pPr>
                    <w:pStyle w:val="Figure"/>
                    <w:spacing w:before="60" w:after="60"/>
                    <w:rPr>
                      <w:rFonts w:asciiTheme="minorHAnsi" w:hAnsiTheme="minorHAnsi" w:cs="Arial"/>
                      <w:spacing w:val="-2"/>
                      <w:sz w:val="18"/>
                      <w:szCs w:val="18"/>
                    </w:rPr>
                  </w:pPr>
                  <w:r w:rsidRPr="00610D79">
                    <w:rPr>
                      <w:rFonts w:asciiTheme="minorHAnsi" w:hAnsiTheme="minorHAnsi" w:cs="Arial"/>
                      <w:noProof/>
                      <w:spacing w:val="-2"/>
                      <w:sz w:val="18"/>
                      <w:szCs w:val="18"/>
                    </w:rPr>
                    <w:drawing>
                      <wp:inline distT="0" distB="0" distL="0" distR="0" wp14:anchorId="238426B3" wp14:editId="1FCD5745">
                        <wp:extent cx="5326380" cy="2663190"/>
                        <wp:effectExtent l="0" t="0" r="0" b="0"/>
                        <wp:docPr id="71" name="Picture 71" descr="The figure shows the estimated range of the administration passthrough coefficient for each fund type represented as a bar, and the median represented as a dot. The top part of the plot corresponds to passthrough while the bottom part corresponds to retention. The median for corporate, industry, and public sector funds are in the passthrough region, while the median for retail fund is in the retention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26380" cy="2663190"/>
                                </a:xfrm>
                                <a:prstGeom prst="rect">
                                  <a:avLst/>
                                </a:prstGeom>
                                <a:noFill/>
                                <a:ln>
                                  <a:noFill/>
                                </a:ln>
                              </pic:spPr>
                            </pic:pic>
                          </a:graphicData>
                        </a:graphic>
                      </wp:inline>
                    </w:drawing>
                  </w:r>
                </w:p>
                <w:tbl>
                  <w:tblPr>
                    <w:tblW w:w="0" w:type="auto"/>
                    <w:tblLook w:val="04A0" w:firstRow="1" w:lastRow="0" w:firstColumn="1" w:lastColumn="0" w:noHBand="0" w:noVBand="1"/>
                  </w:tblPr>
                  <w:tblGrid>
                    <w:gridCol w:w="1559"/>
                    <w:gridCol w:w="2311"/>
                    <w:gridCol w:w="2312"/>
                    <w:gridCol w:w="2312"/>
                  </w:tblGrid>
                  <w:tr w:rsidR="0011262F" w:rsidRPr="00C407C1" w14:paraId="3C38E4BB" w14:textId="77777777" w:rsidTr="00B54007">
                    <w:trPr>
                      <w:tblHeader/>
                    </w:trPr>
                    <w:tc>
                      <w:tcPr>
                        <w:tcW w:w="1559" w:type="dxa"/>
                        <w:shd w:val="clear" w:color="auto" w:fill="F2F2F2" w:themeFill="background1" w:themeFillShade="F2"/>
                      </w:tcPr>
                      <w:p w14:paraId="2E1B34AA" w14:textId="77777777" w:rsidR="0011262F" w:rsidRPr="00C407C1" w:rsidRDefault="0011262F" w:rsidP="00B54007">
                        <w:pPr>
                          <w:pStyle w:val="Figure"/>
                          <w:spacing w:before="0" w:after="0"/>
                          <w:jc w:val="left"/>
                          <w:rPr>
                            <w:rFonts w:asciiTheme="minorHAnsi" w:hAnsiTheme="minorHAnsi" w:cs="Arial"/>
                            <w:spacing w:val="-2"/>
                            <w:sz w:val="18"/>
                            <w:szCs w:val="18"/>
                          </w:rPr>
                        </w:pPr>
                        <w:r w:rsidRPr="00C407C1">
                          <w:rPr>
                            <w:rFonts w:asciiTheme="minorHAnsi" w:hAnsiTheme="minorHAnsi" w:cstheme="minorBidi"/>
                            <w:b/>
                            <w:color w:val="000000" w:themeColor="text1"/>
                            <w:spacing w:val="-2"/>
                            <w:kern w:val="24"/>
                            <w:sz w:val="18"/>
                            <w:szCs w:val="18"/>
                          </w:rPr>
                          <w:t>Source</w:t>
                        </w:r>
                      </w:p>
                    </w:tc>
                    <w:tc>
                      <w:tcPr>
                        <w:tcW w:w="6935" w:type="dxa"/>
                        <w:gridSpan w:val="3"/>
                        <w:shd w:val="clear" w:color="auto" w:fill="F2F2F2" w:themeFill="background1" w:themeFillShade="F2"/>
                      </w:tcPr>
                      <w:p w14:paraId="64C03187" w14:textId="77777777" w:rsidR="0011262F" w:rsidRPr="00C407C1" w:rsidRDefault="0011262F" w:rsidP="00B54007">
                        <w:pPr>
                          <w:pStyle w:val="Figure"/>
                          <w:spacing w:before="0" w:after="0"/>
                          <w:jc w:val="left"/>
                          <w:rPr>
                            <w:rFonts w:asciiTheme="minorHAnsi" w:hAnsiTheme="minorHAnsi" w:cs="Arial"/>
                            <w:spacing w:val="-2"/>
                            <w:sz w:val="18"/>
                            <w:szCs w:val="18"/>
                          </w:rPr>
                        </w:pPr>
                        <w:r w:rsidRPr="00C407C1">
                          <w:rPr>
                            <w:rFonts w:asciiTheme="minorHAnsi" w:eastAsia="+mn-ea" w:hAnsiTheme="minorHAnsi" w:cs="Arial"/>
                            <w:color w:val="000000" w:themeColor="text1"/>
                            <w:spacing w:val="-2"/>
                            <w:kern w:val="24"/>
                            <w:sz w:val="18"/>
                            <w:szCs w:val="18"/>
                          </w:rPr>
                          <w:t xml:space="preserve">PC analysis of </w:t>
                        </w:r>
                        <w:proofErr w:type="spellStart"/>
                        <w:r w:rsidRPr="00C407C1">
                          <w:rPr>
                            <w:rFonts w:asciiTheme="minorHAnsi" w:eastAsia="+mn-ea" w:hAnsiTheme="minorHAnsi" w:cs="Arial"/>
                            <w:color w:val="000000" w:themeColor="text1"/>
                            <w:spacing w:val="-2"/>
                            <w:kern w:val="24"/>
                            <w:sz w:val="18"/>
                            <w:szCs w:val="18"/>
                          </w:rPr>
                          <w:t>SuperRatings</w:t>
                        </w:r>
                        <w:proofErr w:type="spellEnd"/>
                        <w:r w:rsidRPr="00C407C1">
                          <w:rPr>
                            <w:rFonts w:asciiTheme="minorHAnsi" w:eastAsia="+mn-ea" w:hAnsiTheme="minorHAnsi" w:cs="Arial"/>
                            <w:color w:val="000000" w:themeColor="text1"/>
                            <w:spacing w:val="-2"/>
                            <w:kern w:val="24"/>
                            <w:sz w:val="18"/>
                            <w:szCs w:val="18"/>
                          </w:rPr>
                          <w:t xml:space="preserve"> and APRA data.</w:t>
                        </w:r>
                      </w:p>
                    </w:tc>
                  </w:tr>
                  <w:tr w:rsidR="0011262F" w:rsidRPr="00C407C1" w14:paraId="365C1CCC" w14:textId="77777777" w:rsidTr="00B54007">
                    <w:tc>
                      <w:tcPr>
                        <w:tcW w:w="1559" w:type="dxa"/>
                        <w:shd w:val="clear" w:color="auto" w:fill="F2F2F2" w:themeFill="background1" w:themeFillShade="F2"/>
                      </w:tcPr>
                      <w:p w14:paraId="6DABA7DB" w14:textId="77777777" w:rsidR="0011262F" w:rsidRPr="00C407C1" w:rsidRDefault="0011262F" w:rsidP="00B54007">
                        <w:pPr>
                          <w:pStyle w:val="Figure"/>
                          <w:spacing w:before="0" w:after="0"/>
                          <w:jc w:val="left"/>
                          <w:rPr>
                            <w:rFonts w:asciiTheme="minorHAnsi" w:hAnsiTheme="minorHAnsi" w:cs="Arial"/>
                            <w:spacing w:val="-2"/>
                            <w:sz w:val="18"/>
                            <w:szCs w:val="18"/>
                          </w:rPr>
                        </w:pPr>
                        <w:r w:rsidRPr="00C407C1">
                          <w:rPr>
                            <w:rFonts w:asciiTheme="minorHAnsi" w:hAnsiTheme="minorHAnsi" w:cstheme="minorBidi"/>
                            <w:b/>
                            <w:color w:val="000000" w:themeColor="text1"/>
                            <w:spacing w:val="-2"/>
                            <w:kern w:val="24"/>
                            <w:sz w:val="18"/>
                            <w:szCs w:val="18"/>
                          </w:rPr>
                          <w:t>Coverage</w:t>
                        </w:r>
                      </w:p>
                    </w:tc>
                    <w:tc>
                      <w:tcPr>
                        <w:tcW w:w="6935" w:type="dxa"/>
                        <w:gridSpan w:val="3"/>
                        <w:shd w:val="clear" w:color="auto" w:fill="F2F2F2" w:themeFill="background1" w:themeFillShade="F2"/>
                      </w:tcPr>
                      <w:p w14:paraId="6D537929" w14:textId="77777777" w:rsidR="0011262F" w:rsidRPr="00C407C1" w:rsidRDefault="0011262F" w:rsidP="00B54007">
                        <w:pPr>
                          <w:pStyle w:val="Figure"/>
                          <w:spacing w:before="0" w:after="0"/>
                          <w:jc w:val="left"/>
                          <w:rPr>
                            <w:rFonts w:asciiTheme="minorHAnsi" w:hAnsiTheme="minorHAnsi"/>
                            <w:color w:val="000000" w:themeColor="text1"/>
                            <w:spacing w:val="-2"/>
                          </w:rPr>
                        </w:pPr>
                        <w:r>
                          <w:rPr>
                            <w:rFonts w:ascii="Arial" w:eastAsia="+mn-ea" w:hAnsi="Arial" w:cs="Arial"/>
                            <w:color w:val="000000" w:themeColor="text1"/>
                            <w:kern w:val="24"/>
                            <w:sz w:val="18"/>
                            <w:szCs w:val="18"/>
                          </w:rPr>
                          <w:t>134</w:t>
                        </w:r>
                        <w:r w:rsidRPr="00BF2E25">
                          <w:rPr>
                            <w:rFonts w:ascii="Arial" w:hAnsi="Arial"/>
                            <w:color w:val="000000" w:themeColor="text1"/>
                            <w:kern w:val="24"/>
                            <w:sz w:val="18"/>
                          </w:rPr>
                          <w:t xml:space="preserve"> funds representing </w:t>
                        </w:r>
                        <w:r>
                          <w:rPr>
                            <w:rFonts w:ascii="Arial" w:hAnsi="Arial"/>
                            <w:color w:val="000000" w:themeColor="text1"/>
                            <w:kern w:val="24"/>
                            <w:sz w:val="18"/>
                          </w:rPr>
                          <w:t>84 </w:t>
                        </w:r>
                        <w:r>
                          <w:rPr>
                            <w:rFonts w:ascii="Arial" w:eastAsia="+mn-ea" w:hAnsi="Arial" w:cs="Arial"/>
                            <w:color w:val="000000" w:themeColor="text1"/>
                            <w:kern w:val="24"/>
                            <w:sz w:val="18"/>
                            <w:szCs w:val="18"/>
                          </w:rPr>
                          <w:t>per cent and 53</w:t>
                        </w:r>
                        <w:r w:rsidRPr="00BF2E25">
                          <w:rPr>
                            <w:rFonts w:ascii="Arial" w:hAnsi="Arial"/>
                            <w:color w:val="000000" w:themeColor="text1"/>
                            <w:kern w:val="24"/>
                            <w:sz w:val="18"/>
                          </w:rPr>
                          <w:t xml:space="preserve"> per cent of </w:t>
                        </w:r>
                        <w:r>
                          <w:rPr>
                            <w:rFonts w:ascii="Arial" w:eastAsia="+mn-ea" w:hAnsi="Arial" w:cs="Arial"/>
                            <w:color w:val="000000" w:themeColor="text1"/>
                            <w:kern w:val="24"/>
                            <w:sz w:val="18"/>
                            <w:szCs w:val="18"/>
                          </w:rPr>
                          <w:t xml:space="preserve">the system by assets </w:t>
                        </w:r>
                        <w:r w:rsidRPr="00BF2E25">
                          <w:rPr>
                            <w:rFonts w:ascii="Arial" w:hAnsi="Arial"/>
                            <w:color w:val="000000" w:themeColor="text1"/>
                            <w:kern w:val="24"/>
                            <w:sz w:val="18"/>
                          </w:rPr>
                          <w:t>in 2015</w:t>
                        </w:r>
                        <w:r>
                          <w:rPr>
                            <w:rFonts w:ascii="Arial" w:hAnsi="Arial"/>
                            <w:color w:val="000000" w:themeColor="text1"/>
                            <w:kern w:val="24"/>
                            <w:sz w:val="18"/>
                          </w:rPr>
                          <w:noBreakHyphen/>
                        </w:r>
                        <w:r w:rsidRPr="00BF2E25">
                          <w:rPr>
                            <w:rFonts w:ascii="Arial" w:hAnsi="Arial"/>
                            <w:color w:val="000000" w:themeColor="text1"/>
                            <w:kern w:val="24"/>
                            <w:sz w:val="18"/>
                          </w:rPr>
                          <w:t>16</w:t>
                        </w:r>
                        <w:r>
                          <w:rPr>
                            <w:rFonts w:ascii="Arial" w:eastAsia="+mn-ea" w:hAnsi="Arial" w:cs="Arial"/>
                            <w:color w:val="000000" w:themeColor="text1"/>
                            <w:kern w:val="24"/>
                            <w:sz w:val="18"/>
                            <w:szCs w:val="18"/>
                          </w:rPr>
                          <w:t xml:space="preserve"> and 2005</w:t>
                        </w:r>
                        <w:r>
                          <w:rPr>
                            <w:rFonts w:ascii="Arial" w:eastAsia="+mn-ea" w:hAnsi="Arial" w:cs="Arial"/>
                            <w:color w:val="000000" w:themeColor="text1"/>
                            <w:kern w:val="24"/>
                            <w:sz w:val="18"/>
                            <w:szCs w:val="18"/>
                          </w:rPr>
                          <w:noBreakHyphen/>
                          <w:t>06 respectively for administration and investment. Excludes funds with less than two years of data</w:t>
                        </w:r>
                        <w:r w:rsidRPr="00BF2E25">
                          <w:rPr>
                            <w:rFonts w:ascii="Arial" w:hAnsi="Arial"/>
                            <w:color w:val="000000" w:themeColor="text1"/>
                            <w:kern w:val="24"/>
                            <w:sz w:val="18"/>
                          </w:rPr>
                          <w:t>.</w:t>
                        </w:r>
                      </w:p>
                    </w:tc>
                  </w:tr>
                  <w:tr w:rsidR="0011262F" w:rsidRPr="00B83E86" w14:paraId="1ECD9A19" w14:textId="77777777" w:rsidTr="00B54007">
                    <w:tc>
                      <w:tcPr>
                        <w:tcW w:w="1559" w:type="dxa"/>
                        <w:shd w:val="clear" w:color="auto" w:fill="F2F2F2" w:themeFill="background1" w:themeFillShade="F2"/>
                      </w:tcPr>
                      <w:p w14:paraId="06C97E2D" w14:textId="77777777" w:rsidR="0011262F" w:rsidRPr="00C407C1" w:rsidRDefault="0011262F" w:rsidP="00B54007">
                        <w:pPr>
                          <w:pStyle w:val="Figure"/>
                          <w:spacing w:before="0" w:after="0"/>
                          <w:jc w:val="left"/>
                          <w:rPr>
                            <w:rFonts w:asciiTheme="minorHAnsi" w:hAnsiTheme="minorHAnsi" w:cstheme="minorBidi"/>
                            <w:b/>
                            <w:color w:val="000000" w:themeColor="text1"/>
                            <w:spacing w:val="-2"/>
                            <w:kern w:val="24"/>
                            <w:sz w:val="18"/>
                            <w:szCs w:val="18"/>
                          </w:rPr>
                        </w:pPr>
                        <w:r w:rsidRPr="00C407C1">
                          <w:rPr>
                            <w:rFonts w:asciiTheme="minorHAnsi" w:hAnsiTheme="minorHAnsi" w:cs="Arial"/>
                            <w:b/>
                            <w:spacing w:val="-2"/>
                            <w:sz w:val="18"/>
                            <w:szCs w:val="18"/>
                          </w:rPr>
                          <w:t>Survivor bias</w:t>
                        </w:r>
                      </w:p>
                    </w:tc>
                    <w:tc>
                      <w:tcPr>
                        <w:tcW w:w="2311" w:type="dxa"/>
                        <w:shd w:val="clear" w:color="auto" w:fill="F2F2F2" w:themeFill="background1" w:themeFillShade="F2"/>
                      </w:tcPr>
                      <w:p w14:paraId="7AFA436F" w14:textId="77777777" w:rsidR="0011262F" w:rsidRPr="00C407C1" w:rsidRDefault="0011262F" w:rsidP="00B54007">
                        <w:pPr>
                          <w:pStyle w:val="Figure"/>
                          <w:spacing w:before="0" w:after="0"/>
                          <w:jc w:val="left"/>
                          <w:rPr>
                            <w:rFonts w:asciiTheme="minorHAnsi" w:hAnsiTheme="minorHAnsi" w:cs="Arial"/>
                            <w:spacing w:val="-2"/>
                            <w:sz w:val="18"/>
                            <w:szCs w:val="18"/>
                          </w:rPr>
                        </w:pPr>
                        <w:r w:rsidRPr="00C407C1">
                          <w:rPr>
                            <w:rFonts w:asciiTheme="minorHAnsi" w:hAnsiTheme="minorHAnsi" w:cstheme="minorBidi"/>
                            <w:color w:val="000000" w:themeColor="text1"/>
                            <w:spacing w:val="-2"/>
                            <w:kern w:val="24"/>
                            <w:sz w:val="18"/>
                            <w:szCs w:val="18"/>
                          </w:rPr>
                          <w:t>No.</w:t>
                        </w:r>
                      </w:p>
                    </w:tc>
                    <w:tc>
                      <w:tcPr>
                        <w:tcW w:w="2312" w:type="dxa"/>
                        <w:shd w:val="clear" w:color="auto" w:fill="F2F2F2" w:themeFill="background1" w:themeFillShade="F2"/>
                      </w:tcPr>
                      <w:p w14:paraId="6DF9F747" w14:textId="77777777" w:rsidR="0011262F" w:rsidRPr="00C407C1" w:rsidRDefault="0011262F" w:rsidP="00B54007">
                        <w:pPr>
                          <w:pStyle w:val="Figure"/>
                          <w:spacing w:before="0" w:after="0"/>
                          <w:jc w:val="left"/>
                          <w:rPr>
                            <w:rFonts w:asciiTheme="minorHAnsi" w:hAnsiTheme="minorHAnsi" w:cs="Arial"/>
                            <w:spacing w:val="-2"/>
                            <w:sz w:val="18"/>
                            <w:szCs w:val="18"/>
                          </w:rPr>
                        </w:pPr>
                        <w:r w:rsidRPr="00C407C1">
                          <w:rPr>
                            <w:rFonts w:asciiTheme="minorHAnsi" w:hAnsiTheme="minorHAnsi" w:cstheme="minorBidi"/>
                            <w:b/>
                            <w:color w:val="000000" w:themeColor="text1"/>
                            <w:spacing w:val="-2"/>
                            <w:kern w:val="24"/>
                            <w:sz w:val="18"/>
                            <w:szCs w:val="18"/>
                          </w:rPr>
                          <w:t>Selection bias</w:t>
                        </w:r>
                      </w:p>
                    </w:tc>
                    <w:tc>
                      <w:tcPr>
                        <w:tcW w:w="2312" w:type="dxa"/>
                        <w:shd w:val="clear" w:color="auto" w:fill="F2F2F2" w:themeFill="background1" w:themeFillShade="F2"/>
                      </w:tcPr>
                      <w:p w14:paraId="299045AC" w14:textId="77777777" w:rsidR="0011262F" w:rsidRPr="00B83E86" w:rsidRDefault="0011262F" w:rsidP="00B54007">
                        <w:pPr>
                          <w:pStyle w:val="Figure"/>
                          <w:spacing w:before="0" w:after="0"/>
                          <w:jc w:val="left"/>
                          <w:rPr>
                            <w:rFonts w:asciiTheme="minorHAnsi" w:hAnsiTheme="minorHAnsi" w:cs="Arial"/>
                            <w:spacing w:val="-2"/>
                            <w:sz w:val="18"/>
                            <w:szCs w:val="18"/>
                          </w:rPr>
                        </w:pPr>
                        <w:r w:rsidRPr="00C407C1">
                          <w:rPr>
                            <w:rFonts w:asciiTheme="minorHAnsi" w:hAnsi="Arial" w:cstheme="minorBidi"/>
                            <w:color w:val="000000" w:themeColor="text1"/>
                            <w:kern w:val="24"/>
                            <w:sz w:val="18"/>
                            <w:szCs w:val="18"/>
                          </w:rPr>
                          <w:t>Yes.</w:t>
                        </w:r>
                      </w:p>
                    </w:tc>
                  </w:tr>
                </w:tbl>
                <w:p w14:paraId="509D76EA" w14:textId="77777777" w:rsidR="0011262F" w:rsidRPr="00C017B5" w:rsidRDefault="0011262F" w:rsidP="00B54007">
                  <w:pPr>
                    <w:pStyle w:val="Figure"/>
                    <w:spacing w:before="60" w:after="60"/>
                    <w:rPr>
                      <w:rFonts w:ascii="Arial" w:hAnsi="Arial" w:cs="Arial"/>
                      <w:sz w:val="18"/>
                      <w:szCs w:val="18"/>
                    </w:rPr>
                  </w:pPr>
                </w:p>
              </w:tc>
            </w:tr>
          </w:tbl>
          <w:p w14:paraId="2FBA6B5D" w14:textId="77777777" w:rsidR="0011262F" w:rsidRPr="00C017B5" w:rsidRDefault="0011262F" w:rsidP="00B54007">
            <w:pPr>
              <w:pStyle w:val="Figure"/>
            </w:pPr>
          </w:p>
        </w:tc>
      </w:tr>
      <w:tr w:rsidR="0011262F" w:rsidRPr="00176D3F" w14:paraId="06FB1979" w14:textId="77777777" w:rsidTr="00B54007">
        <w:tc>
          <w:tcPr>
            <w:tcW w:w="5000" w:type="pct"/>
            <w:tcBorders>
              <w:top w:val="nil"/>
              <w:left w:val="nil"/>
              <w:bottom w:val="nil"/>
              <w:right w:val="nil"/>
            </w:tcBorders>
            <w:shd w:val="clear" w:color="auto" w:fill="auto"/>
          </w:tcPr>
          <w:p w14:paraId="5D970DD9" w14:textId="77777777" w:rsidR="0011262F" w:rsidRPr="00176D3F" w:rsidRDefault="0011262F" w:rsidP="00B54007">
            <w:pPr>
              <w:pStyle w:val="Note"/>
            </w:pPr>
            <w:r>
              <w:rPr>
                <w:rStyle w:val="NoteLabel"/>
              </w:rPr>
              <w:t>a</w:t>
            </w:r>
            <w:r>
              <w:t xml:space="preserve"> Bars represent the 95 per cent probability range for a segment’s coefficient. Dots represent the median.</w:t>
            </w:r>
          </w:p>
        </w:tc>
      </w:tr>
      <w:tr w:rsidR="0011262F" w14:paraId="0D620C4D" w14:textId="77777777" w:rsidTr="00B54007">
        <w:tc>
          <w:tcPr>
            <w:tcW w:w="5000" w:type="pct"/>
            <w:tcBorders>
              <w:top w:val="nil"/>
              <w:left w:val="nil"/>
              <w:bottom w:val="single" w:sz="6" w:space="0" w:color="78A22F"/>
              <w:right w:val="nil"/>
            </w:tcBorders>
            <w:shd w:val="clear" w:color="auto" w:fill="auto"/>
          </w:tcPr>
          <w:p w14:paraId="6A0CF00D" w14:textId="77777777" w:rsidR="0011262F" w:rsidRDefault="0011262F" w:rsidP="00B54007">
            <w:pPr>
              <w:pStyle w:val="Figurespace"/>
            </w:pPr>
          </w:p>
        </w:tc>
      </w:tr>
      <w:tr w:rsidR="0011262F" w:rsidRPr="000863A5" w14:paraId="646D06F9" w14:textId="77777777" w:rsidTr="00B54007">
        <w:tc>
          <w:tcPr>
            <w:tcW w:w="5000" w:type="pct"/>
            <w:tcBorders>
              <w:top w:val="single" w:sz="6" w:space="0" w:color="78A22F"/>
              <w:left w:val="nil"/>
              <w:bottom w:val="nil"/>
              <w:right w:val="nil"/>
            </w:tcBorders>
          </w:tcPr>
          <w:p w14:paraId="057E96D4" w14:textId="77777777" w:rsidR="0011262F" w:rsidRPr="00626D32" w:rsidRDefault="0011262F" w:rsidP="00B54007">
            <w:pPr>
              <w:pStyle w:val="BoxSpaceBelow"/>
            </w:pPr>
          </w:p>
        </w:tc>
      </w:tr>
    </w:tbl>
    <w:p w14:paraId="45B174FE" w14:textId="77777777" w:rsidR="0011262F" w:rsidRDefault="0011262F" w:rsidP="0011262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1262F" w14:paraId="056F52BF" w14:textId="77777777" w:rsidTr="00B54007">
        <w:trPr>
          <w:tblHeader/>
        </w:trPr>
        <w:tc>
          <w:tcPr>
            <w:tcW w:w="5000" w:type="pct"/>
            <w:tcBorders>
              <w:top w:val="single" w:sz="6" w:space="0" w:color="78A22F"/>
              <w:left w:val="nil"/>
              <w:bottom w:val="nil"/>
              <w:right w:val="nil"/>
            </w:tcBorders>
            <w:shd w:val="clear" w:color="auto" w:fill="auto"/>
          </w:tcPr>
          <w:p w14:paraId="43E21BC0" w14:textId="77777777" w:rsidR="0011262F" w:rsidRDefault="0011262F" w:rsidP="00B54007">
            <w:pPr>
              <w:pStyle w:val="FigureTitle"/>
            </w:pPr>
            <w:r w:rsidRPr="00784A05">
              <w:rPr>
                <w:b w:val="0"/>
              </w:rPr>
              <w:t xml:space="preserve">Figure </w:t>
            </w:r>
            <w:bookmarkStart w:id="53" w:name="OLE_LINK50"/>
            <w:r>
              <w:rPr>
                <w:b w:val="0"/>
              </w:rPr>
              <w:t>8.</w:t>
            </w:r>
            <w:bookmarkStart w:id="54" w:name="OLE_LINK26"/>
            <w:r>
              <w:rPr>
                <w:b w:val="0"/>
                <w:noProof/>
              </w:rPr>
              <w:t>19</w:t>
            </w:r>
            <w:bookmarkEnd w:id="53"/>
            <w:bookmarkEnd w:id="54"/>
            <w:r>
              <w:tab/>
              <w:t>Little pass</w:t>
            </w:r>
            <w:r>
              <w:noBreakHyphen/>
              <w:t>through of economies of scale gains in investment expenses via lower fees — by segment</w:t>
            </w:r>
            <w:r w:rsidRPr="00E4016C">
              <w:rPr>
                <w:rStyle w:val="NoteLabel"/>
              </w:rPr>
              <w:t>a</w:t>
            </w:r>
          </w:p>
          <w:p w14:paraId="544F68AB" w14:textId="77777777" w:rsidR="0011262F" w:rsidRPr="00176D3F" w:rsidRDefault="0011262F" w:rsidP="00B54007">
            <w:pPr>
              <w:pStyle w:val="Subtitle"/>
            </w:pPr>
            <w:r>
              <w:t>Annual share of realised EOS investment management expense gains passed through as lower fees, per cent</w:t>
            </w:r>
          </w:p>
        </w:tc>
      </w:tr>
      <w:tr w:rsidR="0011262F" w14:paraId="7D41AE60" w14:textId="77777777" w:rsidTr="00B5400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11262F" w:rsidRPr="00B1465D" w14:paraId="223C7EE4" w14:textId="77777777" w:rsidTr="00B54007">
              <w:trPr>
                <w:tblHeader/>
                <w:jc w:val="center"/>
              </w:trPr>
              <w:tc>
                <w:tcPr>
                  <w:tcW w:w="5000" w:type="pct"/>
                  <w:tcBorders>
                    <w:top w:val="nil"/>
                    <w:bottom w:val="nil"/>
                  </w:tcBorders>
                </w:tcPr>
                <w:p w14:paraId="1AC62F13" w14:textId="77777777" w:rsidR="0011262F" w:rsidRDefault="0011262F" w:rsidP="00B54007">
                  <w:pPr>
                    <w:pStyle w:val="Figure"/>
                    <w:spacing w:before="60" w:after="60"/>
                    <w:rPr>
                      <w:rFonts w:ascii="Arial" w:hAnsi="Arial" w:cs="Arial"/>
                      <w:sz w:val="18"/>
                      <w:szCs w:val="18"/>
                    </w:rPr>
                  </w:pPr>
                  <w:r w:rsidRPr="00610D79">
                    <w:rPr>
                      <w:rFonts w:ascii="Arial" w:hAnsi="Arial" w:cs="Arial"/>
                      <w:noProof/>
                      <w:sz w:val="18"/>
                      <w:szCs w:val="18"/>
                    </w:rPr>
                    <w:drawing>
                      <wp:inline distT="0" distB="0" distL="0" distR="0" wp14:anchorId="2399A9C7" wp14:editId="5912FFDC">
                        <wp:extent cx="5577840" cy="2788920"/>
                        <wp:effectExtent l="0" t="0" r="0" b="0"/>
                        <wp:docPr id="72" name="Picture 72" descr="The figure shows the estimated range of the investment passthrough coefficient for each fund type represented as a bar, and the median represented as a dot. The top part of the plot corresponds to passthrough while the bottom part corresponds to retention. The median for all fund types are in the retention region, suggesting there is little evidence of passth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77840" cy="2788920"/>
                                </a:xfrm>
                                <a:prstGeom prst="rect">
                                  <a:avLst/>
                                </a:prstGeom>
                                <a:noFill/>
                                <a:ln>
                                  <a:noFill/>
                                </a:ln>
                              </pic:spPr>
                            </pic:pic>
                          </a:graphicData>
                        </a:graphic>
                      </wp:inline>
                    </w:drawing>
                  </w:r>
                </w:p>
                <w:tbl>
                  <w:tblPr>
                    <w:tblW w:w="0" w:type="auto"/>
                    <w:tblLook w:val="04A0" w:firstRow="1" w:lastRow="0" w:firstColumn="1" w:lastColumn="0" w:noHBand="0" w:noVBand="1"/>
                  </w:tblPr>
                  <w:tblGrid>
                    <w:gridCol w:w="1559"/>
                    <w:gridCol w:w="2311"/>
                    <w:gridCol w:w="2312"/>
                    <w:gridCol w:w="2312"/>
                  </w:tblGrid>
                  <w:tr w:rsidR="0011262F" w14:paraId="6A2F9530" w14:textId="77777777" w:rsidTr="00B54007">
                    <w:trPr>
                      <w:tblHeader/>
                    </w:trPr>
                    <w:tc>
                      <w:tcPr>
                        <w:tcW w:w="1559" w:type="dxa"/>
                        <w:shd w:val="clear" w:color="auto" w:fill="F2F2F2" w:themeFill="background1" w:themeFillShade="F2"/>
                      </w:tcPr>
                      <w:p w14:paraId="40089C88" w14:textId="77777777" w:rsidR="0011262F" w:rsidRDefault="0011262F" w:rsidP="00B54007">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935" w:type="dxa"/>
                        <w:gridSpan w:val="3"/>
                        <w:shd w:val="clear" w:color="auto" w:fill="F2F2F2" w:themeFill="background1" w:themeFillShade="F2"/>
                      </w:tcPr>
                      <w:p w14:paraId="2569E2D4" w14:textId="77777777" w:rsidR="0011262F" w:rsidRDefault="0011262F" w:rsidP="00B54007">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 xml:space="preserve">PC analysis of </w:t>
                        </w:r>
                        <w:proofErr w:type="spellStart"/>
                        <w:r>
                          <w:rPr>
                            <w:rFonts w:ascii="Arial" w:eastAsia="+mn-ea" w:hAnsi="Arial" w:cs="Arial"/>
                            <w:color w:val="000000" w:themeColor="text1"/>
                            <w:kern w:val="24"/>
                            <w:sz w:val="18"/>
                            <w:szCs w:val="18"/>
                          </w:rPr>
                          <w:t>SuperRatings</w:t>
                        </w:r>
                        <w:proofErr w:type="spellEnd"/>
                        <w:r>
                          <w:rPr>
                            <w:rFonts w:ascii="Arial" w:eastAsia="+mn-ea" w:hAnsi="Arial" w:cs="Arial"/>
                            <w:color w:val="000000" w:themeColor="text1"/>
                            <w:kern w:val="24"/>
                            <w:sz w:val="18"/>
                            <w:szCs w:val="18"/>
                          </w:rPr>
                          <w:t xml:space="preserve"> and APRA data.</w:t>
                        </w:r>
                      </w:p>
                    </w:tc>
                  </w:tr>
                  <w:tr w:rsidR="0011262F" w:rsidRPr="001F53B0" w14:paraId="3022CF5D" w14:textId="77777777" w:rsidTr="00B54007">
                    <w:tc>
                      <w:tcPr>
                        <w:tcW w:w="1559" w:type="dxa"/>
                        <w:shd w:val="clear" w:color="auto" w:fill="F2F2F2" w:themeFill="background1" w:themeFillShade="F2"/>
                      </w:tcPr>
                      <w:p w14:paraId="3E7B38CA" w14:textId="77777777" w:rsidR="0011262F" w:rsidRDefault="0011262F" w:rsidP="00B54007">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gridSpan w:val="3"/>
                        <w:shd w:val="clear" w:color="auto" w:fill="F2F2F2" w:themeFill="background1" w:themeFillShade="F2"/>
                      </w:tcPr>
                      <w:p w14:paraId="183E7BDF" w14:textId="77777777" w:rsidR="0011262F" w:rsidRPr="00B83E86" w:rsidRDefault="0011262F" w:rsidP="00B54007">
                        <w:pPr>
                          <w:pStyle w:val="Figure"/>
                          <w:spacing w:before="0" w:after="0"/>
                          <w:jc w:val="left"/>
                          <w:rPr>
                            <w:color w:val="000000" w:themeColor="text1"/>
                            <w:spacing w:val="-2"/>
                          </w:rPr>
                        </w:pPr>
                        <w:r>
                          <w:rPr>
                            <w:rFonts w:ascii="Arial" w:eastAsia="+mn-ea" w:hAnsi="Arial" w:cs="Arial"/>
                            <w:color w:val="000000" w:themeColor="text1"/>
                            <w:kern w:val="24"/>
                            <w:sz w:val="18"/>
                            <w:szCs w:val="18"/>
                          </w:rPr>
                          <w:t>134</w:t>
                        </w:r>
                        <w:r w:rsidRPr="00BF2E25">
                          <w:rPr>
                            <w:rFonts w:ascii="Arial" w:hAnsi="Arial"/>
                            <w:color w:val="000000" w:themeColor="text1"/>
                            <w:kern w:val="24"/>
                            <w:sz w:val="18"/>
                          </w:rPr>
                          <w:t xml:space="preserve"> funds representing </w:t>
                        </w:r>
                        <w:r>
                          <w:rPr>
                            <w:rFonts w:ascii="Arial" w:eastAsia="+mn-ea" w:hAnsi="Arial" w:cs="Arial"/>
                            <w:color w:val="000000" w:themeColor="text1"/>
                            <w:kern w:val="24"/>
                            <w:sz w:val="18"/>
                            <w:szCs w:val="18"/>
                          </w:rPr>
                          <w:t>84 per cent and 53</w:t>
                        </w:r>
                        <w:r w:rsidRPr="00BF2E25">
                          <w:rPr>
                            <w:rFonts w:ascii="Arial" w:hAnsi="Arial"/>
                            <w:color w:val="000000" w:themeColor="text1"/>
                            <w:kern w:val="24"/>
                            <w:sz w:val="18"/>
                          </w:rPr>
                          <w:t xml:space="preserve"> per cent of </w:t>
                        </w:r>
                        <w:r>
                          <w:rPr>
                            <w:rFonts w:ascii="Arial" w:eastAsia="+mn-ea" w:hAnsi="Arial" w:cs="Arial"/>
                            <w:color w:val="000000" w:themeColor="text1"/>
                            <w:kern w:val="24"/>
                            <w:sz w:val="18"/>
                            <w:szCs w:val="18"/>
                          </w:rPr>
                          <w:t xml:space="preserve">the system by assets </w:t>
                        </w:r>
                        <w:r w:rsidRPr="00BF2E25">
                          <w:rPr>
                            <w:rFonts w:ascii="Arial" w:hAnsi="Arial"/>
                            <w:color w:val="000000" w:themeColor="text1"/>
                            <w:kern w:val="24"/>
                            <w:sz w:val="18"/>
                          </w:rPr>
                          <w:t>in 2015</w:t>
                        </w:r>
                        <w:r>
                          <w:rPr>
                            <w:rFonts w:ascii="Arial" w:hAnsi="Arial"/>
                            <w:color w:val="000000" w:themeColor="text1"/>
                            <w:kern w:val="24"/>
                            <w:sz w:val="18"/>
                          </w:rPr>
                          <w:noBreakHyphen/>
                        </w:r>
                        <w:r w:rsidRPr="00BF2E25">
                          <w:rPr>
                            <w:rFonts w:ascii="Arial" w:hAnsi="Arial"/>
                            <w:color w:val="000000" w:themeColor="text1"/>
                            <w:kern w:val="24"/>
                            <w:sz w:val="18"/>
                          </w:rPr>
                          <w:t>16</w:t>
                        </w:r>
                        <w:r>
                          <w:rPr>
                            <w:rFonts w:ascii="Arial" w:eastAsia="+mn-ea" w:hAnsi="Arial" w:cs="Arial"/>
                            <w:color w:val="000000" w:themeColor="text1"/>
                            <w:kern w:val="24"/>
                            <w:sz w:val="18"/>
                            <w:szCs w:val="18"/>
                          </w:rPr>
                          <w:t xml:space="preserve"> and 2005</w:t>
                        </w:r>
                        <w:r>
                          <w:rPr>
                            <w:rFonts w:ascii="Arial" w:eastAsia="+mn-ea" w:hAnsi="Arial" w:cs="Arial"/>
                            <w:color w:val="000000" w:themeColor="text1"/>
                            <w:kern w:val="24"/>
                            <w:sz w:val="18"/>
                            <w:szCs w:val="18"/>
                          </w:rPr>
                          <w:noBreakHyphen/>
                          <w:t>06 respectively for administration and investment. Excludes funds with less than two years of data</w:t>
                        </w:r>
                        <w:r w:rsidRPr="00BF2E25">
                          <w:rPr>
                            <w:rFonts w:ascii="Arial" w:hAnsi="Arial"/>
                            <w:color w:val="000000" w:themeColor="text1"/>
                            <w:kern w:val="24"/>
                            <w:sz w:val="18"/>
                          </w:rPr>
                          <w:t>.</w:t>
                        </w:r>
                      </w:p>
                    </w:tc>
                  </w:tr>
                  <w:tr w:rsidR="0011262F" w14:paraId="766E8663" w14:textId="77777777" w:rsidTr="00B54007">
                    <w:tc>
                      <w:tcPr>
                        <w:tcW w:w="1559" w:type="dxa"/>
                        <w:shd w:val="clear" w:color="auto" w:fill="F2F2F2" w:themeFill="background1" w:themeFillShade="F2"/>
                      </w:tcPr>
                      <w:p w14:paraId="4279E2D9" w14:textId="77777777" w:rsidR="0011262F" w:rsidRPr="002D6D85" w:rsidRDefault="0011262F" w:rsidP="00B54007">
                        <w:pPr>
                          <w:pStyle w:val="Figure"/>
                          <w:spacing w:before="0" w:after="0"/>
                          <w:jc w:val="left"/>
                          <w:rPr>
                            <w:rFonts w:asciiTheme="minorHAnsi" w:hAnsi="Arial" w:cstheme="minorBidi"/>
                            <w:b/>
                            <w:color w:val="000000" w:themeColor="text1"/>
                            <w:kern w:val="24"/>
                            <w:sz w:val="18"/>
                            <w:szCs w:val="18"/>
                          </w:rPr>
                        </w:pPr>
                        <w:r w:rsidRPr="005F68B0">
                          <w:rPr>
                            <w:rFonts w:ascii="Arial" w:hAnsi="Arial" w:cs="Arial"/>
                            <w:b/>
                            <w:sz w:val="18"/>
                            <w:szCs w:val="18"/>
                          </w:rPr>
                          <w:t>Survivor bias</w:t>
                        </w:r>
                      </w:p>
                    </w:tc>
                    <w:tc>
                      <w:tcPr>
                        <w:tcW w:w="2311" w:type="dxa"/>
                        <w:shd w:val="clear" w:color="auto" w:fill="F2F2F2" w:themeFill="background1" w:themeFillShade="F2"/>
                      </w:tcPr>
                      <w:p w14:paraId="59008449" w14:textId="77777777" w:rsidR="0011262F" w:rsidRDefault="0011262F" w:rsidP="00B54007">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No.</w:t>
                        </w:r>
                      </w:p>
                    </w:tc>
                    <w:tc>
                      <w:tcPr>
                        <w:tcW w:w="2312" w:type="dxa"/>
                        <w:shd w:val="clear" w:color="auto" w:fill="F2F2F2" w:themeFill="background1" w:themeFillShade="F2"/>
                      </w:tcPr>
                      <w:p w14:paraId="03DFBC1D" w14:textId="77777777" w:rsidR="0011262F" w:rsidRDefault="0011262F" w:rsidP="00B54007">
                        <w:pPr>
                          <w:pStyle w:val="Figure"/>
                          <w:spacing w:before="0" w:after="0"/>
                          <w:jc w:val="left"/>
                          <w:rPr>
                            <w:rFonts w:ascii="Arial" w:hAnsi="Arial" w:cs="Arial"/>
                            <w:sz w:val="18"/>
                            <w:szCs w:val="18"/>
                          </w:rPr>
                        </w:pPr>
                        <w:r w:rsidRPr="005F68B0">
                          <w:rPr>
                            <w:rFonts w:asciiTheme="minorHAnsi" w:hAnsi="Arial" w:cstheme="minorBidi"/>
                            <w:b/>
                            <w:color w:val="000000" w:themeColor="text1"/>
                            <w:kern w:val="24"/>
                            <w:sz w:val="18"/>
                            <w:szCs w:val="18"/>
                          </w:rPr>
                          <w:t>Selection bias</w:t>
                        </w:r>
                      </w:p>
                    </w:tc>
                    <w:tc>
                      <w:tcPr>
                        <w:tcW w:w="2312" w:type="dxa"/>
                        <w:shd w:val="clear" w:color="auto" w:fill="F2F2F2" w:themeFill="background1" w:themeFillShade="F2"/>
                      </w:tcPr>
                      <w:p w14:paraId="394064F9" w14:textId="77777777" w:rsidR="0011262F" w:rsidRDefault="0011262F" w:rsidP="00B54007">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Yes.</w:t>
                        </w:r>
                      </w:p>
                    </w:tc>
                  </w:tr>
                </w:tbl>
                <w:p w14:paraId="09266D51" w14:textId="77777777" w:rsidR="0011262F" w:rsidRPr="00B1465D" w:rsidRDefault="0011262F" w:rsidP="00B54007">
                  <w:pPr>
                    <w:pStyle w:val="Figure"/>
                    <w:spacing w:before="60" w:after="60"/>
                    <w:rPr>
                      <w:rFonts w:ascii="Arial" w:hAnsi="Arial" w:cs="Arial"/>
                      <w:sz w:val="18"/>
                      <w:szCs w:val="18"/>
                    </w:rPr>
                  </w:pPr>
                </w:p>
              </w:tc>
            </w:tr>
          </w:tbl>
          <w:p w14:paraId="05DCA8BA" w14:textId="77777777" w:rsidR="0011262F" w:rsidRDefault="0011262F" w:rsidP="00B54007">
            <w:pPr>
              <w:pStyle w:val="Figure"/>
            </w:pPr>
          </w:p>
        </w:tc>
      </w:tr>
      <w:tr w:rsidR="0011262F" w:rsidRPr="00176D3F" w14:paraId="2AB9DD17" w14:textId="77777777" w:rsidTr="00B54007">
        <w:tc>
          <w:tcPr>
            <w:tcW w:w="5000" w:type="pct"/>
            <w:tcBorders>
              <w:top w:val="nil"/>
              <w:left w:val="nil"/>
              <w:bottom w:val="nil"/>
              <w:right w:val="nil"/>
            </w:tcBorders>
            <w:shd w:val="clear" w:color="auto" w:fill="auto"/>
          </w:tcPr>
          <w:p w14:paraId="5BCB8BAA" w14:textId="77777777" w:rsidR="0011262F" w:rsidRPr="00176D3F" w:rsidRDefault="0011262F" w:rsidP="00B54007">
            <w:pPr>
              <w:pStyle w:val="Note"/>
            </w:pPr>
            <w:r>
              <w:rPr>
                <w:rStyle w:val="NoteLabel"/>
              </w:rPr>
              <w:t>a</w:t>
            </w:r>
            <w:r>
              <w:t xml:space="preserve"> Bars represent the 95 per cent probability range for a segment’s coefficient. Dots represent the median.</w:t>
            </w:r>
          </w:p>
        </w:tc>
      </w:tr>
      <w:tr w:rsidR="0011262F" w14:paraId="7DDEC4B1" w14:textId="77777777" w:rsidTr="00B54007">
        <w:tc>
          <w:tcPr>
            <w:tcW w:w="5000" w:type="pct"/>
            <w:tcBorders>
              <w:top w:val="nil"/>
              <w:left w:val="nil"/>
              <w:bottom w:val="single" w:sz="6" w:space="0" w:color="78A22F"/>
              <w:right w:val="nil"/>
            </w:tcBorders>
            <w:shd w:val="clear" w:color="auto" w:fill="auto"/>
          </w:tcPr>
          <w:p w14:paraId="37637726" w14:textId="77777777" w:rsidR="0011262F" w:rsidRDefault="0011262F" w:rsidP="00B54007">
            <w:pPr>
              <w:pStyle w:val="Figurespace"/>
            </w:pPr>
          </w:p>
        </w:tc>
      </w:tr>
      <w:tr w:rsidR="0011262F" w:rsidRPr="000863A5" w14:paraId="5D5A9444" w14:textId="77777777" w:rsidTr="00B54007">
        <w:tc>
          <w:tcPr>
            <w:tcW w:w="5000" w:type="pct"/>
            <w:tcBorders>
              <w:top w:val="single" w:sz="6" w:space="0" w:color="78A22F"/>
              <w:left w:val="nil"/>
              <w:bottom w:val="nil"/>
              <w:right w:val="nil"/>
            </w:tcBorders>
          </w:tcPr>
          <w:p w14:paraId="662CBCF9" w14:textId="77777777" w:rsidR="0011262F" w:rsidRPr="00626D32" w:rsidRDefault="0011262F" w:rsidP="00B54007">
            <w:pPr>
              <w:pStyle w:val="BoxSpaceBelow"/>
            </w:pPr>
          </w:p>
        </w:tc>
      </w:tr>
    </w:tbl>
    <w:p w14:paraId="76F6DF8C" w14:textId="77777777" w:rsidR="0011262F" w:rsidRDefault="0011262F" w:rsidP="0011262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1262F" w14:paraId="279ADA4A" w14:textId="77777777" w:rsidTr="00B54007">
        <w:trPr>
          <w:tblHeader/>
        </w:trPr>
        <w:tc>
          <w:tcPr>
            <w:tcW w:w="5000" w:type="pct"/>
            <w:tcBorders>
              <w:top w:val="single" w:sz="6" w:space="0" w:color="78A22F"/>
              <w:left w:val="nil"/>
              <w:bottom w:val="nil"/>
              <w:right w:val="nil"/>
            </w:tcBorders>
            <w:shd w:val="clear" w:color="auto" w:fill="auto"/>
          </w:tcPr>
          <w:p w14:paraId="77EAFECF" w14:textId="77777777" w:rsidR="0011262F" w:rsidRDefault="0011262F" w:rsidP="00B54007">
            <w:pPr>
              <w:pStyle w:val="FigureTitle"/>
            </w:pPr>
            <w:r w:rsidRPr="00784A05">
              <w:rPr>
                <w:b w:val="0"/>
              </w:rPr>
              <w:t>Figure</w:t>
            </w:r>
            <w:r>
              <w:rPr>
                <w:b w:val="0"/>
              </w:rPr>
              <w:t xml:space="preserve"> </w:t>
            </w:r>
            <w:bookmarkStart w:id="55" w:name="OLE_LINK51"/>
            <w:r>
              <w:rPr>
                <w:b w:val="0"/>
              </w:rPr>
              <w:t>8.</w:t>
            </w:r>
            <w:bookmarkStart w:id="56" w:name="OLE_LINK27"/>
            <w:r>
              <w:rPr>
                <w:b w:val="0"/>
                <w:noProof/>
              </w:rPr>
              <w:t>20</w:t>
            </w:r>
            <w:bookmarkEnd w:id="55"/>
            <w:bookmarkEnd w:id="56"/>
            <w:r>
              <w:tab/>
              <w:t>Little evidence of pass</w:t>
            </w:r>
            <w:r>
              <w:noBreakHyphen/>
              <w:t>through of administration expense savings from economies of scale gains — fund level</w:t>
            </w:r>
            <w:r w:rsidRPr="00E4016C">
              <w:rPr>
                <w:rStyle w:val="NoteLabel"/>
              </w:rPr>
              <w:t>a</w:t>
            </w:r>
          </w:p>
          <w:p w14:paraId="0D3E3C45" w14:textId="77777777" w:rsidR="0011262F" w:rsidRPr="00176D3F" w:rsidRDefault="0011262F" w:rsidP="00B54007">
            <w:pPr>
              <w:pStyle w:val="Subtitle"/>
            </w:pPr>
            <w:r>
              <w:t>Share of realised economies of scale gains in administration expenses passed through as lower fees, per cent</w:t>
            </w:r>
          </w:p>
        </w:tc>
      </w:tr>
      <w:tr w:rsidR="0011262F" w14:paraId="68F1E910" w14:textId="77777777" w:rsidTr="00B5400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11262F" w:rsidRPr="00B1465D" w14:paraId="50745AC2" w14:textId="77777777" w:rsidTr="00B54007">
              <w:trPr>
                <w:tblHeader/>
                <w:jc w:val="center"/>
              </w:trPr>
              <w:tc>
                <w:tcPr>
                  <w:tcW w:w="5000" w:type="pct"/>
                  <w:tcBorders>
                    <w:top w:val="nil"/>
                    <w:bottom w:val="nil"/>
                  </w:tcBorders>
                </w:tcPr>
                <w:p w14:paraId="7AB51DB3" w14:textId="77777777" w:rsidR="0011262F" w:rsidRDefault="0011262F" w:rsidP="00B54007">
                  <w:pPr>
                    <w:pStyle w:val="Figure"/>
                    <w:spacing w:before="60" w:after="60"/>
                    <w:rPr>
                      <w:rFonts w:ascii="Arial" w:hAnsi="Arial" w:cs="Arial"/>
                      <w:sz w:val="18"/>
                      <w:szCs w:val="18"/>
                    </w:rPr>
                  </w:pPr>
                  <w:r w:rsidRPr="00610D79">
                    <w:rPr>
                      <w:rFonts w:ascii="Arial" w:hAnsi="Arial" w:cs="Arial"/>
                      <w:noProof/>
                      <w:sz w:val="18"/>
                      <w:szCs w:val="18"/>
                    </w:rPr>
                    <w:drawing>
                      <wp:inline distT="0" distB="0" distL="0" distR="0" wp14:anchorId="48EE84D5" wp14:editId="016AC2BD">
                        <wp:extent cx="5577840" cy="2788920"/>
                        <wp:effectExtent l="0" t="0" r="0" b="0"/>
                        <wp:docPr id="73" name="Picture 73" descr="The figure shows the estimated range of the administration passthrough coefficient for each fund represented as a bar, and the median represented as a dot. The top part of the plot corresponds to passthrough while the bottom part corresponds to retention. The median is appears to be evenly distributed between the two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77840" cy="2788920"/>
                                </a:xfrm>
                                <a:prstGeom prst="rect">
                                  <a:avLst/>
                                </a:prstGeom>
                                <a:noFill/>
                                <a:ln>
                                  <a:noFill/>
                                </a:ln>
                              </pic:spPr>
                            </pic:pic>
                          </a:graphicData>
                        </a:graphic>
                      </wp:inline>
                    </w:drawing>
                  </w:r>
                </w:p>
                <w:tbl>
                  <w:tblPr>
                    <w:tblW w:w="0" w:type="auto"/>
                    <w:tblLook w:val="04A0" w:firstRow="1" w:lastRow="0" w:firstColumn="1" w:lastColumn="0" w:noHBand="0" w:noVBand="1"/>
                  </w:tblPr>
                  <w:tblGrid>
                    <w:gridCol w:w="1559"/>
                    <w:gridCol w:w="2311"/>
                    <w:gridCol w:w="2312"/>
                    <w:gridCol w:w="2312"/>
                  </w:tblGrid>
                  <w:tr w:rsidR="0011262F" w14:paraId="2C5C5380" w14:textId="77777777" w:rsidTr="00B54007">
                    <w:trPr>
                      <w:tblHeader/>
                    </w:trPr>
                    <w:tc>
                      <w:tcPr>
                        <w:tcW w:w="1559" w:type="dxa"/>
                        <w:shd w:val="clear" w:color="auto" w:fill="F2F2F2" w:themeFill="background1" w:themeFillShade="F2"/>
                      </w:tcPr>
                      <w:p w14:paraId="11414D8C" w14:textId="77777777" w:rsidR="0011262F" w:rsidRDefault="0011262F" w:rsidP="00B54007">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6935" w:type="dxa"/>
                        <w:gridSpan w:val="3"/>
                        <w:shd w:val="clear" w:color="auto" w:fill="F2F2F2" w:themeFill="background1" w:themeFillShade="F2"/>
                      </w:tcPr>
                      <w:p w14:paraId="1148AE88" w14:textId="77777777" w:rsidR="0011262F" w:rsidRDefault="0011262F" w:rsidP="00B54007">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 xml:space="preserve">PC analysis of </w:t>
                        </w:r>
                        <w:proofErr w:type="spellStart"/>
                        <w:r>
                          <w:rPr>
                            <w:rFonts w:ascii="Arial" w:eastAsia="+mn-ea" w:hAnsi="Arial" w:cs="Arial"/>
                            <w:color w:val="000000" w:themeColor="text1"/>
                            <w:kern w:val="24"/>
                            <w:sz w:val="18"/>
                            <w:szCs w:val="18"/>
                          </w:rPr>
                          <w:t>SuperRatings</w:t>
                        </w:r>
                        <w:proofErr w:type="spellEnd"/>
                        <w:r>
                          <w:rPr>
                            <w:rFonts w:ascii="Arial" w:eastAsia="+mn-ea" w:hAnsi="Arial" w:cs="Arial"/>
                            <w:color w:val="000000" w:themeColor="text1"/>
                            <w:kern w:val="24"/>
                            <w:sz w:val="18"/>
                            <w:szCs w:val="18"/>
                          </w:rPr>
                          <w:t xml:space="preserve"> and APRA data.</w:t>
                        </w:r>
                      </w:p>
                    </w:tc>
                  </w:tr>
                  <w:tr w:rsidR="0011262F" w:rsidRPr="001F53B0" w14:paraId="1A094956" w14:textId="77777777" w:rsidTr="00B54007">
                    <w:tc>
                      <w:tcPr>
                        <w:tcW w:w="1559" w:type="dxa"/>
                        <w:shd w:val="clear" w:color="auto" w:fill="F2F2F2" w:themeFill="background1" w:themeFillShade="F2"/>
                      </w:tcPr>
                      <w:p w14:paraId="6CFC22E6" w14:textId="77777777" w:rsidR="0011262F" w:rsidRDefault="0011262F" w:rsidP="00B54007">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gridSpan w:val="3"/>
                        <w:shd w:val="clear" w:color="auto" w:fill="F2F2F2" w:themeFill="background1" w:themeFillShade="F2"/>
                      </w:tcPr>
                      <w:p w14:paraId="1FD3C3BF" w14:textId="77777777" w:rsidR="0011262F" w:rsidRPr="001F53B0" w:rsidRDefault="0011262F" w:rsidP="00B54007">
                        <w:pPr>
                          <w:pStyle w:val="Figure"/>
                          <w:spacing w:before="0" w:after="0"/>
                          <w:jc w:val="left"/>
                          <w:rPr>
                            <w:color w:val="000000" w:themeColor="text1"/>
                          </w:rPr>
                        </w:pPr>
                        <w:r w:rsidRPr="00BF2E25">
                          <w:rPr>
                            <w:rFonts w:ascii="Arial" w:hAnsi="Arial"/>
                            <w:color w:val="000000" w:themeColor="text1"/>
                            <w:kern w:val="24"/>
                            <w:sz w:val="18"/>
                          </w:rPr>
                          <w:t xml:space="preserve">134 funds representing </w:t>
                        </w:r>
                        <w:r>
                          <w:rPr>
                            <w:rFonts w:ascii="Arial" w:eastAsia="+mn-ea" w:hAnsi="Arial" w:cs="Arial"/>
                            <w:color w:val="000000" w:themeColor="text1"/>
                            <w:kern w:val="24"/>
                            <w:sz w:val="18"/>
                            <w:szCs w:val="18"/>
                          </w:rPr>
                          <w:t>84 per cent and 53</w:t>
                        </w:r>
                        <w:r w:rsidRPr="00BF2E25">
                          <w:rPr>
                            <w:rFonts w:ascii="Arial" w:hAnsi="Arial"/>
                            <w:color w:val="000000" w:themeColor="text1"/>
                            <w:kern w:val="24"/>
                            <w:sz w:val="18"/>
                          </w:rPr>
                          <w:t xml:space="preserve"> per cent of the system </w:t>
                        </w:r>
                        <w:r>
                          <w:rPr>
                            <w:rFonts w:ascii="Arial" w:hAnsi="Arial"/>
                            <w:color w:val="000000" w:themeColor="text1"/>
                            <w:kern w:val="24"/>
                            <w:sz w:val="18"/>
                          </w:rPr>
                          <w:t>by assets</w:t>
                        </w:r>
                        <w:r w:rsidRPr="00BF2E25">
                          <w:rPr>
                            <w:rFonts w:ascii="Arial" w:hAnsi="Arial"/>
                            <w:color w:val="000000" w:themeColor="text1"/>
                            <w:kern w:val="24"/>
                            <w:sz w:val="18"/>
                          </w:rPr>
                          <w:t xml:space="preserve"> in 2015</w:t>
                        </w:r>
                        <w:r>
                          <w:rPr>
                            <w:rFonts w:ascii="Arial" w:hAnsi="Arial"/>
                            <w:color w:val="000000" w:themeColor="text1"/>
                            <w:kern w:val="24"/>
                            <w:sz w:val="18"/>
                          </w:rPr>
                          <w:noBreakHyphen/>
                        </w:r>
                        <w:r w:rsidRPr="00BF2E25">
                          <w:rPr>
                            <w:rFonts w:ascii="Arial" w:hAnsi="Arial"/>
                            <w:color w:val="000000" w:themeColor="text1"/>
                            <w:kern w:val="24"/>
                            <w:sz w:val="18"/>
                          </w:rPr>
                          <w:t>16</w:t>
                        </w:r>
                        <w:r>
                          <w:rPr>
                            <w:rFonts w:ascii="Arial" w:eastAsia="+mn-ea" w:hAnsi="Arial" w:cs="Arial"/>
                            <w:color w:val="000000" w:themeColor="text1"/>
                            <w:kern w:val="24"/>
                            <w:sz w:val="18"/>
                            <w:szCs w:val="18"/>
                          </w:rPr>
                          <w:t xml:space="preserve"> and 2005</w:t>
                        </w:r>
                        <w:r>
                          <w:rPr>
                            <w:rFonts w:ascii="Arial" w:eastAsia="+mn-ea" w:hAnsi="Arial" w:cs="Arial"/>
                            <w:color w:val="000000" w:themeColor="text1"/>
                            <w:kern w:val="24"/>
                            <w:sz w:val="18"/>
                            <w:szCs w:val="18"/>
                          </w:rPr>
                          <w:noBreakHyphen/>
                          <w:t>06 respectively for administration and investment. Excludes funds with less than two years of data</w:t>
                        </w:r>
                        <w:r w:rsidRPr="00BF2E25">
                          <w:rPr>
                            <w:rFonts w:ascii="Arial" w:hAnsi="Arial"/>
                            <w:color w:val="000000" w:themeColor="text1"/>
                            <w:kern w:val="24"/>
                            <w:sz w:val="18"/>
                          </w:rPr>
                          <w:t>.</w:t>
                        </w:r>
                      </w:p>
                    </w:tc>
                  </w:tr>
                  <w:tr w:rsidR="0011262F" w14:paraId="79D83132" w14:textId="77777777" w:rsidTr="00B54007">
                    <w:tc>
                      <w:tcPr>
                        <w:tcW w:w="1559" w:type="dxa"/>
                        <w:shd w:val="clear" w:color="auto" w:fill="F2F2F2" w:themeFill="background1" w:themeFillShade="F2"/>
                      </w:tcPr>
                      <w:p w14:paraId="714F1EA3" w14:textId="77777777" w:rsidR="0011262F" w:rsidRPr="002D6D85" w:rsidRDefault="0011262F" w:rsidP="00B54007">
                        <w:pPr>
                          <w:pStyle w:val="Figure"/>
                          <w:spacing w:before="0" w:after="0"/>
                          <w:jc w:val="left"/>
                          <w:rPr>
                            <w:rFonts w:asciiTheme="minorHAnsi" w:hAnsi="Arial" w:cstheme="minorBidi"/>
                            <w:b/>
                            <w:color w:val="000000" w:themeColor="text1"/>
                            <w:kern w:val="24"/>
                            <w:sz w:val="18"/>
                            <w:szCs w:val="18"/>
                          </w:rPr>
                        </w:pPr>
                        <w:r w:rsidRPr="005F68B0">
                          <w:rPr>
                            <w:rFonts w:ascii="Arial" w:hAnsi="Arial" w:cs="Arial"/>
                            <w:b/>
                            <w:sz w:val="18"/>
                            <w:szCs w:val="18"/>
                          </w:rPr>
                          <w:t>Survivor bias</w:t>
                        </w:r>
                      </w:p>
                    </w:tc>
                    <w:tc>
                      <w:tcPr>
                        <w:tcW w:w="2311" w:type="dxa"/>
                        <w:shd w:val="clear" w:color="auto" w:fill="F2F2F2" w:themeFill="background1" w:themeFillShade="F2"/>
                      </w:tcPr>
                      <w:p w14:paraId="03574E7A" w14:textId="77777777" w:rsidR="0011262F" w:rsidRDefault="0011262F" w:rsidP="00B54007">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No.</w:t>
                        </w:r>
                      </w:p>
                    </w:tc>
                    <w:tc>
                      <w:tcPr>
                        <w:tcW w:w="2312" w:type="dxa"/>
                        <w:shd w:val="clear" w:color="auto" w:fill="F2F2F2" w:themeFill="background1" w:themeFillShade="F2"/>
                      </w:tcPr>
                      <w:p w14:paraId="476A4A27" w14:textId="77777777" w:rsidR="0011262F" w:rsidRDefault="0011262F" w:rsidP="00B54007">
                        <w:pPr>
                          <w:pStyle w:val="Figure"/>
                          <w:spacing w:before="0" w:after="0"/>
                          <w:jc w:val="left"/>
                          <w:rPr>
                            <w:rFonts w:ascii="Arial" w:hAnsi="Arial" w:cs="Arial"/>
                            <w:sz w:val="18"/>
                            <w:szCs w:val="18"/>
                          </w:rPr>
                        </w:pPr>
                        <w:r w:rsidRPr="005F68B0">
                          <w:rPr>
                            <w:rFonts w:asciiTheme="minorHAnsi" w:hAnsi="Arial" w:cstheme="minorBidi"/>
                            <w:b/>
                            <w:color w:val="000000" w:themeColor="text1"/>
                            <w:kern w:val="24"/>
                            <w:sz w:val="18"/>
                            <w:szCs w:val="18"/>
                          </w:rPr>
                          <w:t>Selection bias</w:t>
                        </w:r>
                      </w:p>
                    </w:tc>
                    <w:tc>
                      <w:tcPr>
                        <w:tcW w:w="2312" w:type="dxa"/>
                        <w:shd w:val="clear" w:color="auto" w:fill="F2F2F2" w:themeFill="background1" w:themeFillShade="F2"/>
                      </w:tcPr>
                      <w:p w14:paraId="53AB9DF9" w14:textId="77777777" w:rsidR="0011262F" w:rsidRDefault="0011262F" w:rsidP="00B54007">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Yes.</w:t>
                        </w:r>
                      </w:p>
                    </w:tc>
                  </w:tr>
                </w:tbl>
                <w:p w14:paraId="75E43FE6" w14:textId="77777777" w:rsidR="0011262F" w:rsidRPr="00B1465D" w:rsidRDefault="0011262F" w:rsidP="00B54007">
                  <w:pPr>
                    <w:pStyle w:val="Figure"/>
                    <w:spacing w:before="60" w:after="60"/>
                    <w:rPr>
                      <w:rFonts w:ascii="Arial" w:hAnsi="Arial" w:cs="Arial"/>
                      <w:sz w:val="18"/>
                      <w:szCs w:val="18"/>
                    </w:rPr>
                  </w:pPr>
                </w:p>
              </w:tc>
            </w:tr>
          </w:tbl>
          <w:p w14:paraId="1ACA963A" w14:textId="77777777" w:rsidR="0011262F" w:rsidRDefault="0011262F" w:rsidP="00B54007">
            <w:pPr>
              <w:pStyle w:val="Figure"/>
            </w:pPr>
          </w:p>
        </w:tc>
      </w:tr>
      <w:tr w:rsidR="0011262F" w:rsidRPr="00176D3F" w14:paraId="0C62C549" w14:textId="77777777" w:rsidTr="00B54007">
        <w:tc>
          <w:tcPr>
            <w:tcW w:w="5000" w:type="pct"/>
            <w:tcBorders>
              <w:top w:val="nil"/>
              <w:left w:val="nil"/>
              <w:bottom w:val="nil"/>
              <w:right w:val="nil"/>
            </w:tcBorders>
            <w:shd w:val="clear" w:color="auto" w:fill="auto"/>
          </w:tcPr>
          <w:p w14:paraId="2386FB48" w14:textId="77777777" w:rsidR="0011262F" w:rsidRPr="00176D3F" w:rsidRDefault="0011262F" w:rsidP="00B54007">
            <w:pPr>
              <w:pStyle w:val="Note"/>
            </w:pPr>
            <w:r>
              <w:rPr>
                <w:rStyle w:val="NoteLabel"/>
              </w:rPr>
              <w:t>a</w:t>
            </w:r>
            <w:r>
              <w:t xml:space="preserve"> Bars capture the 95 per cent probability range for a fund’s coefficient. The black dots represent the median for each fund.</w:t>
            </w:r>
          </w:p>
        </w:tc>
      </w:tr>
      <w:tr w:rsidR="0011262F" w14:paraId="181DC81A" w14:textId="77777777" w:rsidTr="00B54007">
        <w:tc>
          <w:tcPr>
            <w:tcW w:w="5000" w:type="pct"/>
            <w:tcBorders>
              <w:top w:val="nil"/>
              <w:left w:val="nil"/>
              <w:bottom w:val="single" w:sz="6" w:space="0" w:color="78A22F"/>
              <w:right w:val="nil"/>
            </w:tcBorders>
            <w:shd w:val="clear" w:color="auto" w:fill="auto"/>
          </w:tcPr>
          <w:p w14:paraId="443749FA" w14:textId="77777777" w:rsidR="0011262F" w:rsidRDefault="0011262F" w:rsidP="00B54007">
            <w:pPr>
              <w:pStyle w:val="Figurespace"/>
            </w:pPr>
          </w:p>
        </w:tc>
      </w:tr>
      <w:tr w:rsidR="0011262F" w:rsidRPr="000863A5" w14:paraId="0A4D355C" w14:textId="77777777" w:rsidTr="00B54007">
        <w:tc>
          <w:tcPr>
            <w:tcW w:w="5000" w:type="pct"/>
            <w:tcBorders>
              <w:top w:val="single" w:sz="6" w:space="0" w:color="78A22F"/>
              <w:left w:val="nil"/>
              <w:bottom w:val="nil"/>
              <w:right w:val="nil"/>
            </w:tcBorders>
          </w:tcPr>
          <w:p w14:paraId="49923D79" w14:textId="77777777" w:rsidR="0011262F" w:rsidRPr="00626D32" w:rsidRDefault="0011262F" w:rsidP="00B54007">
            <w:pPr>
              <w:pStyle w:val="BoxSpaceBelow"/>
            </w:pPr>
          </w:p>
        </w:tc>
      </w:tr>
    </w:tbl>
    <w:p w14:paraId="4F04BB33" w14:textId="77777777" w:rsidR="0011262F" w:rsidRDefault="0011262F" w:rsidP="0011262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1262F" w14:paraId="6B7759CA" w14:textId="77777777" w:rsidTr="00B54007">
        <w:trPr>
          <w:tblHeader/>
        </w:trPr>
        <w:tc>
          <w:tcPr>
            <w:tcW w:w="5000" w:type="pct"/>
            <w:tcBorders>
              <w:top w:val="single" w:sz="6" w:space="0" w:color="78A22F"/>
              <w:left w:val="nil"/>
              <w:bottom w:val="nil"/>
              <w:right w:val="nil"/>
            </w:tcBorders>
            <w:shd w:val="clear" w:color="auto" w:fill="auto"/>
          </w:tcPr>
          <w:p w14:paraId="038E76E3" w14:textId="77777777" w:rsidR="0011262F" w:rsidRDefault="0011262F" w:rsidP="00B54007">
            <w:pPr>
              <w:pStyle w:val="FigureTitle"/>
            </w:pPr>
            <w:r w:rsidRPr="00784A05">
              <w:rPr>
                <w:b w:val="0"/>
              </w:rPr>
              <w:t xml:space="preserve">Figure </w:t>
            </w:r>
            <w:bookmarkStart w:id="57" w:name="OLE_LINK52"/>
            <w:r>
              <w:rPr>
                <w:b w:val="0"/>
              </w:rPr>
              <w:t>8.</w:t>
            </w:r>
            <w:bookmarkStart w:id="58" w:name="OLE_LINK28"/>
            <w:r>
              <w:rPr>
                <w:b w:val="0"/>
                <w:noProof/>
              </w:rPr>
              <w:t>21</w:t>
            </w:r>
            <w:bookmarkEnd w:id="57"/>
            <w:bookmarkEnd w:id="58"/>
            <w:r>
              <w:tab/>
            </w:r>
            <w:r w:rsidRPr="00E4016C">
              <w:rPr>
                <w:spacing w:val="-2"/>
              </w:rPr>
              <w:t>Little evidence of pass</w:t>
            </w:r>
            <w:r w:rsidRPr="00E4016C">
              <w:rPr>
                <w:spacing w:val="-2"/>
              </w:rPr>
              <w:noBreakHyphen/>
              <w:t xml:space="preserve">through of investment management expense savings from economies of scale gains </w:t>
            </w:r>
            <w:r>
              <w:t>—</w:t>
            </w:r>
            <w:r>
              <w:rPr>
                <w:spacing w:val="-2"/>
              </w:rPr>
              <w:t xml:space="preserve"> </w:t>
            </w:r>
            <w:r w:rsidRPr="00E4016C">
              <w:rPr>
                <w:spacing w:val="-2"/>
              </w:rPr>
              <w:t>fund level</w:t>
            </w:r>
            <w:r w:rsidRPr="00E4016C">
              <w:rPr>
                <w:rStyle w:val="NoteLabel"/>
                <w:spacing w:val="-2"/>
              </w:rPr>
              <w:t>a</w:t>
            </w:r>
          </w:p>
          <w:p w14:paraId="0B739066" w14:textId="77777777" w:rsidR="0011262F" w:rsidRPr="00176D3F" w:rsidRDefault="0011262F" w:rsidP="00B54007">
            <w:pPr>
              <w:pStyle w:val="Subtitle"/>
            </w:pPr>
            <w:r>
              <w:t>Share of realised economies of scale in investment expense gains passed through as lower fees</w:t>
            </w:r>
          </w:p>
        </w:tc>
      </w:tr>
      <w:tr w:rsidR="0011262F" w14:paraId="761493B5" w14:textId="77777777" w:rsidTr="00B5400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11262F" w:rsidRPr="00B1465D" w14:paraId="05A26A79" w14:textId="77777777" w:rsidTr="00B54007">
              <w:trPr>
                <w:tblHeader/>
                <w:jc w:val="center"/>
              </w:trPr>
              <w:tc>
                <w:tcPr>
                  <w:tcW w:w="5000" w:type="pct"/>
                  <w:tcBorders>
                    <w:top w:val="nil"/>
                    <w:bottom w:val="nil"/>
                  </w:tcBorders>
                </w:tcPr>
                <w:p w14:paraId="5CBC9830" w14:textId="77777777" w:rsidR="0011262F" w:rsidRDefault="0011262F" w:rsidP="00B54007">
                  <w:pPr>
                    <w:pStyle w:val="Figure"/>
                    <w:spacing w:before="60" w:after="60"/>
                    <w:rPr>
                      <w:rFonts w:ascii="Arial" w:hAnsi="Arial" w:cs="Arial"/>
                      <w:sz w:val="18"/>
                      <w:szCs w:val="18"/>
                    </w:rPr>
                  </w:pPr>
                  <w:r w:rsidRPr="00610D79">
                    <w:rPr>
                      <w:rFonts w:ascii="Arial" w:hAnsi="Arial" w:cs="Arial"/>
                      <w:noProof/>
                      <w:sz w:val="18"/>
                      <w:szCs w:val="18"/>
                    </w:rPr>
                    <w:drawing>
                      <wp:inline distT="0" distB="0" distL="0" distR="0" wp14:anchorId="77BD7A97" wp14:editId="3B14D9F5">
                        <wp:extent cx="5577840" cy="2788920"/>
                        <wp:effectExtent l="0" t="0" r="0" b="0"/>
                        <wp:docPr id="74" name="Picture 74" descr="The figure shows the estimated range of the investment passthrough coefficient for each fund represented as a bar, and the median represented as a dot. The top part of the plot corresponds to passthrough while the bottom part corresponds to retention. The median for most funds are in the retention region, suggesting there is little evidence of passth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77840" cy="2788920"/>
                                </a:xfrm>
                                <a:prstGeom prst="rect">
                                  <a:avLst/>
                                </a:prstGeom>
                                <a:noFill/>
                                <a:ln>
                                  <a:noFill/>
                                </a:ln>
                              </pic:spPr>
                            </pic:pic>
                          </a:graphicData>
                        </a:graphic>
                      </wp:inline>
                    </w:drawing>
                  </w:r>
                </w:p>
                <w:tbl>
                  <w:tblPr>
                    <w:tblW w:w="0" w:type="auto"/>
                    <w:tblLook w:val="04A0" w:firstRow="1" w:lastRow="0" w:firstColumn="1" w:lastColumn="0" w:noHBand="0" w:noVBand="1"/>
                  </w:tblPr>
                  <w:tblGrid>
                    <w:gridCol w:w="1559"/>
                    <w:gridCol w:w="2311"/>
                    <w:gridCol w:w="2312"/>
                    <w:gridCol w:w="2312"/>
                  </w:tblGrid>
                  <w:tr w:rsidR="0011262F" w14:paraId="74FFD3EE" w14:textId="77777777" w:rsidTr="00B54007">
                    <w:trPr>
                      <w:tblHeader/>
                    </w:trPr>
                    <w:tc>
                      <w:tcPr>
                        <w:tcW w:w="1559" w:type="dxa"/>
                        <w:shd w:val="clear" w:color="auto" w:fill="F2F2F2" w:themeFill="background1" w:themeFillShade="F2"/>
                      </w:tcPr>
                      <w:p w14:paraId="4A274261" w14:textId="77777777" w:rsidR="0011262F" w:rsidRDefault="0011262F" w:rsidP="00B54007">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6935" w:type="dxa"/>
                        <w:gridSpan w:val="3"/>
                        <w:shd w:val="clear" w:color="auto" w:fill="F2F2F2" w:themeFill="background1" w:themeFillShade="F2"/>
                      </w:tcPr>
                      <w:p w14:paraId="5F2A4E04" w14:textId="77777777" w:rsidR="0011262F" w:rsidRDefault="0011262F" w:rsidP="00B54007">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 xml:space="preserve">PC analysis of </w:t>
                        </w:r>
                        <w:proofErr w:type="spellStart"/>
                        <w:r>
                          <w:rPr>
                            <w:rFonts w:ascii="Arial" w:eastAsia="+mn-ea" w:hAnsi="Arial" w:cs="Arial"/>
                            <w:color w:val="000000" w:themeColor="text1"/>
                            <w:kern w:val="24"/>
                            <w:sz w:val="18"/>
                            <w:szCs w:val="18"/>
                          </w:rPr>
                          <w:t>SuperRatings</w:t>
                        </w:r>
                        <w:proofErr w:type="spellEnd"/>
                        <w:r>
                          <w:rPr>
                            <w:rFonts w:ascii="Arial" w:eastAsia="+mn-ea" w:hAnsi="Arial" w:cs="Arial"/>
                            <w:color w:val="000000" w:themeColor="text1"/>
                            <w:kern w:val="24"/>
                            <w:sz w:val="18"/>
                            <w:szCs w:val="18"/>
                          </w:rPr>
                          <w:t xml:space="preserve"> and APRA data.</w:t>
                        </w:r>
                      </w:p>
                    </w:tc>
                  </w:tr>
                  <w:tr w:rsidR="0011262F" w:rsidRPr="001F53B0" w14:paraId="35943EDC" w14:textId="77777777" w:rsidTr="00B54007">
                    <w:tc>
                      <w:tcPr>
                        <w:tcW w:w="1559" w:type="dxa"/>
                        <w:shd w:val="clear" w:color="auto" w:fill="F2F2F2" w:themeFill="background1" w:themeFillShade="F2"/>
                      </w:tcPr>
                      <w:p w14:paraId="1572418E" w14:textId="77777777" w:rsidR="0011262F" w:rsidRDefault="0011262F" w:rsidP="00B54007">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gridSpan w:val="3"/>
                        <w:shd w:val="clear" w:color="auto" w:fill="F2F2F2" w:themeFill="background1" w:themeFillShade="F2"/>
                      </w:tcPr>
                      <w:p w14:paraId="5B49B43C" w14:textId="77777777" w:rsidR="0011262F" w:rsidRPr="001F53B0" w:rsidRDefault="0011262F" w:rsidP="00B54007">
                        <w:pPr>
                          <w:pStyle w:val="Figure"/>
                          <w:spacing w:before="0" w:after="0"/>
                          <w:jc w:val="left"/>
                          <w:rPr>
                            <w:color w:val="000000" w:themeColor="text1"/>
                          </w:rPr>
                        </w:pPr>
                        <w:r w:rsidRPr="00BF2E25">
                          <w:rPr>
                            <w:rFonts w:ascii="Arial" w:hAnsi="Arial"/>
                            <w:color w:val="000000" w:themeColor="text1"/>
                            <w:kern w:val="24"/>
                            <w:sz w:val="18"/>
                          </w:rPr>
                          <w:t xml:space="preserve">134 funds representing </w:t>
                        </w:r>
                        <w:r>
                          <w:rPr>
                            <w:rFonts w:ascii="Arial" w:eastAsia="+mn-ea" w:hAnsi="Arial" w:cs="Arial"/>
                            <w:color w:val="000000" w:themeColor="text1"/>
                            <w:kern w:val="24"/>
                            <w:sz w:val="18"/>
                            <w:szCs w:val="18"/>
                          </w:rPr>
                          <w:t>84 per cent and 53</w:t>
                        </w:r>
                        <w:r w:rsidRPr="00BF2E25">
                          <w:rPr>
                            <w:rFonts w:ascii="Arial" w:hAnsi="Arial"/>
                            <w:color w:val="000000" w:themeColor="text1"/>
                            <w:kern w:val="24"/>
                            <w:sz w:val="18"/>
                          </w:rPr>
                          <w:t> per cent of the system</w:t>
                        </w:r>
                        <w:r>
                          <w:rPr>
                            <w:rFonts w:ascii="Arial" w:hAnsi="Arial"/>
                            <w:color w:val="000000" w:themeColor="text1"/>
                            <w:kern w:val="24"/>
                            <w:sz w:val="18"/>
                          </w:rPr>
                          <w:t xml:space="preserve"> by assets</w:t>
                        </w:r>
                        <w:r w:rsidRPr="00BF2E25">
                          <w:rPr>
                            <w:rFonts w:ascii="Arial" w:hAnsi="Arial"/>
                            <w:color w:val="000000" w:themeColor="text1"/>
                            <w:kern w:val="24"/>
                            <w:sz w:val="18"/>
                          </w:rPr>
                          <w:t xml:space="preserve"> in 2015</w:t>
                        </w:r>
                        <w:r>
                          <w:rPr>
                            <w:rFonts w:ascii="Arial" w:hAnsi="Arial"/>
                            <w:color w:val="000000" w:themeColor="text1"/>
                            <w:kern w:val="24"/>
                            <w:sz w:val="18"/>
                          </w:rPr>
                          <w:noBreakHyphen/>
                        </w:r>
                        <w:r w:rsidRPr="00BF2E25">
                          <w:rPr>
                            <w:rFonts w:ascii="Arial" w:hAnsi="Arial"/>
                            <w:color w:val="000000" w:themeColor="text1"/>
                            <w:kern w:val="24"/>
                            <w:sz w:val="18"/>
                          </w:rPr>
                          <w:t>16</w:t>
                        </w:r>
                        <w:r>
                          <w:rPr>
                            <w:rFonts w:ascii="Arial" w:eastAsia="+mn-ea" w:hAnsi="Arial" w:cs="Arial"/>
                            <w:color w:val="000000" w:themeColor="text1"/>
                            <w:kern w:val="24"/>
                            <w:sz w:val="18"/>
                            <w:szCs w:val="18"/>
                          </w:rPr>
                          <w:t xml:space="preserve"> and 2005</w:t>
                        </w:r>
                        <w:r>
                          <w:rPr>
                            <w:rFonts w:ascii="Arial" w:eastAsia="+mn-ea" w:hAnsi="Arial" w:cs="Arial"/>
                            <w:color w:val="000000" w:themeColor="text1"/>
                            <w:kern w:val="24"/>
                            <w:sz w:val="18"/>
                            <w:szCs w:val="18"/>
                          </w:rPr>
                          <w:noBreakHyphen/>
                          <w:t>06 respectively for administration and investment. Excludes funds with less than two years of data</w:t>
                        </w:r>
                        <w:r w:rsidRPr="00BF2E25">
                          <w:rPr>
                            <w:rFonts w:ascii="Arial" w:hAnsi="Arial"/>
                            <w:color w:val="000000" w:themeColor="text1"/>
                            <w:kern w:val="24"/>
                            <w:sz w:val="18"/>
                          </w:rPr>
                          <w:t>.</w:t>
                        </w:r>
                      </w:p>
                    </w:tc>
                  </w:tr>
                  <w:tr w:rsidR="0011262F" w14:paraId="685A1BE2" w14:textId="77777777" w:rsidTr="00B54007">
                    <w:tc>
                      <w:tcPr>
                        <w:tcW w:w="1559" w:type="dxa"/>
                        <w:shd w:val="clear" w:color="auto" w:fill="F2F2F2" w:themeFill="background1" w:themeFillShade="F2"/>
                      </w:tcPr>
                      <w:p w14:paraId="133C4854" w14:textId="77777777" w:rsidR="0011262F" w:rsidRPr="002D6D85" w:rsidRDefault="0011262F" w:rsidP="00B54007">
                        <w:pPr>
                          <w:pStyle w:val="Figure"/>
                          <w:spacing w:before="0" w:after="0"/>
                          <w:jc w:val="left"/>
                          <w:rPr>
                            <w:rFonts w:asciiTheme="minorHAnsi" w:hAnsi="Arial" w:cstheme="minorBidi"/>
                            <w:b/>
                            <w:color w:val="000000" w:themeColor="text1"/>
                            <w:kern w:val="24"/>
                            <w:sz w:val="18"/>
                            <w:szCs w:val="18"/>
                          </w:rPr>
                        </w:pPr>
                        <w:r w:rsidRPr="005F68B0">
                          <w:rPr>
                            <w:rFonts w:ascii="Arial" w:hAnsi="Arial" w:cs="Arial"/>
                            <w:b/>
                            <w:sz w:val="18"/>
                            <w:szCs w:val="18"/>
                          </w:rPr>
                          <w:t>Survivor bias</w:t>
                        </w:r>
                      </w:p>
                    </w:tc>
                    <w:tc>
                      <w:tcPr>
                        <w:tcW w:w="2311" w:type="dxa"/>
                        <w:shd w:val="clear" w:color="auto" w:fill="F2F2F2" w:themeFill="background1" w:themeFillShade="F2"/>
                      </w:tcPr>
                      <w:p w14:paraId="0AAF8028" w14:textId="77777777" w:rsidR="0011262F" w:rsidRDefault="0011262F" w:rsidP="00B54007">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No.</w:t>
                        </w:r>
                      </w:p>
                    </w:tc>
                    <w:tc>
                      <w:tcPr>
                        <w:tcW w:w="2312" w:type="dxa"/>
                        <w:shd w:val="clear" w:color="auto" w:fill="F2F2F2" w:themeFill="background1" w:themeFillShade="F2"/>
                      </w:tcPr>
                      <w:p w14:paraId="09D43682" w14:textId="77777777" w:rsidR="0011262F" w:rsidRDefault="0011262F" w:rsidP="00B54007">
                        <w:pPr>
                          <w:pStyle w:val="Figure"/>
                          <w:spacing w:before="0" w:after="0"/>
                          <w:jc w:val="left"/>
                          <w:rPr>
                            <w:rFonts w:ascii="Arial" w:hAnsi="Arial" w:cs="Arial"/>
                            <w:sz w:val="18"/>
                            <w:szCs w:val="18"/>
                          </w:rPr>
                        </w:pPr>
                        <w:r w:rsidRPr="005F68B0">
                          <w:rPr>
                            <w:rFonts w:asciiTheme="minorHAnsi" w:hAnsi="Arial" w:cstheme="minorBidi"/>
                            <w:b/>
                            <w:color w:val="000000" w:themeColor="text1"/>
                            <w:kern w:val="24"/>
                            <w:sz w:val="18"/>
                            <w:szCs w:val="18"/>
                          </w:rPr>
                          <w:t>Selection bias</w:t>
                        </w:r>
                      </w:p>
                    </w:tc>
                    <w:tc>
                      <w:tcPr>
                        <w:tcW w:w="2312" w:type="dxa"/>
                        <w:shd w:val="clear" w:color="auto" w:fill="F2F2F2" w:themeFill="background1" w:themeFillShade="F2"/>
                      </w:tcPr>
                      <w:p w14:paraId="2D3BC0A4" w14:textId="77777777" w:rsidR="0011262F" w:rsidRDefault="0011262F" w:rsidP="00B54007">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Yes.</w:t>
                        </w:r>
                      </w:p>
                    </w:tc>
                  </w:tr>
                </w:tbl>
                <w:p w14:paraId="63EC91CE" w14:textId="77777777" w:rsidR="0011262F" w:rsidRPr="00B1465D" w:rsidRDefault="0011262F" w:rsidP="00B54007">
                  <w:pPr>
                    <w:pStyle w:val="Figure"/>
                    <w:spacing w:before="60" w:after="60"/>
                    <w:rPr>
                      <w:rFonts w:ascii="Arial" w:hAnsi="Arial" w:cs="Arial"/>
                      <w:sz w:val="18"/>
                      <w:szCs w:val="18"/>
                    </w:rPr>
                  </w:pPr>
                </w:p>
              </w:tc>
            </w:tr>
          </w:tbl>
          <w:p w14:paraId="42DB673E" w14:textId="77777777" w:rsidR="0011262F" w:rsidRDefault="0011262F" w:rsidP="00B54007">
            <w:pPr>
              <w:pStyle w:val="Figure"/>
            </w:pPr>
          </w:p>
        </w:tc>
      </w:tr>
      <w:tr w:rsidR="0011262F" w:rsidRPr="00176D3F" w14:paraId="7D27C38C" w14:textId="77777777" w:rsidTr="00B54007">
        <w:tc>
          <w:tcPr>
            <w:tcW w:w="5000" w:type="pct"/>
            <w:tcBorders>
              <w:top w:val="nil"/>
              <w:left w:val="nil"/>
              <w:bottom w:val="nil"/>
              <w:right w:val="nil"/>
            </w:tcBorders>
            <w:shd w:val="clear" w:color="auto" w:fill="auto"/>
          </w:tcPr>
          <w:p w14:paraId="0E736CF6" w14:textId="77777777" w:rsidR="0011262F" w:rsidRPr="00176D3F" w:rsidRDefault="0011262F" w:rsidP="00B54007">
            <w:pPr>
              <w:pStyle w:val="Note"/>
            </w:pPr>
            <w:r>
              <w:rPr>
                <w:rStyle w:val="NoteLabel"/>
              </w:rPr>
              <w:t>a</w:t>
            </w:r>
            <w:r>
              <w:t xml:space="preserve"> Bars capture the 95 per cent probability range for a fund’s coefficient. The black dots represent the median for each fund.</w:t>
            </w:r>
          </w:p>
        </w:tc>
      </w:tr>
      <w:tr w:rsidR="0011262F" w14:paraId="1F5C902D" w14:textId="77777777" w:rsidTr="00B54007">
        <w:tc>
          <w:tcPr>
            <w:tcW w:w="5000" w:type="pct"/>
            <w:tcBorders>
              <w:top w:val="nil"/>
              <w:left w:val="nil"/>
              <w:bottom w:val="single" w:sz="6" w:space="0" w:color="78A22F"/>
              <w:right w:val="nil"/>
            </w:tcBorders>
            <w:shd w:val="clear" w:color="auto" w:fill="auto"/>
          </w:tcPr>
          <w:p w14:paraId="7985DC2C" w14:textId="77777777" w:rsidR="0011262F" w:rsidRDefault="0011262F" w:rsidP="00B54007">
            <w:pPr>
              <w:pStyle w:val="Figurespace"/>
            </w:pPr>
          </w:p>
        </w:tc>
      </w:tr>
      <w:tr w:rsidR="0011262F" w:rsidRPr="000863A5" w14:paraId="3EE4D4F0" w14:textId="77777777" w:rsidTr="00B54007">
        <w:tc>
          <w:tcPr>
            <w:tcW w:w="5000" w:type="pct"/>
            <w:tcBorders>
              <w:top w:val="single" w:sz="6" w:space="0" w:color="78A22F"/>
              <w:left w:val="nil"/>
              <w:bottom w:val="nil"/>
              <w:right w:val="nil"/>
            </w:tcBorders>
          </w:tcPr>
          <w:p w14:paraId="3D13E27E" w14:textId="77777777" w:rsidR="0011262F" w:rsidRPr="00626D32" w:rsidRDefault="0011262F" w:rsidP="00B54007">
            <w:pPr>
              <w:pStyle w:val="BoxSpaceBelow"/>
            </w:pPr>
          </w:p>
        </w:tc>
      </w:tr>
    </w:tbl>
    <w:p w14:paraId="6BC9DADE" w14:textId="77777777" w:rsidR="0011262F" w:rsidRDefault="0011262F" w:rsidP="0011262F">
      <w:pPr>
        <w:pStyle w:val="Heading3"/>
      </w:pPr>
      <w:r>
        <w:t>Economies of scale gains may have been passed</w:t>
      </w:r>
      <w:r>
        <w:noBreakHyphen/>
        <w:t>through as higher returns</w:t>
      </w:r>
    </w:p>
    <w:p w14:paraId="39DE7521" w14:textId="77777777" w:rsidR="0011262F" w:rsidRPr="00A9298F" w:rsidRDefault="0011262F" w:rsidP="0011262F">
      <w:pPr>
        <w:pStyle w:val="BodyText"/>
        <w:rPr>
          <w:spacing w:val="-2"/>
        </w:rPr>
      </w:pPr>
      <w:r w:rsidRPr="00A9298F">
        <w:rPr>
          <w:spacing w:val="-2"/>
        </w:rPr>
        <w:t>Some participants suggested that increased investment in unlisted assets might account for the lack of pass</w:t>
      </w:r>
      <w:r w:rsidRPr="00A9298F">
        <w:rPr>
          <w:spacing w:val="-2"/>
        </w:rPr>
        <w:noBreakHyphen/>
        <w:t>through seen in investment expenses</w:t>
      </w:r>
      <w:r>
        <w:rPr>
          <w:spacing w:val="-2"/>
        </w:rPr>
        <w:t xml:space="preserve"> for industry funds and indeed, the lack of estimated realised gains from scale in investment more generally.</w:t>
      </w:r>
      <w:r>
        <w:rPr>
          <w:rStyle w:val="FootnoteReference"/>
          <w:spacing w:val="-2"/>
        </w:rPr>
        <w:footnoteReference w:id="23"/>
      </w:r>
      <w:r>
        <w:rPr>
          <w:spacing w:val="-2"/>
        </w:rPr>
        <w:t xml:space="preserve"> </w:t>
      </w:r>
      <w:r w:rsidRPr="00A9298F">
        <w:rPr>
          <w:spacing w:val="-2"/>
        </w:rPr>
        <w:t xml:space="preserve">Unlisted assets (which incur higher investment costs), typically obtain </w:t>
      </w:r>
      <w:r>
        <w:rPr>
          <w:spacing w:val="-2"/>
        </w:rPr>
        <w:t xml:space="preserve">higher </w:t>
      </w:r>
      <w:r w:rsidRPr="00A9298F">
        <w:rPr>
          <w:spacing w:val="-2"/>
        </w:rPr>
        <w:t>net returns</w:t>
      </w:r>
      <w:r>
        <w:rPr>
          <w:spacing w:val="-2"/>
        </w:rPr>
        <w:t xml:space="preserve"> over time</w:t>
      </w:r>
      <w:r w:rsidRPr="00A9298F">
        <w:rPr>
          <w:spacing w:val="-2"/>
        </w:rPr>
        <w:t xml:space="preserve"> (partly in compensation for the illiquidity of the assets). This means that if increased investment in unlisted assets consumed some of the cost savings from increased scale, members may have ultimately benefited via higher returns</w:t>
      </w:r>
      <w:r>
        <w:rPr>
          <w:spacing w:val="-2"/>
        </w:rPr>
        <w:t xml:space="preserve">, and so these higher fees can be viewed as efficient </w:t>
      </w:r>
      <w:r>
        <w:rPr>
          <w:spacing w:val="-2"/>
        </w:rPr>
        <w:lastRenderedPageBreak/>
        <w:t>from a member’s perspective</w:t>
      </w:r>
      <w:r w:rsidRPr="00A9298F">
        <w:rPr>
          <w:spacing w:val="-2"/>
        </w:rPr>
        <w:t>.</w:t>
      </w:r>
      <w:r w:rsidRPr="00A9298F">
        <w:rPr>
          <w:rStyle w:val="FootnoteReference"/>
          <w:spacing w:val="-2"/>
        </w:rPr>
        <w:footnoteReference w:id="24"/>
      </w:r>
      <w:r w:rsidRPr="00A9298F">
        <w:rPr>
          <w:spacing w:val="-2"/>
        </w:rPr>
        <w:t xml:space="preserve"> Unlisted assets could contribute to increased investment expenses if larger funds invest more heavily in unlisted assets as they grow, or there has been a broader move across the system towards unlisted investments over a period in which the system has grown.</w:t>
      </w:r>
    </w:p>
    <w:p w14:paraId="26403DD8" w14:textId="77777777" w:rsidR="0011262F" w:rsidRDefault="0011262F" w:rsidP="0011262F">
      <w:pPr>
        <w:pStyle w:val="BodyText"/>
      </w:pPr>
      <w:r>
        <w:t xml:space="preserve">To assess participants’ hypothesis, the Commission </w:t>
      </w:r>
      <w:r w:rsidDel="00EE2F3B">
        <w:t xml:space="preserve">looked </w:t>
      </w:r>
      <w:r>
        <w:t>for evidence of:</w:t>
      </w:r>
    </w:p>
    <w:p w14:paraId="09914C8E" w14:textId="77777777" w:rsidR="0011262F" w:rsidRDefault="0011262F" w:rsidP="0011262F">
      <w:pPr>
        <w:pStyle w:val="ListBullet"/>
      </w:pPr>
      <w:r>
        <w:t>a relationship between fund size and net returns (and whether any relationship can be explained by the proportion of assets invested in unlisted assets)</w:t>
      </w:r>
    </w:p>
    <w:p w14:paraId="2632A932" w14:textId="77777777" w:rsidR="0011262F" w:rsidRDefault="0011262F" w:rsidP="0011262F">
      <w:pPr>
        <w:pStyle w:val="ListBullet"/>
      </w:pPr>
      <w:r>
        <w:t>larger funds investing more heavily in unlisted assets or a broader increase in investment in unlisted assets.</w:t>
      </w:r>
    </w:p>
    <w:p w14:paraId="0091B331" w14:textId="77777777" w:rsidR="0011262F" w:rsidRDefault="0011262F" w:rsidP="0011262F">
      <w:pPr>
        <w:pStyle w:val="BodyText"/>
      </w:pPr>
      <w:r>
        <w:t>In short, the Commission found that:</w:t>
      </w:r>
    </w:p>
    <w:p w14:paraId="709411F9" w14:textId="77777777" w:rsidR="0011262F" w:rsidRDefault="0011262F" w:rsidP="0011262F">
      <w:pPr>
        <w:pStyle w:val="ListBullet"/>
      </w:pPr>
      <w:r>
        <w:t>larger not</w:t>
      </w:r>
      <w:r>
        <w:noBreakHyphen/>
        <w:t>for</w:t>
      </w:r>
      <w:r>
        <w:noBreakHyphen/>
        <w:t>profit funds do obtain higher net returns,</w:t>
      </w:r>
      <w:r w:rsidRPr="00E406BA">
        <w:t xml:space="preserve"> </w:t>
      </w:r>
      <w:r>
        <w:t>but no corresponding relationship exists for retail funds</w:t>
      </w:r>
    </w:p>
    <w:p w14:paraId="7B827FFB" w14:textId="77777777" w:rsidR="0011262F" w:rsidRDefault="0011262F" w:rsidP="0011262F">
      <w:pPr>
        <w:pStyle w:val="ListBullet"/>
      </w:pPr>
      <w:r>
        <w:t>there is weak evidence that unlisted assets account for higher net returns for not</w:t>
      </w:r>
      <w:r>
        <w:noBreakHyphen/>
        <w:t>for</w:t>
      </w:r>
      <w:r>
        <w:noBreakHyphen/>
        <w:t>profit funds — data limitations make it difficult to make firm conclusions</w:t>
      </w:r>
    </w:p>
    <w:p w14:paraId="5874B598" w14:textId="77777777" w:rsidR="0011262F" w:rsidRDefault="0011262F" w:rsidP="0011262F">
      <w:pPr>
        <w:pStyle w:val="ListBullet"/>
      </w:pPr>
      <w:r>
        <w:t xml:space="preserve">there is also little evidence to suggest that larger funds invest in more unlisted assets — at least in recent years. </w:t>
      </w:r>
    </w:p>
    <w:p w14:paraId="10677A56" w14:textId="77777777" w:rsidR="0011262F" w:rsidRDefault="0011262F" w:rsidP="0011262F">
      <w:pPr>
        <w:pStyle w:val="Heading4"/>
      </w:pPr>
      <w:r>
        <w:t>Larger funds obtain higher returns</w:t>
      </w:r>
    </w:p>
    <w:p w14:paraId="6CCD0138" w14:textId="77777777" w:rsidR="0011262F" w:rsidRDefault="0011262F" w:rsidP="0011262F">
      <w:pPr>
        <w:pStyle w:val="BodyText"/>
      </w:pPr>
      <w:r>
        <w:t>To assess whether a relationship between fund size and net returns exists, the Commission analysed average annual (or annualised) net returns over the period 2014 to 2017. On the plus side, using annualised data gives rise to figures that are more easily interpreted than the alternative scenario of using annual returns for each year.</w:t>
      </w:r>
      <w:r>
        <w:rPr>
          <w:rStyle w:val="FootnoteReference"/>
        </w:rPr>
        <w:footnoteReference w:id="25"/>
      </w:r>
      <w:r>
        <w:t xml:space="preserve"> But one downside of this approach is that funds that operated for only part of the period must be excluded to ensure, for comparability, that all funds faced the same economic conditions.</w:t>
      </w:r>
    </w:p>
    <w:p w14:paraId="0FB4A23B" w14:textId="77777777" w:rsidR="0011262F" w:rsidRPr="00A37D81" w:rsidRDefault="0011262F" w:rsidP="0011262F">
      <w:pPr>
        <w:pStyle w:val="BodyText"/>
      </w:pPr>
      <w:r w:rsidRPr="009E4030">
        <w:rPr>
          <w:spacing w:val="-2"/>
        </w:rPr>
        <w:t>Inspection of the raw data reveals an association between fund size and annualised net returns (figure</w:t>
      </w:r>
      <w:r>
        <w:rPr>
          <w:spacing w:val="-2"/>
        </w:rPr>
        <w:t> 8.22</w:t>
      </w:r>
      <w:r w:rsidRPr="009E4030">
        <w:rPr>
          <w:spacing w:val="-2"/>
        </w:rPr>
        <w:t>), with the relationship positive for funds in the industry</w:t>
      </w:r>
      <w:r>
        <w:rPr>
          <w:spacing w:val="-2"/>
        </w:rPr>
        <w:t>, corporate</w:t>
      </w:r>
      <w:r w:rsidRPr="009E4030">
        <w:rPr>
          <w:spacing w:val="-2"/>
        </w:rPr>
        <w:t xml:space="preserve"> and public sector segments and weakly negative for retail funds.</w:t>
      </w:r>
      <w:r>
        <w:rPr>
          <w:rStyle w:val="FootnoteReference"/>
          <w:spacing w:val="-2"/>
        </w:rPr>
        <w:footnoteReference w:id="26"/>
      </w:r>
      <w:r w:rsidRPr="009E4030">
        <w:rPr>
          <w:spacing w:val="-2"/>
        </w:rPr>
        <w:t xml:space="preserve"> For example, the largest industry funds experienced average net returns that were two percentage points higher than the smallest funds.</w:t>
      </w:r>
      <w:r>
        <w:rPr>
          <w:spacing w:val="-2"/>
        </w:rPr>
        <w:t xml:space="preserve"> </w:t>
      </w:r>
      <w:r>
        <w:rPr>
          <w:spacing w:val="-2"/>
        </w:rPr>
        <w:lastRenderedPageBreak/>
        <w:t>And this relationship for not</w:t>
      </w:r>
      <w:r>
        <w:rPr>
          <w:spacing w:val="-2"/>
        </w:rPr>
        <w:noBreakHyphen/>
        <w:t>for</w:t>
      </w:r>
      <w:r>
        <w:rPr>
          <w:spacing w:val="-2"/>
        </w:rPr>
        <w:noBreakHyphen/>
        <w:t>profit funds is in the same order of magnitude as the realised cost savings.</w:t>
      </w:r>
      <w:r>
        <w:rPr>
          <w:rStyle w:val="FootnoteReference"/>
          <w:spacing w:val="-2"/>
        </w:rPr>
        <w:footnoteReference w:id="27"/>
      </w:r>
      <w:r>
        <w:rPr>
          <w:spacing w:val="-2"/>
        </w:rPr>
        <w:t xml:space="preserve"> </w:t>
      </w:r>
    </w:p>
    <w:p w14:paraId="1FC05FAB" w14:textId="77777777" w:rsidR="0011262F" w:rsidRDefault="0011262F" w:rsidP="0011262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1262F" w14:paraId="74F24DF4" w14:textId="77777777" w:rsidTr="00B54007">
        <w:trPr>
          <w:tblHeader/>
        </w:trPr>
        <w:tc>
          <w:tcPr>
            <w:tcW w:w="5000" w:type="pct"/>
            <w:tcBorders>
              <w:top w:val="single" w:sz="6" w:space="0" w:color="78A22F"/>
              <w:left w:val="nil"/>
              <w:bottom w:val="nil"/>
              <w:right w:val="nil"/>
            </w:tcBorders>
            <w:shd w:val="clear" w:color="auto" w:fill="auto"/>
          </w:tcPr>
          <w:p w14:paraId="3222D95F" w14:textId="77777777" w:rsidR="0011262F" w:rsidRDefault="0011262F" w:rsidP="00B54007">
            <w:pPr>
              <w:pStyle w:val="FigureTitle"/>
            </w:pPr>
            <w:r w:rsidRPr="00784A05">
              <w:rPr>
                <w:b w:val="0"/>
              </w:rPr>
              <w:t xml:space="preserve">Figure </w:t>
            </w:r>
            <w:bookmarkStart w:id="59" w:name="OLE_LINK53"/>
            <w:r>
              <w:rPr>
                <w:b w:val="0"/>
              </w:rPr>
              <w:t>8.</w:t>
            </w:r>
            <w:bookmarkStart w:id="60" w:name="OLE_LINK35"/>
            <w:r>
              <w:rPr>
                <w:b w:val="0"/>
                <w:noProof/>
              </w:rPr>
              <w:t>22</w:t>
            </w:r>
            <w:bookmarkEnd w:id="59"/>
            <w:bookmarkEnd w:id="60"/>
            <w:r>
              <w:tab/>
              <w:t>Net returns increase with scale for all segments except retail</w:t>
            </w:r>
            <w:r w:rsidRPr="00931A33">
              <w:rPr>
                <w:rStyle w:val="NoteLabel"/>
              </w:rPr>
              <w:t>a</w:t>
            </w:r>
          </w:p>
          <w:p w14:paraId="7DF9D877" w14:textId="77777777" w:rsidR="0011262F" w:rsidRPr="00176D3F" w:rsidRDefault="0011262F" w:rsidP="00B54007">
            <w:pPr>
              <w:pStyle w:val="Subtitle"/>
            </w:pPr>
            <w:r>
              <w:t>Annualised net returns (per cent) by average net assets, 2014–2017</w:t>
            </w:r>
          </w:p>
        </w:tc>
      </w:tr>
      <w:tr w:rsidR="0011262F" w14:paraId="431ED5BF" w14:textId="77777777" w:rsidTr="00B5400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1262F" w:rsidRPr="00B1465D" w14:paraId="31FE4FC8" w14:textId="77777777" w:rsidTr="00B54007">
              <w:trPr>
                <w:tblHeader/>
                <w:jc w:val="center"/>
              </w:trPr>
              <w:tc>
                <w:tcPr>
                  <w:tcW w:w="5000" w:type="pct"/>
                  <w:tcBorders>
                    <w:top w:val="nil"/>
                    <w:bottom w:val="nil"/>
                  </w:tcBorders>
                </w:tcPr>
                <w:p w14:paraId="0EA58C3E" w14:textId="77777777" w:rsidR="0011262F" w:rsidRDefault="0011262F" w:rsidP="00B54007">
                  <w:pPr>
                    <w:pStyle w:val="Figure"/>
                    <w:spacing w:before="60" w:after="60"/>
                    <w:rPr>
                      <w:rFonts w:ascii="Arial" w:hAnsi="Arial" w:cs="Arial"/>
                      <w:sz w:val="18"/>
                      <w:szCs w:val="18"/>
                    </w:rPr>
                  </w:pPr>
                  <w:r w:rsidRPr="00A82717">
                    <w:rPr>
                      <w:rFonts w:ascii="Arial" w:hAnsi="Arial" w:cs="Arial"/>
                      <w:noProof/>
                      <w:sz w:val="18"/>
                      <w:szCs w:val="18"/>
                    </w:rPr>
                    <w:drawing>
                      <wp:inline distT="0" distB="0" distL="0" distR="0" wp14:anchorId="29FA6EFC" wp14:editId="0780915E">
                        <wp:extent cx="5349240" cy="3339621"/>
                        <wp:effectExtent l="0" t="0" r="3810" b="0"/>
                        <wp:docPr id="225" name="Picture 225" descr="A scatterplot of annualised net returns added against net assets for each fund type. Corporate, industry, and public sector funds appear to have an upwards sloping trend, while retail funds appear to have a slightly downwards sloping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54936" cy="3343177"/>
                                </a:xfrm>
                                <a:prstGeom prst="rect">
                                  <a:avLst/>
                                </a:prstGeom>
                                <a:noFill/>
                                <a:ln>
                                  <a:noFill/>
                                </a:ln>
                              </pic:spPr>
                            </pic:pic>
                          </a:graphicData>
                        </a:graphic>
                      </wp:inline>
                    </w:drawing>
                  </w:r>
                </w:p>
                <w:tbl>
                  <w:tblPr>
                    <w:tblW w:w="0" w:type="auto"/>
                    <w:tblLook w:val="04A0" w:firstRow="1" w:lastRow="0" w:firstColumn="1" w:lastColumn="0" w:noHBand="0" w:noVBand="1"/>
                  </w:tblPr>
                  <w:tblGrid>
                    <w:gridCol w:w="1559"/>
                    <w:gridCol w:w="2311"/>
                    <w:gridCol w:w="2312"/>
                    <w:gridCol w:w="2312"/>
                  </w:tblGrid>
                  <w:tr w:rsidR="0011262F" w14:paraId="07F21D34" w14:textId="77777777" w:rsidTr="00B54007">
                    <w:trPr>
                      <w:tblHeader/>
                    </w:trPr>
                    <w:tc>
                      <w:tcPr>
                        <w:tcW w:w="1559" w:type="dxa"/>
                        <w:shd w:val="clear" w:color="auto" w:fill="F2F2F2" w:themeFill="background1" w:themeFillShade="F2"/>
                      </w:tcPr>
                      <w:p w14:paraId="0001F115" w14:textId="77777777" w:rsidR="0011262F" w:rsidRDefault="0011262F" w:rsidP="00B54007">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935" w:type="dxa"/>
                        <w:gridSpan w:val="3"/>
                        <w:shd w:val="clear" w:color="auto" w:fill="F2F2F2" w:themeFill="background1" w:themeFillShade="F2"/>
                      </w:tcPr>
                      <w:p w14:paraId="658A5BD6" w14:textId="77777777" w:rsidR="0011262F" w:rsidRDefault="0011262F" w:rsidP="00B54007">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PC analysis of unpublished APRA data (</w:t>
                        </w:r>
                        <w:r w:rsidRPr="00861568">
                          <w:rPr>
                            <w:rFonts w:ascii="Arial" w:eastAsia="+mn-ea" w:hAnsi="Arial" w:cs="Arial"/>
                            <w:color w:val="000000" w:themeColor="text1"/>
                            <w:kern w:val="24"/>
                            <w:sz w:val="18"/>
                            <w:szCs w:val="18"/>
                          </w:rPr>
                          <w:t>2014</w:t>
                        </w:r>
                        <w:r>
                          <w:rPr>
                            <w:rFonts w:ascii="Arial" w:eastAsia="+mn-ea" w:hAnsi="Arial" w:cs="Arial"/>
                            <w:color w:val="000000" w:themeColor="text1"/>
                            <w:kern w:val="24"/>
                            <w:sz w:val="18"/>
                            <w:szCs w:val="18"/>
                          </w:rPr>
                          <w:t>–</w:t>
                        </w:r>
                        <w:r w:rsidRPr="00861568">
                          <w:rPr>
                            <w:rFonts w:ascii="Arial" w:eastAsia="+mn-ea" w:hAnsi="Arial" w:cs="Arial"/>
                            <w:color w:val="000000" w:themeColor="text1"/>
                            <w:kern w:val="24"/>
                            <w:sz w:val="18"/>
                            <w:szCs w:val="18"/>
                          </w:rPr>
                          <w:t>2017</w:t>
                        </w:r>
                        <w:r>
                          <w:rPr>
                            <w:rFonts w:ascii="Arial" w:eastAsia="+mn-ea" w:hAnsi="Arial" w:cs="Arial"/>
                            <w:color w:val="000000" w:themeColor="text1"/>
                            <w:kern w:val="24"/>
                            <w:sz w:val="18"/>
                            <w:szCs w:val="18"/>
                          </w:rPr>
                          <w:t>).</w:t>
                        </w:r>
                      </w:p>
                    </w:tc>
                  </w:tr>
                  <w:tr w:rsidR="0011262F" w:rsidRPr="001F53B0" w14:paraId="3315CBF6" w14:textId="77777777" w:rsidTr="00B54007">
                    <w:tc>
                      <w:tcPr>
                        <w:tcW w:w="1559" w:type="dxa"/>
                        <w:shd w:val="clear" w:color="auto" w:fill="F2F2F2" w:themeFill="background1" w:themeFillShade="F2"/>
                      </w:tcPr>
                      <w:p w14:paraId="6E5709E9" w14:textId="77777777" w:rsidR="0011262F" w:rsidRDefault="0011262F" w:rsidP="00B54007">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gridSpan w:val="3"/>
                        <w:shd w:val="clear" w:color="auto" w:fill="F2F2F2" w:themeFill="background1" w:themeFillShade="F2"/>
                      </w:tcPr>
                      <w:p w14:paraId="1C242E6D" w14:textId="77777777" w:rsidR="0011262F" w:rsidRPr="001F53B0" w:rsidRDefault="0011262F" w:rsidP="00B54007">
                        <w:pPr>
                          <w:pStyle w:val="Figure"/>
                          <w:spacing w:before="0" w:after="0"/>
                          <w:jc w:val="left"/>
                          <w:rPr>
                            <w:color w:val="000000" w:themeColor="text1"/>
                          </w:rPr>
                        </w:pPr>
                        <w:r>
                          <w:rPr>
                            <w:rFonts w:ascii="Arial" w:hAnsi="Arial" w:cs="Arial"/>
                            <w:sz w:val="18"/>
                            <w:szCs w:val="18"/>
                          </w:rPr>
                          <w:t>178</w:t>
                        </w:r>
                        <w:r w:rsidRPr="00481B71">
                          <w:rPr>
                            <w:rFonts w:ascii="Arial" w:hAnsi="Arial" w:cs="Arial"/>
                            <w:sz w:val="18"/>
                            <w:szCs w:val="18"/>
                          </w:rPr>
                          <w:t xml:space="preserve"> funds representing</w:t>
                        </w:r>
                        <w:r>
                          <w:rPr>
                            <w:rFonts w:ascii="Arial" w:hAnsi="Arial" w:cs="Arial"/>
                            <w:sz w:val="18"/>
                            <w:szCs w:val="18"/>
                          </w:rPr>
                          <w:t xml:space="preserve"> </w:t>
                        </w:r>
                        <w:r w:rsidRPr="00861568">
                          <w:rPr>
                            <w:rFonts w:ascii="Arial" w:hAnsi="Arial" w:cs="Arial"/>
                            <w:sz w:val="18"/>
                            <w:szCs w:val="18"/>
                          </w:rPr>
                          <w:t>92</w:t>
                        </w:r>
                        <w:r w:rsidRPr="00481B71">
                          <w:rPr>
                            <w:rFonts w:ascii="Arial" w:hAnsi="Arial" w:cs="Arial"/>
                            <w:sz w:val="18"/>
                            <w:szCs w:val="18"/>
                          </w:rPr>
                          <w:t xml:space="preserve"> per cent of the system in </w:t>
                        </w:r>
                        <w:r>
                          <w:rPr>
                            <w:rFonts w:ascii="Arial" w:hAnsi="Arial" w:cs="Arial"/>
                            <w:sz w:val="18"/>
                            <w:szCs w:val="18"/>
                          </w:rPr>
                          <w:t>2013</w:t>
                        </w:r>
                        <w:r>
                          <w:rPr>
                            <w:rFonts w:ascii="Arial" w:hAnsi="Arial" w:cs="Arial"/>
                            <w:sz w:val="18"/>
                            <w:szCs w:val="18"/>
                          </w:rPr>
                          <w:noBreakHyphen/>
                          <w:t>14</w:t>
                        </w:r>
                        <w:r w:rsidRPr="00481B71">
                          <w:rPr>
                            <w:rFonts w:ascii="Arial" w:hAnsi="Arial" w:cs="Arial"/>
                            <w:sz w:val="18"/>
                            <w:szCs w:val="18"/>
                          </w:rPr>
                          <w:t>.</w:t>
                        </w:r>
                      </w:p>
                    </w:tc>
                  </w:tr>
                  <w:tr w:rsidR="0011262F" w14:paraId="776EC193" w14:textId="77777777" w:rsidTr="00B54007">
                    <w:tc>
                      <w:tcPr>
                        <w:tcW w:w="1559" w:type="dxa"/>
                        <w:shd w:val="clear" w:color="auto" w:fill="F2F2F2" w:themeFill="background1" w:themeFillShade="F2"/>
                      </w:tcPr>
                      <w:p w14:paraId="663E7754" w14:textId="77777777" w:rsidR="0011262F" w:rsidRPr="002D6D85" w:rsidRDefault="0011262F" w:rsidP="00B54007">
                        <w:pPr>
                          <w:pStyle w:val="Figure"/>
                          <w:spacing w:before="0" w:after="0"/>
                          <w:jc w:val="left"/>
                          <w:rPr>
                            <w:rFonts w:asciiTheme="minorHAnsi" w:hAnsi="Arial" w:cstheme="minorBidi"/>
                            <w:b/>
                            <w:color w:val="000000" w:themeColor="text1"/>
                            <w:kern w:val="24"/>
                            <w:sz w:val="18"/>
                            <w:szCs w:val="18"/>
                          </w:rPr>
                        </w:pPr>
                        <w:r w:rsidRPr="005F68B0">
                          <w:rPr>
                            <w:rFonts w:ascii="Arial" w:hAnsi="Arial" w:cs="Arial"/>
                            <w:b/>
                            <w:sz w:val="18"/>
                            <w:szCs w:val="18"/>
                          </w:rPr>
                          <w:t>Survivor bias</w:t>
                        </w:r>
                      </w:p>
                    </w:tc>
                    <w:tc>
                      <w:tcPr>
                        <w:tcW w:w="2311" w:type="dxa"/>
                        <w:shd w:val="clear" w:color="auto" w:fill="F2F2F2" w:themeFill="background1" w:themeFillShade="F2"/>
                      </w:tcPr>
                      <w:p w14:paraId="0574BEFD" w14:textId="77777777" w:rsidR="0011262F" w:rsidRDefault="0011262F" w:rsidP="00B54007">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Yes.</w:t>
                        </w:r>
                      </w:p>
                    </w:tc>
                    <w:tc>
                      <w:tcPr>
                        <w:tcW w:w="2312" w:type="dxa"/>
                        <w:shd w:val="clear" w:color="auto" w:fill="F2F2F2" w:themeFill="background1" w:themeFillShade="F2"/>
                      </w:tcPr>
                      <w:p w14:paraId="6ACFB1D8" w14:textId="77777777" w:rsidR="0011262F" w:rsidRDefault="0011262F" w:rsidP="00B54007">
                        <w:pPr>
                          <w:pStyle w:val="Figure"/>
                          <w:spacing w:before="0" w:after="0"/>
                          <w:jc w:val="left"/>
                          <w:rPr>
                            <w:rFonts w:ascii="Arial" w:hAnsi="Arial" w:cs="Arial"/>
                            <w:sz w:val="18"/>
                            <w:szCs w:val="18"/>
                          </w:rPr>
                        </w:pPr>
                        <w:r w:rsidRPr="005F68B0">
                          <w:rPr>
                            <w:rFonts w:asciiTheme="minorHAnsi" w:hAnsi="Arial" w:cstheme="minorBidi"/>
                            <w:b/>
                            <w:color w:val="000000" w:themeColor="text1"/>
                            <w:kern w:val="24"/>
                            <w:sz w:val="18"/>
                            <w:szCs w:val="18"/>
                          </w:rPr>
                          <w:t>Selection bias</w:t>
                        </w:r>
                      </w:p>
                    </w:tc>
                    <w:tc>
                      <w:tcPr>
                        <w:tcW w:w="2312" w:type="dxa"/>
                        <w:shd w:val="clear" w:color="auto" w:fill="F2F2F2" w:themeFill="background1" w:themeFillShade="F2"/>
                      </w:tcPr>
                      <w:p w14:paraId="3CE6A5AD" w14:textId="77777777" w:rsidR="0011262F" w:rsidRDefault="0011262F" w:rsidP="00B54007">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No.</w:t>
                        </w:r>
                      </w:p>
                    </w:tc>
                  </w:tr>
                </w:tbl>
                <w:p w14:paraId="6F051B89" w14:textId="77777777" w:rsidR="0011262F" w:rsidRPr="00B1465D" w:rsidRDefault="0011262F" w:rsidP="00B54007">
                  <w:pPr>
                    <w:pStyle w:val="Figure"/>
                    <w:spacing w:before="60" w:after="60"/>
                    <w:rPr>
                      <w:rFonts w:ascii="Arial" w:hAnsi="Arial" w:cs="Arial"/>
                      <w:sz w:val="18"/>
                      <w:szCs w:val="18"/>
                    </w:rPr>
                  </w:pPr>
                </w:p>
              </w:tc>
            </w:tr>
          </w:tbl>
          <w:p w14:paraId="04476CA0" w14:textId="77777777" w:rsidR="0011262F" w:rsidRDefault="0011262F" w:rsidP="00B54007"/>
        </w:tc>
      </w:tr>
      <w:tr w:rsidR="0011262F" w:rsidRPr="00176D3F" w14:paraId="00930BC4" w14:textId="77777777" w:rsidTr="00B54007">
        <w:tc>
          <w:tcPr>
            <w:tcW w:w="5000" w:type="pct"/>
            <w:tcBorders>
              <w:top w:val="nil"/>
              <w:left w:val="nil"/>
              <w:bottom w:val="nil"/>
              <w:right w:val="nil"/>
            </w:tcBorders>
            <w:shd w:val="clear" w:color="auto" w:fill="auto"/>
          </w:tcPr>
          <w:p w14:paraId="10FACCE4" w14:textId="77777777" w:rsidR="0011262F" w:rsidRPr="00176D3F" w:rsidRDefault="0011262F" w:rsidP="00B54007">
            <w:pPr>
              <w:pStyle w:val="Note"/>
            </w:pPr>
            <w:proofErr w:type="spellStart"/>
            <w:r>
              <w:rPr>
                <w:rStyle w:val="NoteLabel"/>
              </w:rPr>
              <w:t>a</w:t>
            </w:r>
            <w:proofErr w:type="spellEnd"/>
            <w:r>
              <w:t xml:space="preserve"> Excludes eligible rollover funds and insurance only funds. This figure only includes funds which have been in operation in all years from 2014 to 2017. For each fund, net assets are taken as an average over the time period.</w:t>
            </w:r>
          </w:p>
        </w:tc>
      </w:tr>
      <w:tr w:rsidR="0011262F" w14:paraId="704F0AA4" w14:textId="77777777" w:rsidTr="00B54007">
        <w:tc>
          <w:tcPr>
            <w:tcW w:w="5000" w:type="pct"/>
            <w:tcBorders>
              <w:top w:val="nil"/>
              <w:left w:val="nil"/>
              <w:bottom w:val="single" w:sz="6" w:space="0" w:color="78A22F"/>
              <w:right w:val="nil"/>
            </w:tcBorders>
            <w:shd w:val="clear" w:color="auto" w:fill="auto"/>
          </w:tcPr>
          <w:p w14:paraId="243715E0" w14:textId="77777777" w:rsidR="0011262F" w:rsidRDefault="0011262F" w:rsidP="00B54007">
            <w:pPr>
              <w:pStyle w:val="Figurespace"/>
            </w:pPr>
          </w:p>
        </w:tc>
      </w:tr>
      <w:tr w:rsidR="0011262F" w:rsidRPr="000863A5" w14:paraId="05E54B9E" w14:textId="77777777" w:rsidTr="00B54007">
        <w:tc>
          <w:tcPr>
            <w:tcW w:w="5000" w:type="pct"/>
            <w:tcBorders>
              <w:top w:val="single" w:sz="6" w:space="0" w:color="78A22F"/>
              <w:left w:val="nil"/>
              <w:bottom w:val="nil"/>
              <w:right w:val="nil"/>
            </w:tcBorders>
          </w:tcPr>
          <w:p w14:paraId="235819DF" w14:textId="77777777" w:rsidR="0011262F" w:rsidRPr="00626D32" w:rsidRDefault="0011262F" w:rsidP="00B54007">
            <w:pPr>
              <w:pStyle w:val="BoxSpaceBelow"/>
            </w:pPr>
          </w:p>
        </w:tc>
      </w:tr>
    </w:tbl>
    <w:p w14:paraId="4892AA70" w14:textId="77777777" w:rsidR="0011262F" w:rsidRPr="00701371" w:rsidRDefault="0011262F" w:rsidP="0011262F">
      <w:pPr>
        <w:pStyle w:val="Heading4"/>
      </w:pPr>
      <w:r>
        <w:t>But weak evidence that unlisted assets account for higher net returns in not</w:t>
      </w:r>
      <w:r>
        <w:noBreakHyphen/>
        <w:t>for</w:t>
      </w:r>
      <w:r>
        <w:noBreakHyphen/>
        <w:t xml:space="preserve">profits </w:t>
      </w:r>
    </w:p>
    <w:p w14:paraId="3DA173D0" w14:textId="77777777" w:rsidR="0011262F" w:rsidRPr="006C6512" w:rsidRDefault="0011262F" w:rsidP="0011262F">
      <w:pPr>
        <w:pStyle w:val="BodyText"/>
      </w:pPr>
      <w:r w:rsidRPr="006C6512">
        <w:t xml:space="preserve">Higher net returns for larger </w:t>
      </w:r>
      <w:r>
        <w:t>not</w:t>
      </w:r>
      <w:r>
        <w:noBreakHyphen/>
        <w:t>for</w:t>
      </w:r>
      <w:r>
        <w:noBreakHyphen/>
        <w:t xml:space="preserve">profit </w:t>
      </w:r>
      <w:r w:rsidRPr="006C6512">
        <w:t xml:space="preserve">funds </w:t>
      </w:r>
      <w:r>
        <w:t>could</w:t>
      </w:r>
      <w:r w:rsidRPr="006C6512">
        <w:t xml:space="preserve"> be due to an uptake of unlisted asset classes as funds increase in siz</w:t>
      </w:r>
      <w:r w:rsidRPr="0063190B">
        <w:rPr>
          <w:spacing w:val="-2"/>
        </w:rPr>
        <w:t xml:space="preserve">e (as hypothesised earlier). Another possibility is that larger </w:t>
      </w:r>
      <w:r>
        <w:t>not</w:t>
      </w:r>
      <w:r>
        <w:noBreakHyphen/>
        <w:t>for</w:t>
      </w:r>
      <w:r>
        <w:noBreakHyphen/>
        <w:t>profit</w:t>
      </w:r>
      <w:r w:rsidRPr="006C6512">
        <w:t xml:space="preserve"> funds are better at making investment</w:t>
      </w:r>
      <w:r>
        <w:t xml:space="preserve"> decisions</w:t>
      </w:r>
      <w:r w:rsidRPr="006C6512">
        <w:t xml:space="preserve"> within asset classes</w:t>
      </w:r>
      <w:r>
        <w:t xml:space="preserve"> and including unlisted asset classes</w:t>
      </w:r>
      <w:r w:rsidRPr="006C6512">
        <w:t>.</w:t>
      </w:r>
    </w:p>
    <w:p w14:paraId="75E4C654" w14:textId="77777777" w:rsidR="0011262F" w:rsidRDefault="0011262F" w:rsidP="0011262F">
      <w:pPr>
        <w:pStyle w:val="BodyText"/>
        <w:rPr>
          <w:spacing w:val="-2"/>
        </w:rPr>
      </w:pPr>
      <w:r>
        <w:rPr>
          <w:spacing w:val="-2"/>
        </w:rPr>
        <w:lastRenderedPageBreak/>
        <w:t>There is limited evidence that the stronger net returns recorded by larger not</w:t>
      </w:r>
      <w:r>
        <w:rPr>
          <w:spacing w:val="-2"/>
        </w:rPr>
        <w:noBreakHyphen/>
        <w:t>for</w:t>
      </w:r>
      <w:r>
        <w:rPr>
          <w:spacing w:val="-2"/>
        </w:rPr>
        <w:noBreakHyphen/>
        <w:t>profit funds are due to higher exposure to unlisted asset classes. A simple regression of annualised net returns on fund size and asset allocation finds a statistically significant positive correlation between net returns and the proportion of assets held in unlisted infrastructure and a muted (but still statistically significant) relationship between net returns and size.</w:t>
      </w:r>
      <w:r>
        <w:rPr>
          <w:rStyle w:val="FootnoteReference"/>
          <w:spacing w:val="-2"/>
        </w:rPr>
        <w:footnoteReference w:id="28"/>
      </w:r>
      <w:r>
        <w:rPr>
          <w:spacing w:val="-2"/>
        </w:rPr>
        <w:t xml:space="preserve"> However, the relationship with unlisted infrastructure assets is no longer statistically significant (though the sign remains positive) when fund type is included in the analysis. This could indicate that there is not enough variation between variables measuring the proportion of assets in unlisted infrastructure and fund type for the model to differentiate between the impacts (this problem is called ‘collinearity’ and is exacerbated by small sample sizes). On the other hand, the possibility that unlisted infrastructure has a limited impact on net returns once other factors are accounted for cannot be discounted through reference to these results.</w:t>
      </w:r>
    </w:p>
    <w:p w14:paraId="64998790" w14:textId="77777777" w:rsidR="0011262F" w:rsidDel="005B71C7" w:rsidRDefault="0011262F" w:rsidP="0011262F">
      <w:pPr>
        <w:pStyle w:val="BodyText"/>
        <w:rPr>
          <w:spacing w:val="-2"/>
        </w:rPr>
      </w:pPr>
      <w:r>
        <w:t>Analysis of benchmark</w:t>
      </w:r>
      <w:r>
        <w:noBreakHyphen/>
        <w:t xml:space="preserve">adjusted returns, which account for asset allocation and capture the extent to which a fund outperforms a benchmark (or adds value), and size, enables testing of the possibility that larger funds make better investment decisions. This analysis suggests that </w:t>
      </w:r>
      <w:r w:rsidRPr="003330A2">
        <w:rPr>
          <w:spacing w:val="-2"/>
        </w:rPr>
        <w:t>factors other than the proportion of funds invest</w:t>
      </w:r>
      <w:r>
        <w:rPr>
          <w:spacing w:val="-2"/>
        </w:rPr>
        <w:t xml:space="preserve">ed in unlisted assets (and asset allocation more generally) have </w:t>
      </w:r>
      <w:r w:rsidRPr="003330A2">
        <w:rPr>
          <w:spacing w:val="-2"/>
        </w:rPr>
        <w:t xml:space="preserve">contributed to the higher net returns obtained by </w:t>
      </w:r>
      <w:r>
        <w:rPr>
          <w:spacing w:val="-2"/>
        </w:rPr>
        <w:t>not</w:t>
      </w:r>
      <w:r>
        <w:rPr>
          <w:spacing w:val="-2"/>
        </w:rPr>
        <w:noBreakHyphen/>
        <w:t>for</w:t>
      </w:r>
      <w:r>
        <w:rPr>
          <w:spacing w:val="-2"/>
        </w:rPr>
        <w:noBreakHyphen/>
        <w:t xml:space="preserve">profit </w:t>
      </w:r>
      <w:r w:rsidRPr="003330A2">
        <w:rPr>
          <w:spacing w:val="-2"/>
        </w:rPr>
        <w:t>larger funds</w:t>
      </w:r>
      <w:r>
        <w:t>.</w:t>
      </w:r>
      <w:r>
        <w:rPr>
          <w:rStyle w:val="FootnoteReference"/>
        </w:rPr>
        <w:footnoteReference w:id="29"/>
      </w:r>
      <w:r>
        <w:t xml:space="preserve"> Specifically, a </w:t>
      </w:r>
      <w:r>
        <w:rPr>
          <w:spacing w:val="-2"/>
        </w:rPr>
        <w:t>positive</w:t>
      </w:r>
      <w:r w:rsidRPr="003330A2">
        <w:rPr>
          <w:spacing w:val="-2"/>
        </w:rPr>
        <w:t xml:space="preserve"> relationship between </w:t>
      </w:r>
      <w:r>
        <w:rPr>
          <w:spacing w:val="-2"/>
        </w:rPr>
        <w:t xml:space="preserve">size and </w:t>
      </w:r>
      <w:r>
        <w:t>benchmark</w:t>
      </w:r>
      <w:r>
        <w:noBreakHyphen/>
        <w:t xml:space="preserve">adjusted returns is found, including when fund type is taken into account </w:t>
      </w:r>
      <w:r>
        <w:rPr>
          <w:spacing w:val="-2"/>
        </w:rPr>
        <w:t>(figure 8.23) — which is consistent with larger funds making better investments for a given asset class.</w:t>
      </w:r>
    </w:p>
    <w:p w14:paraId="70F293AC" w14:textId="77777777" w:rsidR="0011262F" w:rsidRDefault="0011262F" w:rsidP="0011262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1262F" w14:paraId="383BF924" w14:textId="77777777" w:rsidTr="00B54007">
        <w:trPr>
          <w:tblHeader/>
        </w:trPr>
        <w:tc>
          <w:tcPr>
            <w:tcW w:w="5000" w:type="pct"/>
            <w:tcBorders>
              <w:top w:val="single" w:sz="6" w:space="0" w:color="78A22F"/>
              <w:left w:val="nil"/>
              <w:bottom w:val="nil"/>
              <w:right w:val="nil"/>
            </w:tcBorders>
            <w:shd w:val="clear" w:color="auto" w:fill="auto"/>
          </w:tcPr>
          <w:p w14:paraId="2518310F" w14:textId="77777777" w:rsidR="0011262F" w:rsidRDefault="0011262F" w:rsidP="00B54007">
            <w:pPr>
              <w:pStyle w:val="FigureTitle"/>
            </w:pPr>
            <w:r w:rsidRPr="00784A05">
              <w:rPr>
                <w:b w:val="0"/>
              </w:rPr>
              <w:t xml:space="preserve">Figure </w:t>
            </w:r>
            <w:bookmarkStart w:id="61" w:name="OLE_LINK54"/>
            <w:r>
              <w:rPr>
                <w:b w:val="0"/>
              </w:rPr>
              <w:t>8.</w:t>
            </w:r>
            <w:r>
              <w:rPr>
                <w:b w:val="0"/>
                <w:noProof/>
              </w:rPr>
              <w:t>23</w:t>
            </w:r>
            <w:bookmarkEnd w:id="61"/>
            <w:r>
              <w:tab/>
              <w:t>Fund size vs benchmark adjusted returns</w:t>
            </w:r>
            <w:proofErr w:type="spellStart"/>
            <w:r w:rsidRPr="00AB39E4">
              <w:rPr>
                <w:rStyle w:val="NoteLabel"/>
              </w:rPr>
              <w:t>a,b</w:t>
            </w:r>
            <w:proofErr w:type="spellEnd"/>
          </w:p>
          <w:p w14:paraId="2C1EE4CB" w14:textId="77777777" w:rsidR="0011262F" w:rsidRPr="00176D3F" w:rsidRDefault="0011262F" w:rsidP="00B54007">
            <w:pPr>
              <w:pStyle w:val="Subtitle"/>
            </w:pPr>
            <w:r>
              <w:t>2014–2017</w:t>
            </w:r>
          </w:p>
        </w:tc>
      </w:tr>
      <w:tr w:rsidR="0011262F" w14:paraId="6A7372D8" w14:textId="77777777" w:rsidTr="00B5400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561"/>
              <w:gridCol w:w="2311"/>
              <w:gridCol w:w="2311"/>
              <w:gridCol w:w="2311"/>
              <w:gridCol w:w="10"/>
            </w:tblGrid>
            <w:tr w:rsidR="0011262F" w:rsidRPr="00B1465D" w14:paraId="5BB946FD" w14:textId="77777777" w:rsidTr="00B54007">
              <w:trPr>
                <w:tblHeader/>
                <w:jc w:val="center"/>
              </w:trPr>
              <w:tc>
                <w:tcPr>
                  <w:tcW w:w="5000" w:type="pct"/>
                  <w:gridSpan w:val="5"/>
                  <w:tcBorders>
                    <w:top w:val="nil"/>
                    <w:bottom w:val="nil"/>
                  </w:tcBorders>
                </w:tcPr>
                <w:p w14:paraId="6FD1B929" w14:textId="77777777" w:rsidR="0011262F" w:rsidRPr="00B1465D" w:rsidRDefault="0011262F" w:rsidP="00B54007">
                  <w:pPr>
                    <w:pStyle w:val="Figure"/>
                    <w:spacing w:before="60" w:after="60"/>
                    <w:rPr>
                      <w:rFonts w:ascii="Arial" w:hAnsi="Arial" w:cs="Arial"/>
                      <w:sz w:val="18"/>
                      <w:szCs w:val="18"/>
                    </w:rPr>
                  </w:pPr>
                  <w:r w:rsidRPr="00A82717">
                    <w:rPr>
                      <w:rFonts w:ascii="Arial" w:hAnsi="Arial" w:cs="Arial"/>
                      <w:noProof/>
                      <w:sz w:val="18"/>
                      <w:szCs w:val="18"/>
                    </w:rPr>
                    <w:drawing>
                      <wp:inline distT="0" distB="0" distL="0" distR="0" wp14:anchorId="6A557220" wp14:editId="6B08318E">
                        <wp:extent cx="5387340" cy="3363408"/>
                        <wp:effectExtent l="0" t="0" r="3810" b="0"/>
                        <wp:docPr id="226" name="Picture 226" descr="A scatterplot of annualised net value added against net assets for each fund type. Corporate, industry, and public sector funds appear to have an upwards sloping trend, while retail funds appear to have a slightly downwards sloping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92271" cy="3366486"/>
                                </a:xfrm>
                                <a:prstGeom prst="rect">
                                  <a:avLst/>
                                </a:prstGeom>
                                <a:noFill/>
                                <a:ln>
                                  <a:noFill/>
                                </a:ln>
                              </pic:spPr>
                            </pic:pic>
                          </a:graphicData>
                        </a:graphic>
                      </wp:inline>
                    </w:drawing>
                  </w:r>
                </w:p>
              </w:tc>
            </w:tr>
            <w:tr w:rsidR="0011262F" w14:paraId="14C6A289" w14:textId="77777777" w:rsidTr="00B54007">
              <w:tblPrEx>
                <w:jc w:val="left"/>
                <w:tblBorders>
                  <w:top w:val="none" w:sz="0" w:space="0" w:color="auto"/>
                  <w:bottom w:val="none" w:sz="0" w:space="0" w:color="auto"/>
                </w:tblBorders>
                <w:tblCellMar>
                  <w:top w:w="0" w:type="dxa"/>
                  <w:left w:w="108" w:type="dxa"/>
                  <w:right w:w="108" w:type="dxa"/>
                </w:tblCellMar>
                <w:tblLook w:val="04A0" w:firstRow="1" w:lastRow="0" w:firstColumn="1" w:lastColumn="0" w:noHBand="0" w:noVBand="1"/>
              </w:tblPrEx>
              <w:trPr>
                <w:gridAfter w:val="1"/>
                <w:wAfter w:w="6" w:type="pct"/>
                <w:tblHeader/>
              </w:trPr>
              <w:tc>
                <w:tcPr>
                  <w:tcW w:w="917" w:type="pct"/>
                  <w:shd w:val="clear" w:color="auto" w:fill="F2F2F2" w:themeFill="background1" w:themeFillShade="F2"/>
                </w:tcPr>
                <w:p w14:paraId="6DE543BB" w14:textId="77777777" w:rsidR="0011262F" w:rsidRDefault="0011262F" w:rsidP="00B54007">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4077" w:type="pct"/>
                  <w:gridSpan w:val="3"/>
                  <w:shd w:val="clear" w:color="auto" w:fill="F2F2F2" w:themeFill="background1" w:themeFillShade="F2"/>
                </w:tcPr>
                <w:p w14:paraId="0F644563" w14:textId="77777777" w:rsidR="0011262F" w:rsidRDefault="0011262F" w:rsidP="00B54007">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PC analysis of unpublished APRA data (</w:t>
                  </w:r>
                  <w:r w:rsidRPr="00481B71">
                    <w:rPr>
                      <w:rFonts w:ascii="Arial" w:eastAsia="+mn-ea" w:hAnsi="Arial" w:cs="Arial"/>
                      <w:color w:val="000000" w:themeColor="text1"/>
                      <w:kern w:val="24"/>
                      <w:sz w:val="18"/>
                      <w:szCs w:val="18"/>
                    </w:rPr>
                    <w:t>2014</w:t>
                  </w:r>
                  <w:r>
                    <w:rPr>
                      <w:rFonts w:ascii="Arial" w:eastAsia="+mn-ea" w:hAnsi="Arial" w:cs="Arial"/>
                      <w:color w:val="000000" w:themeColor="text1"/>
                      <w:kern w:val="24"/>
                      <w:sz w:val="18"/>
                      <w:szCs w:val="18"/>
                    </w:rPr>
                    <w:t>–</w:t>
                  </w:r>
                  <w:r w:rsidRPr="00481B71">
                    <w:rPr>
                      <w:rFonts w:ascii="Arial" w:eastAsia="+mn-ea" w:hAnsi="Arial" w:cs="Arial"/>
                      <w:color w:val="000000" w:themeColor="text1"/>
                      <w:kern w:val="24"/>
                      <w:sz w:val="18"/>
                      <w:szCs w:val="18"/>
                    </w:rPr>
                    <w:t>2017</w:t>
                  </w:r>
                  <w:r>
                    <w:rPr>
                      <w:rFonts w:ascii="Arial" w:eastAsia="+mn-ea" w:hAnsi="Arial" w:cs="Arial"/>
                      <w:color w:val="000000" w:themeColor="text1"/>
                      <w:kern w:val="24"/>
                      <w:sz w:val="18"/>
                      <w:szCs w:val="18"/>
                    </w:rPr>
                    <w:t>).</w:t>
                  </w:r>
                </w:p>
              </w:tc>
            </w:tr>
            <w:tr w:rsidR="0011262F" w:rsidRPr="001F53B0" w14:paraId="620B5DB4" w14:textId="77777777" w:rsidTr="00B54007">
              <w:tblPrEx>
                <w:jc w:val="left"/>
                <w:tblBorders>
                  <w:top w:val="none" w:sz="0" w:space="0" w:color="auto"/>
                  <w:bottom w:val="none" w:sz="0" w:space="0" w:color="auto"/>
                </w:tblBorders>
                <w:tblCellMar>
                  <w:top w:w="0" w:type="dxa"/>
                  <w:left w:w="108" w:type="dxa"/>
                  <w:right w:w="108" w:type="dxa"/>
                </w:tblCellMar>
                <w:tblLook w:val="04A0" w:firstRow="1" w:lastRow="0" w:firstColumn="1" w:lastColumn="0" w:noHBand="0" w:noVBand="1"/>
              </w:tblPrEx>
              <w:trPr>
                <w:gridAfter w:val="1"/>
                <w:wAfter w:w="6" w:type="pct"/>
              </w:trPr>
              <w:tc>
                <w:tcPr>
                  <w:tcW w:w="917" w:type="pct"/>
                  <w:shd w:val="clear" w:color="auto" w:fill="F2F2F2" w:themeFill="background1" w:themeFillShade="F2"/>
                </w:tcPr>
                <w:p w14:paraId="235624C2" w14:textId="77777777" w:rsidR="0011262F" w:rsidRDefault="0011262F" w:rsidP="00B54007">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4077" w:type="pct"/>
                  <w:gridSpan w:val="3"/>
                  <w:shd w:val="clear" w:color="auto" w:fill="F2F2F2" w:themeFill="background1" w:themeFillShade="F2"/>
                </w:tcPr>
                <w:p w14:paraId="3ACCE8CA" w14:textId="77777777" w:rsidR="0011262F" w:rsidRPr="001F53B0" w:rsidRDefault="0011262F" w:rsidP="00B54007">
                  <w:pPr>
                    <w:pStyle w:val="Figure"/>
                    <w:spacing w:before="0" w:after="0"/>
                    <w:jc w:val="left"/>
                    <w:rPr>
                      <w:color w:val="000000" w:themeColor="text1"/>
                    </w:rPr>
                  </w:pPr>
                  <w:r>
                    <w:rPr>
                      <w:rFonts w:ascii="Arial" w:hAnsi="Arial" w:cs="Arial"/>
                      <w:sz w:val="18"/>
                      <w:szCs w:val="18"/>
                    </w:rPr>
                    <w:t>178</w:t>
                  </w:r>
                  <w:r w:rsidRPr="00481B71">
                    <w:rPr>
                      <w:rFonts w:ascii="Arial" w:hAnsi="Arial" w:cs="Arial"/>
                      <w:sz w:val="18"/>
                      <w:szCs w:val="18"/>
                    </w:rPr>
                    <w:t xml:space="preserve"> funds representing</w:t>
                  </w:r>
                  <w:r>
                    <w:rPr>
                      <w:rFonts w:ascii="Arial" w:hAnsi="Arial" w:cs="Arial"/>
                      <w:sz w:val="18"/>
                      <w:szCs w:val="18"/>
                    </w:rPr>
                    <w:t xml:space="preserve"> </w:t>
                  </w:r>
                  <w:r w:rsidRPr="00481B71">
                    <w:rPr>
                      <w:rFonts w:ascii="Arial" w:hAnsi="Arial" w:cs="Arial"/>
                      <w:sz w:val="18"/>
                      <w:szCs w:val="18"/>
                    </w:rPr>
                    <w:t xml:space="preserve">92 per cent of the system in </w:t>
                  </w:r>
                  <w:r>
                    <w:rPr>
                      <w:rFonts w:ascii="Arial" w:hAnsi="Arial" w:cs="Arial"/>
                      <w:sz w:val="18"/>
                      <w:szCs w:val="18"/>
                    </w:rPr>
                    <w:t>2013</w:t>
                  </w:r>
                  <w:r>
                    <w:rPr>
                      <w:rFonts w:ascii="Arial" w:hAnsi="Arial" w:cs="Arial"/>
                      <w:sz w:val="18"/>
                      <w:szCs w:val="18"/>
                    </w:rPr>
                    <w:noBreakHyphen/>
                    <w:t>14</w:t>
                  </w:r>
                  <w:r w:rsidRPr="00481B71">
                    <w:rPr>
                      <w:rFonts w:ascii="Arial" w:hAnsi="Arial" w:cs="Arial"/>
                      <w:sz w:val="18"/>
                      <w:szCs w:val="18"/>
                    </w:rPr>
                    <w:t>.</w:t>
                  </w:r>
                </w:p>
              </w:tc>
            </w:tr>
            <w:tr w:rsidR="0011262F" w14:paraId="38BB2FA8" w14:textId="77777777" w:rsidTr="00B54007">
              <w:tblPrEx>
                <w:jc w:val="left"/>
                <w:tblBorders>
                  <w:top w:val="none" w:sz="0" w:space="0" w:color="auto"/>
                  <w:bottom w:val="none" w:sz="0" w:space="0" w:color="auto"/>
                </w:tblBorders>
                <w:tblCellMar>
                  <w:top w:w="0" w:type="dxa"/>
                  <w:left w:w="108" w:type="dxa"/>
                  <w:right w:w="108" w:type="dxa"/>
                </w:tblCellMar>
                <w:tblLook w:val="04A0" w:firstRow="1" w:lastRow="0" w:firstColumn="1" w:lastColumn="0" w:noHBand="0" w:noVBand="1"/>
              </w:tblPrEx>
              <w:trPr>
                <w:gridAfter w:val="1"/>
                <w:wAfter w:w="6" w:type="pct"/>
                <w:trHeight w:val="68"/>
              </w:trPr>
              <w:tc>
                <w:tcPr>
                  <w:tcW w:w="917" w:type="pct"/>
                  <w:shd w:val="clear" w:color="auto" w:fill="F2F2F2" w:themeFill="background1" w:themeFillShade="F2"/>
                </w:tcPr>
                <w:p w14:paraId="6916B7CD" w14:textId="77777777" w:rsidR="0011262F" w:rsidRPr="002D6D85" w:rsidRDefault="0011262F" w:rsidP="00B54007">
                  <w:pPr>
                    <w:pStyle w:val="Figure"/>
                    <w:spacing w:before="0" w:after="0"/>
                    <w:jc w:val="left"/>
                    <w:rPr>
                      <w:rFonts w:asciiTheme="minorHAnsi" w:hAnsi="Arial" w:cstheme="minorBidi"/>
                      <w:b/>
                      <w:color w:val="000000" w:themeColor="text1"/>
                      <w:kern w:val="24"/>
                      <w:sz w:val="18"/>
                      <w:szCs w:val="18"/>
                    </w:rPr>
                  </w:pPr>
                  <w:r w:rsidRPr="005F68B0">
                    <w:rPr>
                      <w:rFonts w:ascii="Arial" w:hAnsi="Arial" w:cs="Arial"/>
                      <w:b/>
                      <w:sz w:val="18"/>
                      <w:szCs w:val="18"/>
                    </w:rPr>
                    <w:t>Survivor bias</w:t>
                  </w:r>
                </w:p>
              </w:tc>
              <w:tc>
                <w:tcPr>
                  <w:tcW w:w="1359" w:type="pct"/>
                  <w:shd w:val="clear" w:color="auto" w:fill="F2F2F2" w:themeFill="background1" w:themeFillShade="F2"/>
                </w:tcPr>
                <w:p w14:paraId="27962584" w14:textId="77777777" w:rsidR="0011262F" w:rsidRDefault="0011262F" w:rsidP="00B54007">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Yes.</w:t>
                  </w:r>
                </w:p>
              </w:tc>
              <w:tc>
                <w:tcPr>
                  <w:tcW w:w="1359" w:type="pct"/>
                  <w:shd w:val="clear" w:color="auto" w:fill="F2F2F2" w:themeFill="background1" w:themeFillShade="F2"/>
                </w:tcPr>
                <w:p w14:paraId="4629FDF6" w14:textId="77777777" w:rsidR="0011262F" w:rsidRDefault="0011262F" w:rsidP="00B54007">
                  <w:pPr>
                    <w:pStyle w:val="Figure"/>
                    <w:spacing w:before="0" w:after="0"/>
                    <w:jc w:val="left"/>
                    <w:rPr>
                      <w:rFonts w:ascii="Arial" w:hAnsi="Arial" w:cs="Arial"/>
                      <w:sz w:val="18"/>
                      <w:szCs w:val="18"/>
                    </w:rPr>
                  </w:pPr>
                  <w:r w:rsidRPr="005F68B0">
                    <w:rPr>
                      <w:rFonts w:asciiTheme="minorHAnsi" w:hAnsi="Arial" w:cstheme="minorBidi"/>
                      <w:b/>
                      <w:color w:val="000000" w:themeColor="text1"/>
                      <w:kern w:val="24"/>
                      <w:sz w:val="18"/>
                      <w:szCs w:val="18"/>
                    </w:rPr>
                    <w:t>Selection bias</w:t>
                  </w:r>
                </w:p>
              </w:tc>
              <w:tc>
                <w:tcPr>
                  <w:tcW w:w="1359" w:type="pct"/>
                  <w:shd w:val="clear" w:color="auto" w:fill="F2F2F2" w:themeFill="background1" w:themeFillShade="F2"/>
                </w:tcPr>
                <w:p w14:paraId="5400AB5F" w14:textId="77777777" w:rsidR="0011262F" w:rsidRDefault="0011262F" w:rsidP="00B54007">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No.</w:t>
                  </w:r>
                </w:p>
              </w:tc>
            </w:tr>
          </w:tbl>
          <w:p w14:paraId="00201933" w14:textId="77777777" w:rsidR="0011262F" w:rsidRDefault="0011262F" w:rsidP="00B54007">
            <w:pPr>
              <w:pStyle w:val="Figure"/>
            </w:pPr>
          </w:p>
        </w:tc>
      </w:tr>
      <w:tr w:rsidR="0011262F" w:rsidRPr="00176D3F" w14:paraId="14223185" w14:textId="77777777" w:rsidTr="00B54007">
        <w:tc>
          <w:tcPr>
            <w:tcW w:w="5000" w:type="pct"/>
            <w:tcBorders>
              <w:top w:val="nil"/>
              <w:left w:val="nil"/>
              <w:bottom w:val="nil"/>
              <w:right w:val="nil"/>
            </w:tcBorders>
            <w:shd w:val="clear" w:color="auto" w:fill="auto"/>
          </w:tcPr>
          <w:p w14:paraId="6A09C6F2" w14:textId="77777777" w:rsidR="0011262F" w:rsidRPr="00176D3F" w:rsidRDefault="0011262F" w:rsidP="00B54007">
            <w:pPr>
              <w:pStyle w:val="Note"/>
            </w:pPr>
            <w:proofErr w:type="spellStart"/>
            <w:r>
              <w:rPr>
                <w:rStyle w:val="NoteLabel"/>
              </w:rPr>
              <w:t>a</w:t>
            </w:r>
            <w:proofErr w:type="spellEnd"/>
            <w:r>
              <w:t xml:space="preserve"> Excludes eligible rollover funds and insurance only funds. This figure only includes funds which have been in operation in all years from 2014 to 2017. For each fund, net assets are taken as an average over the time period. The benchmark adjusted return is calculated as the difference between the actual annualised net return and the benchmark annualised net return, where the construction of the benchmark portfolios follow the assumptions in technical supplement 4. </w:t>
            </w:r>
            <w:r w:rsidRPr="00AB39E4">
              <w:rPr>
                <w:rStyle w:val="NoteLabel"/>
              </w:rPr>
              <w:t>b</w:t>
            </w:r>
            <w:r>
              <w:t xml:space="preserve"> Because this analysis is based on data only covering the period 2014–2017, it is not comparable with the results presented in the supplementary paper on investment performance.</w:t>
            </w:r>
          </w:p>
        </w:tc>
      </w:tr>
      <w:tr w:rsidR="0011262F" w14:paraId="6BDCBD4D" w14:textId="77777777" w:rsidTr="00B54007">
        <w:tc>
          <w:tcPr>
            <w:tcW w:w="5000" w:type="pct"/>
            <w:tcBorders>
              <w:top w:val="nil"/>
              <w:left w:val="nil"/>
              <w:bottom w:val="single" w:sz="6" w:space="0" w:color="78A22F"/>
              <w:right w:val="nil"/>
            </w:tcBorders>
            <w:shd w:val="clear" w:color="auto" w:fill="auto"/>
          </w:tcPr>
          <w:p w14:paraId="7ED27B9A" w14:textId="77777777" w:rsidR="0011262F" w:rsidRDefault="0011262F" w:rsidP="00B54007">
            <w:pPr>
              <w:pStyle w:val="Figurespace"/>
            </w:pPr>
          </w:p>
        </w:tc>
      </w:tr>
      <w:tr w:rsidR="0011262F" w:rsidRPr="000863A5" w14:paraId="4025702F" w14:textId="77777777" w:rsidTr="00B54007">
        <w:tc>
          <w:tcPr>
            <w:tcW w:w="5000" w:type="pct"/>
            <w:tcBorders>
              <w:top w:val="single" w:sz="6" w:space="0" w:color="78A22F"/>
              <w:left w:val="nil"/>
              <w:bottom w:val="nil"/>
              <w:right w:val="nil"/>
            </w:tcBorders>
          </w:tcPr>
          <w:p w14:paraId="0E5724A4" w14:textId="77777777" w:rsidR="0011262F" w:rsidRPr="00626D32" w:rsidRDefault="0011262F" w:rsidP="00B54007">
            <w:pPr>
              <w:pStyle w:val="BoxSpaceBelow"/>
            </w:pPr>
          </w:p>
        </w:tc>
      </w:tr>
    </w:tbl>
    <w:p w14:paraId="774D9549" w14:textId="77777777" w:rsidR="0011262F" w:rsidRDefault="0011262F" w:rsidP="0011262F">
      <w:pPr>
        <w:pStyle w:val="Heading4"/>
      </w:pPr>
      <w:r>
        <w:t>Nor does the evidence suggest that larger funds invest more in unlisted assets — at least in recent years</w:t>
      </w:r>
    </w:p>
    <w:p w14:paraId="76650608" w14:textId="77777777" w:rsidR="0011262F" w:rsidRDefault="0011262F" w:rsidP="0011262F">
      <w:pPr>
        <w:pStyle w:val="BodyText"/>
      </w:pPr>
      <w:r>
        <w:t xml:space="preserve">The Commission has not been able to find evidence of a relationship between fund size and the proportion of funds invested in unlisted assets using data for 2014–2017 (the years for which high quality asset allocation data are available). While the relationship between fund size and </w:t>
      </w:r>
      <w:r w:rsidRPr="0026722B">
        <w:t>the</w:t>
      </w:r>
      <w:r>
        <w:t xml:space="preserve"> proportion of unlisted assets held is positive for corporate and public sector funds, and to a less extent for retail funds (figure 8.24), these relationships are not statistically significant. There is no discernible trend for industry funds — and indeed a wide band of variation — suggesting that investing in unlisted assets was not correlated with fund size over this time period. </w:t>
      </w:r>
    </w:p>
    <w:p w14:paraId="1CA54C22" w14:textId="77777777" w:rsidR="0011262F" w:rsidRDefault="0011262F" w:rsidP="0011262F">
      <w:pPr>
        <w:pStyle w:val="BodyText"/>
      </w:pPr>
      <w:r>
        <w:lastRenderedPageBreak/>
        <w:t>Furthermore, over this period there is no obvious positive trend in the proportion of funds invested in unlisted assets (</w:t>
      </w:r>
      <w:r w:rsidRPr="00D90731">
        <w:t>figure </w:t>
      </w:r>
      <w:r>
        <w:t xml:space="preserve">8.25). This result is consistent with analysis of asset allocation data obtained from the Commission’s funds survey (though the data are subject to sample selection and survivor bias caveats). </w:t>
      </w:r>
    </w:p>
    <w:p w14:paraId="0C666522" w14:textId="77777777" w:rsidR="0011262F" w:rsidRDefault="0011262F" w:rsidP="0011262F">
      <w:pPr>
        <w:pStyle w:val="BodyText"/>
      </w:pPr>
      <w:r>
        <w:t xml:space="preserve">That said, it is still possible that some funds have used scale benefits to invest in more unlisted assets. The Commission’s analysis is limited to the past four years (given the data constraints), which means that any trends that existed in the earlier years in the Commission’s expense dataset (2004–2013) cannot be observed. </w:t>
      </w:r>
    </w:p>
    <w:p w14:paraId="4F428658" w14:textId="77777777" w:rsidR="0011262F" w:rsidRDefault="0011262F" w:rsidP="0011262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1262F" w14:paraId="4997157E" w14:textId="77777777" w:rsidTr="00B54007">
        <w:trPr>
          <w:tblHeader/>
        </w:trPr>
        <w:tc>
          <w:tcPr>
            <w:tcW w:w="5000" w:type="pct"/>
            <w:tcBorders>
              <w:top w:val="single" w:sz="6" w:space="0" w:color="78A22F"/>
              <w:left w:val="nil"/>
              <w:bottom w:val="nil"/>
              <w:right w:val="nil"/>
            </w:tcBorders>
            <w:shd w:val="clear" w:color="auto" w:fill="auto"/>
          </w:tcPr>
          <w:p w14:paraId="4628B243" w14:textId="77777777" w:rsidR="0011262F" w:rsidRDefault="0011262F" w:rsidP="00B54007">
            <w:pPr>
              <w:pStyle w:val="FigureTitle"/>
            </w:pPr>
            <w:r w:rsidRPr="00784A05">
              <w:rPr>
                <w:b w:val="0"/>
              </w:rPr>
              <w:t xml:space="preserve">Figure </w:t>
            </w:r>
            <w:bookmarkStart w:id="62" w:name="OLE_LINK55"/>
            <w:r>
              <w:rPr>
                <w:b w:val="0"/>
              </w:rPr>
              <w:t>8.</w:t>
            </w:r>
            <w:r>
              <w:rPr>
                <w:b w:val="0"/>
                <w:noProof/>
              </w:rPr>
              <w:t>24</w:t>
            </w:r>
            <w:bookmarkEnd w:id="62"/>
            <w:r>
              <w:tab/>
              <w:t>Average proportion of assets held in unlisted asset classes</w:t>
            </w:r>
            <w:r w:rsidRPr="00AB39E4">
              <w:rPr>
                <w:rStyle w:val="NoteLabel"/>
              </w:rPr>
              <w:t>a</w:t>
            </w:r>
          </w:p>
          <w:p w14:paraId="224B9B71" w14:textId="77777777" w:rsidR="0011262F" w:rsidRPr="00176D3F" w:rsidRDefault="0011262F" w:rsidP="00B54007">
            <w:pPr>
              <w:pStyle w:val="Subtitle"/>
            </w:pPr>
            <w:r>
              <w:t>2014–2017</w:t>
            </w:r>
          </w:p>
        </w:tc>
      </w:tr>
      <w:tr w:rsidR="0011262F" w14:paraId="4B0CB4BB" w14:textId="77777777" w:rsidTr="00B5400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1262F" w:rsidRPr="00B1465D" w14:paraId="28A24B39" w14:textId="77777777" w:rsidTr="00B54007">
              <w:trPr>
                <w:tblHeader/>
                <w:jc w:val="center"/>
              </w:trPr>
              <w:tc>
                <w:tcPr>
                  <w:tcW w:w="5000" w:type="pct"/>
                  <w:tcBorders>
                    <w:top w:val="nil"/>
                    <w:bottom w:val="nil"/>
                  </w:tcBorders>
                </w:tcPr>
                <w:p w14:paraId="44205BA3" w14:textId="77777777" w:rsidR="0011262F" w:rsidRDefault="0011262F" w:rsidP="00B54007">
                  <w:pPr>
                    <w:pStyle w:val="Figure"/>
                    <w:spacing w:before="60" w:after="60"/>
                    <w:rPr>
                      <w:rFonts w:ascii="Arial" w:hAnsi="Arial" w:cs="Arial"/>
                      <w:sz w:val="18"/>
                      <w:szCs w:val="18"/>
                    </w:rPr>
                  </w:pPr>
                  <w:r w:rsidRPr="00A82717">
                    <w:rPr>
                      <w:rFonts w:ascii="Arial" w:hAnsi="Arial" w:cs="Arial"/>
                      <w:noProof/>
                      <w:sz w:val="18"/>
                      <w:szCs w:val="18"/>
                    </w:rPr>
                    <w:drawing>
                      <wp:inline distT="0" distB="0" distL="0" distR="0" wp14:anchorId="3461FF0F" wp14:editId="2E82C0A3">
                        <wp:extent cx="5394960" cy="3368165"/>
                        <wp:effectExtent l="0" t="0" r="0" b="0"/>
                        <wp:docPr id="227" name="Picture 227" descr="A scatterplot of the percentage of unlisted assets against net assets for each fund type. Corporate, public sector, and retail funds appear to have an upwards sloping trend, while industry funds do not appear to have a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99391" cy="3370931"/>
                                </a:xfrm>
                                <a:prstGeom prst="rect">
                                  <a:avLst/>
                                </a:prstGeom>
                                <a:noFill/>
                                <a:ln>
                                  <a:noFill/>
                                </a:ln>
                              </pic:spPr>
                            </pic:pic>
                          </a:graphicData>
                        </a:graphic>
                      </wp:inline>
                    </w:drawing>
                  </w:r>
                </w:p>
                <w:tbl>
                  <w:tblPr>
                    <w:tblW w:w="0" w:type="auto"/>
                    <w:tblLook w:val="04A0" w:firstRow="1" w:lastRow="0" w:firstColumn="1" w:lastColumn="0" w:noHBand="0" w:noVBand="1"/>
                  </w:tblPr>
                  <w:tblGrid>
                    <w:gridCol w:w="1559"/>
                    <w:gridCol w:w="2311"/>
                    <w:gridCol w:w="2312"/>
                    <w:gridCol w:w="2312"/>
                  </w:tblGrid>
                  <w:tr w:rsidR="0011262F" w14:paraId="79B0A007" w14:textId="77777777" w:rsidTr="00B54007">
                    <w:trPr>
                      <w:tblHeader/>
                    </w:trPr>
                    <w:tc>
                      <w:tcPr>
                        <w:tcW w:w="1559" w:type="dxa"/>
                        <w:shd w:val="clear" w:color="auto" w:fill="F2F2F2" w:themeFill="background1" w:themeFillShade="F2"/>
                      </w:tcPr>
                      <w:p w14:paraId="28686664" w14:textId="77777777" w:rsidR="0011262F" w:rsidRDefault="0011262F" w:rsidP="00B54007">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935" w:type="dxa"/>
                        <w:gridSpan w:val="3"/>
                        <w:shd w:val="clear" w:color="auto" w:fill="F2F2F2" w:themeFill="background1" w:themeFillShade="F2"/>
                      </w:tcPr>
                      <w:p w14:paraId="482CCC91" w14:textId="77777777" w:rsidR="0011262F" w:rsidRDefault="0011262F" w:rsidP="00B54007">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PC analysis of unpublished APRA data (</w:t>
                        </w:r>
                        <w:r w:rsidRPr="00481B71">
                          <w:rPr>
                            <w:rFonts w:ascii="Arial" w:eastAsia="+mn-ea" w:hAnsi="Arial" w:cs="Arial"/>
                            <w:color w:val="000000" w:themeColor="text1"/>
                            <w:kern w:val="24"/>
                            <w:sz w:val="18"/>
                            <w:szCs w:val="18"/>
                          </w:rPr>
                          <w:t>2014</w:t>
                        </w:r>
                        <w:r>
                          <w:rPr>
                            <w:rFonts w:ascii="Arial" w:eastAsia="+mn-ea" w:hAnsi="Arial" w:cs="Arial"/>
                            <w:color w:val="000000" w:themeColor="text1"/>
                            <w:kern w:val="24"/>
                            <w:sz w:val="18"/>
                            <w:szCs w:val="18"/>
                          </w:rPr>
                          <w:t>–</w:t>
                        </w:r>
                        <w:r w:rsidRPr="00481B71">
                          <w:rPr>
                            <w:rFonts w:ascii="Arial" w:eastAsia="+mn-ea" w:hAnsi="Arial" w:cs="Arial"/>
                            <w:color w:val="000000" w:themeColor="text1"/>
                            <w:kern w:val="24"/>
                            <w:sz w:val="18"/>
                            <w:szCs w:val="18"/>
                          </w:rPr>
                          <w:t>17</w:t>
                        </w:r>
                        <w:r>
                          <w:rPr>
                            <w:rFonts w:ascii="Arial" w:eastAsia="+mn-ea" w:hAnsi="Arial" w:cs="Arial"/>
                            <w:color w:val="000000" w:themeColor="text1"/>
                            <w:kern w:val="24"/>
                            <w:sz w:val="18"/>
                            <w:szCs w:val="18"/>
                          </w:rPr>
                          <w:t>).</w:t>
                        </w:r>
                      </w:p>
                    </w:tc>
                  </w:tr>
                  <w:tr w:rsidR="0011262F" w:rsidRPr="001F53B0" w14:paraId="17C4A150" w14:textId="77777777" w:rsidTr="00B54007">
                    <w:tc>
                      <w:tcPr>
                        <w:tcW w:w="1559" w:type="dxa"/>
                        <w:shd w:val="clear" w:color="auto" w:fill="F2F2F2" w:themeFill="background1" w:themeFillShade="F2"/>
                      </w:tcPr>
                      <w:p w14:paraId="07F82615" w14:textId="77777777" w:rsidR="0011262F" w:rsidRDefault="0011262F" w:rsidP="00B54007">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gridSpan w:val="3"/>
                        <w:shd w:val="clear" w:color="auto" w:fill="F2F2F2" w:themeFill="background1" w:themeFillShade="F2"/>
                      </w:tcPr>
                      <w:p w14:paraId="55D998B8" w14:textId="77777777" w:rsidR="0011262F" w:rsidRPr="001F53B0" w:rsidRDefault="0011262F" w:rsidP="00B54007">
                        <w:pPr>
                          <w:pStyle w:val="Figure"/>
                          <w:spacing w:before="0" w:after="0"/>
                          <w:jc w:val="left"/>
                          <w:rPr>
                            <w:color w:val="000000" w:themeColor="text1"/>
                          </w:rPr>
                        </w:pPr>
                        <w:r>
                          <w:rPr>
                            <w:rFonts w:ascii="Arial" w:hAnsi="Arial" w:cs="Arial"/>
                            <w:sz w:val="18"/>
                            <w:szCs w:val="18"/>
                          </w:rPr>
                          <w:t>178</w:t>
                        </w:r>
                        <w:r w:rsidRPr="00481B71">
                          <w:rPr>
                            <w:rFonts w:ascii="Arial" w:hAnsi="Arial" w:cs="Arial"/>
                            <w:sz w:val="18"/>
                            <w:szCs w:val="18"/>
                          </w:rPr>
                          <w:t xml:space="preserve"> funds representing</w:t>
                        </w:r>
                        <w:r>
                          <w:rPr>
                            <w:rFonts w:ascii="Arial" w:hAnsi="Arial" w:cs="Arial"/>
                            <w:sz w:val="18"/>
                            <w:szCs w:val="18"/>
                          </w:rPr>
                          <w:t xml:space="preserve"> </w:t>
                        </w:r>
                        <w:r w:rsidRPr="00481B71">
                          <w:rPr>
                            <w:rFonts w:ascii="Arial" w:hAnsi="Arial" w:cs="Arial"/>
                            <w:sz w:val="18"/>
                            <w:szCs w:val="18"/>
                          </w:rPr>
                          <w:t xml:space="preserve">92 per cent of the system in </w:t>
                        </w:r>
                        <w:r>
                          <w:rPr>
                            <w:rFonts w:ascii="Arial" w:hAnsi="Arial" w:cs="Arial"/>
                            <w:sz w:val="18"/>
                            <w:szCs w:val="18"/>
                          </w:rPr>
                          <w:t>2013</w:t>
                        </w:r>
                        <w:r>
                          <w:rPr>
                            <w:rFonts w:ascii="Arial" w:hAnsi="Arial" w:cs="Arial"/>
                            <w:sz w:val="18"/>
                            <w:szCs w:val="18"/>
                          </w:rPr>
                          <w:noBreakHyphen/>
                          <w:t>14</w:t>
                        </w:r>
                      </w:p>
                    </w:tc>
                  </w:tr>
                  <w:tr w:rsidR="0011262F" w14:paraId="6B512C39" w14:textId="77777777" w:rsidTr="00B54007">
                    <w:tc>
                      <w:tcPr>
                        <w:tcW w:w="1559" w:type="dxa"/>
                        <w:shd w:val="clear" w:color="auto" w:fill="F2F2F2" w:themeFill="background1" w:themeFillShade="F2"/>
                      </w:tcPr>
                      <w:p w14:paraId="6D6D4510" w14:textId="77777777" w:rsidR="0011262F" w:rsidRPr="002D6D85" w:rsidRDefault="0011262F" w:rsidP="00B54007">
                        <w:pPr>
                          <w:pStyle w:val="Figure"/>
                          <w:spacing w:before="0" w:after="0"/>
                          <w:jc w:val="left"/>
                          <w:rPr>
                            <w:rFonts w:asciiTheme="minorHAnsi" w:hAnsi="Arial" w:cstheme="minorBidi"/>
                            <w:b/>
                            <w:color w:val="000000" w:themeColor="text1"/>
                            <w:kern w:val="24"/>
                            <w:sz w:val="18"/>
                            <w:szCs w:val="18"/>
                          </w:rPr>
                        </w:pPr>
                        <w:r w:rsidRPr="005F68B0">
                          <w:rPr>
                            <w:rFonts w:ascii="Arial" w:hAnsi="Arial" w:cs="Arial"/>
                            <w:b/>
                            <w:sz w:val="18"/>
                            <w:szCs w:val="18"/>
                          </w:rPr>
                          <w:t>Survivor bias</w:t>
                        </w:r>
                      </w:p>
                    </w:tc>
                    <w:tc>
                      <w:tcPr>
                        <w:tcW w:w="2311" w:type="dxa"/>
                        <w:shd w:val="clear" w:color="auto" w:fill="F2F2F2" w:themeFill="background1" w:themeFillShade="F2"/>
                      </w:tcPr>
                      <w:p w14:paraId="13FF7033" w14:textId="77777777" w:rsidR="0011262F" w:rsidRDefault="0011262F" w:rsidP="00B54007">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Yes.</w:t>
                        </w:r>
                      </w:p>
                    </w:tc>
                    <w:tc>
                      <w:tcPr>
                        <w:tcW w:w="2312" w:type="dxa"/>
                        <w:shd w:val="clear" w:color="auto" w:fill="F2F2F2" w:themeFill="background1" w:themeFillShade="F2"/>
                      </w:tcPr>
                      <w:p w14:paraId="498011E5" w14:textId="77777777" w:rsidR="0011262F" w:rsidRDefault="0011262F" w:rsidP="00B54007">
                        <w:pPr>
                          <w:pStyle w:val="Figure"/>
                          <w:spacing w:before="0" w:after="0"/>
                          <w:jc w:val="left"/>
                          <w:rPr>
                            <w:rFonts w:ascii="Arial" w:hAnsi="Arial" w:cs="Arial"/>
                            <w:sz w:val="18"/>
                            <w:szCs w:val="18"/>
                          </w:rPr>
                        </w:pPr>
                        <w:r w:rsidRPr="005F68B0">
                          <w:rPr>
                            <w:rFonts w:asciiTheme="minorHAnsi" w:hAnsi="Arial" w:cstheme="minorBidi"/>
                            <w:b/>
                            <w:color w:val="000000" w:themeColor="text1"/>
                            <w:kern w:val="24"/>
                            <w:sz w:val="18"/>
                            <w:szCs w:val="18"/>
                          </w:rPr>
                          <w:t>Selection bias</w:t>
                        </w:r>
                      </w:p>
                    </w:tc>
                    <w:tc>
                      <w:tcPr>
                        <w:tcW w:w="2312" w:type="dxa"/>
                        <w:shd w:val="clear" w:color="auto" w:fill="F2F2F2" w:themeFill="background1" w:themeFillShade="F2"/>
                      </w:tcPr>
                      <w:p w14:paraId="513B4EF7" w14:textId="77777777" w:rsidR="0011262F" w:rsidRDefault="0011262F" w:rsidP="00B54007">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No.</w:t>
                        </w:r>
                      </w:p>
                    </w:tc>
                  </w:tr>
                </w:tbl>
                <w:p w14:paraId="241A8663" w14:textId="77777777" w:rsidR="0011262F" w:rsidRPr="00B1465D" w:rsidRDefault="0011262F" w:rsidP="00B54007">
                  <w:pPr>
                    <w:pStyle w:val="Figure"/>
                    <w:spacing w:before="60" w:after="60"/>
                    <w:rPr>
                      <w:rFonts w:ascii="Arial" w:hAnsi="Arial" w:cs="Arial"/>
                      <w:sz w:val="18"/>
                      <w:szCs w:val="18"/>
                    </w:rPr>
                  </w:pPr>
                </w:p>
              </w:tc>
            </w:tr>
          </w:tbl>
          <w:p w14:paraId="752C9994" w14:textId="77777777" w:rsidR="0011262F" w:rsidRDefault="0011262F" w:rsidP="00B54007">
            <w:pPr>
              <w:pStyle w:val="Figure"/>
            </w:pPr>
          </w:p>
        </w:tc>
      </w:tr>
      <w:tr w:rsidR="0011262F" w:rsidRPr="00176D3F" w14:paraId="2593023D" w14:textId="77777777" w:rsidTr="00B54007">
        <w:tc>
          <w:tcPr>
            <w:tcW w:w="5000" w:type="pct"/>
            <w:tcBorders>
              <w:top w:val="nil"/>
              <w:left w:val="nil"/>
              <w:bottom w:val="nil"/>
              <w:right w:val="nil"/>
            </w:tcBorders>
            <w:shd w:val="clear" w:color="auto" w:fill="auto"/>
          </w:tcPr>
          <w:p w14:paraId="417E4E6A" w14:textId="77777777" w:rsidR="0011262F" w:rsidRPr="00176D3F" w:rsidRDefault="0011262F" w:rsidP="00B54007">
            <w:pPr>
              <w:pStyle w:val="Note"/>
            </w:pPr>
            <w:proofErr w:type="spellStart"/>
            <w:r>
              <w:rPr>
                <w:rStyle w:val="NoteLabel"/>
              </w:rPr>
              <w:t>a</w:t>
            </w:r>
            <w:proofErr w:type="spellEnd"/>
            <w:r>
              <w:t xml:space="preserve"> Excludes eligible rollover funds and insurance only funds. This figure only includes funds which have been in operation in all years from 2014 to 2017. For each fund, net assets are taken as an average over the time period. Unlisted asset classes refer to unlisted infrastructure, unlisted property, and private equity.</w:t>
            </w:r>
          </w:p>
        </w:tc>
      </w:tr>
      <w:tr w:rsidR="0011262F" w14:paraId="3B1DBB43" w14:textId="77777777" w:rsidTr="00B54007">
        <w:tc>
          <w:tcPr>
            <w:tcW w:w="5000" w:type="pct"/>
            <w:tcBorders>
              <w:top w:val="nil"/>
              <w:left w:val="nil"/>
              <w:bottom w:val="single" w:sz="6" w:space="0" w:color="78A22F"/>
              <w:right w:val="nil"/>
            </w:tcBorders>
            <w:shd w:val="clear" w:color="auto" w:fill="auto"/>
          </w:tcPr>
          <w:p w14:paraId="13C9ADD0" w14:textId="77777777" w:rsidR="0011262F" w:rsidRDefault="0011262F" w:rsidP="00B54007">
            <w:pPr>
              <w:pStyle w:val="Figurespace"/>
            </w:pPr>
          </w:p>
        </w:tc>
      </w:tr>
      <w:tr w:rsidR="0011262F" w:rsidRPr="000863A5" w14:paraId="38533806" w14:textId="77777777" w:rsidTr="00B54007">
        <w:tc>
          <w:tcPr>
            <w:tcW w:w="5000" w:type="pct"/>
            <w:tcBorders>
              <w:top w:val="single" w:sz="6" w:space="0" w:color="78A22F"/>
              <w:left w:val="nil"/>
              <w:bottom w:val="nil"/>
              <w:right w:val="nil"/>
            </w:tcBorders>
          </w:tcPr>
          <w:p w14:paraId="7EA5C3BD" w14:textId="77777777" w:rsidR="0011262F" w:rsidRPr="00626D32" w:rsidRDefault="0011262F" w:rsidP="00B54007">
            <w:pPr>
              <w:pStyle w:val="BoxSpaceBelow"/>
            </w:pPr>
          </w:p>
        </w:tc>
      </w:tr>
    </w:tbl>
    <w:p w14:paraId="6B991C83" w14:textId="77777777" w:rsidR="0011262F" w:rsidRDefault="0011262F" w:rsidP="0011262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1262F" w14:paraId="58F627AE" w14:textId="77777777" w:rsidTr="00B54007">
        <w:trPr>
          <w:tblHeader/>
        </w:trPr>
        <w:tc>
          <w:tcPr>
            <w:tcW w:w="5000" w:type="pct"/>
            <w:tcBorders>
              <w:top w:val="single" w:sz="6" w:space="0" w:color="78A22F"/>
              <w:left w:val="nil"/>
              <w:bottom w:val="nil"/>
              <w:right w:val="nil"/>
            </w:tcBorders>
            <w:shd w:val="clear" w:color="auto" w:fill="auto"/>
          </w:tcPr>
          <w:p w14:paraId="6BE7C1BA" w14:textId="77777777" w:rsidR="0011262F" w:rsidRDefault="0011262F" w:rsidP="00B54007">
            <w:pPr>
              <w:pStyle w:val="FigureTitle"/>
            </w:pPr>
            <w:r w:rsidRPr="00784A05">
              <w:rPr>
                <w:b w:val="0"/>
              </w:rPr>
              <w:t xml:space="preserve">Figure </w:t>
            </w:r>
            <w:bookmarkStart w:id="63" w:name="OLE_LINK56"/>
            <w:r>
              <w:rPr>
                <w:b w:val="0"/>
              </w:rPr>
              <w:t>8.</w:t>
            </w:r>
            <w:r>
              <w:rPr>
                <w:b w:val="0"/>
                <w:noProof/>
              </w:rPr>
              <w:t>25</w:t>
            </w:r>
            <w:bookmarkEnd w:id="63"/>
            <w:r>
              <w:tab/>
              <w:t>Exposure to unlisted assets has not increased in recent years</w:t>
            </w:r>
            <w:r w:rsidRPr="00AB39E4">
              <w:rPr>
                <w:rStyle w:val="NoteLabel"/>
              </w:rPr>
              <w:t>a</w:t>
            </w:r>
          </w:p>
          <w:p w14:paraId="34FFEB64" w14:textId="77777777" w:rsidR="0011262F" w:rsidRPr="00176D3F" w:rsidRDefault="0011262F" w:rsidP="00B54007">
            <w:pPr>
              <w:pStyle w:val="Subtitle"/>
            </w:pPr>
            <w:r>
              <w:t>Proportion of unlisted assets, 2014–2017</w:t>
            </w:r>
          </w:p>
        </w:tc>
      </w:tr>
      <w:tr w:rsidR="0011262F" w14:paraId="6954284E" w14:textId="77777777" w:rsidTr="00B5400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560"/>
              <w:gridCol w:w="2311"/>
              <w:gridCol w:w="2311"/>
              <w:gridCol w:w="2322"/>
            </w:tblGrid>
            <w:tr w:rsidR="0011262F" w:rsidRPr="00B1465D" w14:paraId="6CF79650" w14:textId="77777777" w:rsidTr="00B54007">
              <w:trPr>
                <w:tblHeader/>
                <w:jc w:val="center"/>
              </w:trPr>
              <w:tc>
                <w:tcPr>
                  <w:tcW w:w="5000" w:type="pct"/>
                  <w:gridSpan w:val="4"/>
                  <w:tcBorders>
                    <w:top w:val="nil"/>
                    <w:bottom w:val="nil"/>
                  </w:tcBorders>
                </w:tcPr>
                <w:p w14:paraId="765D1B92" w14:textId="77777777" w:rsidR="0011262F" w:rsidRPr="00B1465D" w:rsidRDefault="0011262F" w:rsidP="00B5400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924ED0D" wp14:editId="48A702A2">
                        <wp:extent cx="5326602" cy="3330263"/>
                        <wp:effectExtent l="0" t="0" r="0" b="0"/>
                        <wp:docPr id="78" name="Picture 78" descr="The figure shows the trend of the proportion of unlisted asset classes over 2014 to 2017. The aggregate proportion of unlisted assets and private equity falls by 2 per cent over time, while unlisted property and infrastructure do not change m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listed_trend_unwtd.em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29982" cy="3332376"/>
                                </a:xfrm>
                                <a:prstGeom prst="rect">
                                  <a:avLst/>
                                </a:prstGeom>
                              </pic:spPr>
                            </pic:pic>
                          </a:graphicData>
                        </a:graphic>
                      </wp:inline>
                    </w:drawing>
                  </w:r>
                </w:p>
              </w:tc>
            </w:tr>
            <w:tr w:rsidR="0011262F" w14:paraId="1CF3007E" w14:textId="77777777" w:rsidTr="00B54007">
              <w:tblPrEx>
                <w:jc w:val="left"/>
                <w:tblBorders>
                  <w:top w:val="none" w:sz="0" w:space="0" w:color="auto"/>
                  <w:bottom w:val="none" w:sz="0" w:space="0" w:color="auto"/>
                </w:tblBorders>
                <w:tblCellMar>
                  <w:top w:w="0" w:type="dxa"/>
                  <w:left w:w="108" w:type="dxa"/>
                  <w:right w:w="108" w:type="dxa"/>
                </w:tblCellMar>
                <w:tblLook w:val="04A0" w:firstRow="1" w:lastRow="0" w:firstColumn="1" w:lastColumn="0" w:noHBand="0" w:noVBand="1"/>
              </w:tblPrEx>
              <w:trPr>
                <w:tblHeader/>
              </w:trPr>
              <w:tc>
                <w:tcPr>
                  <w:tcW w:w="917" w:type="pct"/>
                  <w:shd w:val="clear" w:color="auto" w:fill="F2F2F2" w:themeFill="background1" w:themeFillShade="F2"/>
                </w:tcPr>
                <w:p w14:paraId="714E7904" w14:textId="77777777" w:rsidR="0011262F" w:rsidRDefault="0011262F" w:rsidP="00B54007">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4077" w:type="pct"/>
                  <w:gridSpan w:val="3"/>
                  <w:shd w:val="clear" w:color="auto" w:fill="F2F2F2" w:themeFill="background1" w:themeFillShade="F2"/>
                </w:tcPr>
                <w:p w14:paraId="6A857554" w14:textId="77777777" w:rsidR="0011262F" w:rsidRDefault="0011262F" w:rsidP="00B54007">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PC analysis of unpublished APRA data (</w:t>
                  </w:r>
                  <w:r w:rsidRPr="00481B71">
                    <w:rPr>
                      <w:rFonts w:ascii="Arial" w:eastAsia="+mn-ea" w:hAnsi="Arial" w:cs="Arial"/>
                      <w:color w:val="000000" w:themeColor="text1"/>
                      <w:kern w:val="24"/>
                      <w:sz w:val="18"/>
                      <w:szCs w:val="18"/>
                    </w:rPr>
                    <w:t>2014</w:t>
                  </w:r>
                  <w:r>
                    <w:rPr>
                      <w:rFonts w:ascii="Arial" w:eastAsia="+mn-ea" w:hAnsi="Arial" w:cs="Arial"/>
                      <w:color w:val="000000" w:themeColor="text1"/>
                      <w:kern w:val="24"/>
                      <w:sz w:val="18"/>
                      <w:szCs w:val="18"/>
                    </w:rPr>
                    <w:t>–</w:t>
                  </w:r>
                  <w:r w:rsidRPr="00481B71">
                    <w:rPr>
                      <w:rFonts w:ascii="Arial" w:eastAsia="+mn-ea" w:hAnsi="Arial" w:cs="Arial"/>
                      <w:color w:val="000000" w:themeColor="text1"/>
                      <w:kern w:val="24"/>
                      <w:sz w:val="18"/>
                      <w:szCs w:val="18"/>
                    </w:rPr>
                    <w:t>17</w:t>
                  </w:r>
                  <w:r>
                    <w:rPr>
                      <w:rFonts w:ascii="Arial" w:eastAsia="+mn-ea" w:hAnsi="Arial" w:cs="Arial"/>
                      <w:color w:val="000000" w:themeColor="text1"/>
                      <w:kern w:val="24"/>
                      <w:sz w:val="18"/>
                      <w:szCs w:val="18"/>
                    </w:rPr>
                    <w:t>).</w:t>
                  </w:r>
                </w:p>
              </w:tc>
            </w:tr>
            <w:tr w:rsidR="0011262F" w:rsidRPr="001F53B0" w14:paraId="7FB35355" w14:textId="77777777" w:rsidTr="00B54007">
              <w:tblPrEx>
                <w:jc w:val="left"/>
                <w:tblBorders>
                  <w:top w:val="none" w:sz="0" w:space="0" w:color="auto"/>
                  <w:bottom w:val="none" w:sz="0" w:space="0" w:color="auto"/>
                </w:tblBorders>
                <w:tblCellMar>
                  <w:top w:w="0" w:type="dxa"/>
                  <w:left w:w="108" w:type="dxa"/>
                  <w:right w:w="108" w:type="dxa"/>
                </w:tblCellMar>
                <w:tblLook w:val="04A0" w:firstRow="1" w:lastRow="0" w:firstColumn="1" w:lastColumn="0" w:noHBand="0" w:noVBand="1"/>
              </w:tblPrEx>
              <w:tc>
                <w:tcPr>
                  <w:tcW w:w="917" w:type="pct"/>
                  <w:shd w:val="clear" w:color="auto" w:fill="F2F2F2" w:themeFill="background1" w:themeFillShade="F2"/>
                </w:tcPr>
                <w:p w14:paraId="3166A79C" w14:textId="77777777" w:rsidR="0011262F" w:rsidRDefault="0011262F" w:rsidP="00B54007">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4077" w:type="pct"/>
                  <w:gridSpan w:val="3"/>
                  <w:shd w:val="clear" w:color="auto" w:fill="F2F2F2" w:themeFill="background1" w:themeFillShade="F2"/>
                </w:tcPr>
                <w:p w14:paraId="4A38CA3D" w14:textId="77777777" w:rsidR="0011262F" w:rsidRPr="001F53B0" w:rsidRDefault="0011262F" w:rsidP="00B54007">
                  <w:pPr>
                    <w:pStyle w:val="Figure"/>
                    <w:spacing w:before="0" w:after="0"/>
                    <w:jc w:val="left"/>
                    <w:rPr>
                      <w:color w:val="000000" w:themeColor="text1"/>
                    </w:rPr>
                  </w:pPr>
                  <w:r>
                    <w:rPr>
                      <w:rFonts w:ascii="Arial" w:hAnsi="Arial" w:cs="Arial"/>
                      <w:sz w:val="18"/>
                      <w:szCs w:val="18"/>
                    </w:rPr>
                    <w:t>178</w:t>
                  </w:r>
                  <w:r w:rsidRPr="00481B71">
                    <w:rPr>
                      <w:rFonts w:ascii="Arial" w:hAnsi="Arial" w:cs="Arial"/>
                      <w:sz w:val="18"/>
                      <w:szCs w:val="18"/>
                    </w:rPr>
                    <w:t xml:space="preserve"> funds representing</w:t>
                  </w:r>
                  <w:r>
                    <w:rPr>
                      <w:rFonts w:ascii="Arial" w:hAnsi="Arial" w:cs="Arial"/>
                      <w:sz w:val="18"/>
                      <w:szCs w:val="18"/>
                    </w:rPr>
                    <w:t xml:space="preserve"> </w:t>
                  </w:r>
                  <w:r w:rsidRPr="00481B71">
                    <w:rPr>
                      <w:rFonts w:ascii="Arial" w:hAnsi="Arial" w:cs="Arial"/>
                      <w:sz w:val="18"/>
                      <w:szCs w:val="18"/>
                    </w:rPr>
                    <w:t xml:space="preserve">92 per cent of the system in </w:t>
                  </w:r>
                  <w:r>
                    <w:rPr>
                      <w:rFonts w:ascii="Arial" w:hAnsi="Arial" w:cs="Arial"/>
                      <w:sz w:val="18"/>
                      <w:szCs w:val="18"/>
                    </w:rPr>
                    <w:t>2013</w:t>
                  </w:r>
                  <w:r>
                    <w:rPr>
                      <w:rFonts w:ascii="Arial" w:hAnsi="Arial" w:cs="Arial"/>
                      <w:sz w:val="18"/>
                      <w:szCs w:val="18"/>
                    </w:rPr>
                    <w:noBreakHyphen/>
                    <w:t>14</w:t>
                  </w:r>
                </w:p>
              </w:tc>
            </w:tr>
            <w:tr w:rsidR="0011262F" w14:paraId="48B5FA05" w14:textId="77777777" w:rsidTr="00B54007">
              <w:tblPrEx>
                <w:jc w:val="left"/>
                <w:tblBorders>
                  <w:top w:val="none" w:sz="0" w:space="0" w:color="auto"/>
                  <w:bottom w:val="none" w:sz="0" w:space="0" w:color="auto"/>
                </w:tblBorders>
                <w:tblCellMar>
                  <w:top w:w="0" w:type="dxa"/>
                  <w:left w:w="108" w:type="dxa"/>
                  <w:right w:w="108" w:type="dxa"/>
                </w:tblCellMar>
                <w:tblLook w:val="04A0" w:firstRow="1" w:lastRow="0" w:firstColumn="1" w:lastColumn="0" w:noHBand="0" w:noVBand="1"/>
              </w:tblPrEx>
              <w:tc>
                <w:tcPr>
                  <w:tcW w:w="917" w:type="pct"/>
                  <w:shd w:val="clear" w:color="auto" w:fill="F2F2F2" w:themeFill="background1" w:themeFillShade="F2"/>
                </w:tcPr>
                <w:p w14:paraId="1D90E788" w14:textId="77777777" w:rsidR="0011262F" w:rsidRPr="002D6D85" w:rsidRDefault="0011262F" w:rsidP="00B54007">
                  <w:pPr>
                    <w:pStyle w:val="Figure"/>
                    <w:spacing w:before="0" w:after="0"/>
                    <w:jc w:val="left"/>
                    <w:rPr>
                      <w:rFonts w:asciiTheme="minorHAnsi" w:hAnsi="Arial" w:cstheme="minorBidi"/>
                      <w:b/>
                      <w:color w:val="000000" w:themeColor="text1"/>
                      <w:kern w:val="24"/>
                      <w:sz w:val="18"/>
                      <w:szCs w:val="18"/>
                    </w:rPr>
                  </w:pPr>
                  <w:r w:rsidRPr="005F68B0">
                    <w:rPr>
                      <w:rFonts w:ascii="Arial" w:hAnsi="Arial" w:cs="Arial"/>
                      <w:b/>
                      <w:sz w:val="18"/>
                      <w:szCs w:val="18"/>
                    </w:rPr>
                    <w:t>Survivor bias</w:t>
                  </w:r>
                </w:p>
              </w:tc>
              <w:tc>
                <w:tcPr>
                  <w:tcW w:w="1359" w:type="pct"/>
                  <w:shd w:val="clear" w:color="auto" w:fill="F2F2F2" w:themeFill="background1" w:themeFillShade="F2"/>
                </w:tcPr>
                <w:p w14:paraId="5B0F056D" w14:textId="77777777" w:rsidR="0011262F" w:rsidRDefault="0011262F" w:rsidP="00B54007">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Yes.</w:t>
                  </w:r>
                </w:p>
              </w:tc>
              <w:tc>
                <w:tcPr>
                  <w:tcW w:w="1359" w:type="pct"/>
                  <w:shd w:val="clear" w:color="auto" w:fill="F2F2F2" w:themeFill="background1" w:themeFillShade="F2"/>
                </w:tcPr>
                <w:p w14:paraId="6A500933" w14:textId="77777777" w:rsidR="0011262F" w:rsidRDefault="0011262F" w:rsidP="00B54007">
                  <w:pPr>
                    <w:pStyle w:val="Figure"/>
                    <w:spacing w:before="0" w:after="0"/>
                    <w:jc w:val="left"/>
                    <w:rPr>
                      <w:rFonts w:ascii="Arial" w:hAnsi="Arial" w:cs="Arial"/>
                      <w:sz w:val="18"/>
                      <w:szCs w:val="18"/>
                    </w:rPr>
                  </w:pPr>
                  <w:r w:rsidRPr="005F68B0">
                    <w:rPr>
                      <w:rFonts w:asciiTheme="minorHAnsi" w:hAnsi="Arial" w:cstheme="minorBidi"/>
                      <w:b/>
                      <w:color w:val="000000" w:themeColor="text1"/>
                      <w:kern w:val="24"/>
                      <w:sz w:val="18"/>
                      <w:szCs w:val="18"/>
                    </w:rPr>
                    <w:t>Selection bias</w:t>
                  </w:r>
                </w:p>
              </w:tc>
              <w:tc>
                <w:tcPr>
                  <w:tcW w:w="1359" w:type="pct"/>
                  <w:shd w:val="clear" w:color="auto" w:fill="F2F2F2" w:themeFill="background1" w:themeFillShade="F2"/>
                </w:tcPr>
                <w:p w14:paraId="1B7DEB3B" w14:textId="77777777" w:rsidR="0011262F" w:rsidRDefault="0011262F" w:rsidP="00B54007">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No.</w:t>
                  </w:r>
                </w:p>
              </w:tc>
            </w:tr>
          </w:tbl>
          <w:p w14:paraId="08456584" w14:textId="77777777" w:rsidR="0011262F" w:rsidRDefault="0011262F" w:rsidP="00B54007">
            <w:pPr>
              <w:pStyle w:val="Figure"/>
            </w:pPr>
          </w:p>
        </w:tc>
      </w:tr>
      <w:tr w:rsidR="0011262F" w:rsidRPr="00176D3F" w14:paraId="48A9E541" w14:textId="77777777" w:rsidTr="00B54007">
        <w:tc>
          <w:tcPr>
            <w:tcW w:w="5000" w:type="pct"/>
            <w:tcBorders>
              <w:top w:val="nil"/>
              <w:left w:val="nil"/>
              <w:bottom w:val="nil"/>
              <w:right w:val="nil"/>
            </w:tcBorders>
            <w:shd w:val="clear" w:color="auto" w:fill="auto"/>
          </w:tcPr>
          <w:p w14:paraId="5C9B30BF" w14:textId="77777777" w:rsidR="0011262F" w:rsidRPr="00176D3F" w:rsidRDefault="0011262F" w:rsidP="00B54007">
            <w:pPr>
              <w:pStyle w:val="Source"/>
            </w:pPr>
            <w:proofErr w:type="spellStart"/>
            <w:r>
              <w:rPr>
                <w:rStyle w:val="NoteLabel"/>
              </w:rPr>
              <w:t>a</w:t>
            </w:r>
            <w:proofErr w:type="spellEnd"/>
            <w:r>
              <w:t xml:space="preserve"> Excludes eligible rollover funds and insurance only funds. This figure only includes funds which have been in operation in all years from 2014 to 2017.</w:t>
            </w:r>
          </w:p>
        </w:tc>
      </w:tr>
      <w:tr w:rsidR="0011262F" w14:paraId="241E9136" w14:textId="77777777" w:rsidTr="00B54007">
        <w:tc>
          <w:tcPr>
            <w:tcW w:w="5000" w:type="pct"/>
            <w:tcBorders>
              <w:top w:val="nil"/>
              <w:left w:val="nil"/>
              <w:bottom w:val="single" w:sz="6" w:space="0" w:color="78A22F"/>
              <w:right w:val="nil"/>
            </w:tcBorders>
            <w:shd w:val="clear" w:color="auto" w:fill="auto"/>
          </w:tcPr>
          <w:p w14:paraId="38CCCE99" w14:textId="77777777" w:rsidR="0011262F" w:rsidRDefault="0011262F" w:rsidP="00B54007">
            <w:pPr>
              <w:pStyle w:val="Figurespace"/>
            </w:pPr>
          </w:p>
        </w:tc>
      </w:tr>
      <w:tr w:rsidR="0011262F" w:rsidRPr="000863A5" w14:paraId="24D5767F" w14:textId="77777777" w:rsidTr="00B54007">
        <w:tc>
          <w:tcPr>
            <w:tcW w:w="5000" w:type="pct"/>
            <w:tcBorders>
              <w:top w:val="single" w:sz="6" w:space="0" w:color="78A22F"/>
              <w:left w:val="nil"/>
              <w:bottom w:val="nil"/>
              <w:right w:val="nil"/>
            </w:tcBorders>
          </w:tcPr>
          <w:p w14:paraId="43B57EFD" w14:textId="77777777" w:rsidR="0011262F" w:rsidRPr="00626D32" w:rsidRDefault="0011262F" w:rsidP="00B54007">
            <w:pPr>
              <w:pStyle w:val="BoxSpaceBelow"/>
            </w:pPr>
          </w:p>
        </w:tc>
      </w:tr>
    </w:tbl>
    <w:p w14:paraId="2C2F9DA9" w14:textId="77777777" w:rsidR="0011262F" w:rsidRDefault="0011262F" w:rsidP="0011262F">
      <w:pPr>
        <w:pStyle w:val="ListBullet"/>
        <w:numPr>
          <w:ilvl w:val="0"/>
          <w:numId w:val="0"/>
        </w:numPr>
        <w:ind w:left="340"/>
      </w:pPr>
      <w:r>
        <w:br w:type="page"/>
      </w:r>
    </w:p>
    <w:p w14:paraId="39C026B9" w14:textId="77777777" w:rsidR="0011262F" w:rsidDel="000D74DF" w:rsidRDefault="0011262F" w:rsidP="0011262F">
      <w:pPr>
        <w:pStyle w:val="Heading2"/>
      </w:pPr>
      <w:bookmarkStart w:id="64" w:name="_Toc532997275"/>
      <w:bookmarkStart w:id="65" w:name="_Toc534642294"/>
      <w:r w:rsidDel="000D74DF">
        <w:lastRenderedPageBreak/>
        <w:t>A</w:t>
      </w:r>
      <w:r>
        <w:t>nnex</w:t>
      </w:r>
      <w:r w:rsidDel="000D74DF">
        <w:t xml:space="preserve"> A: An introduction to Bayesian methods</w:t>
      </w:r>
      <w:bookmarkEnd w:id="64"/>
      <w:bookmarkEnd w:id="65"/>
    </w:p>
    <w:p w14:paraId="1B9A683E" w14:textId="77777777" w:rsidR="0011262F" w:rsidRPr="009B7BC4" w:rsidRDefault="0011262F" w:rsidP="0011262F">
      <w:pPr>
        <w:pStyle w:val="BodyText"/>
        <w:spacing w:before="200"/>
      </w:pPr>
      <w:r w:rsidRPr="009B7BC4">
        <w:t>As a group, the modelling issues involved in this analysis raised some formidable technical challenges, particularly when it came to computing standard errors for the estimated parameters. In theory, these could have been tackled using traditional (frequentist) statistical techniques. In reality, the modelling would not have been tractable. A Bayesian framework was adopted, enabling solutions to modelling issues (box </w:t>
      </w:r>
      <w:r>
        <w:t>8.4</w:t>
      </w:r>
      <w:r w:rsidRPr="009B7BC4">
        <w:t xml:space="preserve"> above) to be implemented </w:t>
      </w:r>
      <w:r>
        <w:t xml:space="preserve">using a </w:t>
      </w:r>
      <w:r w:rsidRPr="009B7BC4">
        <w:t>coherent</w:t>
      </w:r>
      <w:r>
        <w:t xml:space="preserve"> approach</w:t>
      </w:r>
      <w:r w:rsidRPr="009B7BC4">
        <w:t>.</w:t>
      </w:r>
    </w:p>
    <w:p w14:paraId="0D9DCE9F" w14:textId="77777777" w:rsidR="0011262F" w:rsidRDefault="0011262F" w:rsidP="0011262F">
      <w:pPr>
        <w:pStyle w:val="BodyText"/>
        <w:spacing w:before="200"/>
        <w:rPr>
          <w:spacing w:val="-2"/>
        </w:rPr>
      </w:pPr>
      <w:r w:rsidRPr="0043279E">
        <w:rPr>
          <w:spacing w:val="-2"/>
        </w:rPr>
        <w:t xml:space="preserve">Bayesian methods use probability theory to combine data with prior information — information about the uncertainty associated with parameters before any analysis takes place — to make inferences about model parameters </w:t>
      </w:r>
      <w:r w:rsidRPr="00B62972">
        <w:rPr>
          <w:szCs w:val="24"/>
        </w:rPr>
        <w:t>(</w:t>
      </w:r>
      <w:proofErr w:type="spellStart"/>
      <w:r w:rsidRPr="00B62972">
        <w:rPr>
          <w:szCs w:val="24"/>
        </w:rPr>
        <w:t>Gelman</w:t>
      </w:r>
      <w:proofErr w:type="spellEnd"/>
      <w:r w:rsidRPr="00B62972">
        <w:rPr>
          <w:szCs w:val="24"/>
        </w:rPr>
        <w:t>, Andrew 2016)</w:t>
      </w:r>
      <w:r w:rsidRPr="0043279E">
        <w:rPr>
          <w:spacing w:val="-2"/>
        </w:rPr>
        <w:t>.</w:t>
      </w:r>
    </w:p>
    <w:p w14:paraId="7A0C50CC" w14:textId="77777777" w:rsidR="0011262F" w:rsidRDefault="0011262F" w:rsidP="0011262F">
      <w:pPr>
        <w:pStyle w:val="BodyText"/>
        <w:spacing w:before="200"/>
      </w:pPr>
      <w:r w:rsidRPr="0043279E" w:rsidDel="000D74DF">
        <w:rPr>
          <w:spacing w:val="-2"/>
        </w:rPr>
        <w:t>Bayesian methods represent uncertainty using probability distributions. Prior probability distributions are specified first and are then updated with information arising from the data, given the assumed model structure. The resultant probability distribution (termed the posterior probability distribution) can be interpreted as the distribution of possible values that a parameter can take.</w:t>
      </w:r>
    </w:p>
    <w:p w14:paraId="4584944D" w14:textId="77777777" w:rsidR="0011262F" w:rsidRDefault="0011262F" w:rsidP="0011262F">
      <w:pPr>
        <w:pStyle w:val="BodyText"/>
        <w:spacing w:before="200"/>
      </w:pPr>
      <w:r>
        <w:t>The use of priors is particularly helpful when the data are of poor quality. Priors ‘pull’ model estimates away from extreme values — a process called regularisation.</w:t>
      </w:r>
      <w:r w:rsidRPr="006007B3">
        <w:rPr>
          <w:rStyle w:val="FootnoteReference"/>
        </w:rPr>
        <w:footnoteReference w:id="30"/>
      </w:r>
      <w:r>
        <w:t xml:space="preserve"> Use of priors is effective at limiting model overfitting (the problem of model estimates corresponding too closely to a particular set of data, and failing to properly account for additional data or predict future observations).</w:t>
      </w:r>
    </w:p>
    <w:p w14:paraId="0A3A20EC" w14:textId="77777777" w:rsidR="0011262F" w:rsidRDefault="0011262F" w:rsidP="0011262F">
      <w:pPr>
        <w:pStyle w:val="BodyText"/>
        <w:spacing w:before="200"/>
      </w:pPr>
      <w:r>
        <w:t xml:space="preserve">Aside from providing a better representation of uncertainty, Bayesian methods are relatively effective at estimating complex models, incorporating information from limited or missing data and combining different sources of information (including different data sources) in a coherent framework. These benefits — together with </w:t>
      </w:r>
      <w:r w:rsidRPr="008D1596">
        <w:t>advances in computation</w:t>
      </w:r>
      <w:r>
        <w:t xml:space="preserve"> power — have led to B</w:t>
      </w:r>
      <w:r w:rsidRPr="008D1596">
        <w:t xml:space="preserve">ayesian </w:t>
      </w:r>
      <w:r>
        <w:t>methods becoming more popular</w:t>
      </w:r>
      <w:r w:rsidRPr="008D1596">
        <w:t xml:space="preserve"> in both academia and business</w:t>
      </w:r>
      <w:r>
        <w:t xml:space="preserve"> in recent years. (For example, they have been used to analyse higher education participation rates </w:t>
      </w:r>
      <w:r w:rsidRPr="00832F6A">
        <w:rPr>
          <w:szCs w:val="24"/>
        </w:rPr>
        <w:t>(Goldstein, Browne and Charlton 2018)</w:t>
      </w:r>
      <w:r>
        <w:t xml:space="preserve">, labour force participation </w:t>
      </w:r>
      <w:r w:rsidRPr="00832F6A">
        <w:rPr>
          <w:szCs w:val="24"/>
        </w:rPr>
        <w:t>(Evans, Moore and Rees </w:t>
      </w:r>
      <w:r w:rsidRPr="002A082E">
        <w:rPr>
          <w:szCs w:val="24"/>
        </w:rPr>
        <w:t>2018)</w:t>
      </w:r>
      <w:r>
        <w:t xml:space="preserve">, interest rates </w:t>
      </w:r>
      <w:r w:rsidRPr="002A082E">
        <w:rPr>
          <w:szCs w:val="24"/>
        </w:rPr>
        <w:t>(</w:t>
      </w:r>
      <w:proofErr w:type="spellStart"/>
      <w:r w:rsidRPr="002A082E">
        <w:rPr>
          <w:szCs w:val="24"/>
        </w:rPr>
        <w:t>McCririck</w:t>
      </w:r>
      <w:proofErr w:type="spellEnd"/>
      <w:r w:rsidRPr="002A082E">
        <w:rPr>
          <w:szCs w:val="24"/>
        </w:rPr>
        <w:t xml:space="preserve"> and Rees 2017)</w:t>
      </w:r>
      <w:r>
        <w:t xml:space="preserve"> and the impact of microcredit expansions </w:t>
      </w:r>
      <w:r w:rsidRPr="00345C96">
        <w:rPr>
          <w:szCs w:val="24"/>
        </w:rPr>
        <w:t>(</w:t>
      </w:r>
      <w:proofErr w:type="spellStart"/>
      <w:r w:rsidRPr="00345C96">
        <w:rPr>
          <w:szCs w:val="24"/>
        </w:rPr>
        <w:t>Meager</w:t>
      </w:r>
      <w:proofErr w:type="spellEnd"/>
      <w:r w:rsidRPr="00345C96">
        <w:rPr>
          <w:szCs w:val="24"/>
        </w:rPr>
        <w:t> forthcoming)</w:t>
      </w:r>
      <w:r>
        <w:t>.)</w:t>
      </w:r>
    </w:p>
    <w:p w14:paraId="730DB421" w14:textId="77777777" w:rsidR="0011262F" w:rsidDel="000D74DF" w:rsidRDefault="0011262F" w:rsidP="0011262F">
      <w:pPr>
        <w:pStyle w:val="Heading3"/>
      </w:pPr>
      <w:r w:rsidDel="000D74DF">
        <w:t>Why use Bayesian methods?</w:t>
      </w:r>
    </w:p>
    <w:p w14:paraId="6FC4513E" w14:textId="77777777" w:rsidR="0011262F" w:rsidDel="000D74DF" w:rsidRDefault="0011262F" w:rsidP="0011262F">
      <w:pPr>
        <w:pStyle w:val="BodyText"/>
      </w:pPr>
      <w:r w:rsidDel="000D74DF">
        <w:t xml:space="preserve">Bayesian methods have a number of key advantages over traditional (or frequentist) approaches that </w:t>
      </w:r>
      <w:r>
        <w:t>could be used</w:t>
      </w:r>
      <w:r w:rsidDel="000D74DF">
        <w:t xml:space="preserve"> for this modelling </w:t>
      </w:r>
      <w:r>
        <w:t>task.</w:t>
      </w:r>
      <w:r w:rsidDel="000D74DF">
        <w:t xml:space="preserve"> </w:t>
      </w:r>
      <w:r>
        <w:t>They</w:t>
      </w:r>
      <w:r w:rsidDel="000D74DF">
        <w:t>:</w:t>
      </w:r>
    </w:p>
    <w:p w14:paraId="596DB015" w14:textId="77777777" w:rsidR="0011262F" w:rsidDel="000D74DF" w:rsidRDefault="0011262F" w:rsidP="0011262F">
      <w:pPr>
        <w:pStyle w:val="ListBullet"/>
      </w:pPr>
      <w:r w:rsidDel="000D74DF">
        <w:t xml:space="preserve">allow for a more flexible and robust analysis of data. The estimation approach is the same irrespective of model complexity. Models are defined, prior probability distributions are </w:t>
      </w:r>
      <w:r w:rsidDel="000D74DF">
        <w:lastRenderedPageBreak/>
        <w:t>chosen, and the posterior distribution is calculated by conditioning on observed data. Any model that can be defined can be modelled without needing to resort to any ad</w:t>
      </w:r>
      <w:r>
        <w:noBreakHyphen/>
      </w:r>
      <w:r w:rsidDel="000D74DF">
        <w:t>hoc modelling solutions</w:t>
      </w:r>
    </w:p>
    <w:p w14:paraId="6008F982" w14:textId="77777777" w:rsidR="0011262F" w:rsidDel="000D74DF" w:rsidRDefault="0011262F" w:rsidP="0011262F">
      <w:pPr>
        <w:pStyle w:val="ListBullet"/>
      </w:pPr>
      <w:r w:rsidDel="000D74DF">
        <w:t>make better use of all available information. Priors allow modellers to incorporate information from sources other than data (for example, past research). A Bayesian framework also provides a simple approach for imputing missing values (they are estimated jointly with the rest of the model), which means that missing values do not need to be dropped</w:t>
      </w:r>
    </w:p>
    <w:p w14:paraId="5358CEEF" w14:textId="77777777" w:rsidR="0011262F" w:rsidDel="000D74DF" w:rsidRDefault="0011262F" w:rsidP="0011262F">
      <w:pPr>
        <w:pStyle w:val="ListBullet"/>
      </w:pPr>
      <w:r w:rsidDel="000D74DF">
        <w:t>intuitively accounts for uncertainty in model parameters, leading to a simpler interpretation of uncertainty (discussed below).</w:t>
      </w:r>
    </w:p>
    <w:p w14:paraId="11079772" w14:textId="77777777" w:rsidR="0011262F" w:rsidDel="000D74DF" w:rsidRDefault="0011262F" w:rsidP="0011262F">
      <w:pPr>
        <w:pStyle w:val="Heading3"/>
      </w:pPr>
      <w:r w:rsidDel="000D74DF">
        <w:t>How should parameter estimates be interpreted?</w:t>
      </w:r>
    </w:p>
    <w:p w14:paraId="6B49A41D" w14:textId="77777777" w:rsidR="0011262F" w:rsidDel="000D74DF" w:rsidRDefault="0011262F" w:rsidP="0011262F">
      <w:pPr>
        <w:pStyle w:val="BodyText"/>
      </w:pPr>
      <w:r w:rsidDel="000D74DF">
        <w:t>The posterior distributions that flow out from a Bayesian</w:t>
      </w:r>
      <w:r>
        <w:noBreakHyphen/>
      </w:r>
      <w:r w:rsidDel="000D74DF">
        <w:t xml:space="preserve">estimated model are often simplified for presentation using summary statistics. In this </w:t>
      </w:r>
      <w:r>
        <w:t>supplement</w:t>
      </w:r>
      <w:r w:rsidDel="000D74DF">
        <w:t xml:space="preserve">, medians of the parameter posterior distributions are presented to give an indication of an average effect. The uncertainty associated with parameter values is </w:t>
      </w:r>
      <w:r>
        <w:t xml:space="preserve">often </w:t>
      </w:r>
      <w:r w:rsidDel="000D74DF">
        <w:t>reported using the 2.5 and 97.5</w:t>
      </w:r>
      <w:r>
        <w:t> </w:t>
      </w:r>
      <w:r w:rsidDel="000D74DF">
        <w:t>percentiles of the posterior distribution — sometimes as a shaded area, sometimes as lines that indicate ranges. This can be interpreted as saying ‘</w:t>
      </w:r>
      <w:r w:rsidRPr="00967ACA" w:rsidDel="000D74DF">
        <w:rPr>
          <w:i/>
        </w:rPr>
        <w:t>there is a 95 per</w:t>
      </w:r>
      <w:r w:rsidDel="000D74DF">
        <w:rPr>
          <w:i/>
        </w:rPr>
        <w:t> </w:t>
      </w:r>
      <w:r w:rsidRPr="00967ACA" w:rsidDel="000D74DF">
        <w:rPr>
          <w:i/>
        </w:rPr>
        <w:t>cent chance that the true parameter value lies in this range</w:t>
      </w:r>
      <w:r w:rsidDel="000D74DF">
        <w:rPr>
          <w:i/>
        </w:rPr>
        <w:t>’</w:t>
      </w:r>
      <w:r w:rsidRPr="00AF1534" w:rsidDel="000D74DF">
        <w:t>.</w:t>
      </w:r>
    </w:p>
    <w:p w14:paraId="0329D31E" w14:textId="77777777" w:rsidR="0011262F" w:rsidDel="000D74DF" w:rsidRDefault="0011262F" w:rsidP="0011262F">
      <w:pPr>
        <w:pStyle w:val="Heading3"/>
      </w:pPr>
      <w:r w:rsidDel="000D74DF">
        <w:t>How are Bayesian models estimated?</w:t>
      </w:r>
    </w:p>
    <w:p w14:paraId="7694CCA2" w14:textId="77777777" w:rsidR="0011262F" w:rsidDel="000D74DF" w:rsidRDefault="0011262F" w:rsidP="0011262F">
      <w:pPr>
        <w:pStyle w:val="BodyText"/>
      </w:pPr>
      <w:r w:rsidDel="000D74DF">
        <w:t>The Commission</w:t>
      </w:r>
      <w:r w:rsidDel="00403075">
        <w:t xml:space="preserve"> </w:t>
      </w:r>
      <w:r w:rsidDel="000D74DF">
        <w:t xml:space="preserve">used the statistical package Stan </w:t>
      </w:r>
      <w:r w:rsidRPr="0063461D">
        <w:rPr>
          <w:szCs w:val="24"/>
        </w:rPr>
        <w:t>(Carpenter et al. 2017)</w:t>
      </w:r>
      <w:r w:rsidDel="000D74DF">
        <w:t xml:space="preserve"> through an interface to the R programming language to estimate its Bayesian economies of scale model. </w:t>
      </w:r>
    </w:p>
    <w:p w14:paraId="457B5F89" w14:textId="77777777" w:rsidR="0011262F" w:rsidDel="000D74DF" w:rsidRDefault="0011262F" w:rsidP="0011262F">
      <w:pPr>
        <w:pStyle w:val="BodyText"/>
      </w:pPr>
      <w:r>
        <w:t>For all but the simplest cases t</w:t>
      </w:r>
      <w:r w:rsidDel="000D74DF">
        <w:t>here is no mathematical equation that defines the posterior distribution — it needs to be estimated empirically. This estimation can be computationally difficult</w:t>
      </w:r>
      <w:r>
        <w:t>,</w:t>
      </w:r>
      <w:r w:rsidDel="000D74DF">
        <w:t xml:space="preserve"> indeed it has only been possible to estimate complicated models in recent years, as computing power has increased. Stan uses an algorithm called Markov </w:t>
      </w:r>
      <w:r>
        <w:t>C</w:t>
      </w:r>
      <w:r w:rsidDel="000D74DF">
        <w:t>hain Monte Carlo (</w:t>
      </w:r>
      <w:proofErr w:type="spellStart"/>
      <w:r w:rsidDel="000D74DF">
        <w:t>MCMC</w:t>
      </w:r>
      <w:proofErr w:type="spellEnd"/>
      <w:r w:rsidDel="000D74DF">
        <w:t>) to explore and sample from the posterior probability distribution. Statistical inference about the posterior distribution is conducted using these samples.</w:t>
      </w:r>
    </w:p>
    <w:p w14:paraId="290CDEEA" w14:textId="77777777" w:rsidR="0011262F" w:rsidDel="000D74DF" w:rsidRDefault="0011262F" w:rsidP="0011262F">
      <w:pPr>
        <w:pStyle w:val="BodyText"/>
      </w:pPr>
      <w:r w:rsidDel="000D74DF">
        <w:t xml:space="preserve">Much of the work associated with Bayesian analysis involves ensuring that the </w:t>
      </w:r>
      <w:proofErr w:type="spellStart"/>
      <w:r w:rsidDel="000D74DF">
        <w:t>MCMC</w:t>
      </w:r>
      <w:proofErr w:type="spellEnd"/>
      <w:r w:rsidDel="000D74DF">
        <w:t xml:space="preserve"> algorithm is drawing sensible samples from the posterior distribution, such that valid inferences can be drawn.</w:t>
      </w:r>
    </w:p>
    <w:p w14:paraId="6DD0902C" w14:textId="77777777" w:rsidR="0011262F" w:rsidRDefault="0011262F" w:rsidP="0011262F">
      <w:pPr>
        <w:rPr>
          <w:rFonts w:ascii="Arial" w:hAnsi="Arial"/>
          <w:b/>
          <w:sz w:val="32"/>
          <w:szCs w:val="20"/>
        </w:rPr>
      </w:pPr>
      <w:r>
        <w:br w:type="page"/>
      </w:r>
    </w:p>
    <w:p w14:paraId="7537C7AA" w14:textId="77777777" w:rsidR="0011262F" w:rsidRDefault="0011262F" w:rsidP="0011262F">
      <w:pPr>
        <w:pStyle w:val="Heading2"/>
      </w:pPr>
      <w:bookmarkStart w:id="66" w:name="_Toc532997276"/>
      <w:bookmarkStart w:id="67" w:name="_Toc534642295"/>
      <w:r>
        <w:lastRenderedPageBreak/>
        <w:t xml:space="preserve">Annex </w:t>
      </w:r>
      <w:r w:rsidDel="000D74DF">
        <w:t>B</w:t>
      </w:r>
      <w:r>
        <w:t>: Modelling strategy</w:t>
      </w:r>
      <w:bookmarkEnd w:id="66"/>
      <w:bookmarkEnd w:id="67"/>
    </w:p>
    <w:p w14:paraId="77F3C34F" w14:textId="77777777" w:rsidR="0011262F" w:rsidRDefault="0011262F" w:rsidP="0011262F">
      <w:pPr>
        <w:pStyle w:val="BodyText"/>
      </w:pPr>
      <w:r>
        <w:t xml:space="preserve">This </w:t>
      </w:r>
      <w:r w:rsidDel="00DC203B">
        <w:t>a</w:t>
      </w:r>
      <w:r>
        <w:t>nnex</w:t>
      </w:r>
      <w:r w:rsidDel="00DC203B">
        <w:t xml:space="preserve"> </w:t>
      </w:r>
      <w:r>
        <w:t>outlines the model variables and equations used in the Commission’s analysis. The model estimated by the Commission jointly estimates the cost functions of funds and the pass</w:t>
      </w:r>
      <w:r>
        <w:noBreakHyphen/>
        <w:t>through of economies of scale to members via lower fees.</w:t>
      </w:r>
    </w:p>
    <w:p w14:paraId="5D98A5F5" w14:textId="77777777" w:rsidR="0011262F" w:rsidRDefault="0011262F" w:rsidP="0011262F">
      <w:pPr>
        <w:pStyle w:val="Heading3"/>
      </w:pPr>
      <w:r>
        <w:t>A hierarchical structure</w:t>
      </w:r>
    </w:p>
    <w:p w14:paraId="44239660" w14:textId="77777777" w:rsidR="0011262F" w:rsidRDefault="0011262F" w:rsidP="0011262F">
      <w:pPr>
        <w:pStyle w:val="BodyText"/>
      </w:pPr>
      <w:r>
        <w:t>The model is hierarchical — that is, the model is specified from the top and is broken down into its smaller constituents in a tree</w:t>
      </w:r>
      <w:r>
        <w:noBreakHyphen/>
        <w:t>like structure (figure </w:t>
      </w:r>
      <w:proofErr w:type="spellStart"/>
      <w:r>
        <w:t>B.1</w:t>
      </w:r>
      <w:proofErr w:type="spellEnd"/>
      <w:r>
        <w:t>). On the top level of the model, administration and investment expenses are jointly modelled (in logarithmic form) using a multivariate normal distribution (this allows for the estimated error terms for administration and investment expenses to be correlated at the fund level).</w:t>
      </w:r>
    </w:p>
    <w:p w14:paraId="244CA9B5" w14:textId="77777777" w:rsidR="0011262F" w:rsidRDefault="0011262F" w:rsidP="0011262F">
      <w:pPr>
        <w:pStyle w:val="BodyText"/>
      </w:pPr>
      <w:r>
        <w:t xml:space="preserve">On the next level are equations that estimate administration and investment expenses. </w:t>
      </w:r>
      <w:r>
        <w:rPr>
          <w:spacing w:val="-2"/>
        </w:rPr>
        <w:t>These</w:t>
      </w:r>
      <w:r w:rsidRPr="00FA065A">
        <w:rPr>
          <w:spacing w:val="-2"/>
        </w:rPr>
        <w:t xml:space="preserve"> cost functions are allowed to vary from fund to fund — taking </w:t>
      </w:r>
      <w:r>
        <w:rPr>
          <w:spacing w:val="-2"/>
        </w:rPr>
        <w:t>account</w:t>
      </w:r>
      <w:r w:rsidRPr="00FA065A">
        <w:rPr>
          <w:spacing w:val="-2"/>
        </w:rPr>
        <w:t xml:space="preserve"> of heterogeneity in </w:t>
      </w:r>
      <w:r w:rsidRPr="002A0E6F">
        <w:rPr>
          <w:spacing w:val="-2"/>
        </w:rPr>
        <w:t xml:space="preserve">the relationship between size and expenses </w:t>
      </w:r>
      <w:r>
        <w:rPr>
          <w:spacing w:val="-2"/>
        </w:rPr>
        <w:t xml:space="preserve">between funds that was </w:t>
      </w:r>
      <w:r w:rsidRPr="00FA065A">
        <w:rPr>
          <w:spacing w:val="-2"/>
        </w:rPr>
        <w:t>observed in the raw data</w:t>
      </w:r>
      <w:r>
        <w:rPr>
          <w:spacing w:val="-2"/>
        </w:rPr>
        <w:t xml:space="preserve">. </w:t>
      </w:r>
      <w:r>
        <w:t>Feeding into the two cost equations are also estimates of survival (to account for sample selection) and the number of investment options (which are imputed for funds where data are missing).</w:t>
      </w:r>
    </w:p>
    <w:p w14:paraId="2C174D83" w14:textId="77777777" w:rsidR="0011262F" w:rsidRDefault="0011262F" w:rsidP="0011262F">
      <w:pPr>
        <w:pStyle w:val="BodyText"/>
      </w:pPr>
      <w:r>
        <w:t>Predictions of economies of scale (taken from the administration and investment expenses equations) are fed into the pass</w:t>
      </w:r>
      <w:r>
        <w:noBreakHyphen/>
        <w:t>through model, to estimate the degree to which funds have passed economies of scale through to members via lower fees.</w:t>
      </w:r>
    </w:p>
    <w:p w14:paraId="15055C61" w14:textId="77777777" w:rsidR="0011262F" w:rsidRDefault="0011262F" w:rsidP="0011262F">
      <w:pPr>
        <w:pStyle w:val="BodyText"/>
      </w:pPr>
      <w:r>
        <w:t xml:space="preserve">There is an additional </w:t>
      </w:r>
      <w:r w:rsidRPr="00FA065A">
        <w:rPr>
          <w:spacing w:val="-2"/>
        </w:rPr>
        <w:t>—</w:t>
      </w:r>
      <w:r>
        <w:t xml:space="preserve"> and uniquely Bayesian </w:t>
      </w:r>
      <w:r w:rsidRPr="00FA065A">
        <w:rPr>
          <w:spacing w:val="-2"/>
        </w:rPr>
        <w:t>—</w:t>
      </w:r>
      <w:r>
        <w:t xml:space="preserve"> hierarchical characteristic of the model. The priors of some model parameters are functions of the parameters themselves (</w:t>
      </w:r>
      <w:proofErr w:type="spellStart"/>
      <w:r>
        <w:t>hyperparameters</w:t>
      </w:r>
      <w:proofErr w:type="spellEnd"/>
      <w:r>
        <w:t xml:space="preserve">) and are estimated within the model. These </w:t>
      </w:r>
      <w:proofErr w:type="spellStart"/>
      <w:r>
        <w:t>hyperparameters</w:t>
      </w:r>
      <w:proofErr w:type="spellEnd"/>
      <w:r>
        <w:t xml:space="preserve"> then have their own priors called </w:t>
      </w:r>
      <w:proofErr w:type="spellStart"/>
      <w:r>
        <w:t>hyperpriors</w:t>
      </w:r>
      <w:proofErr w:type="spellEnd"/>
      <w:r>
        <w:t>. So for example,</w:t>
      </w:r>
      <w:r w:rsidDel="00B82D76">
        <w:t xml:space="preserve"> the </w:t>
      </w:r>
      <w:r>
        <w:t xml:space="preserve">mean administration/investment expense is a </w:t>
      </w:r>
      <w:proofErr w:type="spellStart"/>
      <w:r>
        <w:t>hyperparameter</w:t>
      </w:r>
      <w:proofErr w:type="spellEnd"/>
      <w:r>
        <w:t xml:space="preserve"> for the fund</w:t>
      </w:r>
      <w:r>
        <w:noBreakHyphen/>
        <w:t xml:space="preserve">specific cost parameters (the average expense is assumed to be the mean of the prior for fund expenses), and their </w:t>
      </w:r>
      <w:proofErr w:type="spellStart"/>
      <w:r>
        <w:t>hyperpriors</w:t>
      </w:r>
      <w:proofErr w:type="spellEnd"/>
      <w:r>
        <w:t xml:space="preserve"> are a normal distribution with mean </w:t>
      </w:r>
      <w:r w:rsidRPr="00875AA7">
        <w:t>of zero</w:t>
      </w:r>
      <w:r w:rsidRPr="00661347">
        <w:t>.</w:t>
      </w:r>
    </w:p>
    <w:p w14:paraId="09B5BB26" w14:textId="77777777" w:rsidR="0011262F" w:rsidRDefault="0011262F" w:rsidP="0011262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1262F" w14:paraId="7E37E0A8" w14:textId="77777777" w:rsidTr="00B54007">
        <w:trPr>
          <w:tblHeader/>
        </w:trPr>
        <w:tc>
          <w:tcPr>
            <w:tcW w:w="5000" w:type="pct"/>
            <w:tcBorders>
              <w:top w:val="single" w:sz="6" w:space="0" w:color="78A22F"/>
              <w:left w:val="nil"/>
              <w:bottom w:val="nil"/>
              <w:right w:val="nil"/>
            </w:tcBorders>
            <w:shd w:val="clear" w:color="auto" w:fill="auto"/>
          </w:tcPr>
          <w:p w14:paraId="1BD96657" w14:textId="77777777" w:rsidR="0011262F" w:rsidRPr="00176D3F" w:rsidRDefault="0011262F" w:rsidP="00B54007">
            <w:pPr>
              <w:pStyle w:val="FigureTitle"/>
            </w:pPr>
            <w:r w:rsidRPr="00784A05">
              <w:rPr>
                <w:b w:val="0"/>
              </w:rPr>
              <w:t xml:space="preserve">Figure </w:t>
            </w:r>
            <w:proofErr w:type="spellStart"/>
            <w:r>
              <w:rPr>
                <w:b w:val="0"/>
              </w:rPr>
              <w:t>B.1</w:t>
            </w:r>
            <w:proofErr w:type="spellEnd"/>
            <w:r>
              <w:tab/>
              <w:t>Hierarchical structure of cost model</w:t>
            </w:r>
          </w:p>
        </w:tc>
      </w:tr>
      <w:tr w:rsidR="0011262F" w14:paraId="5535ABE5" w14:textId="77777777" w:rsidTr="00B5400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1262F" w:rsidRPr="00B1465D" w14:paraId="1D73A206" w14:textId="77777777" w:rsidTr="00B54007">
              <w:trPr>
                <w:tblHeader/>
                <w:jc w:val="center"/>
              </w:trPr>
              <w:tc>
                <w:tcPr>
                  <w:tcW w:w="5000" w:type="pct"/>
                  <w:tcBorders>
                    <w:top w:val="nil"/>
                    <w:bottom w:val="nil"/>
                  </w:tcBorders>
                </w:tcPr>
                <w:p w14:paraId="40B2910E" w14:textId="77777777" w:rsidR="0011262F" w:rsidRPr="00B1465D" w:rsidRDefault="0011262F" w:rsidP="00B54007">
                  <w:pPr>
                    <w:pStyle w:val="Figure"/>
                    <w:spacing w:before="60" w:after="60"/>
                    <w:rPr>
                      <w:rFonts w:ascii="Arial" w:hAnsi="Arial" w:cs="Arial"/>
                      <w:sz w:val="18"/>
                      <w:szCs w:val="18"/>
                    </w:rPr>
                  </w:pPr>
                  <w:r w:rsidRPr="008D0565">
                    <w:rPr>
                      <w:rFonts w:ascii="Arial" w:hAnsi="Arial" w:cs="Arial"/>
                      <w:noProof/>
                      <w:sz w:val="18"/>
                      <w:szCs w:val="18"/>
                    </w:rPr>
                    <w:drawing>
                      <wp:inline distT="0" distB="0" distL="0" distR="0" wp14:anchorId="4A1CE4CE" wp14:editId="51829883">
                        <wp:extent cx="5308600" cy="2441575"/>
                        <wp:effectExtent l="0" t="0" r="6350" b="0"/>
                        <wp:docPr id="79" name="Picture 79" descr="A flowchart showing the hierarchical structure of the model. At the bottom, estimating the number of options feeds into estimating expenses and the survival probability of a fund. Survival feeds into estimating expenses. Expenses feed into estimating passthrough and the likeli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08600" cy="2441575"/>
                                </a:xfrm>
                                <a:prstGeom prst="rect">
                                  <a:avLst/>
                                </a:prstGeom>
                                <a:noFill/>
                                <a:ln>
                                  <a:noFill/>
                                </a:ln>
                              </pic:spPr>
                            </pic:pic>
                          </a:graphicData>
                        </a:graphic>
                      </wp:inline>
                    </w:drawing>
                  </w:r>
                  <w:r w:rsidRPr="008D0565">
                    <w:rPr>
                      <w:rStyle w:val="CommentReference"/>
                      <w:rFonts w:ascii="Arial" w:hAnsi="Arial" w:cs="Arial"/>
                      <w:sz w:val="18"/>
                      <w:szCs w:val="18"/>
                    </w:rPr>
                    <w:t xml:space="preserve"> </w:t>
                  </w:r>
                </w:p>
              </w:tc>
            </w:tr>
          </w:tbl>
          <w:p w14:paraId="781B9525" w14:textId="77777777" w:rsidR="0011262F" w:rsidRDefault="0011262F" w:rsidP="00B54007">
            <w:pPr>
              <w:pStyle w:val="Figure"/>
            </w:pPr>
          </w:p>
        </w:tc>
      </w:tr>
      <w:tr w:rsidR="0011262F" w14:paraId="16CCA864" w14:textId="77777777" w:rsidTr="00B54007">
        <w:tc>
          <w:tcPr>
            <w:tcW w:w="5000" w:type="pct"/>
            <w:tcBorders>
              <w:top w:val="nil"/>
              <w:left w:val="nil"/>
              <w:bottom w:val="single" w:sz="6" w:space="0" w:color="78A22F"/>
              <w:right w:val="nil"/>
            </w:tcBorders>
            <w:shd w:val="clear" w:color="auto" w:fill="auto"/>
          </w:tcPr>
          <w:p w14:paraId="071048FC" w14:textId="77777777" w:rsidR="0011262F" w:rsidRDefault="0011262F" w:rsidP="00B54007">
            <w:pPr>
              <w:pStyle w:val="Figurespace"/>
            </w:pPr>
          </w:p>
        </w:tc>
      </w:tr>
      <w:tr w:rsidR="0011262F" w:rsidRPr="000863A5" w14:paraId="69C08AEA" w14:textId="77777777" w:rsidTr="00B54007">
        <w:tc>
          <w:tcPr>
            <w:tcW w:w="5000" w:type="pct"/>
            <w:tcBorders>
              <w:top w:val="single" w:sz="6" w:space="0" w:color="78A22F"/>
              <w:left w:val="nil"/>
              <w:bottom w:val="nil"/>
              <w:right w:val="nil"/>
            </w:tcBorders>
          </w:tcPr>
          <w:p w14:paraId="4464CAB0" w14:textId="77777777" w:rsidR="0011262F" w:rsidRPr="00626D32" w:rsidRDefault="0011262F" w:rsidP="00B54007">
            <w:pPr>
              <w:pStyle w:val="BoxSpaceBelow"/>
            </w:pPr>
          </w:p>
        </w:tc>
      </w:tr>
    </w:tbl>
    <w:p w14:paraId="1A9E3011" w14:textId="77777777" w:rsidR="0011262F" w:rsidRDefault="0011262F" w:rsidP="0011262F">
      <w:pPr>
        <w:pStyle w:val="Heading3"/>
      </w:pPr>
      <w:r>
        <w:t>Simulation procedure</w:t>
      </w:r>
    </w:p>
    <w:p w14:paraId="41A6B5B9" w14:textId="77777777" w:rsidR="0011262F" w:rsidRDefault="0011262F" w:rsidP="0011262F">
      <w:pPr>
        <w:pStyle w:val="BodyText"/>
      </w:pPr>
      <w:r>
        <w:t>The simulation was conducted in Stan with 4 chains, 1000 warm</w:t>
      </w:r>
      <w:r>
        <w:noBreakHyphen/>
        <w:t>up iterations, and 1000 draws from the posterior density.</w:t>
      </w:r>
      <w:r w:rsidRPr="005A3138">
        <w:t xml:space="preserve"> </w:t>
      </w:r>
      <w:r>
        <w:t>The Commission used Hamiltonian Monte Carlo with a No</w:t>
      </w:r>
      <w:r>
        <w:noBreakHyphen/>
        <w:t>U</w:t>
      </w:r>
      <w:r>
        <w:noBreakHyphen/>
        <w:t xml:space="preserve">Turn sampler (NUTS) (Stan’s default </w:t>
      </w:r>
      <w:proofErr w:type="spellStart"/>
      <w:r>
        <w:t>MCMC</w:t>
      </w:r>
      <w:proofErr w:type="spellEnd"/>
      <w:r>
        <w:t xml:space="preserve"> algorithm). </w:t>
      </w:r>
    </w:p>
    <w:p w14:paraId="339640DE" w14:textId="77777777" w:rsidR="0011262F" w:rsidRDefault="0011262F" w:rsidP="0011262F">
      <w:pPr>
        <w:pStyle w:val="Heading3"/>
      </w:pPr>
      <w:r>
        <w:t>Model equations</w:t>
      </w:r>
    </w:p>
    <w:p w14:paraId="26434324" w14:textId="77777777" w:rsidR="0011262F" w:rsidRDefault="0011262F" w:rsidP="0011262F">
      <w:pPr>
        <w:pStyle w:val="BodyText"/>
      </w:pPr>
      <w:r>
        <w:t>This section presents the equations and priors used in the Commission’s modelling of economies of scale. This exposition covers the Commission’s preferred model, alternative specifications have been considered and are outlined in annex </w:t>
      </w:r>
      <w:r w:rsidDel="006F5C9A">
        <w:t>C</w:t>
      </w:r>
      <w:r>
        <w:t xml:space="preserve">. </w:t>
      </w:r>
    </w:p>
    <w:p w14:paraId="7D738248" w14:textId="77777777" w:rsidR="0011262F" w:rsidRDefault="0011262F" w:rsidP="0011262F">
      <w:pPr>
        <w:pStyle w:val="Heading4"/>
      </w:pPr>
      <w:r>
        <w:t>Notation and key variables</w:t>
      </w:r>
    </w:p>
    <w:p w14:paraId="535A0BED" w14:textId="77777777" w:rsidR="0011262F" w:rsidRDefault="0011262F" w:rsidP="0011262F">
      <w:pPr>
        <w:pStyle w:val="BodyText"/>
      </w:pPr>
      <w:r>
        <w:t>A variety of notations and abbreviations are used in this section:</w:t>
      </w:r>
    </w:p>
    <w:p w14:paraId="40886208" w14:textId="77777777" w:rsidR="0011262F" w:rsidRDefault="002F0937" w:rsidP="0011262F">
      <w:pPr>
        <w:pStyle w:val="ListBullet"/>
      </w:pPr>
      <m:oMath>
        <m:sSub>
          <m:sSubPr>
            <m:ctrlPr>
              <w:rPr>
                <w:rFonts w:ascii="Cambria Math" w:hAnsi="Cambria Math"/>
              </w:rPr>
            </m:ctrlPr>
          </m:sSubPr>
          <m:e>
            <m:r>
              <w:rPr>
                <w:rFonts w:ascii="Cambria Math" w:hAnsi="Cambria Math"/>
              </w:rPr>
              <m:t>α</m:t>
            </m:r>
          </m:e>
          <m:sub>
            <m:d>
              <m:dPr>
                <m:begChr m:val="["/>
                <m:endChr m:val="]"/>
                <m:ctrlPr>
                  <w:rPr>
                    <w:rFonts w:ascii="Cambria Math" w:hAnsi="Cambria Math"/>
                  </w:rPr>
                </m:ctrlPr>
              </m:dPr>
              <m:e>
                <m:r>
                  <w:rPr>
                    <w:rFonts w:ascii="Cambria Math" w:hAnsi="Cambria Math"/>
                  </w:rPr>
                  <m:t>i</m:t>
                </m:r>
              </m:e>
            </m:d>
          </m:sub>
        </m:sSub>
      </m:oMath>
      <w:r w:rsidR="0011262F">
        <w:t xml:space="preserve"> is the fund varying intercept for fund </w:t>
      </w:r>
      <w:proofErr w:type="spellStart"/>
      <w:r w:rsidR="0011262F" w:rsidRPr="006F138D">
        <w:rPr>
          <w:i/>
        </w:rPr>
        <w:t>i</w:t>
      </w:r>
      <w:proofErr w:type="spellEnd"/>
    </w:p>
    <w:p w14:paraId="4B25AC11" w14:textId="77777777" w:rsidR="0011262F" w:rsidRDefault="002F0937" w:rsidP="0011262F">
      <w:pPr>
        <w:pStyle w:val="ListBullet"/>
      </w:pPr>
      <m:oMath>
        <m:sSub>
          <m:sSubPr>
            <m:ctrlPr>
              <w:rPr>
                <w:rFonts w:ascii="Cambria Math" w:hAnsi="Cambria Math"/>
                <w:i/>
              </w:rPr>
            </m:ctrlPr>
          </m:sSubPr>
          <m:e>
            <m:r>
              <w:rPr>
                <w:rFonts w:ascii="Cambria Math" w:hAnsi="Cambria Math"/>
              </w:rPr>
              <m:t>β</m:t>
            </m:r>
          </m:e>
          <m:sub>
            <m:d>
              <m:dPr>
                <m:begChr m:val="["/>
                <m:endChr m:val="]"/>
                <m:ctrlPr>
                  <w:rPr>
                    <w:rFonts w:ascii="Cambria Math" w:hAnsi="Cambria Math"/>
                    <w:i/>
                  </w:rPr>
                </m:ctrlPr>
              </m:dPr>
              <m:e>
                <m:r>
                  <w:rPr>
                    <w:rFonts w:ascii="Cambria Math" w:hAnsi="Cambria Math"/>
                  </w:rPr>
                  <m:t>i</m:t>
                </m:r>
              </m:e>
            </m:d>
          </m:sub>
        </m:sSub>
      </m:oMath>
      <w:r w:rsidR="0011262F">
        <w:t xml:space="preserve"> are the fund</w:t>
      </w:r>
      <w:r w:rsidR="0011262F">
        <w:noBreakHyphen/>
        <w:t xml:space="preserve">varying slope coefficients for fund </w:t>
      </w:r>
      <w:proofErr w:type="spellStart"/>
      <w:r w:rsidR="0011262F" w:rsidRPr="006F138D">
        <w:rPr>
          <w:i/>
        </w:rPr>
        <w:t>i</w:t>
      </w:r>
      <w:proofErr w:type="spellEnd"/>
    </w:p>
    <w:p w14:paraId="7F46D5DF" w14:textId="77777777" w:rsidR="0011262F" w:rsidRDefault="0011262F" w:rsidP="0011262F">
      <w:pPr>
        <w:pStyle w:val="ListBullet"/>
      </w:pPr>
      <m:oMath>
        <m:r>
          <w:rPr>
            <w:rFonts w:ascii="Cambria Math" w:hAnsi="Cambria Math"/>
          </w:rPr>
          <m:t>γ</m:t>
        </m:r>
      </m:oMath>
      <w:r>
        <w:t xml:space="preserve"> are the coefficients that do not vary by fund</w:t>
      </w:r>
    </w:p>
    <w:p w14:paraId="5B87DA13" w14:textId="77777777" w:rsidR="0011262F" w:rsidRDefault="002F0937" w:rsidP="0011262F">
      <w:pPr>
        <w:pStyle w:val="ListBullet"/>
      </w:pPr>
      <m:oMath>
        <m:acc>
          <m:accPr>
            <m:ctrlPr>
              <w:rPr>
                <w:rFonts w:ascii="Cambria Math" w:hAnsi="Cambria Math"/>
                <w:i/>
              </w:rPr>
            </m:ctrlPr>
          </m:accPr>
          <m:e>
            <m:r>
              <w:rPr>
                <w:rFonts w:ascii="Cambria Math" w:hAnsi="Cambria Math"/>
              </w:rPr>
              <m:t>p</m:t>
            </m:r>
          </m:e>
        </m:acc>
      </m:oMath>
      <w:r w:rsidR="0011262F">
        <w:t xml:space="preserve"> is the fitted survival probability</w:t>
      </w:r>
    </w:p>
    <w:p w14:paraId="05C5F3BB" w14:textId="77777777" w:rsidR="0011262F" w:rsidRDefault="0011262F" w:rsidP="0011262F">
      <w:pPr>
        <w:pStyle w:val="ListBullet"/>
      </w:pPr>
      <m:oMath>
        <m:r>
          <w:rPr>
            <w:rFonts w:ascii="Cambria Math" w:hAnsi="Cambria Math"/>
          </w:rPr>
          <m:t>X, Z</m:t>
        </m:r>
      </m:oMath>
      <w:r>
        <w:t xml:space="preserve">, and </w:t>
      </w:r>
      <m:oMath>
        <m:r>
          <w:rPr>
            <w:rFonts w:ascii="Cambria Math" w:hAnsi="Cambria Math"/>
          </w:rPr>
          <m:t>δ(</m:t>
        </m:r>
        <m:acc>
          <m:accPr>
            <m:ctrlPr>
              <w:rPr>
                <w:rFonts w:ascii="Cambria Math" w:hAnsi="Cambria Math"/>
                <w:i/>
              </w:rPr>
            </m:ctrlPr>
          </m:accPr>
          <m:e>
            <m:r>
              <w:rPr>
                <w:rFonts w:ascii="Cambria Math" w:hAnsi="Cambria Math"/>
              </w:rPr>
              <m:t>p</m:t>
            </m:r>
          </m:e>
        </m:acc>
        <m:r>
          <w:rPr>
            <w:rFonts w:ascii="Cambria Math" w:hAnsi="Cambria Math"/>
          </w:rPr>
          <m:t>)</m:t>
        </m:r>
      </m:oMath>
      <w:r>
        <w:t xml:space="preserve"> are covariate matrices</w:t>
      </w:r>
    </w:p>
    <w:p w14:paraId="162404D5" w14:textId="77777777" w:rsidR="0011262F" w:rsidRDefault="0011262F" w:rsidP="0011262F">
      <w:pPr>
        <w:pStyle w:val="BodyText"/>
      </w:pPr>
      <w:r>
        <w:lastRenderedPageBreak/>
        <w:t>Superscripts on variables or coefficients indicate the outcome variable (the variables being estimated) they are associated with. The following abbreviations are used for outcome variables:</w:t>
      </w:r>
    </w:p>
    <w:p w14:paraId="7EDA262F" w14:textId="77777777" w:rsidR="0011262F" w:rsidRDefault="0011262F" w:rsidP="0011262F">
      <w:pPr>
        <w:pStyle w:val="ListBullet"/>
        <w:tabs>
          <w:tab w:val="clear" w:pos="340"/>
          <w:tab w:val="num" w:pos="680"/>
        </w:tabs>
        <w:ind w:left="680"/>
      </w:pPr>
      <m:oMath>
        <m:r>
          <w:rPr>
            <w:rFonts w:ascii="Cambria Math" w:hAnsi="Cambria Math"/>
          </w:rPr>
          <m:t>A</m:t>
        </m:r>
      </m:oMath>
      <w:r>
        <w:t xml:space="preserve">: administration expenses (so for example, </w:t>
      </w:r>
      <m:oMath>
        <m:sSup>
          <m:sSupPr>
            <m:ctrlPr>
              <w:rPr>
                <w:rFonts w:ascii="Cambria Math" w:hAnsi="Cambria Math"/>
                <w:i/>
              </w:rPr>
            </m:ctrlPr>
          </m:sSupPr>
          <m:e>
            <m:r>
              <w:rPr>
                <w:rFonts w:ascii="Cambria Math" w:hAnsi="Cambria Math"/>
              </w:rPr>
              <m:t>γ</m:t>
            </m:r>
          </m:e>
          <m:sup>
            <m:r>
              <w:rPr>
                <w:rFonts w:ascii="Cambria Math" w:hAnsi="Cambria Math"/>
              </w:rPr>
              <m:t>A</m:t>
            </m:r>
          </m:sup>
        </m:sSup>
      </m:oMath>
      <w:r>
        <w:t xml:space="preserve"> indicate the non</w:t>
      </w:r>
      <w:r>
        <w:noBreakHyphen/>
        <w:t>varying coefficients relate to administration expenses)</w:t>
      </w:r>
    </w:p>
    <w:p w14:paraId="11F7CBDE" w14:textId="77777777" w:rsidR="0011262F" w:rsidRDefault="0011262F" w:rsidP="0011262F">
      <w:pPr>
        <w:pStyle w:val="ListBullet"/>
        <w:tabs>
          <w:tab w:val="clear" w:pos="340"/>
          <w:tab w:val="num" w:pos="680"/>
        </w:tabs>
        <w:ind w:left="680"/>
      </w:pPr>
      <m:oMath>
        <m:r>
          <w:rPr>
            <w:rFonts w:ascii="Cambria Math" w:hAnsi="Cambria Math"/>
          </w:rPr>
          <m:t>I</m:t>
        </m:r>
      </m:oMath>
      <w:r>
        <w:t>: investment expenses</w:t>
      </w:r>
    </w:p>
    <w:p w14:paraId="6A54C19D" w14:textId="77777777" w:rsidR="0011262F" w:rsidRDefault="0011262F" w:rsidP="0011262F">
      <w:pPr>
        <w:pStyle w:val="ListBullet"/>
        <w:tabs>
          <w:tab w:val="clear" w:pos="340"/>
          <w:tab w:val="num" w:pos="680"/>
        </w:tabs>
        <w:ind w:left="680"/>
      </w:pPr>
      <m:oMath>
        <m:r>
          <w:rPr>
            <w:rFonts w:ascii="Cambria Math" w:hAnsi="Cambria Math"/>
          </w:rPr>
          <m:t xml:space="preserve">N: </m:t>
        </m:r>
      </m:oMath>
      <w:r>
        <w:t>numb</w:t>
      </w:r>
      <w:proofErr w:type="spellStart"/>
      <w:r>
        <w:t>er</w:t>
      </w:r>
      <w:proofErr w:type="spellEnd"/>
      <w:r>
        <w:t xml:space="preserve"> of investment options</w:t>
      </w:r>
    </w:p>
    <w:p w14:paraId="50948631" w14:textId="77777777" w:rsidR="0011262F" w:rsidRDefault="0011262F" w:rsidP="0011262F">
      <w:pPr>
        <w:pStyle w:val="ListBullet"/>
        <w:tabs>
          <w:tab w:val="clear" w:pos="340"/>
          <w:tab w:val="num" w:pos="680"/>
        </w:tabs>
        <w:ind w:left="680"/>
      </w:pPr>
      <m:oMath>
        <m:r>
          <w:rPr>
            <w:rFonts w:ascii="Cambria Math" w:hAnsi="Cambria Math"/>
          </w:rPr>
          <m:t>S</m:t>
        </m:r>
      </m:oMath>
      <w:r>
        <w:t>: survival indicator (whether a fund is in operation at the end of the financial year)</w:t>
      </w:r>
    </w:p>
    <w:p w14:paraId="6CECDDB0" w14:textId="77777777" w:rsidR="0011262F" w:rsidRDefault="0011262F" w:rsidP="0011262F">
      <w:pPr>
        <w:pStyle w:val="BodyText"/>
      </w:pPr>
      <w:r>
        <w:t>The following distributions abbreviations are used:</w:t>
      </w:r>
      <w:r w:rsidRPr="00F640C8">
        <w:rPr>
          <w:rStyle w:val="CommentReference"/>
          <w:szCs w:val="24"/>
        </w:rPr>
        <w:t xml:space="preserve"> </w:t>
      </w:r>
    </w:p>
    <w:p w14:paraId="5601AB9D" w14:textId="77777777" w:rsidR="0011262F" w:rsidRDefault="0011262F" w:rsidP="0011262F">
      <w:pPr>
        <w:pStyle w:val="ListBullet"/>
        <w:tabs>
          <w:tab w:val="clear" w:pos="340"/>
          <w:tab w:val="num" w:pos="680"/>
        </w:tabs>
        <w:ind w:left="680"/>
      </w:pPr>
      <m:oMath>
        <m:r>
          <w:rPr>
            <w:rFonts w:ascii="Cambria Math" w:hAnsi="Cambria Math"/>
          </w:rPr>
          <m:t>MVN</m:t>
        </m:r>
      </m:oMath>
      <w:r>
        <w:t>: multivariate normal</w:t>
      </w:r>
    </w:p>
    <w:p w14:paraId="1921777C" w14:textId="77777777" w:rsidR="0011262F" w:rsidRDefault="0011262F" w:rsidP="0011262F">
      <w:pPr>
        <w:pStyle w:val="ListBullet"/>
        <w:tabs>
          <w:tab w:val="clear" w:pos="340"/>
          <w:tab w:val="num" w:pos="680"/>
        </w:tabs>
        <w:ind w:left="680"/>
      </w:pPr>
      <m:oMath>
        <m:r>
          <w:rPr>
            <w:rFonts w:ascii="Cambria Math" w:hAnsi="Cambria Math"/>
          </w:rPr>
          <m:t>N</m:t>
        </m:r>
      </m:oMath>
      <w:r w:rsidRPr="00677F8A">
        <w:t>:</w:t>
      </w:r>
      <w:r>
        <w:t xml:space="preserve"> normal</w:t>
      </w:r>
    </w:p>
    <w:p w14:paraId="33F19488" w14:textId="77777777" w:rsidR="0011262F" w:rsidRDefault="0011262F" w:rsidP="0011262F">
      <w:pPr>
        <w:pStyle w:val="ListBullet"/>
        <w:tabs>
          <w:tab w:val="clear" w:pos="340"/>
          <w:tab w:val="num" w:pos="680"/>
        </w:tabs>
        <w:ind w:left="680"/>
      </w:pPr>
      <m:oMath>
        <m:r>
          <w:rPr>
            <w:rFonts w:ascii="Cambria Math" w:hAnsi="Cambria Math"/>
          </w:rPr>
          <m:t>IG</m:t>
        </m:r>
      </m:oMath>
      <w:r w:rsidRPr="00677F8A">
        <w:t>:</w:t>
      </w:r>
      <w:r>
        <w:t xml:space="preserve"> inverse gamma.</w:t>
      </w:r>
    </w:p>
    <w:p w14:paraId="55DBFFFE" w14:textId="77777777" w:rsidR="0011262F" w:rsidRDefault="0011262F" w:rsidP="0011262F">
      <w:pPr>
        <w:pStyle w:val="ListBullet"/>
        <w:tabs>
          <w:tab w:val="clear" w:pos="340"/>
          <w:tab w:val="num" w:pos="680"/>
        </w:tabs>
        <w:ind w:left="680"/>
      </w:pPr>
      <w:proofErr w:type="spellStart"/>
      <w:r w:rsidRPr="00FA1493">
        <w:rPr>
          <w:i/>
        </w:rPr>
        <w:t>LKJ</w:t>
      </w:r>
      <w:proofErr w:type="spellEnd"/>
      <w:r>
        <w:t xml:space="preserve">: the </w:t>
      </w:r>
      <w:proofErr w:type="spellStart"/>
      <w:r>
        <w:t>LKJ</w:t>
      </w:r>
      <w:proofErr w:type="spellEnd"/>
      <w:r>
        <w:t xml:space="preserve"> distribution</w:t>
      </w:r>
      <w:r w:rsidRPr="006007B3">
        <w:rPr>
          <w:rStyle w:val="FootnoteReference"/>
        </w:rPr>
        <w:footnoteReference w:id="31"/>
      </w:r>
    </w:p>
    <w:p w14:paraId="73F8A443" w14:textId="77777777" w:rsidR="0011262F" w:rsidRDefault="0011262F" w:rsidP="0011262F">
      <w:pPr>
        <w:pStyle w:val="BodyText"/>
      </w:pPr>
      <w:r>
        <w:t>To aid estimation, all continuous variables have:</w:t>
      </w:r>
    </w:p>
    <w:p w14:paraId="24C29B3F" w14:textId="77777777" w:rsidR="0011262F" w:rsidRDefault="0011262F" w:rsidP="0011262F">
      <w:pPr>
        <w:pStyle w:val="ListBullet"/>
      </w:pPr>
      <w:r>
        <w:t>either been log standardised or standardised (divided by their standard deviation) (table </w:t>
      </w:r>
      <w:proofErr w:type="spellStart"/>
      <w:r>
        <w:t>B.1</w:t>
      </w:r>
      <w:proofErr w:type="spellEnd"/>
      <w:r>
        <w:t>)</w:t>
      </w:r>
    </w:p>
    <w:p w14:paraId="58CA91EF" w14:textId="77777777" w:rsidR="0011262F" w:rsidRDefault="0011262F" w:rsidP="0011262F">
      <w:pPr>
        <w:pStyle w:val="ListBullet"/>
      </w:pPr>
      <w:r>
        <w:t>been centred on their mean values.</w:t>
      </w:r>
    </w:p>
    <w:p w14:paraId="6E4D53B1" w14:textId="77777777" w:rsidR="0011262F" w:rsidRDefault="0011262F" w:rsidP="0011262F">
      <w:pPr>
        <w:pStyle w:val="BodyText"/>
      </w:pPr>
      <w:r>
        <w:t xml:space="preserve">Table </w:t>
      </w:r>
      <w:proofErr w:type="spellStart"/>
      <w:r>
        <w:t>B.2</w:t>
      </w:r>
      <w:proofErr w:type="spellEnd"/>
      <w:r>
        <w:t xml:space="preserve"> is a list of model variables with the</w:t>
      </w:r>
      <w:r w:rsidDel="00BC41EB">
        <w:t xml:space="preserve"> </w:t>
      </w:r>
      <w:r>
        <w:t>equations that they are used to estimate.</w:t>
      </w:r>
    </w:p>
    <w:p w14:paraId="27908D49" w14:textId="77777777" w:rsidR="0011262F" w:rsidRDefault="0011262F" w:rsidP="0011262F">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1262F" w14:paraId="7481070B" w14:textId="77777777" w:rsidTr="00B54007">
        <w:trPr>
          <w:tblHeader/>
        </w:trPr>
        <w:tc>
          <w:tcPr>
            <w:tcW w:w="5000" w:type="pct"/>
            <w:tcBorders>
              <w:top w:val="single" w:sz="6" w:space="0" w:color="78A22F"/>
              <w:left w:val="nil"/>
              <w:bottom w:val="nil"/>
              <w:right w:val="nil"/>
            </w:tcBorders>
            <w:shd w:val="clear" w:color="auto" w:fill="auto"/>
          </w:tcPr>
          <w:p w14:paraId="6F88F738" w14:textId="77777777" w:rsidR="0011262F" w:rsidRPr="00784A05" w:rsidRDefault="0011262F" w:rsidP="00B54007">
            <w:pPr>
              <w:pStyle w:val="TableTitle"/>
            </w:pPr>
            <w:r>
              <w:rPr>
                <w:b w:val="0"/>
              </w:rPr>
              <w:t xml:space="preserve">Table </w:t>
            </w:r>
            <w:proofErr w:type="spellStart"/>
            <w:r>
              <w:rPr>
                <w:b w:val="0"/>
              </w:rPr>
              <w:t>B.1</w:t>
            </w:r>
            <w:proofErr w:type="spellEnd"/>
            <w:r>
              <w:tab/>
              <w:t>Variables used in the preferred model</w:t>
            </w:r>
          </w:p>
        </w:tc>
      </w:tr>
      <w:tr w:rsidR="0011262F" w14:paraId="52689397" w14:textId="77777777" w:rsidTr="00B5400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828"/>
              <w:gridCol w:w="2694"/>
              <w:gridCol w:w="1983"/>
            </w:tblGrid>
            <w:tr w:rsidR="0011262F" w14:paraId="38EC41C8" w14:textId="77777777" w:rsidTr="00B54007">
              <w:trPr>
                <w:tblHeader/>
              </w:trPr>
              <w:tc>
                <w:tcPr>
                  <w:tcW w:w="2250" w:type="pct"/>
                  <w:tcBorders>
                    <w:top w:val="single" w:sz="6" w:space="0" w:color="BFBFBF"/>
                    <w:bottom w:val="single" w:sz="6" w:space="0" w:color="BFBFBF"/>
                  </w:tcBorders>
                  <w:vAlign w:val="bottom"/>
                </w:tcPr>
                <w:p w14:paraId="14F819D3" w14:textId="77777777" w:rsidR="0011262F" w:rsidRDefault="0011262F" w:rsidP="00B54007">
                  <w:pPr>
                    <w:pStyle w:val="TableColumnHeading"/>
                    <w:jc w:val="left"/>
                  </w:pPr>
                  <w:r>
                    <w:t>Log</w:t>
                  </w:r>
                  <w:r>
                    <w:noBreakHyphen/>
                    <w:t>standardised variables</w:t>
                  </w:r>
                </w:p>
                <w:p w14:paraId="0D036BA1" w14:textId="77777777" w:rsidR="0011262F" w:rsidRDefault="0011262F" w:rsidP="00B54007">
                  <w:pPr>
                    <w:pStyle w:val="TableColumnHeading"/>
                    <w:jc w:val="left"/>
                  </w:pPr>
                  <w:r>
                    <w:t>(</w:t>
                  </w:r>
                  <m:oMath>
                    <m:func>
                      <m:funcPr>
                        <m:ctrlPr>
                          <w:rPr>
                            <w:rFonts w:ascii="Cambria Math" w:hAnsi="Cambria Math"/>
                          </w:rPr>
                        </m:ctrlPr>
                      </m:funcPr>
                      <m:fName>
                        <m:r>
                          <w:rPr>
                            <w:rFonts w:ascii="Cambria Math" w:hAnsi="Cambria Math"/>
                          </w:rPr>
                          <m:t>log</m:t>
                        </m:r>
                      </m:fName>
                      <m:e>
                        <m:d>
                          <m:dPr>
                            <m:ctrlPr>
                              <w:rPr>
                                <w:rFonts w:ascii="Cambria Math" w:hAnsi="Cambria Math"/>
                                <w:i w:val="0"/>
                              </w:rPr>
                            </m:ctrlPr>
                          </m:dPr>
                          <m:e>
                            <m:r>
                              <w:rPr>
                                <w:rFonts w:ascii="Cambria Math" w:hAnsi="Cambria Math"/>
                              </w:rPr>
                              <m:t>x</m:t>
                            </m:r>
                          </m:e>
                        </m:d>
                      </m:e>
                    </m:func>
                    <m:r>
                      <w:rPr>
                        <w:rFonts w:ascii="Cambria Math" w:hAnsi="Cambria Math"/>
                      </w:rPr>
                      <m:t>/sd(</m:t>
                    </m:r>
                    <m:func>
                      <m:funcPr>
                        <m:ctrlPr>
                          <w:rPr>
                            <w:rFonts w:ascii="Cambria Math" w:hAnsi="Cambria Math"/>
                          </w:rPr>
                        </m:ctrlPr>
                      </m:funcPr>
                      <m:fName>
                        <m:r>
                          <w:rPr>
                            <w:rFonts w:ascii="Cambria Math" w:hAnsi="Cambria Math"/>
                          </w:rPr>
                          <m:t>log</m:t>
                        </m:r>
                        <m:ctrlPr>
                          <w:rPr>
                            <w:rFonts w:ascii="Cambria Math" w:hAnsi="Cambria Math"/>
                            <w:i w:val="0"/>
                          </w:rPr>
                        </m:ctrlPr>
                      </m:fName>
                      <m:e>
                        <m:d>
                          <m:dPr>
                            <m:ctrlPr>
                              <w:rPr>
                                <w:rFonts w:ascii="Cambria Math" w:hAnsi="Cambria Math"/>
                                <w:i w:val="0"/>
                              </w:rPr>
                            </m:ctrlPr>
                          </m:dPr>
                          <m:e>
                            <m:r>
                              <w:rPr>
                                <w:rFonts w:ascii="Cambria Math" w:hAnsi="Cambria Math"/>
                              </w:rPr>
                              <m:t>x</m:t>
                            </m:r>
                          </m:e>
                        </m:d>
                      </m:e>
                    </m:func>
                    <m:r>
                      <w:rPr>
                        <w:rFonts w:ascii="Cambria Math" w:hAnsi="Cambria Math"/>
                      </w:rPr>
                      <m:t>)</m:t>
                    </m:r>
                  </m:oMath>
                </w:p>
              </w:tc>
              <w:tc>
                <w:tcPr>
                  <w:tcW w:w="1584" w:type="pct"/>
                  <w:tcBorders>
                    <w:top w:val="single" w:sz="6" w:space="0" w:color="BFBFBF"/>
                    <w:bottom w:val="single" w:sz="6" w:space="0" w:color="BFBFBF"/>
                  </w:tcBorders>
                  <w:shd w:val="clear" w:color="auto" w:fill="auto"/>
                  <w:tcMar>
                    <w:top w:w="28" w:type="dxa"/>
                  </w:tcMar>
                  <w:vAlign w:val="bottom"/>
                </w:tcPr>
                <w:p w14:paraId="5744A6E6" w14:textId="77777777" w:rsidR="0011262F" w:rsidRDefault="0011262F" w:rsidP="00B54007">
                  <w:pPr>
                    <w:pStyle w:val="TableColumnHeading"/>
                    <w:jc w:val="left"/>
                  </w:pPr>
                  <w:r>
                    <w:t>Standardised variables</w:t>
                  </w:r>
                </w:p>
                <w:p w14:paraId="7FC3B438" w14:textId="77777777" w:rsidR="0011262F" w:rsidRDefault="0011262F" w:rsidP="00B54007">
                  <w:pPr>
                    <w:pStyle w:val="TableColumnHeading"/>
                    <w:jc w:val="left"/>
                  </w:pPr>
                  <w:r>
                    <w:t>(</w:t>
                  </w:r>
                  <m:oMath>
                    <m:r>
                      <w:rPr>
                        <w:rFonts w:ascii="Cambria Math" w:hAnsi="Cambria Math"/>
                      </w:rPr>
                      <m:t>x/sd(x))</m:t>
                    </m:r>
                  </m:oMath>
                </w:p>
              </w:tc>
              <w:tc>
                <w:tcPr>
                  <w:tcW w:w="1166" w:type="pct"/>
                  <w:tcBorders>
                    <w:top w:val="single" w:sz="6" w:space="0" w:color="BFBFBF"/>
                    <w:bottom w:val="single" w:sz="6" w:space="0" w:color="BFBFBF"/>
                  </w:tcBorders>
                  <w:vAlign w:val="bottom"/>
                </w:tcPr>
                <w:p w14:paraId="11E5D36A" w14:textId="77777777" w:rsidR="0011262F" w:rsidRDefault="0011262F" w:rsidP="00B54007">
                  <w:pPr>
                    <w:pStyle w:val="TableColumnHeading"/>
                    <w:jc w:val="left"/>
                  </w:pPr>
                  <w:r>
                    <w:t>Indicator variables</w:t>
                  </w:r>
                </w:p>
              </w:tc>
            </w:tr>
            <w:tr w:rsidR="0011262F" w14:paraId="0B71540D" w14:textId="77777777" w:rsidTr="00B54007">
              <w:tc>
                <w:tcPr>
                  <w:tcW w:w="2250" w:type="pct"/>
                  <w:tcBorders>
                    <w:top w:val="single" w:sz="6" w:space="0" w:color="BFBFBF"/>
                  </w:tcBorders>
                </w:tcPr>
                <w:p w14:paraId="5AA458F1" w14:textId="77777777" w:rsidR="0011262F" w:rsidRDefault="0011262F" w:rsidP="00B54007">
                  <w:pPr>
                    <w:pStyle w:val="TableUnitsRow"/>
                    <w:jc w:val="left"/>
                  </w:pPr>
                  <w:r>
                    <w:t>Admin expenses</w:t>
                  </w:r>
                </w:p>
              </w:tc>
              <w:tc>
                <w:tcPr>
                  <w:tcW w:w="1584" w:type="pct"/>
                  <w:tcBorders>
                    <w:top w:val="single" w:sz="6" w:space="0" w:color="BFBFBF"/>
                  </w:tcBorders>
                </w:tcPr>
                <w:p w14:paraId="6DF4F3BC" w14:textId="77777777" w:rsidR="0011262F" w:rsidRDefault="0011262F" w:rsidP="00B54007">
                  <w:pPr>
                    <w:pStyle w:val="TableUnitsRow"/>
                    <w:jc w:val="left"/>
                  </w:pPr>
                  <w:r>
                    <w:t>Net contributions</w:t>
                  </w:r>
                </w:p>
              </w:tc>
              <w:tc>
                <w:tcPr>
                  <w:tcW w:w="1166" w:type="pct"/>
                  <w:tcBorders>
                    <w:top w:val="single" w:sz="6" w:space="0" w:color="BFBFBF"/>
                  </w:tcBorders>
                </w:tcPr>
                <w:p w14:paraId="6937597F" w14:textId="77777777" w:rsidR="0011262F" w:rsidRDefault="0011262F" w:rsidP="00B54007">
                  <w:pPr>
                    <w:pStyle w:val="TableUnitsRow"/>
                    <w:jc w:val="left"/>
                  </w:pPr>
                  <w:r>
                    <w:t>Fund type</w:t>
                  </w:r>
                </w:p>
              </w:tc>
            </w:tr>
            <w:tr w:rsidR="0011262F" w14:paraId="5CE731F8" w14:textId="77777777" w:rsidTr="00B54007">
              <w:tc>
                <w:tcPr>
                  <w:tcW w:w="2250" w:type="pct"/>
                  <w:shd w:val="clear" w:color="auto" w:fill="F2F2F2" w:themeFill="background1" w:themeFillShade="F2"/>
                </w:tcPr>
                <w:p w14:paraId="15B23451" w14:textId="77777777" w:rsidR="0011262F" w:rsidRDefault="0011262F" w:rsidP="00B54007">
                  <w:pPr>
                    <w:pStyle w:val="TableBodyText"/>
                    <w:jc w:val="left"/>
                  </w:pPr>
                  <w:r>
                    <w:t>Investment expenses</w:t>
                  </w:r>
                </w:p>
              </w:tc>
              <w:tc>
                <w:tcPr>
                  <w:tcW w:w="1584" w:type="pct"/>
                  <w:shd w:val="clear" w:color="auto" w:fill="F2F2F2" w:themeFill="background1" w:themeFillShade="F2"/>
                </w:tcPr>
                <w:p w14:paraId="708DC6BD" w14:textId="77777777" w:rsidR="0011262F" w:rsidRDefault="0011262F" w:rsidP="00B54007">
                  <w:pPr>
                    <w:pStyle w:val="TableBodyText"/>
                    <w:jc w:val="left"/>
                  </w:pPr>
                  <w:r>
                    <w:t>Net rollovers</w:t>
                  </w:r>
                </w:p>
              </w:tc>
              <w:tc>
                <w:tcPr>
                  <w:tcW w:w="1166" w:type="pct"/>
                  <w:shd w:val="clear" w:color="auto" w:fill="F2F2F2" w:themeFill="background1" w:themeFillShade="F2"/>
                </w:tcPr>
                <w:p w14:paraId="0A0E2D29" w14:textId="77777777" w:rsidR="0011262F" w:rsidRDefault="0011262F" w:rsidP="00B54007">
                  <w:pPr>
                    <w:pStyle w:val="TableBodyText"/>
                    <w:jc w:val="left"/>
                  </w:pPr>
                  <w:r>
                    <w:t>Stronger super</w:t>
                  </w:r>
                </w:p>
              </w:tc>
            </w:tr>
            <w:tr w:rsidR="0011262F" w14:paraId="76579135" w14:textId="77777777" w:rsidTr="00B54007">
              <w:tc>
                <w:tcPr>
                  <w:tcW w:w="2250" w:type="pct"/>
                </w:tcPr>
                <w:p w14:paraId="2C74DA27" w14:textId="77777777" w:rsidR="0011262F" w:rsidRDefault="0011262F" w:rsidP="00B54007">
                  <w:pPr>
                    <w:pStyle w:val="TableBodyText"/>
                    <w:jc w:val="left"/>
                  </w:pPr>
                  <w:r>
                    <w:t>Total assets</w:t>
                  </w:r>
                </w:p>
              </w:tc>
              <w:tc>
                <w:tcPr>
                  <w:tcW w:w="1584" w:type="pct"/>
                  <w:shd w:val="clear" w:color="auto" w:fill="auto"/>
                </w:tcPr>
                <w:p w14:paraId="19E1C297" w14:textId="77777777" w:rsidR="0011262F" w:rsidRDefault="0011262F" w:rsidP="00B54007">
                  <w:pPr>
                    <w:pStyle w:val="TableBodyText"/>
                    <w:jc w:val="left"/>
                  </w:pPr>
                  <w:r>
                    <w:t>Net insurance flows</w:t>
                  </w:r>
                </w:p>
              </w:tc>
              <w:tc>
                <w:tcPr>
                  <w:tcW w:w="1166" w:type="pct"/>
                </w:tcPr>
                <w:p w14:paraId="04F2EC15" w14:textId="77777777" w:rsidR="0011262F" w:rsidRDefault="0011262F" w:rsidP="00B54007">
                  <w:pPr>
                    <w:pStyle w:val="TableBodyText"/>
                    <w:jc w:val="left"/>
                  </w:pPr>
                  <w:r>
                    <w:t>Post reporting change</w:t>
                  </w:r>
                </w:p>
              </w:tc>
            </w:tr>
            <w:tr w:rsidR="0011262F" w14:paraId="3793FB56" w14:textId="77777777" w:rsidTr="00B54007">
              <w:tc>
                <w:tcPr>
                  <w:tcW w:w="2250" w:type="pct"/>
                  <w:shd w:val="clear" w:color="auto" w:fill="F2F2F2" w:themeFill="background1" w:themeFillShade="F2"/>
                </w:tcPr>
                <w:p w14:paraId="186A8535" w14:textId="77777777" w:rsidR="0011262F" w:rsidRDefault="0011262F" w:rsidP="00B54007">
                  <w:pPr>
                    <w:pStyle w:val="TableBodyText"/>
                    <w:jc w:val="left"/>
                  </w:pPr>
                  <w:r>
                    <w:t>Member accounts</w:t>
                  </w:r>
                </w:p>
              </w:tc>
              <w:tc>
                <w:tcPr>
                  <w:tcW w:w="1584" w:type="pct"/>
                  <w:shd w:val="clear" w:color="auto" w:fill="F2F2F2" w:themeFill="background1" w:themeFillShade="F2"/>
                </w:tcPr>
                <w:p w14:paraId="49850BE8" w14:textId="77777777" w:rsidR="0011262F" w:rsidRDefault="0011262F" w:rsidP="00B54007">
                  <w:pPr>
                    <w:pStyle w:val="TableBodyText"/>
                    <w:jc w:val="left"/>
                  </w:pPr>
                  <w:r>
                    <w:t>Number of investment options</w:t>
                  </w:r>
                </w:p>
              </w:tc>
              <w:tc>
                <w:tcPr>
                  <w:tcW w:w="1166" w:type="pct"/>
                  <w:shd w:val="clear" w:color="auto" w:fill="F2F2F2" w:themeFill="background1" w:themeFillShade="F2"/>
                </w:tcPr>
                <w:p w14:paraId="1026B254" w14:textId="77777777" w:rsidR="0011262F" w:rsidRDefault="0011262F" w:rsidP="00B54007">
                  <w:pPr>
                    <w:pStyle w:val="TableBodyText"/>
                    <w:jc w:val="left"/>
                  </w:pPr>
                  <w:r>
                    <w:t>Survival</w:t>
                  </w:r>
                </w:p>
              </w:tc>
            </w:tr>
            <w:tr w:rsidR="0011262F" w14:paraId="5F9C2560" w14:textId="77777777" w:rsidTr="00B54007">
              <w:tc>
                <w:tcPr>
                  <w:tcW w:w="2250" w:type="pct"/>
                </w:tcPr>
                <w:p w14:paraId="431DDC45" w14:textId="77777777" w:rsidR="0011262F" w:rsidRPr="009C7B5C" w:rsidRDefault="0011262F" w:rsidP="00B54007">
                  <w:pPr>
                    <w:pStyle w:val="TableBodyText"/>
                    <w:jc w:val="left"/>
                  </w:pPr>
                  <w:r>
                    <w:t xml:space="preserve">Sum of </w:t>
                  </w:r>
                  <w:r w:rsidRPr="009C7B5C">
                    <w:t xml:space="preserve">other fund’s assets in same </w:t>
                  </w:r>
                  <w:r>
                    <w:t xml:space="preserve">the </w:t>
                  </w:r>
                  <w:r w:rsidRPr="009C7B5C">
                    <w:t>period</w:t>
                  </w:r>
                </w:p>
              </w:tc>
              <w:tc>
                <w:tcPr>
                  <w:tcW w:w="1584" w:type="pct"/>
                  <w:shd w:val="clear" w:color="auto" w:fill="auto"/>
                </w:tcPr>
                <w:p w14:paraId="6B982E96" w14:textId="77777777" w:rsidR="0011262F" w:rsidRDefault="0011262F" w:rsidP="00B54007">
                  <w:pPr>
                    <w:pStyle w:val="TableBodyText"/>
                    <w:jc w:val="left"/>
                  </w:pPr>
                  <w:r>
                    <w:t>Annual return</w:t>
                  </w:r>
                </w:p>
              </w:tc>
              <w:tc>
                <w:tcPr>
                  <w:tcW w:w="1166" w:type="pct"/>
                </w:tcPr>
                <w:p w14:paraId="4840236F" w14:textId="77777777" w:rsidR="0011262F" w:rsidRDefault="0011262F" w:rsidP="00B54007">
                  <w:pPr>
                    <w:pStyle w:val="TableBodyText"/>
                    <w:jc w:val="left"/>
                  </w:pPr>
                </w:p>
              </w:tc>
            </w:tr>
            <w:tr w:rsidR="0011262F" w14:paraId="2E152E18" w14:textId="77777777" w:rsidTr="00B54007">
              <w:tc>
                <w:tcPr>
                  <w:tcW w:w="2250" w:type="pct"/>
                  <w:shd w:val="clear" w:color="auto" w:fill="F2F2F2" w:themeFill="background1" w:themeFillShade="F2"/>
                </w:tcPr>
                <w:p w14:paraId="0452BBBB" w14:textId="77777777" w:rsidR="0011262F" w:rsidRPr="009C7B5C" w:rsidRDefault="0011262F" w:rsidP="00B54007">
                  <w:pPr>
                    <w:pStyle w:val="TableBodyText"/>
                    <w:jc w:val="left"/>
                  </w:pPr>
                  <w:r>
                    <w:t xml:space="preserve">Sum of </w:t>
                  </w:r>
                  <w:r w:rsidRPr="009C7B5C">
                    <w:t xml:space="preserve">other fund’s member accounts in </w:t>
                  </w:r>
                  <w:r>
                    <w:t xml:space="preserve">the </w:t>
                  </w:r>
                  <w:r w:rsidRPr="009C7B5C">
                    <w:t>same period</w:t>
                  </w:r>
                </w:p>
              </w:tc>
              <w:tc>
                <w:tcPr>
                  <w:tcW w:w="1584" w:type="pct"/>
                  <w:shd w:val="clear" w:color="auto" w:fill="F2F2F2" w:themeFill="background1" w:themeFillShade="F2"/>
                </w:tcPr>
                <w:p w14:paraId="74F89EF7" w14:textId="77777777" w:rsidR="0011262F" w:rsidRDefault="0011262F" w:rsidP="00B54007">
                  <w:pPr>
                    <w:pStyle w:val="TableBodyText"/>
                    <w:jc w:val="left"/>
                  </w:pPr>
                  <w:r>
                    <w:t>Proportions in each asset class</w:t>
                  </w:r>
                </w:p>
              </w:tc>
              <w:tc>
                <w:tcPr>
                  <w:tcW w:w="1166" w:type="pct"/>
                  <w:shd w:val="clear" w:color="auto" w:fill="F2F2F2" w:themeFill="background1" w:themeFillShade="F2"/>
                </w:tcPr>
                <w:p w14:paraId="00F7661E" w14:textId="77777777" w:rsidR="0011262F" w:rsidRDefault="0011262F" w:rsidP="00B54007">
                  <w:pPr>
                    <w:pStyle w:val="TableBodyText"/>
                    <w:jc w:val="left"/>
                  </w:pPr>
                </w:p>
              </w:tc>
            </w:tr>
            <w:tr w:rsidR="0011262F" w14:paraId="56840510" w14:textId="77777777" w:rsidTr="00B54007">
              <w:tc>
                <w:tcPr>
                  <w:tcW w:w="2250" w:type="pct"/>
                  <w:tcBorders>
                    <w:bottom w:val="single" w:sz="6" w:space="0" w:color="BFBFBF"/>
                  </w:tcBorders>
                </w:tcPr>
                <w:p w14:paraId="7D96141A" w14:textId="77777777" w:rsidR="0011262F" w:rsidRPr="009C7B5C" w:rsidRDefault="0011262F" w:rsidP="00B54007">
                  <w:pPr>
                    <w:pStyle w:val="TableBodyText"/>
                    <w:jc w:val="left"/>
                  </w:pPr>
                  <w:r w:rsidRPr="009C7B5C">
                    <w:t>Sum o</w:t>
                  </w:r>
                  <w:r>
                    <w:t xml:space="preserve">f </w:t>
                  </w:r>
                  <w:r w:rsidRPr="009C7B5C">
                    <w:t xml:space="preserve">other fund’s net annual returns in </w:t>
                  </w:r>
                  <w:r>
                    <w:t xml:space="preserve">the </w:t>
                  </w:r>
                  <w:r w:rsidRPr="009C7B5C">
                    <w:t>same period</w:t>
                  </w:r>
                </w:p>
              </w:tc>
              <w:tc>
                <w:tcPr>
                  <w:tcW w:w="1584" w:type="pct"/>
                  <w:tcBorders>
                    <w:bottom w:val="single" w:sz="6" w:space="0" w:color="BFBFBF"/>
                  </w:tcBorders>
                  <w:shd w:val="clear" w:color="auto" w:fill="auto"/>
                </w:tcPr>
                <w:p w14:paraId="018E166F" w14:textId="77777777" w:rsidR="0011262F" w:rsidRDefault="0011262F" w:rsidP="00B54007">
                  <w:pPr>
                    <w:pStyle w:val="TableBodyText"/>
                    <w:jc w:val="left"/>
                  </w:pPr>
                </w:p>
              </w:tc>
              <w:tc>
                <w:tcPr>
                  <w:tcW w:w="1166" w:type="pct"/>
                  <w:tcBorders>
                    <w:bottom w:val="single" w:sz="6" w:space="0" w:color="BFBFBF"/>
                  </w:tcBorders>
                </w:tcPr>
                <w:p w14:paraId="42FF4843" w14:textId="77777777" w:rsidR="0011262F" w:rsidRDefault="0011262F" w:rsidP="00B54007">
                  <w:pPr>
                    <w:pStyle w:val="TableBodyText"/>
                    <w:jc w:val="left"/>
                  </w:pPr>
                </w:p>
              </w:tc>
            </w:tr>
          </w:tbl>
          <w:p w14:paraId="21C30A23" w14:textId="77777777" w:rsidR="0011262F" w:rsidRDefault="0011262F" w:rsidP="00B54007">
            <w:pPr>
              <w:pStyle w:val="Box"/>
            </w:pPr>
          </w:p>
        </w:tc>
      </w:tr>
      <w:tr w:rsidR="0011262F" w14:paraId="52B4C538" w14:textId="77777777" w:rsidTr="00B54007">
        <w:tc>
          <w:tcPr>
            <w:tcW w:w="5000" w:type="pct"/>
            <w:tcBorders>
              <w:top w:val="nil"/>
              <w:left w:val="nil"/>
              <w:bottom w:val="single" w:sz="6" w:space="0" w:color="78A22F"/>
              <w:right w:val="nil"/>
            </w:tcBorders>
            <w:shd w:val="clear" w:color="auto" w:fill="auto"/>
          </w:tcPr>
          <w:p w14:paraId="10F2EE83" w14:textId="77777777" w:rsidR="0011262F" w:rsidRDefault="0011262F" w:rsidP="00B54007">
            <w:pPr>
              <w:pStyle w:val="Box"/>
              <w:spacing w:before="0" w:line="120" w:lineRule="exact"/>
            </w:pPr>
          </w:p>
        </w:tc>
      </w:tr>
      <w:tr w:rsidR="0011262F" w:rsidRPr="000863A5" w14:paraId="7CEE46BF" w14:textId="77777777" w:rsidTr="00B54007">
        <w:tc>
          <w:tcPr>
            <w:tcW w:w="5000" w:type="pct"/>
            <w:tcBorders>
              <w:top w:val="single" w:sz="6" w:space="0" w:color="78A22F"/>
              <w:left w:val="nil"/>
              <w:bottom w:val="nil"/>
              <w:right w:val="nil"/>
            </w:tcBorders>
          </w:tcPr>
          <w:p w14:paraId="7BFEE6EF" w14:textId="77777777" w:rsidR="0011262F" w:rsidRPr="00626D32" w:rsidRDefault="0011262F" w:rsidP="00B54007">
            <w:pPr>
              <w:pStyle w:val="BoxSpaceBelow"/>
            </w:pPr>
          </w:p>
        </w:tc>
      </w:tr>
    </w:tbl>
    <w:p w14:paraId="5C1D0B31" w14:textId="77777777" w:rsidR="0011262F" w:rsidRDefault="0011262F" w:rsidP="0011262F">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1262F" w14:paraId="698B56CD" w14:textId="77777777" w:rsidTr="00B54007">
        <w:trPr>
          <w:tblHeader/>
        </w:trPr>
        <w:tc>
          <w:tcPr>
            <w:tcW w:w="5000" w:type="pct"/>
            <w:tcBorders>
              <w:top w:val="single" w:sz="6" w:space="0" w:color="78A22F"/>
              <w:left w:val="nil"/>
              <w:bottom w:val="nil"/>
              <w:right w:val="nil"/>
            </w:tcBorders>
            <w:shd w:val="clear" w:color="auto" w:fill="auto"/>
          </w:tcPr>
          <w:p w14:paraId="61432FBD" w14:textId="77777777" w:rsidR="0011262F" w:rsidRPr="00784A05" w:rsidRDefault="0011262F" w:rsidP="00B54007">
            <w:pPr>
              <w:pStyle w:val="TableTitle"/>
            </w:pPr>
            <w:r>
              <w:rPr>
                <w:b w:val="0"/>
              </w:rPr>
              <w:t xml:space="preserve">Table </w:t>
            </w:r>
            <w:proofErr w:type="spellStart"/>
            <w:r>
              <w:rPr>
                <w:b w:val="0"/>
              </w:rPr>
              <w:t>B.2</w:t>
            </w:r>
            <w:proofErr w:type="spellEnd"/>
            <w:r>
              <w:tab/>
              <w:t>Covariates for preferred estimation</w:t>
            </w:r>
          </w:p>
        </w:tc>
      </w:tr>
      <w:tr w:rsidR="0011262F" w:rsidRPr="009C7B5C" w14:paraId="2E5BF7A3" w14:textId="77777777" w:rsidTr="00B5400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084"/>
              <w:gridCol w:w="630"/>
              <w:gridCol w:w="1002"/>
              <w:gridCol w:w="905"/>
              <w:gridCol w:w="779"/>
              <w:gridCol w:w="1105"/>
            </w:tblGrid>
            <w:tr w:rsidR="0011262F" w:rsidRPr="009C7B5C" w14:paraId="6AFFF5FD" w14:textId="77777777" w:rsidTr="00B54007">
              <w:trPr>
                <w:tblHeader/>
              </w:trPr>
              <w:tc>
                <w:tcPr>
                  <w:tcW w:w="2450" w:type="pct"/>
                  <w:tcBorders>
                    <w:top w:val="single" w:sz="6" w:space="0" w:color="BFBFBF"/>
                    <w:bottom w:val="single" w:sz="6" w:space="0" w:color="BFBFBF"/>
                  </w:tcBorders>
                  <w:shd w:val="clear" w:color="auto" w:fill="auto"/>
                  <w:tcMar>
                    <w:top w:w="28" w:type="dxa"/>
                  </w:tcMar>
                </w:tcPr>
                <w:p w14:paraId="218DDAF4" w14:textId="77777777" w:rsidR="0011262F" w:rsidRPr="009C7B5C" w:rsidRDefault="0011262F" w:rsidP="00B54007">
                  <w:pPr>
                    <w:pStyle w:val="TableColumnHeading"/>
                    <w:jc w:val="left"/>
                    <w:rPr>
                      <w:i w:val="0"/>
                    </w:rPr>
                  </w:pPr>
                </w:p>
              </w:tc>
              <w:tc>
                <w:tcPr>
                  <w:tcW w:w="370" w:type="pct"/>
                  <w:tcBorders>
                    <w:top w:val="single" w:sz="6" w:space="0" w:color="BFBFBF"/>
                    <w:bottom w:val="single" w:sz="6" w:space="0" w:color="BFBFBF"/>
                  </w:tcBorders>
                  <w:vAlign w:val="bottom"/>
                </w:tcPr>
                <w:p w14:paraId="5A158C5E" w14:textId="77777777" w:rsidR="0011262F" w:rsidRPr="009C7B5C" w:rsidRDefault="0011262F" w:rsidP="00B54007">
                  <w:pPr>
                    <w:pStyle w:val="TableColumnHeading"/>
                    <w:rPr>
                      <w:i w:val="0"/>
                    </w:rPr>
                  </w:pPr>
                  <w:r w:rsidRPr="009C7B5C">
                    <w:rPr>
                      <w:i w:val="0"/>
                    </w:rPr>
                    <w:t>Admin</w:t>
                  </w:r>
                </w:p>
              </w:tc>
              <w:tc>
                <w:tcPr>
                  <w:tcW w:w="638" w:type="pct"/>
                  <w:tcBorders>
                    <w:top w:val="single" w:sz="6" w:space="0" w:color="BFBFBF"/>
                    <w:bottom w:val="single" w:sz="6" w:space="0" w:color="BFBFBF"/>
                  </w:tcBorders>
                  <w:shd w:val="clear" w:color="auto" w:fill="auto"/>
                  <w:tcMar>
                    <w:top w:w="28" w:type="dxa"/>
                  </w:tcMar>
                  <w:vAlign w:val="bottom"/>
                </w:tcPr>
                <w:p w14:paraId="07B6E82A" w14:textId="77777777" w:rsidR="0011262F" w:rsidRPr="009C7B5C" w:rsidRDefault="0011262F" w:rsidP="00B54007">
                  <w:pPr>
                    <w:pStyle w:val="TableColumnHeading"/>
                    <w:rPr>
                      <w:i w:val="0"/>
                    </w:rPr>
                  </w:pPr>
                  <w:r w:rsidRPr="009C7B5C">
                    <w:rPr>
                      <w:i w:val="0"/>
                    </w:rPr>
                    <w:t>Investment</w:t>
                  </w:r>
                </w:p>
              </w:tc>
              <w:tc>
                <w:tcPr>
                  <w:tcW w:w="532" w:type="pct"/>
                  <w:tcBorders>
                    <w:top w:val="single" w:sz="6" w:space="0" w:color="BFBFBF"/>
                    <w:bottom w:val="single" w:sz="6" w:space="0" w:color="BFBFBF"/>
                  </w:tcBorders>
                  <w:shd w:val="clear" w:color="auto" w:fill="auto"/>
                  <w:tcMar>
                    <w:top w:w="28" w:type="dxa"/>
                  </w:tcMar>
                  <w:vAlign w:val="bottom"/>
                </w:tcPr>
                <w:p w14:paraId="0EF549F5" w14:textId="77777777" w:rsidR="0011262F" w:rsidRPr="009C7B5C" w:rsidRDefault="0011262F" w:rsidP="00B54007">
                  <w:pPr>
                    <w:pStyle w:val="TableColumnHeading"/>
                    <w:ind w:right="28"/>
                    <w:rPr>
                      <w:i w:val="0"/>
                    </w:rPr>
                  </w:pPr>
                  <w:r w:rsidRPr="009C7B5C">
                    <w:rPr>
                      <w:i w:val="0"/>
                    </w:rPr>
                    <w:t>Number of investment options</w:t>
                  </w:r>
                </w:p>
              </w:tc>
              <w:tc>
                <w:tcPr>
                  <w:tcW w:w="506" w:type="pct"/>
                  <w:tcBorders>
                    <w:top w:val="single" w:sz="6" w:space="0" w:color="BFBFBF"/>
                    <w:bottom w:val="single" w:sz="6" w:space="0" w:color="BFBFBF"/>
                  </w:tcBorders>
                  <w:vAlign w:val="bottom"/>
                </w:tcPr>
                <w:p w14:paraId="73230668" w14:textId="77777777" w:rsidR="0011262F" w:rsidRPr="009C7B5C" w:rsidRDefault="0011262F" w:rsidP="00B54007">
                  <w:pPr>
                    <w:pStyle w:val="TableColumnHeading"/>
                    <w:ind w:right="28"/>
                    <w:rPr>
                      <w:i w:val="0"/>
                    </w:rPr>
                  </w:pPr>
                  <w:r w:rsidRPr="009C7B5C">
                    <w:rPr>
                      <w:i w:val="0"/>
                    </w:rPr>
                    <w:t>Selection equation</w:t>
                  </w:r>
                </w:p>
              </w:tc>
              <w:tc>
                <w:tcPr>
                  <w:tcW w:w="504" w:type="pct"/>
                  <w:tcBorders>
                    <w:top w:val="single" w:sz="6" w:space="0" w:color="BFBFBF"/>
                    <w:bottom w:val="single" w:sz="6" w:space="0" w:color="BFBFBF"/>
                  </w:tcBorders>
                  <w:vAlign w:val="bottom"/>
                </w:tcPr>
                <w:p w14:paraId="21B9ABC9" w14:textId="77777777" w:rsidR="0011262F" w:rsidRPr="009C7B5C" w:rsidRDefault="0011262F" w:rsidP="00B54007">
                  <w:pPr>
                    <w:pStyle w:val="TableColumnHeading"/>
                    <w:ind w:right="28"/>
                    <w:rPr>
                      <w:i w:val="0"/>
                    </w:rPr>
                  </w:pPr>
                  <w:r>
                    <w:rPr>
                      <w:i w:val="0"/>
                    </w:rPr>
                    <w:t>Pass</w:t>
                  </w:r>
                  <w:r>
                    <w:rPr>
                      <w:i w:val="0"/>
                    </w:rPr>
                    <w:noBreakHyphen/>
                    <w:t>through model</w:t>
                  </w:r>
                </w:p>
              </w:tc>
            </w:tr>
            <w:tr w:rsidR="0011262F" w:rsidRPr="009C7B5C" w14:paraId="620F1264" w14:textId="77777777" w:rsidTr="00B54007">
              <w:tc>
                <w:tcPr>
                  <w:tcW w:w="2450" w:type="pct"/>
                  <w:tcBorders>
                    <w:top w:val="single" w:sz="6" w:space="0" w:color="BFBFBF"/>
                  </w:tcBorders>
                  <w:shd w:val="clear" w:color="auto" w:fill="BFBFBF" w:themeFill="background1" w:themeFillShade="BF"/>
                </w:tcPr>
                <w:p w14:paraId="788CDF0C" w14:textId="77777777" w:rsidR="0011262F" w:rsidRPr="009C7B5C" w:rsidRDefault="0011262F" w:rsidP="00B54007">
                  <w:pPr>
                    <w:pStyle w:val="TableUnitsRow"/>
                    <w:jc w:val="left"/>
                    <w:rPr>
                      <w:b/>
                    </w:rPr>
                  </w:pPr>
                  <w:r w:rsidRPr="009C7B5C">
                    <w:rPr>
                      <w:b/>
                    </w:rPr>
                    <w:t>Intercept</w:t>
                  </w:r>
                </w:p>
              </w:tc>
              <w:tc>
                <w:tcPr>
                  <w:tcW w:w="370" w:type="pct"/>
                  <w:tcBorders>
                    <w:top w:val="single" w:sz="6" w:space="0" w:color="BFBFBF"/>
                  </w:tcBorders>
                  <w:shd w:val="clear" w:color="auto" w:fill="BFBFBF" w:themeFill="background1" w:themeFillShade="BF"/>
                </w:tcPr>
                <w:p w14:paraId="4F55BE2D" w14:textId="77777777" w:rsidR="0011262F" w:rsidRPr="009C7B5C" w:rsidRDefault="0011262F" w:rsidP="00B54007">
                  <w:pPr>
                    <w:pStyle w:val="TableUnitsRow"/>
                  </w:pPr>
                </w:p>
              </w:tc>
              <w:tc>
                <w:tcPr>
                  <w:tcW w:w="638" w:type="pct"/>
                  <w:tcBorders>
                    <w:top w:val="single" w:sz="6" w:space="0" w:color="BFBFBF"/>
                  </w:tcBorders>
                  <w:shd w:val="clear" w:color="auto" w:fill="BFBFBF" w:themeFill="background1" w:themeFillShade="BF"/>
                </w:tcPr>
                <w:p w14:paraId="276DB711" w14:textId="77777777" w:rsidR="0011262F" w:rsidRPr="009C7B5C" w:rsidRDefault="0011262F" w:rsidP="00B54007">
                  <w:pPr>
                    <w:pStyle w:val="TableUnitsRow"/>
                  </w:pPr>
                </w:p>
              </w:tc>
              <w:tc>
                <w:tcPr>
                  <w:tcW w:w="532" w:type="pct"/>
                  <w:tcBorders>
                    <w:top w:val="single" w:sz="6" w:space="0" w:color="BFBFBF"/>
                  </w:tcBorders>
                  <w:shd w:val="clear" w:color="auto" w:fill="BFBFBF" w:themeFill="background1" w:themeFillShade="BF"/>
                </w:tcPr>
                <w:p w14:paraId="3714BE2D" w14:textId="77777777" w:rsidR="0011262F" w:rsidRPr="009C7B5C" w:rsidRDefault="0011262F" w:rsidP="00B54007">
                  <w:pPr>
                    <w:pStyle w:val="TableUnitsRow"/>
                    <w:ind w:right="28"/>
                  </w:pPr>
                </w:p>
              </w:tc>
              <w:tc>
                <w:tcPr>
                  <w:tcW w:w="506" w:type="pct"/>
                  <w:tcBorders>
                    <w:top w:val="single" w:sz="6" w:space="0" w:color="BFBFBF"/>
                  </w:tcBorders>
                  <w:shd w:val="clear" w:color="auto" w:fill="BFBFBF" w:themeFill="background1" w:themeFillShade="BF"/>
                </w:tcPr>
                <w:p w14:paraId="31D08443" w14:textId="77777777" w:rsidR="0011262F" w:rsidRPr="009C7B5C" w:rsidRDefault="0011262F" w:rsidP="00B54007">
                  <w:pPr>
                    <w:pStyle w:val="TableUnitsRow"/>
                    <w:ind w:right="28"/>
                  </w:pPr>
                </w:p>
              </w:tc>
              <w:tc>
                <w:tcPr>
                  <w:tcW w:w="504" w:type="pct"/>
                  <w:tcBorders>
                    <w:top w:val="single" w:sz="6" w:space="0" w:color="BFBFBF"/>
                  </w:tcBorders>
                  <w:shd w:val="clear" w:color="auto" w:fill="BFBFBF" w:themeFill="background1" w:themeFillShade="BF"/>
                </w:tcPr>
                <w:p w14:paraId="276ED5DC" w14:textId="77777777" w:rsidR="0011262F" w:rsidRPr="009C7B5C" w:rsidRDefault="0011262F" w:rsidP="00B54007">
                  <w:pPr>
                    <w:pStyle w:val="TableUnitsRow"/>
                    <w:ind w:right="28"/>
                  </w:pPr>
                </w:p>
              </w:tc>
            </w:tr>
            <w:tr w:rsidR="0011262F" w:rsidRPr="009C7B5C" w14:paraId="0E868CFE" w14:textId="77777777" w:rsidTr="00B54007">
              <w:tc>
                <w:tcPr>
                  <w:tcW w:w="2450" w:type="pct"/>
                </w:tcPr>
                <w:p w14:paraId="77416C61" w14:textId="77777777" w:rsidR="0011262F" w:rsidRPr="009C7B5C" w:rsidRDefault="0011262F" w:rsidP="00B54007">
                  <w:pPr>
                    <w:pStyle w:val="TableBodyText"/>
                    <w:jc w:val="left"/>
                  </w:pPr>
                  <w:r w:rsidRPr="009C7B5C">
                    <w:t>Varying</w:t>
                  </w:r>
                </w:p>
              </w:tc>
              <w:tc>
                <w:tcPr>
                  <w:tcW w:w="370" w:type="pct"/>
                </w:tcPr>
                <w:p w14:paraId="23E7AE37" w14:textId="77777777" w:rsidR="0011262F" w:rsidRPr="009C7B5C" w:rsidRDefault="0011262F" w:rsidP="00B54007">
                  <w:pPr>
                    <w:pStyle w:val="TableBodyText"/>
                    <w:rPr>
                      <w:rFonts w:ascii="Wingdings" w:hAnsi="Wingdings"/>
                    </w:rPr>
                  </w:pPr>
                  <w:r w:rsidRPr="009C7B5C">
                    <w:rPr>
                      <w:rFonts w:ascii="Wingdings" w:hAnsi="Wingdings"/>
                    </w:rPr>
                    <w:t></w:t>
                  </w:r>
                </w:p>
              </w:tc>
              <w:tc>
                <w:tcPr>
                  <w:tcW w:w="638" w:type="pct"/>
                </w:tcPr>
                <w:p w14:paraId="0A1339E4" w14:textId="77777777" w:rsidR="0011262F" w:rsidRPr="009C7B5C" w:rsidRDefault="0011262F" w:rsidP="00B54007">
                  <w:pPr>
                    <w:pStyle w:val="TableBodyText"/>
                  </w:pPr>
                  <w:r w:rsidRPr="009C7B5C">
                    <w:rPr>
                      <w:rFonts w:ascii="Wingdings" w:hAnsi="Wingdings"/>
                    </w:rPr>
                    <w:t></w:t>
                  </w:r>
                </w:p>
              </w:tc>
              <w:tc>
                <w:tcPr>
                  <w:tcW w:w="532" w:type="pct"/>
                </w:tcPr>
                <w:p w14:paraId="1EA0A55D" w14:textId="77777777" w:rsidR="0011262F" w:rsidRPr="009C7B5C" w:rsidRDefault="0011262F" w:rsidP="00B54007">
                  <w:pPr>
                    <w:pStyle w:val="TableBodyText"/>
                    <w:ind w:right="28"/>
                  </w:pPr>
                </w:p>
              </w:tc>
              <w:tc>
                <w:tcPr>
                  <w:tcW w:w="506" w:type="pct"/>
                </w:tcPr>
                <w:p w14:paraId="13F4A9D8" w14:textId="77777777" w:rsidR="0011262F" w:rsidRPr="009C7B5C" w:rsidRDefault="0011262F" w:rsidP="00B54007">
                  <w:pPr>
                    <w:pStyle w:val="TableBodyText"/>
                    <w:ind w:right="28"/>
                  </w:pPr>
                </w:p>
              </w:tc>
              <w:tc>
                <w:tcPr>
                  <w:tcW w:w="504" w:type="pct"/>
                </w:tcPr>
                <w:p w14:paraId="2C247AC4" w14:textId="77777777" w:rsidR="0011262F" w:rsidRPr="009C7B5C" w:rsidRDefault="0011262F" w:rsidP="00B54007">
                  <w:pPr>
                    <w:pStyle w:val="TableBodyText"/>
                    <w:ind w:right="28"/>
                  </w:pPr>
                  <w:r w:rsidRPr="009C7B5C">
                    <w:rPr>
                      <w:rFonts w:ascii="Wingdings" w:hAnsi="Wingdings"/>
                    </w:rPr>
                    <w:t></w:t>
                  </w:r>
                </w:p>
              </w:tc>
            </w:tr>
            <w:tr w:rsidR="0011262F" w:rsidRPr="009C7B5C" w14:paraId="77F98A4E" w14:textId="77777777" w:rsidTr="00B54007">
              <w:tc>
                <w:tcPr>
                  <w:tcW w:w="2450" w:type="pct"/>
                  <w:shd w:val="clear" w:color="auto" w:fill="F2F2F2" w:themeFill="background1" w:themeFillShade="F2"/>
                </w:tcPr>
                <w:p w14:paraId="5ADBB34E" w14:textId="77777777" w:rsidR="0011262F" w:rsidRPr="009C7B5C" w:rsidRDefault="0011262F" w:rsidP="00B54007">
                  <w:pPr>
                    <w:pStyle w:val="TableBodyText"/>
                    <w:jc w:val="left"/>
                  </w:pPr>
                  <w:r w:rsidRPr="009C7B5C">
                    <w:t>Non</w:t>
                  </w:r>
                  <w:r>
                    <w:noBreakHyphen/>
                  </w:r>
                  <w:r w:rsidRPr="009C7B5C">
                    <w:t>varying</w:t>
                  </w:r>
                </w:p>
              </w:tc>
              <w:tc>
                <w:tcPr>
                  <w:tcW w:w="370" w:type="pct"/>
                  <w:shd w:val="clear" w:color="auto" w:fill="F2F2F2" w:themeFill="background1" w:themeFillShade="F2"/>
                </w:tcPr>
                <w:p w14:paraId="397A98AB" w14:textId="77777777" w:rsidR="0011262F" w:rsidRPr="009C7B5C" w:rsidRDefault="0011262F" w:rsidP="00B54007">
                  <w:pPr>
                    <w:pStyle w:val="TableBodyText"/>
                  </w:pPr>
                </w:p>
              </w:tc>
              <w:tc>
                <w:tcPr>
                  <w:tcW w:w="638" w:type="pct"/>
                  <w:shd w:val="clear" w:color="auto" w:fill="F2F2F2" w:themeFill="background1" w:themeFillShade="F2"/>
                </w:tcPr>
                <w:p w14:paraId="2F3FB017" w14:textId="77777777" w:rsidR="0011262F" w:rsidRPr="009C7B5C" w:rsidRDefault="0011262F" w:rsidP="00B54007">
                  <w:pPr>
                    <w:pStyle w:val="TableBodyText"/>
                  </w:pPr>
                </w:p>
              </w:tc>
              <w:tc>
                <w:tcPr>
                  <w:tcW w:w="532" w:type="pct"/>
                  <w:shd w:val="clear" w:color="auto" w:fill="F2F2F2" w:themeFill="background1" w:themeFillShade="F2"/>
                </w:tcPr>
                <w:p w14:paraId="39531F46" w14:textId="77777777" w:rsidR="0011262F" w:rsidRPr="009C7B5C" w:rsidRDefault="0011262F" w:rsidP="00B54007">
                  <w:pPr>
                    <w:pStyle w:val="TableBodyText"/>
                    <w:ind w:right="28"/>
                  </w:pPr>
                  <w:r w:rsidRPr="009C7B5C">
                    <w:rPr>
                      <w:rFonts w:ascii="Wingdings" w:hAnsi="Wingdings"/>
                    </w:rPr>
                    <w:t></w:t>
                  </w:r>
                </w:p>
              </w:tc>
              <w:tc>
                <w:tcPr>
                  <w:tcW w:w="506" w:type="pct"/>
                  <w:shd w:val="clear" w:color="auto" w:fill="F2F2F2" w:themeFill="background1" w:themeFillShade="F2"/>
                </w:tcPr>
                <w:p w14:paraId="44E38DC1" w14:textId="77777777" w:rsidR="0011262F" w:rsidRPr="009C7B5C" w:rsidRDefault="0011262F" w:rsidP="00B54007">
                  <w:pPr>
                    <w:pStyle w:val="TableBodyText"/>
                    <w:ind w:right="28"/>
                  </w:pPr>
                  <w:r w:rsidRPr="009C7B5C">
                    <w:rPr>
                      <w:rFonts w:ascii="Wingdings" w:hAnsi="Wingdings"/>
                    </w:rPr>
                    <w:t></w:t>
                  </w:r>
                </w:p>
              </w:tc>
              <w:tc>
                <w:tcPr>
                  <w:tcW w:w="504" w:type="pct"/>
                  <w:shd w:val="clear" w:color="auto" w:fill="F2F2F2" w:themeFill="background1" w:themeFillShade="F2"/>
                </w:tcPr>
                <w:p w14:paraId="68C21055" w14:textId="77777777" w:rsidR="0011262F" w:rsidRPr="009C7B5C" w:rsidRDefault="0011262F" w:rsidP="00B54007">
                  <w:pPr>
                    <w:pStyle w:val="TableBodyText"/>
                    <w:ind w:right="28"/>
                    <w:rPr>
                      <w:rFonts w:ascii="Wingdings" w:hAnsi="Wingdings"/>
                    </w:rPr>
                  </w:pPr>
                </w:p>
              </w:tc>
            </w:tr>
            <w:tr w:rsidR="0011262F" w:rsidRPr="009C7B5C" w14:paraId="4F369CEF" w14:textId="77777777" w:rsidTr="00B54007">
              <w:tc>
                <w:tcPr>
                  <w:tcW w:w="2450" w:type="pct"/>
                  <w:shd w:val="clear" w:color="auto" w:fill="BFBFBF" w:themeFill="background1" w:themeFillShade="BF"/>
                </w:tcPr>
                <w:p w14:paraId="3B3BD516" w14:textId="77777777" w:rsidR="0011262F" w:rsidRPr="009C7B5C" w:rsidRDefault="0011262F" w:rsidP="00B54007">
                  <w:pPr>
                    <w:pStyle w:val="TableBodyText"/>
                    <w:jc w:val="left"/>
                    <w:rPr>
                      <w:b/>
                    </w:rPr>
                  </w:pPr>
                  <w:r w:rsidRPr="009C7B5C">
                    <w:rPr>
                      <w:b/>
                    </w:rPr>
                    <w:t>Varying slope coefficients</w:t>
                  </w:r>
                </w:p>
              </w:tc>
              <w:tc>
                <w:tcPr>
                  <w:tcW w:w="370" w:type="pct"/>
                  <w:shd w:val="clear" w:color="auto" w:fill="BFBFBF" w:themeFill="background1" w:themeFillShade="BF"/>
                </w:tcPr>
                <w:p w14:paraId="016A857D" w14:textId="77777777" w:rsidR="0011262F" w:rsidRPr="009C7B5C" w:rsidRDefault="0011262F" w:rsidP="00B54007">
                  <w:pPr>
                    <w:pStyle w:val="TableBodyText"/>
                  </w:pPr>
                </w:p>
              </w:tc>
              <w:tc>
                <w:tcPr>
                  <w:tcW w:w="638" w:type="pct"/>
                  <w:shd w:val="clear" w:color="auto" w:fill="BFBFBF" w:themeFill="background1" w:themeFillShade="BF"/>
                </w:tcPr>
                <w:p w14:paraId="6E8FAD60" w14:textId="77777777" w:rsidR="0011262F" w:rsidRPr="009C7B5C" w:rsidRDefault="0011262F" w:rsidP="00B54007">
                  <w:pPr>
                    <w:pStyle w:val="TableBodyText"/>
                  </w:pPr>
                </w:p>
              </w:tc>
              <w:tc>
                <w:tcPr>
                  <w:tcW w:w="532" w:type="pct"/>
                  <w:shd w:val="clear" w:color="auto" w:fill="BFBFBF" w:themeFill="background1" w:themeFillShade="BF"/>
                </w:tcPr>
                <w:p w14:paraId="18FB3916" w14:textId="77777777" w:rsidR="0011262F" w:rsidRPr="009C7B5C" w:rsidRDefault="0011262F" w:rsidP="00B54007">
                  <w:pPr>
                    <w:pStyle w:val="TableBodyText"/>
                    <w:ind w:right="28"/>
                  </w:pPr>
                </w:p>
              </w:tc>
              <w:tc>
                <w:tcPr>
                  <w:tcW w:w="506" w:type="pct"/>
                  <w:shd w:val="clear" w:color="auto" w:fill="BFBFBF" w:themeFill="background1" w:themeFillShade="BF"/>
                </w:tcPr>
                <w:p w14:paraId="78C9ADB9" w14:textId="77777777" w:rsidR="0011262F" w:rsidRPr="009C7B5C" w:rsidRDefault="0011262F" w:rsidP="00B54007">
                  <w:pPr>
                    <w:pStyle w:val="TableBodyText"/>
                    <w:ind w:right="28"/>
                  </w:pPr>
                </w:p>
              </w:tc>
              <w:tc>
                <w:tcPr>
                  <w:tcW w:w="504" w:type="pct"/>
                  <w:shd w:val="clear" w:color="auto" w:fill="BFBFBF" w:themeFill="background1" w:themeFillShade="BF"/>
                </w:tcPr>
                <w:p w14:paraId="6C1A7CE7" w14:textId="77777777" w:rsidR="0011262F" w:rsidRPr="009C7B5C" w:rsidRDefault="0011262F" w:rsidP="00B54007">
                  <w:pPr>
                    <w:pStyle w:val="TableBodyText"/>
                    <w:ind w:right="28"/>
                  </w:pPr>
                </w:p>
              </w:tc>
            </w:tr>
            <w:tr w:rsidR="0011262F" w:rsidRPr="009C7B5C" w14:paraId="088AF31B" w14:textId="77777777" w:rsidTr="00B54007">
              <w:tc>
                <w:tcPr>
                  <w:tcW w:w="2450" w:type="pct"/>
                  <w:shd w:val="clear" w:color="auto" w:fill="auto"/>
                </w:tcPr>
                <w:p w14:paraId="7D2F4FC4" w14:textId="77777777" w:rsidR="0011262F" w:rsidRPr="009C7B5C" w:rsidRDefault="0011262F" w:rsidP="00B54007">
                  <w:pPr>
                    <w:pStyle w:val="TableBodyText"/>
                    <w:jc w:val="left"/>
                  </w:pPr>
                  <w:r w:rsidRPr="009C7B5C">
                    <w:t>Assets</w:t>
                  </w:r>
                </w:p>
              </w:tc>
              <w:tc>
                <w:tcPr>
                  <w:tcW w:w="370" w:type="pct"/>
                </w:tcPr>
                <w:p w14:paraId="1B141555" w14:textId="77777777" w:rsidR="0011262F" w:rsidRPr="009C7B5C" w:rsidRDefault="0011262F" w:rsidP="00B54007">
                  <w:pPr>
                    <w:pStyle w:val="TableBodyText"/>
                  </w:pPr>
                  <w:r w:rsidRPr="009C7B5C">
                    <w:rPr>
                      <w:rFonts w:ascii="Wingdings" w:hAnsi="Wingdings"/>
                    </w:rPr>
                    <w:t></w:t>
                  </w:r>
                </w:p>
              </w:tc>
              <w:tc>
                <w:tcPr>
                  <w:tcW w:w="638" w:type="pct"/>
                  <w:shd w:val="clear" w:color="auto" w:fill="auto"/>
                </w:tcPr>
                <w:p w14:paraId="6C830C8F" w14:textId="77777777" w:rsidR="0011262F" w:rsidRPr="009C7B5C" w:rsidRDefault="0011262F" w:rsidP="00B54007">
                  <w:pPr>
                    <w:pStyle w:val="TableBodyText"/>
                  </w:pPr>
                  <w:r w:rsidRPr="009C7B5C">
                    <w:rPr>
                      <w:rFonts w:ascii="Wingdings" w:hAnsi="Wingdings"/>
                    </w:rPr>
                    <w:t></w:t>
                  </w:r>
                </w:p>
              </w:tc>
              <w:tc>
                <w:tcPr>
                  <w:tcW w:w="532" w:type="pct"/>
                  <w:shd w:val="clear" w:color="auto" w:fill="auto"/>
                </w:tcPr>
                <w:p w14:paraId="7A85AA01" w14:textId="77777777" w:rsidR="0011262F" w:rsidRPr="009C7B5C" w:rsidRDefault="0011262F" w:rsidP="00B54007">
                  <w:pPr>
                    <w:pStyle w:val="TableBodyText"/>
                    <w:ind w:right="28"/>
                  </w:pPr>
                </w:p>
              </w:tc>
              <w:tc>
                <w:tcPr>
                  <w:tcW w:w="506" w:type="pct"/>
                </w:tcPr>
                <w:p w14:paraId="74D7E378" w14:textId="77777777" w:rsidR="0011262F" w:rsidRPr="009C7B5C" w:rsidRDefault="0011262F" w:rsidP="00B54007">
                  <w:pPr>
                    <w:pStyle w:val="TableBodyText"/>
                    <w:ind w:right="28"/>
                  </w:pPr>
                </w:p>
              </w:tc>
              <w:tc>
                <w:tcPr>
                  <w:tcW w:w="504" w:type="pct"/>
                </w:tcPr>
                <w:p w14:paraId="193E5D38" w14:textId="77777777" w:rsidR="0011262F" w:rsidRPr="009C7B5C" w:rsidRDefault="0011262F" w:rsidP="00B54007">
                  <w:pPr>
                    <w:pStyle w:val="TableBodyText"/>
                    <w:ind w:right="28"/>
                  </w:pPr>
                </w:p>
              </w:tc>
            </w:tr>
            <w:tr w:rsidR="0011262F" w:rsidRPr="009C7B5C" w14:paraId="7EABFD9C" w14:textId="77777777" w:rsidTr="00B54007">
              <w:tc>
                <w:tcPr>
                  <w:tcW w:w="2450" w:type="pct"/>
                  <w:shd w:val="clear" w:color="auto" w:fill="F2F2F2" w:themeFill="background1" w:themeFillShade="F2"/>
                </w:tcPr>
                <w:p w14:paraId="559D0A68" w14:textId="77777777" w:rsidR="0011262F" w:rsidRPr="009C7B5C" w:rsidRDefault="0011262F" w:rsidP="00B54007">
                  <w:pPr>
                    <w:pStyle w:val="TableBodyText"/>
                    <w:jc w:val="left"/>
                  </w:pPr>
                  <w:r w:rsidRPr="009C7B5C">
                    <w:t>Member accounts</w:t>
                  </w:r>
                </w:p>
              </w:tc>
              <w:tc>
                <w:tcPr>
                  <w:tcW w:w="370" w:type="pct"/>
                  <w:shd w:val="clear" w:color="auto" w:fill="F2F2F2" w:themeFill="background1" w:themeFillShade="F2"/>
                </w:tcPr>
                <w:p w14:paraId="04A50915" w14:textId="77777777" w:rsidR="0011262F" w:rsidRPr="009C7B5C" w:rsidRDefault="0011262F" w:rsidP="00B54007">
                  <w:pPr>
                    <w:pStyle w:val="TableBodyText"/>
                  </w:pPr>
                  <w:r w:rsidRPr="009C7B5C">
                    <w:rPr>
                      <w:rFonts w:ascii="Wingdings" w:hAnsi="Wingdings"/>
                    </w:rPr>
                    <w:t></w:t>
                  </w:r>
                </w:p>
              </w:tc>
              <w:tc>
                <w:tcPr>
                  <w:tcW w:w="638" w:type="pct"/>
                  <w:shd w:val="clear" w:color="auto" w:fill="F2F2F2" w:themeFill="background1" w:themeFillShade="F2"/>
                </w:tcPr>
                <w:p w14:paraId="4A5A212D" w14:textId="77777777" w:rsidR="0011262F" w:rsidRPr="009C7B5C" w:rsidRDefault="0011262F" w:rsidP="00B54007">
                  <w:pPr>
                    <w:pStyle w:val="TableBodyText"/>
                  </w:pPr>
                </w:p>
              </w:tc>
              <w:tc>
                <w:tcPr>
                  <w:tcW w:w="532" w:type="pct"/>
                  <w:shd w:val="clear" w:color="auto" w:fill="F2F2F2" w:themeFill="background1" w:themeFillShade="F2"/>
                </w:tcPr>
                <w:p w14:paraId="7EB79E2D" w14:textId="77777777" w:rsidR="0011262F" w:rsidRPr="009C7B5C" w:rsidRDefault="0011262F" w:rsidP="00B54007">
                  <w:pPr>
                    <w:pStyle w:val="TableBodyText"/>
                    <w:ind w:right="28"/>
                  </w:pPr>
                </w:p>
              </w:tc>
              <w:tc>
                <w:tcPr>
                  <w:tcW w:w="506" w:type="pct"/>
                  <w:shd w:val="clear" w:color="auto" w:fill="F2F2F2" w:themeFill="background1" w:themeFillShade="F2"/>
                </w:tcPr>
                <w:p w14:paraId="653C1497" w14:textId="77777777" w:rsidR="0011262F" w:rsidRPr="009C7B5C" w:rsidRDefault="0011262F" w:rsidP="00B54007">
                  <w:pPr>
                    <w:pStyle w:val="TableBodyText"/>
                    <w:ind w:right="28"/>
                  </w:pPr>
                </w:p>
              </w:tc>
              <w:tc>
                <w:tcPr>
                  <w:tcW w:w="504" w:type="pct"/>
                  <w:shd w:val="clear" w:color="auto" w:fill="F2F2F2" w:themeFill="background1" w:themeFillShade="F2"/>
                </w:tcPr>
                <w:p w14:paraId="4CEEC297" w14:textId="77777777" w:rsidR="0011262F" w:rsidRPr="009C7B5C" w:rsidRDefault="0011262F" w:rsidP="00B54007">
                  <w:pPr>
                    <w:pStyle w:val="TableBodyText"/>
                    <w:ind w:right="28"/>
                  </w:pPr>
                </w:p>
              </w:tc>
            </w:tr>
            <w:tr w:rsidR="0011262F" w:rsidRPr="009C7B5C" w14:paraId="563DD2C3" w14:textId="77777777" w:rsidTr="00B54007">
              <w:tc>
                <w:tcPr>
                  <w:tcW w:w="2450" w:type="pct"/>
                  <w:shd w:val="clear" w:color="auto" w:fill="auto"/>
                </w:tcPr>
                <w:p w14:paraId="272D32F3" w14:textId="77777777" w:rsidR="0011262F" w:rsidRPr="009C7B5C" w:rsidRDefault="0011262F" w:rsidP="00B54007">
                  <w:pPr>
                    <w:pStyle w:val="TableBodyText"/>
                    <w:jc w:val="left"/>
                  </w:pPr>
                  <w:r w:rsidRPr="009C7B5C">
                    <w:t>Other (proportion held in asset class)</w:t>
                  </w:r>
                </w:p>
              </w:tc>
              <w:tc>
                <w:tcPr>
                  <w:tcW w:w="370" w:type="pct"/>
                </w:tcPr>
                <w:p w14:paraId="0C084FB3" w14:textId="77777777" w:rsidR="0011262F" w:rsidRPr="009C7B5C" w:rsidRDefault="0011262F" w:rsidP="00B54007">
                  <w:pPr>
                    <w:pStyle w:val="TableBodyText"/>
                  </w:pPr>
                </w:p>
              </w:tc>
              <w:tc>
                <w:tcPr>
                  <w:tcW w:w="638" w:type="pct"/>
                  <w:shd w:val="clear" w:color="auto" w:fill="auto"/>
                </w:tcPr>
                <w:p w14:paraId="35E63B14" w14:textId="77777777" w:rsidR="0011262F" w:rsidRPr="009C7B5C" w:rsidRDefault="0011262F" w:rsidP="00B54007">
                  <w:pPr>
                    <w:pStyle w:val="TableBodyText"/>
                  </w:pPr>
                  <w:r w:rsidRPr="009C7B5C">
                    <w:rPr>
                      <w:rFonts w:ascii="Wingdings" w:hAnsi="Wingdings"/>
                    </w:rPr>
                    <w:t></w:t>
                  </w:r>
                </w:p>
              </w:tc>
              <w:tc>
                <w:tcPr>
                  <w:tcW w:w="532" w:type="pct"/>
                  <w:shd w:val="clear" w:color="auto" w:fill="auto"/>
                </w:tcPr>
                <w:p w14:paraId="5C7538D1" w14:textId="77777777" w:rsidR="0011262F" w:rsidRPr="009C7B5C" w:rsidRDefault="0011262F" w:rsidP="00B54007">
                  <w:pPr>
                    <w:pStyle w:val="TableBodyText"/>
                    <w:ind w:right="28"/>
                  </w:pPr>
                </w:p>
              </w:tc>
              <w:tc>
                <w:tcPr>
                  <w:tcW w:w="506" w:type="pct"/>
                </w:tcPr>
                <w:p w14:paraId="18119FDE" w14:textId="77777777" w:rsidR="0011262F" w:rsidRPr="009C7B5C" w:rsidRDefault="0011262F" w:rsidP="00B54007">
                  <w:pPr>
                    <w:pStyle w:val="TableBodyText"/>
                    <w:ind w:right="28"/>
                  </w:pPr>
                </w:p>
              </w:tc>
              <w:tc>
                <w:tcPr>
                  <w:tcW w:w="504" w:type="pct"/>
                </w:tcPr>
                <w:p w14:paraId="772EB760" w14:textId="77777777" w:rsidR="0011262F" w:rsidRPr="009C7B5C" w:rsidRDefault="0011262F" w:rsidP="00B54007">
                  <w:pPr>
                    <w:pStyle w:val="TableBodyText"/>
                    <w:ind w:right="28"/>
                  </w:pPr>
                </w:p>
              </w:tc>
            </w:tr>
            <w:tr w:rsidR="0011262F" w:rsidRPr="009C7B5C" w14:paraId="7C4C91CE" w14:textId="77777777" w:rsidTr="00B54007">
              <w:tc>
                <w:tcPr>
                  <w:tcW w:w="2450" w:type="pct"/>
                  <w:shd w:val="clear" w:color="auto" w:fill="F2F2F2" w:themeFill="background1" w:themeFillShade="F2"/>
                </w:tcPr>
                <w:p w14:paraId="1CCB6A78" w14:textId="77777777" w:rsidR="0011262F" w:rsidRPr="009C7B5C" w:rsidRDefault="0011262F" w:rsidP="00B54007">
                  <w:pPr>
                    <w:pStyle w:val="TableBodyText"/>
                    <w:jc w:val="left"/>
                  </w:pPr>
                  <w:r>
                    <w:t>Change in expenses due to size</w:t>
                  </w:r>
                </w:p>
              </w:tc>
              <w:tc>
                <w:tcPr>
                  <w:tcW w:w="370" w:type="pct"/>
                  <w:shd w:val="clear" w:color="auto" w:fill="F2F2F2" w:themeFill="background1" w:themeFillShade="F2"/>
                </w:tcPr>
                <w:p w14:paraId="42C03916" w14:textId="77777777" w:rsidR="0011262F" w:rsidRPr="009C7B5C" w:rsidRDefault="0011262F" w:rsidP="00B54007">
                  <w:pPr>
                    <w:pStyle w:val="TableBodyText"/>
                  </w:pPr>
                </w:p>
              </w:tc>
              <w:tc>
                <w:tcPr>
                  <w:tcW w:w="638" w:type="pct"/>
                  <w:shd w:val="clear" w:color="auto" w:fill="F2F2F2" w:themeFill="background1" w:themeFillShade="F2"/>
                </w:tcPr>
                <w:p w14:paraId="635AE35F" w14:textId="77777777" w:rsidR="0011262F" w:rsidRPr="009C7B5C" w:rsidRDefault="0011262F" w:rsidP="00B54007">
                  <w:pPr>
                    <w:pStyle w:val="TableBodyText"/>
                  </w:pPr>
                </w:p>
              </w:tc>
              <w:tc>
                <w:tcPr>
                  <w:tcW w:w="532" w:type="pct"/>
                  <w:shd w:val="clear" w:color="auto" w:fill="F2F2F2" w:themeFill="background1" w:themeFillShade="F2"/>
                </w:tcPr>
                <w:p w14:paraId="30D1A04F" w14:textId="77777777" w:rsidR="0011262F" w:rsidRPr="009C7B5C" w:rsidRDefault="0011262F" w:rsidP="00B54007">
                  <w:pPr>
                    <w:pStyle w:val="TableBodyText"/>
                    <w:ind w:right="28"/>
                  </w:pPr>
                </w:p>
              </w:tc>
              <w:tc>
                <w:tcPr>
                  <w:tcW w:w="506" w:type="pct"/>
                  <w:shd w:val="clear" w:color="auto" w:fill="F2F2F2" w:themeFill="background1" w:themeFillShade="F2"/>
                </w:tcPr>
                <w:p w14:paraId="74FFC6A5" w14:textId="77777777" w:rsidR="0011262F" w:rsidRPr="009C7B5C" w:rsidRDefault="0011262F" w:rsidP="00B54007">
                  <w:pPr>
                    <w:pStyle w:val="TableBodyText"/>
                    <w:ind w:right="28"/>
                  </w:pPr>
                </w:p>
              </w:tc>
              <w:tc>
                <w:tcPr>
                  <w:tcW w:w="504" w:type="pct"/>
                  <w:shd w:val="clear" w:color="auto" w:fill="F2F2F2" w:themeFill="background1" w:themeFillShade="F2"/>
                </w:tcPr>
                <w:p w14:paraId="1374A0E1" w14:textId="77777777" w:rsidR="0011262F" w:rsidRPr="009C7B5C" w:rsidRDefault="0011262F" w:rsidP="00B54007">
                  <w:pPr>
                    <w:pStyle w:val="TableBodyText"/>
                    <w:ind w:right="28"/>
                  </w:pPr>
                  <w:r w:rsidRPr="009C7B5C">
                    <w:rPr>
                      <w:rFonts w:ascii="Wingdings" w:hAnsi="Wingdings"/>
                    </w:rPr>
                    <w:t></w:t>
                  </w:r>
                </w:p>
              </w:tc>
            </w:tr>
            <w:tr w:rsidR="0011262F" w:rsidRPr="009C7B5C" w14:paraId="73DD88F6" w14:textId="77777777" w:rsidTr="00B54007">
              <w:tc>
                <w:tcPr>
                  <w:tcW w:w="2450" w:type="pct"/>
                  <w:shd w:val="clear" w:color="auto" w:fill="BFBFBF" w:themeFill="background1" w:themeFillShade="BF"/>
                </w:tcPr>
                <w:p w14:paraId="20828346" w14:textId="77777777" w:rsidR="0011262F" w:rsidRPr="009C7B5C" w:rsidRDefault="0011262F" w:rsidP="00B54007">
                  <w:pPr>
                    <w:pStyle w:val="TableBodyText"/>
                    <w:jc w:val="left"/>
                    <w:rPr>
                      <w:b/>
                    </w:rPr>
                  </w:pPr>
                  <w:r w:rsidRPr="009C7B5C">
                    <w:rPr>
                      <w:b/>
                    </w:rPr>
                    <w:t>Non</w:t>
                  </w:r>
                  <w:r>
                    <w:rPr>
                      <w:b/>
                    </w:rPr>
                    <w:noBreakHyphen/>
                  </w:r>
                  <w:r w:rsidRPr="009C7B5C">
                    <w:rPr>
                      <w:b/>
                    </w:rPr>
                    <w:t>varying coefficients</w:t>
                  </w:r>
                </w:p>
              </w:tc>
              <w:tc>
                <w:tcPr>
                  <w:tcW w:w="370" w:type="pct"/>
                  <w:shd w:val="clear" w:color="auto" w:fill="BFBFBF" w:themeFill="background1" w:themeFillShade="BF"/>
                </w:tcPr>
                <w:p w14:paraId="49F2DC96" w14:textId="77777777" w:rsidR="0011262F" w:rsidRPr="009C7B5C" w:rsidRDefault="0011262F" w:rsidP="00B54007">
                  <w:pPr>
                    <w:pStyle w:val="TableBodyText"/>
                  </w:pPr>
                </w:p>
              </w:tc>
              <w:tc>
                <w:tcPr>
                  <w:tcW w:w="638" w:type="pct"/>
                  <w:shd w:val="clear" w:color="auto" w:fill="BFBFBF" w:themeFill="background1" w:themeFillShade="BF"/>
                </w:tcPr>
                <w:p w14:paraId="05053D43" w14:textId="77777777" w:rsidR="0011262F" w:rsidRPr="009C7B5C" w:rsidRDefault="0011262F" w:rsidP="00B54007">
                  <w:pPr>
                    <w:pStyle w:val="TableBodyText"/>
                  </w:pPr>
                </w:p>
              </w:tc>
              <w:tc>
                <w:tcPr>
                  <w:tcW w:w="532" w:type="pct"/>
                  <w:shd w:val="clear" w:color="auto" w:fill="BFBFBF" w:themeFill="background1" w:themeFillShade="BF"/>
                </w:tcPr>
                <w:p w14:paraId="350BF3DB" w14:textId="77777777" w:rsidR="0011262F" w:rsidRPr="009C7B5C" w:rsidRDefault="0011262F" w:rsidP="00B54007">
                  <w:pPr>
                    <w:pStyle w:val="TableBodyText"/>
                    <w:ind w:right="28"/>
                  </w:pPr>
                </w:p>
              </w:tc>
              <w:tc>
                <w:tcPr>
                  <w:tcW w:w="506" w:type="pct"/>
                  <w:shd w:val="clear" w:color="auto" w:fill="BFBFBF" w:themeFill="background1" w:themeFillShade="BF"/>
                </w:tcPr>
                <w:p w14:paraId="2696DB19" w14:textId="77777777" w:rsidR="0011262F" w:rsidRPr="009C7B5C" w:rsidRDefault="0011262F" w:rsidP="00B54007">
                  <w:pPr>
                    <w:pStyle w:val="TableBodyText"/>
                    <w:ind w:right="28"/>
                  </w:pPr>
                </w:p>
              </w:tc>
              <w:tc>
                <w:tcPr>
                  <w:tcW w:w="504" w:type="pct"/>
                  <w:shd w:val="clear" w:color="auto" w:fill="BFBFBF" w:themeFill="background1" w:themeFillShade="BF"/>
                </w:tcPr>
                <w:p w14:paraId="04600CF3" w14:textId="77777777" w:rsidR="0011262F" w:rsidRPr="009C7B5C" w:rsidRDefault="0011262F" w:rsidP="00B54007">
                  <w:pPr>
                    <w:pStyle w:val="TableBodyText"/>
                    <w:ind w:right="28"/>
                  </w:pPr>
                </w:p>
              </w:tc>
            </w:tr>
            <w:tr w:rsidR="0011262F" w:rsidRPr="009C7B5C" w14:paraId="4B021B9C" w14:textId="77777777" w:rsidTr="00B54007">
              <w:tc>
                <w:tcPr>
                  <w:tcW w:w="2450" w:type="pct"/>
                  <w:shd w:val="clear" w:color="auto" w:fill="auto"/>
                </w:tcPr>
                <w:p w14:paraId="14DC3889" w14:textId="77777777" w:rsidR="0011262F" w:rsidRPr="009C7B5C" w:rsidRDefault="0011262F" w:rsidP="00B54007">
                  <w:pPr>
                    <w:pStyle w:val="TableBodyText"/>
                    <w:jc w:val="left"/>
                  </w:pPr>
                  <w:r w:rsidRPr="009C7B5C">
                    <w:t>Assets</w:t>
                  </w:r>
                </w:p>
              </w:tc>
              <w:tc>
                <w:tcPr>
                  <w:tcW w:w="370" w:type="pct"/>
                </w:tcPr>
                <w:p w14:paraId="5F719A49" w14:textId="77777777" w:rsidR="0011262F" w:rsidRPr="009C7B5C" w:rsidRDefault="0011262F" w:rsidP="00B54007">
                  <w:pPr>
                    <w:pStyle w:val="TableBodyText"/>
                    <w:rPr>
                      <w:rFonts w:ascii="Wingdings" w:hAnsi="Wingdings"/>
                    </w:rPr>
                  </w:pPr>
                </w:p>
              </w:tc>
              <w:tc>
                <w:tcPr>
                  <w:tcW w:w="638" w:type="pct"/>
                  <w:shd w:val="clear" w:color="auto" w:fill="auto"/>
                </w:tcPr>
                <w:p w14:paraId="2438DD67" w14:textId="77777777" w:rsidR="0011262F" w:rsidRPr="009C7B5C" w:rsidRDefault="0011262F" w:rsidP="00B54007">
                  <w:pPr>
                    <w:pStyle w:val="TableBodyText"/>
                    <w:rPr>
                      <w:rFonts w:ascii="Wingdings" w:hAnsi="Wingdings"/>
                    </w:rPr>
                  </w:pPr>
                </w:p>
              </w:tc>
              <w:tc>
                <w:tcPr>
                  <w:tcW w:w="532" w:type="pct"/>
                  <w:shd w:val="clear" w:color="auto" w:fill="auto"/>
                </w:tcPr>
                <w:p w14:paraId="34928E10" w14:textId="77777777" w:rsidR="0011262F" w:rsidRPr="009C7B5C" w:rsidRDefault="0011262F" w:rsidP="00B54007">
                  <w:pPr>
                    <w:pStyle w:val="TableBodyText"/>
                    <w:ind w:right="28"/>
                  </w:pPr>
                  <w:r>
                    <w:rPr>
                      <w:rFonts w:ascii="Wingdings" w:hAnsi="Wingdings"/>
                    </w:rPr>
                    <w:t></w:t>
                  </w:r>
                </w:p>
              </w:tc>
              <w:tc>
                <w:tcPr>
                  <w:tcW w:w="506" w:type="pct"/>
                </w:tcPr>
                <w:p w14:paraId="7560C6E3" w14:textId="77777777" w:rsidR="0011262F" w:rsidRPr="009C7B5C" w:rsidRDefault="0011262F" w:rsidP="00B54007">
                  <w:pPr>
                    <w:pStyle w:val="TableBodyText"/>
                    <w:ind w:right="28"/>
                  </w:pPr>
                  <w:r w:rsidRPr="009C7B5C">
                    <w:rPr>
                      <w:rFonts w:ascii="Wingdings" w:hAnsi="Wingdings"/>
                    </w:rPr>
                    <w:t></w:t>
                  </w:r>
                </w:p>
              </w:tc>
              <w:tc>
                <w:tcPr>
                  <w:tcW w:w="504" w:type="pct"/>
                </w:tcPr>
                <w:p w14:paraId="1CBAF2D2" w14:textId="77777777" w:rsidR="0011262F" w:rsidRPr="009C7B5C" w:rsidRDefault="0011262F" w:rsidP="00B54007">
                  <w:pPr>
                    <w:pStyle w:val="TableBodyText"/>
                    <w:ind w:right="28"/>
                    <w:rPr>
                      <w:rFonts w:ascii="Wingdings" w:hAnsi="Wingdings"/>
                    </w:rPr>
                  </w:pPr>
                </w:p>
              </w:tc>
            </w:tr>
            <w:tr w:rsidR="0011262F" w:rsidRPr="009C7B5C" w14:paraId="5132C2F7" w14:textId="77777777" w:rsidTr="00B54007">
              <w:tc>
                <w:tcPr>
                  <w:tcW w:w="2450" w:type="pct"/>
                  <w:shd w:val="clear" w:color="auto" w:fill="F2F2F2" w:themeFill="background1" w:themeFillShade="F2"/>
                </w:tcPr>
                <w:p w14:paraId="2AEA07CA" w14:textId="77777777" w:rsidR="0011262F" w:rsidRPr="009C7B5C" w:rsidRDefault="0011262F" w:rsidP="00B54007">
                  <w:pPr>
                    <w:pStyle w:val="TableBodyText"/>
                    <w:jc w:val="left"/>
                  </w:pPr>
                  <w:r w:rsidRPr="009C7B5C">
                    <w:t>Member accounts</w:t>
                  </w:r>
                </w:p>
              </w:tc>
              <w:tc>
                <w:tcPr>
                  <w:tcW w:w="370" w:type="pct"/>
                  <w:shd w:val="clear" w:color="auto" w:fill="F2F2F2" w:themeFill="background1" w:themeFillShade="F2"/>
                </w:tcPr>
                <w:p w14:paraId="6F399B3C" w14:textId="77777777" w:rsidR="0011262F" w:rsidRPr="009C7B5C" w:rsidRDefault="0011262F" w:rsidP="00B54007">
                  <w:pPr>
                    <w:pStyle w:val="TableBodyText"/>
                    <w:rPr>
                      <w:rFonts w:ascii="Wingdings" w:hAnsi="Wingdings"/>
                    </w:rPr>
                  </w:pPr>
                </w:p>
              </w:tc>
              <w:tc>
                <w:tcPr>
                  <w:tcW w:w="638" w:type="pct"/>
                  <w:shd w:val="clear" w:color="auto" w:fill="F2F2F2" w:themeFill="background1" w:themeFillShade="F2"/>
                </w:tcPr>
                <w:p w14:paraId="1005383F" w14:textId="77777777" w:rsidR="0011262F" w:rsidRPr="009C7B5C" w:rsidRDefault="0011262F" w:rsidP="00B54007">
                  <w:pPr>
                    <w:pStyle w:val="TableBodyText"/>
                    <w:rPr>
                      <w:rFonts w:ascii="Wingdings" w:hAnsi="Wingdings"/>
                    </w:rPr>
                  </w:pPr>
                </w:p>
              </w:tc>
              <w:tc>
                <w:tcPr>
                  <w:tcW w:w="532" w:type="pct"/>
                  <w:shd w:val="clear" w:color="auto" w:fill="F2F2F2" w:themeFill="background1" w:themeFillShade="F2"/>
                </w:tcPr>
                <w:p w14:paraId="334B8EA5" w14:textId="77777777" w:rsidR="0011262F" w:rsidRPr="009C7B5C" w:rsidRDefault="0011262F" w:rsidP="00B54007">
                  <w:pPr>
                    <w:pStyle w:val="TableBodyText"/>
                    <w:ind w:right="28"/>
                  </w:pPr>
                  <w:r>
                    <w:rPr>
                      <w:rFonts w:ascii="Wingdings" w:hAnsi="Wingdings"/>
                    </w:rPr>
                    <w:t></w:t>
                  </w:r>
                </w:p>
              </w:tc>
              <w:tc>
                <w:tcPr>
                  <w:tcW w:w="506" w:type="pct"/>
                  <w:shd w:val="clear" w:color="auto" w:fill="F2F2F2" w:themeFill="background1" w:themeFillShade="F2"/>
                </w:tcPr>
                <w:p w14:paraId="74AC2DE6" w14:textId="77777777" w:rsidR="0011262F" w:rsidRPr="009C7B5C" w:rsidRDefault="0011262F" w:rsidP="00B54007">
                  <w:pPr>
                    <w:pStyle w:val="TableBodyText"/>
                    <w:ind w:right="28"/>
                  </w:pPr>
                  <w:r w:rsidRPr="009C7B5C">
                    <w:rPr>
                      <w:rFonts w:ascii="Wingdings" w:hAnsi="Wingdings"/>
                    </w:rPr>
                    <w:t></w:t>
                  </w:r>
                </w:p>
              </w:tc>
              <w:tc>
                <w:tcPr>
                  <w:tcW w:w="504" w:type="pct"/>
                  <w:shd w:val="clear" w:color="auto" w:fill="F2F2F2" w:themeFill="background1" w:themeFillShade="F2"/>
                </w:tcPr>
                <w:p w14:paraId="0C69C838" w14:textId="77777777" w:rsidR="0011262F" w:rsidRPr="009C7B5C" w:rsidRDefault="0011262F" w:rsidP="00B54007">
                  <w:pPr>
                    <w:pStyle w:val="TableBodyText"/>
                    <w:ind w:right="28"/>
                    <w:rPr>
                      <w:rFonts w:ascii="Wingdings" w:hAnsi="Wingdings"/>
                    </w:rPr>
                  </w:pPr>
                </w:p>
              </w:tc>
            </w:tr>
            <w:tr w:rsidR="0011262F" w:rsidRPr="009C7B5C" w14:paraId="07DE1668" w14:textId="77777777" w:rsidTr="00B54007">
              <w:tc>
                <w:tcPr>
                  <w:tcW w:w="2450" w:type="pct"/>
                  <w:shd w:val="clear" w:color="auto" w:fill="auto"/>
                </w:tcPr>
                <w:p w14:paraId="236E6788" w14:textId="77777777" w:rsidR="0011262F" w:rsidRPr="009C7B5C" w:rsidRDefault="0011262F" w:rsidP="00B54007">
                  <w:pPr>
                    <w:pStyle w:val="TableBodyText"/>
                    <w:jc w:val="left"/>
                  </w:pPr>
                  <w:r w:rsidRPr="009C7B5C">
                    <w:t>Number of investment options</w:t>
                  </w:r>
                </w:p>
              </w:tc>
              <w:tc>
                <w:tcPr>
                  <w:tcW w:w="370" w:type="pct"/>
                </w:tcPr>
                <w:p w14:paraId="5D86922A" w14:textId="77777777" w:rsidR="0011262F" w:rsidRPr="009C7B5C" w:rsidRDefault="0011262F" w:rsidP="00B54007">
                  <w:pPr>
                    <w:pStyle w:val="TableBodyText"/>
                  </w:pPr>
                  <w:r w:rsidRPr="009C7B5C">
                    <w:rPr>
                      <w:rFonts w:ascii="Wingdings" w:hAnsi="Wingdings"/>
                    </w:rPr>
                    <w:t></w:t>
                  </w:r>
                </w:p>
              </w:tc>
              <w:tc>
                <w:tcPr>
                  <w:tcW w:w="638" w:type="pct"/>
                  <w:shd w:val="clear" w:color="auto" w:fill="auto"/>
                </w:tcPr>
                <w:p w14:paraId="0EA23339" w14:textId="77777777" w:rsidR="0011262F" w:rsidRPr="009C7B5C" w:rsidRDefault="0011262F" w:rsidP="00B54007">
                  <w:pPr>
                    <w:pStyle w:val="TableBodyText"/>
                  </w:pPr>
                  <w:r w:rsidRPr="009C7B5C">
                    <w:rPr>
                      <w:rFonts w:ascii="Wingdings" w:hAnsi="Wingdings"/>
                    </w:rPr>
                    <w:t></w:t>
                  </w:r>
                </w:p>
              </w:tc>
              <w:tc>
                <w:tcPr>
                  <w:tcW w:w="532" w:type="pct"/>
                  <w:shd w:val="clear" w:color="auto" w:fill="auto"/>
                </w:tcPr>
                <w:p w14:paraId="7F93BCA3" w14:textId="77777777" w:rsidR="0011262F" w:rsidRPr="009C7B5C" w:rsidRDefault="0011262F" w:rsidP="00B54007">
                  <w:pPr>
                    <w:pStyle w:val="TableBodyText"/>
                    <w:ind w:right="28"/>
                  </w:pPr>
                </w:p>
              </w:tc>
              <w:tc>
                <w:tcPr>
                  <w:tcW w:w="506" w:type="pct"/>
                </w:tcPr>
                <w:p w14:paraId="61B8BC7D" w14:textId="77777777" w:rsidR="0011262F" w:rsidRPr="009C7B5C" w:rsidRDefault="0011262F" w:rsidP="00B54007">
                  <w:pPr>
                    <w:pStyle w:val="TableBodyText"/>
                    <w:ind w:right="28"/>
                    <w:rPr>
                      <w:b/>
                    </w:rPr>
                  </w:pPr>
                  <w:r>
                    <w:rPr>
                      <w:rFonts w:ascii="Wingdings" w:hAnsi="Wingdings"/>
                    </w:rPr>
                    <w:t></w:t>
                  </w:r>
                </w:p>
              </w:tc>
              <w:tc>
                <w:tcPr>
                  <w:tcW w:w="504" w:type="pct"/>
                </w:tcPr>
                <w:p w14:paraId="0723EA3F" w14:textId="77777777" w:rsidR="0011262F" w:rsidRDefault="0011262F" w:rsidP="00B54007">
                  <w:pPr>
                    <w:pStyle w:val="TableBodyText"/>
                    <w:ind w:right="28"/>
                    <w:rPr>
                      <w:rFonts w:ascii="Wingdings" w:hAnsi="Wingdings"/>
                    </w:rPr>
                  </w:pPr>
                </w:p>
              </w:tc>
            </w:tr>
            <w:tr w:rsidR="0011262F" w:rsidRPr="009C7B5C" w14:paraId="2C75256A" w14:textId="77777777" w:rsidTr="00B54007">
              <w:tc>
                <w:tcPr>
                  <w:tcW w:w="2450" w:type="pct"/>
                  <w:shd w:val="clear" w:color="auto" w:fill="F2F2F2" w:themeFill="background1" w:themeFillShade="F2"/>
                </w:tcPr>
                <w:p w14:paraId="6E0E4B00" w14:textId="77777777" w:rsidR="0011262F" w:rsidRPr="009C7B5C" w:rsidRDefault="0011262F" w:rsidP="00B54007">
                  <w:pPr>
                    <w:pStyle w:val="TableBodyText"/>
                    <w:jc w:val="left"/>
                  </w:pPr>
                  <w:r w:rsidRPr="009C7B5C">
                    <w:t>Net contributions</w:t>
                  </w:r>
                </w:p>
              </w:tc>
              <w:tc>
                <w:tcPr>
                  <w:tcW w:w="370" w:type="pct"/>
                  <w:shd w:val="clear" w:color="auto" w:fill="F2F2F2" w:themeFill="background1" w:themeFillShade="F2"/>
                </w:tcPr>
                <w:p w14:paraId="35603A2F" w14:textId="77777777" w:rsidR="0011262F" w:rsidRPr="009C7B5C" w:rsidRDefault="0011262F" w:rsidP="00B54007">
                  <w:pPr>
                    <w:pStyle w:val="TableBodyText"/>
                  </w:pPr>
                  <w:r w:rsidRPr="009C7B5C">
                    <w:rPr>
                      <w:rFonts w:ascii="Wingdings" w:hAnsi="Wingdings"/>
                    </w:rPr>
                    <w:t></w:t>
                  </w:r>
                </w:p>
              </w:tc>
              <w:tc>
                <w:tcPr>
                  <w:tcW w:w="638" w:type="pct"/>
                  <w:shd w:val="clear" w:color="auto" w:fill="F2F2F2" w:themeFill="background1" w:themeFillShade="F2"/>
                </w:tcPr>
                <w:p w14:paraId="47A4E83A" w14:textId="77777777" w:rsidR="0011262F" w:rsidRPr="009C7B5C" w:rsidRDefault="0011262F" w:rsidP="00B54007">
                  <w:pPr>
                    <w:pStyle w:val="TableBodyText"/>
                  </w:pPr>
                </w:p>
              </w:tc>
              <w:tc>
                <w:tcPr>
                  <w:tcW w:w="532" w:type="pct"/>
                  <w:shd w:val="clear" w:color="auto" w:fill="F2F2F2" w:themeFill="background1" w:themeFillShade="F2"/>
                </w:tcPr>
                <w:p w14:paraId="1C6DDA08" w14:textId="77777777" w:rsidR="0011262F" w:rsidRPr="009C7B5C" w:rsidRDefault="0011262F" w:rsidP="00B54007">
                  <w:pPr>
                    <w:pStyle w:val="TableBodyText"/>
                    <w:ind w:right="28"/>
                  </w:pPr>
                  <w:r>
                    <w:rPr>
                      <w:rFonts w:ascii="Wingdings" w:hAnsi="Wingdings"/>
                    </w:rPr>
                    <w:t></w:t>
                  </w:r>
                </w:p>
              </w:tc>
              <w:tc>
                <w:tcPr>
                  <w:tcW w:w="506" w:type="pct"/>
                  <w:shd w:val="clear" w:color="auto" w:fill="F2F2F2" w:themeFill="background1" w:themeFillShade="F2"/>
                </w:tcPr>
                <w:p w14:paraId="3D521A08" w14:textId="77777777" w:rsidR="0011262F" w:rsidRPr="009C7B5C" w:rsidRDefault="0011262F" w:rsidP="00B54007">
                  <w:pPr>
                    <w:pStyle w:val="TableBodyText"/>
                    <w:ind w:right="28"/>
                  </w:pPr>
                  <w:r>
                    <w:rPr>
                      <w:rFonts w:ascii="Wingdings" w:hAnsi="Wingdings"/>
                    </w:rPr>
                    <w:t></w:t>
                  </w:r>
                </w:p>
              </w:tc>
              <w:tc>
                <w:tcPr>
                  <w:tcW w:w="504" w:type="pct"/>
                  <w:shd w:val="clear" w:color="auto" w:fill="F2F2F2" w:themeFill="background1" w:themeFillShade="F2"/>
                </w:tcPr>
                <w:p w14:paraId="11BD766E" w14:textId="77777777" w:rsidR="0011262F" w:rsidRDefault="0011262F" w:rsidP="00B54007">
                  <w:pPr>
                    <w:pStyle w:val="TableBodyText"/>
                    <w:ind w:right="28"/>
                    <w:rPr>
                      <w:rFonts w:ascii="Wingdings" w:hAnsi="Wingdings"/>
                    </w:rPr>
                  </w:pPr>
                </w:p>
              </w:tc>
            </w:tr>
            <w:tr w:rsidR="0011262F" w:rsidRPr="009C7B5C" w14:paraId="1A47FEFD" w14:textId="77777777" w:rsidTr="00B54007">
              <w:tc>
                <w:tcPr>
                  <w:tcW w:w="2450" w:type="pct"/>
                  <w:shd w:val="clear" w:color="auto" w:fill="auto"/>
                </w:tcPr>
                <w:p w14:paraId="252929FA" w14:textId="77777777" w:rsidR="0011262F" w:rsidRPr="009C7B5C" w:rsidRDefault="0011262F" w:rsidP="00B54007">
                  <w:pPr>
                    <w:pStyle w:val="TableBodyText"/>
                    <w:jc w:val="left"/>
                  </w:pPr>
                  <w:r w:rsidRPr="009C7B5C">
                    <w:t>Net rollovers</w:t>
                  </w:r>
                </w:p>
              </w:tc>
              <w:tc>
                <w:tcPr>
                  <w:tcW w:w="370" w:type="pct"/>
                </w:tcPr>
                <w:p w14:paraId="373C26D3" w14:textId="77777777" w:rsidR="0011262F" w:rsidRPr="009C7B5C" w:rsidRDefault="0011262F" w:rsidP="00B54007">
                  <w:pPr>
                    <w:pStyle w:val="TableBodyText"/>
                  </w:pPr>
                  <w:r w:rsidRPr="009C7B5C">
                    <w:rPr>
                      <w:rFonts w:ascii="Wingdings" w:hAnsi="Wingdings"/>
                    </w:rPr>
                    <w:t></w:t>
                  </w:r>
                </w:p>
              </w:tc>
              <w:tc>
                <w:tcPr>
                  <w:tcW w:w="638" w:type="pct"/>
                  <w:shd w:val="clear" w:color="auto" w:fill="auto"/>
                </w:tcPr>
                <w:p w14:paraId="19AA3FAD" w14:textId="77777777" w:rsidR="0011262F" w:rsidRPr="009C7B5C" w:rsidRDefault="0011262F" w:rsidP="00B54007">
                  <w:pPr>
                    <w:pStyle w:val="TableBodyText"/>
                  </w:pPr>
                </w:p>
              </w:tc>
              <w:tc>
                <w:tcPr>
                  <w:tcW w:w="532" w:type="pct"/>
                  <w:shd w:val="clear" w:color="auto" w:fill="auto"/>
                </w:tcPr>
                <w:p w14:paraId="33598D37" w14:textId="77777777" w:rsidR="0011262F" w:rsidRPr="009C7B5C" w:rsidRDefault="0011262F" w:rsidP="00B54007">
                  <w:pPr>
                    <w:pStyle w:val="TableBodyText"/>
                    <w:ind w:right="28"/>
                  </w:pPr>
                  <w:r>
                    <w:rPr>
                      <w:rFonts w:ascii="Wingdings" w:hAnsi="Wingdings"/>
                    </w:rPr>
                    <w:t></w:t>
                  </w:r>
                </w:p>
              </w:tc>
              <w:tc>
                <w:tcPr>
                  <w:tcW w:w="506" w:type="pct"/>
                </w:tcPr>
                <w:p w14:paraId="0D8B47C2" w14:textId="77777777" w:rsidR="0011262F" w:rsidRPr="009C7B5C" w:rsidRDefault="0011262F" w:rsidP="00B54007">
                  <w:pPr>
                    <w:pStyle w:val="TableBodyText"/>
                    <w:ind w:right="28"/>
                  </w:pPr>
                  <w:r>
                    <w:rPr>
                      <w:rFonts w:ascii="Wingdings" w:hAnsi="Wingdings"/>
                    </w:rPr>
                    <w:t></w:t>
                  </w:r>
                </w:p>
              </w:tc>
              <w:tc>
                <w:tcPr>
                  <w:tcW w:w="504" w:type="pct"/>
                </w:tcPr>
                <w:p w14:paraId="334C899C" w14:textId="77777777" w:rsidR="0011262F" w:rsidRDefault="0011262F" w:rsidP="00B54007">
                  <w:pPr>
                    <w:pStyle w:val="TableBodyText"/>
                    <w:ind w:right="28"/>
                    <w:rPr>
                      <w:rFonts w:ascii="Wingdings" w:hAnsi="Wingdings"/>
                    </w:rPr>
                  </w:pPr>
                </w:p>
              </w:tc>
            </w:tr>
            <w:tr w:rsidR="0011262F" w:rsidRPr="009C7B5C" w14:paraId="68C3D5B0" w14:textId="77777777" w:rsidTr="00B54007">
              <w:tc>
                <w:tcPr>
                  <w:tcW w:w="2450" w:type="pct"/>
                  <w:shd w:val="clear" w:color="auto" w:fill="F2F2F2" w:themeFill="background1" w:themeFillShade="F2"/>
                </w:tcPr>
                <w:p w14:paraId="570DF72A" w14:textId="77777777" w:rsidR="0011262F" w:rsidRPr="009C7B5C" w:rsidRDefault="0011262F" w:rsidP="00B54007">
                  <w:pPr>
                    <w:pStyle w:val="TableBodyText"/>
                    <w:jc w:val="left"/>
                  </w:pPr>
                  <w:r w:rsidRPr="009C7B5C">
                    <w:t>Net insurance flows</w:t>
                  </w:r>
                </w:p>
              </w:tc>
              <w:tc>
                <w:tcPr>
                  <w:tcW w:w="370" w:type="pct"/>
                  <w:shd w:val="clear" w:color="auto" w:fill="F2F2F2" w:themeFill="background1" w:themeFillShade="F2"/>
                </w:tcPr>
                <w:p w14:paraId="4DCFFC7E" w14:textId="77777777" w:rsidR="0011262F" w:rsidRPr="009C7B5C" w:rsidRDefault="0011262F" w:rsidP="00B54007">
                  <w:pPr>
                    <w:pStyle w:val="TableBodyText"/>
                  </w:pPr>
                  <w:r w:rsidRPr="009C7B5C">
                    <w:rPr>
                      <w:rFonts w:ascii="Wingdings" w:hAnsi="Wingdings"/>
                    </w:rPr>
                    <w:t></w:t>
                  </w:r>
                </w:p>
              </w:tc>
              <w:tc>
                <w:tcPr>
                  <w:tcW w:w="638" w:type="pct"/>
                  <w:shd w:val="clear" w:color="auto" w:fill="F2F2F2" w:themeFill="background1" w:themeFillShade="F2"/>
                </w:tcPr>
                <w:p w14:paraId="3F165FBD" w14:textId="77777777" w:rsidR="0011262F" w:rsidRPr="009C7B5C" w:rsidRDefault="0011262F" w:rsidP="00B54007">
                  <w:pPr>
                    <w:pStyle w:val="TableBodyText"/>
                  </w:pPr>
                </w:p>
              </w:tc>
              <w:tc>
                <w:tcPr>
                  <w:tcW w:w="532" w:type="pct"/>
                  <w:shd w:val="clear" w:color="auto" w:fill="F2F2F2" w:themeFill="background1" w:themeFillShade="F2"/>
                </w:tcPr>
                <w:p w14:paraId="5863BA10" w14:textId="77777777" w:rsidR="0011262F" w:rsidRPr="009C7B5C" w:rsidRDefault="0011262F" w:rsidP="00B54007">
                  <w:pPr>
                    <w:pStyle w:val="TableBodyText"/>
                    <w:ind w:right="28"/>
                  </w:pPr>
                </w:p>
              </w:tc>
              <w:tc>
                <w:tcPr>
                  <w:tcW w:w="506" w:type="pct"/>
                  <w:shd w:val="clear" w:color="auto" w:fill="F2F2F2" w:themeFill="background1" w:themeFillShade="F2"/>
                </w:tcPr>
                <w:p w14:paraId="04E5E0F1" w14:textId="77777777" w:rsidR="0011262F" w:rsidRPr="009C7B5C" w:rsidRDefault="0011262F" w:rsidP="00B54007">
                  <w:pPr>
                    <w:pStyle w:val="TableBodyText"/>
                    <w:ind w:right="28"/>
                  </w:pPr>
                </w:p>
              </w:tc>
              <w:tc>
                <w:tcPr>
                  <w:tcW w:w="504" w:type="pct"/>
                  <w:shd w:val="clear" w:color="auto" w:fill="F2F2F2" w:themeFill="background1" w:themeFillShade="F2"/>
                </w:tcPr>
                <w:p w14:paraId="01F32AF6" w14:textId="77777777" w:rsidR="0011262F" w:rsidRPr="009C7B5C" w:rsidRDefault="0011262F" w:rsidP="00B54007">
                  <w:pPr>
                    <w:pStyle w:val="TableBodyText"/>
                    <w:ind w:right="28"/>
                  </w:pPr>
                </w:p>
              </w:tc>
            </w:tr>
            <w:tr w:rsidR="0011262F" w:rsidRPr="009C7B5C" w14:paraId="5B07087A" w14:textId="77777777" w:rsidTr="00B54007">
              <w:tc>
                <w:tcPr>
                  <w:tcW w:w="2450" w:type="pct"/>
                  <w:shd w:val="clear" w:color="auto" w:fill="auto"/>
                </w:tcPr>
                <w:p w14:paraId="3BE9B53B" w14:textId="77777777" w:rsidR="0011262F" w:rsidRPr="009C7B5C" w:rsidRDefault="0011262F" w:rsidP="00B54007">
                  <w:pPr>
                    <w:pStyle w:val="TableBodyText"/>
                    <w:jc w:val="left"/>
                  </w:pPr>
                  <w:r w:rsidRPr="009C7B5C">
                    <w:t>Stronger super (indicator)</w:t>
                  </w:r>
                </w:p>
              </w:tc>
              <w:tc>
                <w:tcPr>
                  <w:tcW w:w="370" w:type="pct"/>
                </w:tcPr>
                <w:p w14:paraId="0FDA5F52" w14:textId="77777777" w:rsidR="0011262F" w:rsidRPr="009C7B5C" w:rsidRDefault="0011262F" w:rsidP="00B54007">
                  <w:pPr>
                    <w:pStyle w:val="TableBodyText"/>
                  </w:pPr>
                  <w:r w:rsidRPr="009C7B5C">
                    <w:rPr>
                      <w:rFonts w:ascii="Wingdings" w:hAnsi="Wingdings"/>
                    </w:rPr>
                    <w:t></w:t>
                  </w:r>
                </w:p>
              </w:tc>
              <w:tc>
                <w:tcPr>
                  <w:tcW w:w="638" w:type="pct"/>
                  <w:shd w:val="clear" w:color="auto" w:fill="auto"/>
                </w:tcPr>
                <w:p w14:paraId="478779D2" w14:textId="77777777" w:rsidR="0011262F" w:rsidRPr="009C7B5C" w:rsidRDefault="0011262F" w:rsidP="00B54007">
                  <w:pPr>
                    <w:pStyle w:val="TableBodyText"/>
                  </w:pPr>
                  <w:r w:rsidRPr="009C7B5C">
                    <w:rPr>
                      <w:rFonts w:ascii="Wingdings" w:hAnsi="Wingdings"/>
                    </w:rPr>
                    <w:t></w:t>
                  </w:r>
                </w:p>
              </w:tc>
              <w:tc>
                <w:tcPr>
                  <w:tcW w:w="532" w:type="pct"/>
                  <w:shd w:val="clear" w:color="auto" w:fill="auto"/>
                </w:tcPr>
                <w:p w14:paraId="33594D80" w14:textId="77777777" w:rsidR="0011262F" w:rsidRPr="009C7B5C" w:rsidRDefault="0011262F" w:rsidP="00B54007">
                  <w:pPr>
                    <w:pStyle w:val="TableBodyText"/>
                    <w:ind w:right="28"/>
                  </w:pPr>
                  <w:r>
                    <w:rPr>
                      <w:rFonts w:ascii="Wingdings" w:hAnsi="Wingdings"/>
                    </w:rPr>
                    <w:t></w:t>
                  </w:r>
                </w:p>
              </w:tc>
              <w:tc>
                <w:tcPr>
                  <w:tcW w:w="506" w:type="pct"/>
                </w:tcPr>
                <w:p w14:paraId="03FEE3AC" w14:textId="77777777" w:rsidR="0011262F" w:rsidRPr="009C7B5C" w:rsidRDefault="0011262F" w:rsidP="00B54007">
                  <w:pPr>
                    <w:pStyle w:val="TableBodyText"/>
                    <w:ind w:right="28"/>
                  </w:pPr>
                  <w:r w:rsidRPr="009C7B5C">
                    <w:rPr>
                      <w:rFonts w:ascii="Wingdings" w:hAnsi="Wingdings"/>
                    </w:rPr>
                    <w:t></w:t>
                  </w:r>
                </w:p>
              </w:tc>
              <w:tc>
                <w:tcPr>
                  <w:tcW w:w="504" w:type="pct"/>
                </w:tcPr>
                <w:p w14:paraId="6470EB7D" w14:textId="77777777" w:rsidR="0011262F" w:rsidRPr="009C7B5C" w:rsidRDefault="0011262F" w:rsidP="00B54007">
                  <w:pPr>
                    <w:pStyle w:val="TableBodyText"/>
                    <w:ind w:right="28"/>
                    <w:rPr>
                      <w:rFonts w:ascii="Wingdings" w:hAnsi="Wingdings"/>
                    </w:rPr>
                  </w:pPr>
                </w:p>
              </w:tc>
            </w:tr>
            <w:tr w:rsidR="0011262F" w:rsidRPr="009C7B5C" w14:paraId="016A57E6" w14:textId="77777777" w:rsidTr="00B54007">
              <w:tc>
                <w:tcPr>
                  <w:tcW w:w="2450" w:type="pct"/>
                  <w:shd w:val="clear" w:color="auto" w:fill="F2F2F2" w:themeFill="background1" w:themeFillShade="F2"/>
                </w:tcPr>
                <w:p w14:paraId="37DD2A01" w14:textId="77777777" w:rsidR="0011262F" w:rsidRPr="009C7B5C" w:rsidRDefault="0011262F" w:rsidP="00B54007">
                  <w:pPr>
                    <w:pStyle w:val="TableBodyText"/>
                    <w:jc w:val="left"/>
                  </w:pPr>
                  <w:r w:rsidRPr="009C7B5C">
                    <w:t>Post reporting change (indicator)</w:t>
                  </w:r>
                </w:p>
              </w:tc>
              <w:tc>
                <w:tcPr>
                  <w:tcW w:w="370" w:type="pct"/>
                  <w:shd w:val="clear" w:color="auto" w:fill="F2F2F2" w:themeFill="background1" w:themeFillShade="F2"/>
                </w:tcPr>
                <w:p w14:paraId="3AA1419B" w14:textId="77777777" w:rsidR="0011262F" w:rsidRPr="009C7B5C" w:rsidRDefault="0011262F" w:rsidP="00B54007">
                  <w:pPr>
                    <w:pStyle w:val="TableBodyText"/>
                  </w:pPr>
                  <w:r w:rsidRPr="009C7B5C">
                    <w:rPr>
                      <w:rFonts w:ascii="Wingdings" w:hAnsi="Wingdings"/>
                    </w:rPr>
                    <w:t></w:t>
                  </w:r>
                </w:p>
              </w:tc>
              <w:tc>
                <w:tcPr>
                  <w:tcW w:w="638" w:type="pct"/>
                  <w:shd w:val="clear" w:color="auto" w:fill="F2F2F2" w:themeFill="background1" w:themeFillShade="F2"/>
                </w:tcPr>
                <w:p w14:paraId="575E9799" w14:textId="77777777" w:rsidR="0011262F" w:rsidRPr="009C7B5C" w:rsidRDefault="0011262F" w:rsidP="00B54007">
                  <w:pPr>
                    <w:pStyle w:val="TableBodyText"/>
                  </w:pPr>
                  <w:r w:rsidRPr="009C7B5C">
                    <w:rPr>
                      <w:rFonts w:ascii="Wingdings" w:hAnsi="Wingdings"/>
                    </w:rPr>
                    <w:t></w:t>
                  </w:r>
                </w:p>
              </w:tc>
              <w:tc>
                <w:tcPr>
                  <w:tcW w:w="532" w:type="pct"/>
                  <w:shd w:val="clear" w:color="auto" w:fill="F2F2F2" w:themeFill="background1" w:themeFillShade="F2"/>
                </w:tcPr>
                <w:p w14:paraId="62EA9C93" w14:textId="77777777" w:rsidR="0011262F" w:rsidRPr="009C7B5C" w:rsidRDefault="0011262F" w:rsidP="00B54007">
                  <w:pPr>
                    <w:pStyle w:val="TableBodyText"/>
                    <w:ind w:right="28"/>
                  </w:pPr>
                  <w:r>
                    <w:rPr>
                      <w:rFonts w:ascii="Wingdings" w:hAnsi="Wingdings"/>
                    </w:rPr>
                    <w:t></w:t>
                  </w:r>
                </w:p>
              </w:tc>
              <w:tc>
                <w:tcPr>
                  <w:tcW w:w="506" w:type="pct"/>
                  <w:shd w:val="clear" w:color="auto" w:fill="F2F2F2" w:themeFill="background1" w:themeFillShade="F2"/>
                </w:tcPr>
                <w:p w14:paraId="5D85A4FE" w14:textId="77777777" w:rsidR="0011262F" w:rsidRPr="009C7B5C" w:rsidRDefault="0011262F" w:rsidP="00B54007">
                  <w:pPr>
                    <w:pStyle w:val="TableBodyText"/>
                    <w:ind w:right="28"/>
                  </w:pPr>
                  <w:r w:rsidRPr="009C7B5C">
                    <w:rPr>
                      <w:rFonts w:ascii="Wingdings" w:hAnsi="Wingdings"/>
                    </w:rPr>
                    <w:t></w:t>
                  </w:r>
                </w:p>
              </w:tc>
              <w:tc>
                <w:tcPr>
                  <w:tcW w:w="504" w:type="pct"/>
                  <w:shd w:val="clear" w:color="auto" w:fill="F2F2F2" w:themeFill="background1" w:themeFillShade="F2"/>
                </w:tcPr>
                <w:p w14:paraId="6B178C32" w14:textId="77777777" w:rsidR="0011262F" w:rsidRPr="009C7B5C" w:rsidRDefault="0011262F" w:rsidP="00B54007">
                  <w:pPr>
                    <w:pStyle w:val="TableBodyText"/>
                    <w:ind w:right="28"/>
                    <w:rPr>
                      <w:rFonts w:ascii="Wingdings" w:hAnsi="Wingdings"/>
                    </w:rPr>
                  </w:pPr>
                </w:p>
              </w:tc>
            </w:tr>
            <w:tr w:rsidR="0011262F" w:rsidRPr="009C7B5C" w14:paraId="044282DB" w14:textId="77777777" w:rsidTr="00B54007">
              <w:tc>
                <w:tcPr>
                  <w:tcW w:w="2450" w:type="pct"/>
                  <w:shd w:val="clear" w:color="auto" w:fill="auto"/>
                </w:tcPr>
                <w:p w14:paraId="67BABE3C" w14:textId="77777777" w:rsidR="0011262F" w:rsidRPr="009C7B5C" w:rsidRDefault="0011262F" w:rsidP="00B54007">
                  <w:pPr>
                    <w:pStyle w:val="TableBodyText"/>
                    <w:jc w:val="left"/>
                  </w:pPr>
                  <w:r w:rsidRPr="009C7B5C">
                    <w:t>Asset classes (proportions)</w:t>
                  </w:r>
                </w:p>
              </w:tc>
              <w:tc>
                <w:tcPr>
                  <w:tcW w:w="370" w:type="pct"/>
                </w:tcPr>
                <w:p w14:paraId="02210009" w14:textId="77777777" w:rsidR="0011262F" w:rsidRPr="009C7B5C" w:rsidRDefault="0011262F" w:rsidP="00B54007">
                  <w:pPr>
                    <w:pStyle w:val="TableBodyText"/>
                  </w:pPr>
                </w:p>
              </w:tc>
              <w:tc>
                <w:tcPr>
                  <w:tcW w:w="638" w:type="pct"/>
                  <w:shd w:val="clear" w:color="auto" w:fill="auto"/>
                </w:tcPr>
                <w:p w14:paraId="470AF7FD" w14:textId="77777777" w:rsidR="0011262F" w:rsidRPr="009C7B5C" w:rsidRDefault="0011262F" w:rsidP="00B54007">
                  <w:pPr>
                    <w:pStyle w:val="TableBodyText"/>
                  </w:pPr>
                  <w:r w:rsidRPr="009C7B5C">
                    <w:rPr>
                      <w:rFonts w:ascii="Wingdings" w:hAnsi="Wingdings"/>
                    </w:rPr>
                    <w:t></w:t>
                  </w:r>
                </w:p>
              </w:tc>
              <w:tc>
                <w:tcPr>
                  <w:tcW w:w="532" w:type="pct"/>
                  <w:shd w:val="clear" w:color="auto" w:fill="auto"/>
                </w:tcPr>
                <w:p w14:paraId="0AD890E3" w14:textId="77777777" w:rsidR="0011262F" w:rsidRPr="009C7B5C" w:rsidRDefault="0011262F" w:rsidP="00B54007">
                  <w:pPr>
                    <w:pStyle w:val="TableBodyText"/>
                    <w:ind w:right="28"/>
                  </w:pPr>
                </w:p>
              </w:tc>
              <w:tc>
                <w:tcPr>
                  <w:tcW w:w="506" w:type="pct"/>
                </w:tcPr>
                <w:p w14:paraId="313B1521" w14:textId="77777777" w:rsidR="0011262F" w:rsidRPr="009C7B5C" w:rsidRDefault="0011262F" w:rsidP="00B54007">
                  <w:pPr>
                    <w:pStyle w:val="TableBodyText"/>
                    <w:ind w:right="28"/>
                  </w:pPr>
                </w:p>
              </w:tc>
              <w:tc>
                <w:tcPr>
                  <w:tcW w:w="504" w:type="pct"/>
                </w:tcPr>
                <w:p w14:paraId="42A66376" w14:textId="77777777" w:rsidR="0011262F" w:rsidRPr="009C7B5C" w:rsidRDefault="0011262F" w:rsidP="00B54007">
                  <w:pPr>
                    <w:pStyle w:val="TableBodyText"/>
                    <w:ind w:right="28"/>
                  </w:pPr>
                </w:p>
              </w:tc>
            </w:tr>
            <w:tr w:rsidR="0011262F" w:rsidRPr="009C7B5C" w14:paraId="60DFE106" w14:textId="77777777" w:rsidTr="00B54007">
              <w:tc>
                <w:tcPr>
                  <w:tcW w:w="2450" w:type="pct"/>
                  <w:shd w:val="clear" w:color="auto" w:fill="F2F2F2" w:themeFill="background1" w:themeFillShade="F2"/>
                </w:tcPr>
                <w:p w14:paraId="06A2CEFF" w14:textId="77777777" w:rsidR="0011262F" w:rsidRPr="009C7B5C" w:rsidRDefault="0011262F" w:rsidP="00B54007">
                  <w:pPr>
                    <w:pStyle w:val="TableBodyText"/>
                    <w:jc w:val="left"/>
                  </w:pPr>
                  <w:r w:rsidRPr="009C7B5C">
                    <w:t xml:space="preserve">Asset classes </w:t>
                  </w:r>
                  <m:oMath>
                    <m:r>
                      <m:rPr>
                        <m:sty m:val="p"/>
                      </m:rPr>
                      <w:rPr>
                        <w:rFonts w:ascii="Cambria Math" w:hAnsi="Cambria Math"/>
                      </w:rPr>
                      <m:t>×</m:t>
                    </m:r>
                  </m:oMath>
                  <w:r w:rsidRPr="009C7B5C">
                    <w:t xml:space="preserve"> Post reporting change</w:t>
                  </w:r>
                </w:p>
              </w:tc>
              <w:tc>
                <w:tcPr>
                  <w:tcW w:w="370" w:type="pct"/>
                  <w:shd w:val="clear" w:color="auto" w:fill="F2F2F2" w:themeFill="background1" w:themeFillShade="F2"/>
                </w:tcPr>
                <w:p w14:paraId="2EEBD265" w14:textId="77777777" w:rsidR="0011262F" w:rsidRPr="009C7B5C" w:rsidRDefault="0011262F" w:rsidP="00B54007">
                  <w:pPr>
                    <w:pStyle w:val="TableBodyText"/>
                  </w:pPr>
                </w:p>
              </w:tc>
              <w:tc>
                <w:tcPr>
                  <w:tcW w:w="638" w:type="pct"/>
                  <w:shd w:val="clear" w:color="auto" w:fill="F2F2F2" w:themeFill="background1" w:themeFillShade="F2"/>
                </w:tcPr>
                <w:p w14:paraId="27F34AA7" w14:textId="77777777" w:rsidR="0011262F" w:rsidRPr="009C7B5C" w:rsidRDefault="0011262F" w:rsidP="00B54007">
                  <w:pPr>
                    <w:pStyle w:val="TableBodyText"/>
                  </w:pPr>
                  <w:r w:rsidRPr="009C7B5C">
                    <w:rPr>
                      <w:rFonts w:ascii="Wingdings" w:hAnsi="Wingdings"/>
                    </w:rPr>
                    <w:t></w:t>
                  </w:r>
                </w:p>
              </w:tc>
              <w:tc>
                <w:tcPr>
                  <w:tcW w:w="532" w:type="pct"/>
                  <w:shd w:val="clear" w:color="auto" w:fill="F2F2F2" w:themeFill="background1" w:themeFillShade="F2"/>
                </w:tcPr>
                <w:p w14:paraId="3B83B9F7" w14:textId="77777777" w:rsidR="0011262F" w:rsidRPr="009C7B5C" w:rsidRDefault="0011262F" w:rsidP="00B54007">
                  <w:pPr>
                    <w:pStyle w:val="TableBodyText"/>
                    <w:ind w:right="28"/>
                  </w:pPr>
                </w:p>
              </w:tc>
              <w:tc>
                <w:tcPr>
                  <w:tcW w:w="506" w:type="pct"/>
                  <w:shd w:val="clear" w:color="auto" w:fill="F2F2F2" w:themeFill="background1" w:themeFillShade="F2"/>
                </w:tcPr>
                <w:p w14:paraId="478215A4" w14:textId="77777777" w:rsidR="0011262F" w:rsidRPr="009C7B5C" w:rsidRDefault="0011262F" w:rsidP="00B54007">
                  <w:pPr>
                    <w:pStyle w:val="TableBodyText"/>
                    <w:ind w:right="28"/>
                  </w:pPr>
                </w:p>
              </w:tc>
              <w:tc>
                <w:tcPr>
                  <w:tcW w:w="504" w:type="pct"/>
                  <w:shd w:val="clear" w:color="auto" w:fill="F2F2F2" w:themeFill="background1" w:themeFillShade="F2"/>
                </w:tcPr>
                <w:p w14:paraId="64851768" w14:textId="77777777" w:rsidR="0011262F" w:rsidRPr="009C7B5C" w:rsidRDefault="0011262F" w:rsidP="00B54007">
                  <w:pPr>
                    <w:pStyle w:val="TableBodyText"/>
                    <w:ind w:right="28"/>
                  </w:pPr>
                </w:p>
              </w:tc>
            </w:tr>
            <w:tr w:rsidR="0011262F" w:rsidRPr="009C7B5C" w14:paraId="4DA1D575" w14:textId="77777777" w:rsidTr="00B54007">
              <w:tc>
                <w:tcPr>
                  <w:tcW w:w="2450" w:type="pct"/>
                  <w:shd w:val="clear" w:color="auto" w:fill="auto"/>
                </w:tcPr>
                <w:p w14:paraId="07C880C5" w14:textId="77777777" w:rsidR="0011262F" w:rsidRPr="009C7B5C" w:rsidRDefault="0011262F" w:rsidP="00B54007">
                  <w:pPr>
                    <w:pStyle w:val="TableBodyText"/>
                    <w:jc w:val="left"/>
                  </w:pPr>
                  <w:r w:rsidRPr="009C7B5C">
                    <w:t>Fund type (indicator)</w:t>
                  </w:r>
                </w:p>
              </w:tc>
              <w:tc>
                <w:tcPr>
                  <w:tcW w:w="370" w:type="pct"/>
                </w:tcPr>
                <w:p w14:paraId="3200B406" w14:textId="77777777" w:rsidR="0011262F" w:rsidRPr="009C7B5C" w:rsidRDefault="0011262F" w:rsidP="00B54007">
                  <w:pPr>
                    <w:pStyle w:val="TableBodyText"/>
                  </w:pPr>
                  <w:r>
                    <w:rPr>
                      <w:rFonts w:ascii="Wingdings" w:hAnsi="Wingdings"/>
                    </w:rPr>
                    <w:t></w:t>
                  </w:r>
                </w:p>
              </w:tc>
              <w:tc>
                <w:tcPr>
                  <w:tcW w:w="638" w:type="pct"/>
                  <w:shd w:val="clear" w:color="auto" w:fill="auto"/>
                </w:tcPr>
                <w:p w14:paraId="60071555" w14:textId="77777777" w:rsidR="0011262F" w:rsidRPr="009C7B5C" w:rsidRDefault="0011262F" w:rsidP="00B54007">
                  <w:pPr>
                    <w:pStyle w:val="TableBodyText"/>
                  </w:pPr>
                  <w:r w:rsidRPr="009C7B5C">
                    <w:rPr>
                      <w:rFonts w:ascii="Wingdings" w:hAnsi="Wingdings"/>
                    </w:rPr>
                    <w:t></w:t>
                  </w:r>
                </w:p>
              </w:tc>
              <w:tc>
                <w:tcPr>
                  <w:tcW w:w="532" w:type="pct"/>
                  <w:shd w:val="clear" w:color="auto" w:fill="auto"/>
                </w:tcPr>
                <w:p w14:paraId="0ACA3ED7" w14:textId="77777777" w:rsidR="0011262F" w:rsidRPr="009C7B5C" w:rsidRDefault="0011262F" w:rsidP="00B54007">
                  <w:pPr>
                    <w:pStyle w:val="TableBodyText"/>
                    <w:ind w:right="28"/>
                  </w:pPr>
                </w:p>
              </w:tc>
              <w:tc>
                <w:tcPr>
                  <w:tcW w:w="506" w:type="pct"/>
                </w:tcPr>
                <w:p w14:paraId="0BD9733C" w14:textId="77777777" w:rsidR="0011262F" w:rsidRPr="009C7B5C" w:rsidRDefault="0011262F" w:rsidP="00B54007">
                  <w:pPr>
                    <w:pStyle w:val="TableBodyText"/>
                    <w:ind w:right="28"/>
                  </w:pPr>
                </w:p>
              </w:tc>
              <w:tc>
                <w:tcPr>
                  <w:tcW w:w="504" w:type="pct"/>
                </w:tcPr>
                <w:p w14:paraId="30266FF5" w14:textId="77777777" w:rsidR="0011262F" w:rsidRPr="009C7B5C" w:rsidRDefault="0011262F" w:rsidP="00B54007">
                  <w:pPr>
                    <w:pStyle w:val="TableBodyText"/>
                    <w:ind w:right="28"/>
                  </w:pPr>
                  <w:r w:rsidRPr="009C7B5C">
                    <w:rPr>
                      <w:rFonts w:ascii="Wingdings" w:hAnsi="Wingdings"/>
                    </w:rPr>
                    <w:t></w:t>
                  </w:r>
                </w:p>
              </w:tc>
            </w:tr>
            <w:tr w:rsidR="0011262F" w:rsidRPr="009C7B5C" w14:paraId="65C5D4E3" w14:textId="77777777" w:rsidTr="00B54007">
              <w:tc>
                <w:tcPr>
                  <w:tcW w:w="2450" w:type="pct"/>
                  <w:shd w:val="clear" w:color="auto" w:fill="F2F2F2" w:themeFill="background1" w:themeFillShade="F2"/>
                </w:tcPr>
                <w:p w14:paraId="5486BFF8" w14:textId="77777777" w:rsidR="0011262F" w:rsidRPr="009C7B5C" w:rsidRDefault="0011262F" w:rsidP="00B54007">
                  <w:pPr>
                    <w:pStyle w:val="TableBodyText"/>
                    <w:jc w:val="left"/>
                  </w:pPr>
                  <w:r w:rsidRPr="009C7B5C">
                    <w:t xml:space="preserve">Fund type </w:t>
                  </w:r>
                  <m:oMath>
                    <m:r>
                      <m:rPr>
                        <m:sty m:val="p"/>
                      </m:rPr>
                      <w:rPr>
                        <w:rFonts w:ascii="Cambria Math" w:hAnsi="Cambria Math"/>
                      </w:rPr>
                      <m:t>×</m:t>
                    </m:r>
                  </m:oMath>
                  <w:r w:rsidRPr="009C7B5C">
                    <w:t xml:space="preserve"> Assets</w:t>
                  </w:r>
                </w:p>
              </w:tc>
              <w:tc>
                <w:tcPr>
                  <w:tcW w:w="370" w:type="pct"/>
                  <w:shd w:val="clear" w:color="auto" w:fill="F2F2F2" w:themeFill="background1" w:themeFillShade="F2"/>
                </w:tcPr>
                <w:p w14:paraId="507F7E76" w14:textId="77777777" w:rsidR="0011262F" w:rsidRPr="009C7B5C" w:rsidRDefault="0011262F" w:rsidP="00B54007">
                  <w:pPr>
                    <w:pStyle w:val="TableBodyText"/>
                  </w:pPr>
                  <w:r w:rsidRPr="009C7B5C">
                    <w:rPr>
                      <w:rFonts w:ascii="Wingdings" w:hAnsi="Wingdings"/>
                    </w:rPr>
                    <w:t></w:t>
                  </w:r>
                </w:p>
              </w:tc>
              <w:tc>
                <w:tcPr>
                  <w:tcW w:w="638" w:type="pct"/>
                  <w:shd w:val="clear" w:color="auto" w:fill="F2F2F2" w:themeFill="background1" w:themeFillShade="F2"/>
                </w:tcPr>
                <w:p w14:paraId="462347E3" w14:textId="77777777" w:rsidR="0011262F" w:rsidRPr="009C7B5C" w:rsidRDefault="0011262F" w:rsidP="00B54007">
                  <w:pPr>
                    <w:pStyle w:val="TableBodyText"/>
                  </w:pPr>
                  <w:r>
                    <w:rPr>
                      <w:rFonts w:ascii="Wingdings" w:hAnsi="Wingdings"/>
                    </w:rPr>
                    <w:t></w:t>
                  </w:r>
                </w:p>
              </w:tc>
              <w:tc>
                <w:tcPr>
                  <w:tcW w:w="532" w:type="pct"/>
                  <w:shd w:val="clear" w:color="auto" w:fill="F2F2F2" w:themeFill="background1" w:themeFillShade="F2"/>
                </w:tcPr>
                <w:p w14:paraId="5289B332" w14:textId="77777777" w:rsidR="0011262F" w:rsidRPr="009C7B5C" w:rsidRDefault="0011262F" w:rsidP="00B54007">
                  <w:pPr>
                    <w:pStyle w:val="TableBodyText"/>
                    <w:ind w:right="28"/>
                  </w:pPr>
                </w:p>
              </w:tc>
              <w:tc>
                <w:tcPr>
                  <w:tcW w:w="506" w:type="pct"/>
                  <w:shd w:val="clear" w:color="auto" w:fill="F2F2F2" w:themeFill="background1" w:themeFillShade="F2"/>
                </w:tcPr>
                <w:p w14:paraId="07AC55F1" w14:textId="77777777" w:rsidR="0011262F" w:rsidRPr="009C7B5C" w:rsidRDefault="0011262F" w:rsidP="00B54007">
                  <w:pPr>
                    <w:pStyle w:val="TableBodyText"/>
                    <w:ind w:right="28"/>
                  </w:pPr>
                </w:p>
              </w:tc>
              <w:tc>
                <w:tcPr>
                  <w:tcW w:w="504" w:type="pct"/>
                  <w:shd w:val="clear" w:color="auto" w:fill="F2F2F2" w:themeFill="background1" w:themeFillShade="F2"/>
                </w:tcPr>
                <w:p w14:paraId="7969AAAE" w14:textId="77777777" w:rsidR="0011262F" w:rsidRPr="009C7B5C" w:rsidRDefault="0011262F" w:rsidP="00B54007">
                  <w:pPr>
                    <w:pStyle w:val="TableBodyText"/>
                    <w:ind w:right="28"/>
                  </w:pPr>
                </w:p>
              </w:tc>
            </w:tr>
            <w:tr w:rsidR="0011262F" w:rsidRPr="009C7B5C" w14:paraId="6EDD393F" w14:textId="77777777" w:rsidTr="00B54007">
              <w:tc>
                <w:tcPr>
                  <w:tcW w:w="2450" w:type="pct"/>
                  <w:shd w:val="clear" w:color="auto" w:fill="auto"/>
                </w:tcPr>
                <w:p w14:paraId="7184F615" w14:textId="77777777" w:rsidR="0011262F" w:rsidRPr="009C7B5C" w:rsidRDefault="0011262F" w:rsidP="00B54007">
                  <w:pPr>
                    <w:pStyle w:val="TableBodyText"/>
                    <w:jc w:val="left"/>
                  </w:pPr>
                  <w:r w:rsidRPr="009C7B5C">
                    <w:t xml:space="preserve">Fund type </w:t>
                  </w:r>
                  <m:oMath>
                    <m:r>
                      <m:rPr>
                        <m:sty m:val="p"/>
                      </m:rPr>
                      <w:rPr>
                        <w:rFonts w:ascii="Cambria Math" w:hAnsi="Cambria Math"/>
                      </w:rPr>
                      <m:t>×</m:t>
                    </m:r>
                  </m:oMath>
                  <w:r w:rsidRPr="009C7B5C">
                    <w:t xml:space="preserve"> Member accounts</w:t>
                  </w:r>
                </w:p>
              </w:tc>
              <w:tc>
                <w:tcPr>
                  <w:tcW w:w="370" w:type="pct"/>
                </w:tcPr>
                <w:p w14:paraId="14E179DE" w14:textId="77777777" w:rsidR="0011262F" w:rsidRPr="009C7B5C" w:rsidRDefault="0011262F" w:rsidP="00B54007">
                  <w:pPr>
                    <w:pStyle w:val="TableBodyText"/>
                  </w:pPr>
                  <w:r w:rsidRPr="009C7B5C">
                    <w:rPr>
                      <w:rFonts w:ascii="Wingdings" w:hAnsi="Wingdings"/>
                    </w:rPr>
                    <w:t></w:t>
                  </w:r>
                </w:p>
              </w:tc>
              <w:tc>
                <w:tcPr>
                  <w:tcW w:w="638" w:type="pct"/>
                  <w:shd w:val="clear" w:color="auto" w:fill="auto"/>
                </w:tcPr>
                <w:p w14:paraId="290D0567" w14:textId="77777777" w:rsidR="0011262F" w:rsidRPr="009C7B5C" w:rsidRDefault="0011262F" w:rsidP="00B54007">
                  <w:pPr>
                    <w:pStyle w:val="TableBodyText"/>
                  </w:pPr>
                </w:p>
              </w:tc>
              <w:tc>
                <w:tcPr>
                  <w:tcW w:w="532" w:type="pct"/>
                  <w:shd w:val="clear" w:color="auto" w:fill="auto"/>
                </w:tcPr>
                <w:p w14:paraId="73950C64" w14:textId="77777777" w:rsidR="0011262F" w:rsidRPr="009C7B5C" w:rsidRDefault="0011262F" w:rsidP="00B54007">
                  <w:pPr>
                    <w:pStyle w:val="TableBodyText"/>
                    <w:ind w:right="28"/>
                  </w:pPr>
                </w:p>
              </w:tc>
              <w:tc>
                <w:tcPr>
                  <w:tcW w:w="506" w:type="pct"/>
                </w:tcPr>
                <w:p w14:paraId="38095F93" w14:textId="77777777" w:rsidR="0011262F" w:rsidRPr="009C7B5C" w:rsidRDefault="0011262F" w:rsidP="00B54007">
                  <w:pPr>
                    <w:pStyle w:val="TableBodyText"/>
                    <w:ind w:right="28"/>
                  </w:pPr>
                </w:p>
              </w:tc>
              <w:tc>
                <w:tcPr>
                  <w:tcW w:w="504" w:type="pct"/>
                </w:tcPr>
                <w:p w14:paraId="5AA45EFF" w14:textId="77777777" w:rsidR="0011262F" w:rsidRPr="009C7B5C" w:rsidRDefault="0011262F" w:rsidP="00B54007">
                  <w:pPr>
                    <w:pStyle w:val="TableBodyText"/>
                    <w:ind w:right="28"/>
                  </w:pPr>
                </w:p>
              </w:tc>
            </w:tr>
            <w:tr w:rsidR="0011262F" w:rsidRPr="009C7B5C" w14:paraId="0CD5F65E" w14:textId="77777777" w:rsidTr="00B54007">
              <w:tc>
                <w:tcPr>
                  <w:tcW w:w="2450" w:type="pct"/>
                  <w:shd w:val="clear" w:color="auto" w:fill="F2F2F2" w:themeFill="background1" w:themeFillShade="F2"/>
                </w:tcPr>
                <w:p w14:paraId="37EA1335" w14:textId="77777777" w:rsidR="0011262F" w:rsidRPr="009C7B5C" w:rsidRDefault="0011262F" w:rsidP="00B54007">
                  <w:pPr>
                    <w:pStyle w:val="TableBodyText"/>
                    <w:jc w:val="left"/>
                  </w:pPr>
                  <w:r w:rsidRPr="009C7B5C">
                    <w:t xml:space="preserve">Fund type </w:t>
                  </w:r>
                  <m:oMath>
                    <m:r>
                      <m:rPr>
                        <m:sty m:val="p"/>
                      </m:rPr>
                      <w:rPr>
                        <w:rFonts w:ascii="Cambria Math" w:hAnsi="Cambria Math"/>
                      </w:rPr>
                      <m:t>×</m:t>
                    </m:r>
                  </m:oMath>
                  <w:r w:rsidRPr="009C7B5C">
                    <w:t xml:space="preserve"> Other</w:t>
                  </w:r>
                </w:p>
              </w:tc>
              <w:tc>
                <w:tcPr>
                  <w:tcW w:w="370" w:type="pct"/>
                  <w:shd w:val="clear" w:color="auto" w:fill="F2F2F2" w:themeFill="background1" w:themeFillShade="F2"/>
                </w:tcPr>
                <w:p w14:paraId="29EFB2B2" w14:textId="77777777" w:rsidR="0011262F" w:rsidRPr="009C7B5C" w:rsidRDefault="0011262F" w:rsidP="00B54007">
                  <w:pPr>
                    <w:pStyle w:val="TableBodyText"/>
                  </w:pPr>
                </w:p>
              </w:tc>
              <w:tc>
                <w:tcPr>
                  <w:tcW w:w="638" w:type="pct"/>
                  <w:shd w:val="clear" w:color="auto" w:fill="F2F2F2" w:themeFill="background1" w:themeFillShade="F2"/>
                </w:tcPr>
                <w:p w14:paraId="6BA7135B" w14:textId="77777777" w:rsidR="0011262F" w:rsidRPr="009C7B5C" w:rsidRDefault="0011262F" w:rsidP="00B54007">
                  <w:pPr>
                    <w:pStyle w:val="TableBodyText"/>
                  </w:pPr>
                  <w:r w:rsidRPr="009C7B5C">
                    <w:rPr>
                      <w:rFonts w:ascii="Wingdings" w:hAnsi="Wingdings"/>
                    </w:rPr>
                    <w:t></w:t>
                  </w:r>
                </w:p>
              </w:tc>
              <w:tc>
                <w:tcPr>
                  <w:tcW w:w="532" w:type="pct"/>
                  <w:shd w:val="clear" w:color="auto" w:fill="F2F2F2" w:themeFill="background1" w:themeFillShade="F2"/>
                </w:tcPr>
                <w:p w14:paraId="039E68D9" w14:textId="77777777" w:rsidR="0011262F" w:rsidRPr="009C7B5C" w:rsidRDefault="0011262F" w:rsidP="00B54007">
                  <w:pPr>
                    <w:pStyle w:val="TableBodyText"/>
                    <w:ind w:right="28"/>
                  </w:pPr>
                </w:p>
              </w:tc>
              <w:tc>
                <w:tcPr>
                  <w:tcW w:w="506" w:type="pct"/>
                  <w:shd w:val="clear" w:color="auto" w:fill="F2F2F2" w:themeFill="background1" w:themeFillShade="F2"/>
                </w:tcPr>
                <w:p w14:paraId="6F28F7C3" w14:textId="77777777" w:rsidR="0011262F" w:rsidRPr="009C7B5C" w:rsidRDefault="0011262F" w:rsidP="00B54007">
                  <w:pPr>
                    <w:pStyle w:val="TableBodyText"/>
                    <w:ind w:right="28"/>
                  </w:pPr>
                </w:p>
              </w:tc>
              <w:tc>
                <w:tcPr>
                  <w:tcW w:w="504" w:type="pct"/>
                  <w:shd w:val="clear" w:color="auto" w:fill="F2F2F2" w:themeFill="background1" w:themeFillShade="F2"/>
                </w:tcPr>
                <w:p w14:paraId="11B5F71E" w14:textId="77777777" w:rsidR="0011262F" w:rsidRPr="009C7B5C" w:rsidRDefault="0011262F" w:rsidP="00B54007">
                  <w:pPr>
                    <w:pStyle w:val="TableBodyText"/>
                    <w:ind w:right="28"/>
                  </w:pPr>
                </w:p>
              </w:tc>
            </w:tr>
            <w:tr w:rsidR="0011262F" w:rsidRPr="009C7B5C" w14:paraId="2B16550E" w14:textId="77777777" w:rsidTr="00B54007">
              <w:tc>
                <w:tcPr>
                  <w:tcW w:w="2450" w:type="pct"/>
                  <w:shd w:val="clear" w:color="auto" w:fill="auto"/>
                </w:tcPr>
                <w:p w14:paraId="07593E08" w14:textId="77777777" w:rsidR="0011262F" w:rsidRPr="009C7B5C" w:rsidRDefault="0011262F" w:rsidP="00B54007">
                  <w:pPr>
                    <w:pStyle w:val="TableBodyText"/>
                    <w:jc w:val="left"/>
                  </w:pPr>
                  <w:r w:rsidRPr="009C7B5C">
                    <w:t>Annual net return</w:t>
                  </w:r>
                </w:p>
              </w:tc>
              <w:tc>
                <w:tcPr>
                  <w:tcW w:w="370" w:type="pct"/>
                </w:tcPr>
                <w:p w14:paraId="05AD7022" w14:textId="77777777" w:rsidR="0011262F" w:rsidRPr="009C7B5C" w:rsidRDefault="0011262F" w:rsidP="00B54007">
                  <w:pPr>
                    <w:pStyle w:val="TableBodyText"/>
                  </w:pPr>
                </w:p>
              </w:tc>
              <w:tc>
                <w:tcPr>
                  <w:tcW w:w="638" w:type="pct"/>
                  <w:shd w:val="clear" w:color="auto" w:fill="auto"/>
                </w:tcPr>
                <w:p w14:paraId="69B376CE" w14:textId="77777777" w:rsidR="0011262F" w:rsidRPr="009C7B5C" w:rsidRDefault="0011262F" w:rsidP="00B54007">
                  <w:pPr>
                    <w:pStyle w:val="TableBodyText"/>
                  </w:pPr>
                </w:p>
              </w:tc>
              <w:tc>
                <w:tcPr>
                  <w:tcW w:w="532" w:type="pct"/>
                  <w:shd w:val="clear" w:color="auto" w:fill="auto"/>
                </w:tcPr>
                <w:p w14:paraId="24E1AE5B" w14:textId="77777777" w:rsidR="0011262F" w:rsidRPr="009C7B5C" w:rsidRDefault="0011262F" w:rsidP="00B54007">
                  <w:pPr>
                    <w:pStyle w:val="TableBodyText"/>
                    <w:ind w:right="28"/>
                  </w:pPr>
                  <w:r>
                    <w:rPr>
                      <w:rFonts w:ascii="Wingdings" w:hAnsi="Wingdings"/>
                    </w:rPr>
                    <w:t></w:t>
                  </w:r>
                </w:p>
              </w:tc>
              <w:tc>
                <w:tcPr>
                  <w:tcW w:w="506" w:type="pct"/>
                </w:tcPr>
                <w:p w14:paraId="00EA93A8" w14:textId="77777777" w:rsidR="0011262F" w:rsidRPr="009C7B5C" w:rsidRDefault="0011262F" w:rsidP="00B54007">
                  <w:pPr>
                    <w:pStyle w:val="TableBodyText"/>
                    <w:ind w:right="28"/>
                    <w:rPr>
                      <w:b/>
                    </w:rPr>
                  </w:pPr>
                  <w:r w:rsidRPr="009C7B5C">
                    <w:rPr>
                      <w:rFonts w:ascii="Wingdings" w:hAnsi="Wingdings"/>
                    </w:rPr>
                    <w:t></w:t>
                  </w:r>
                </w:p>
              </w:tc>
              <w:tc>
                <w:tcPr>
                  <w:tcW w:w="504" w:type="pct"/>
                </w:tcPr>
                <w:p w14:paraId="422F4928" w14:textId="77777777" w:rsidR="0011262F" w:rsidRPr="009C7B5C" w:rsidRDefault="0011262F" w:rsidP="00B54007">
                  <w:pPr>
                    <w:pStyle w:val="TableBodyText"/>
                    <w:ind w:right="28"/>
                    <w:rPr>
                      <w:rFonts w:ascii="Wingdings" w:hAnsi="Wingdings"/>
                    </w:rPr>
                  </w:pPr>
                </w:p>
              </w:tc>
            </w:tr>
            <w:tr w:rsidR="0011262F" w:rsidRPr="009C7B5C" w14:paraId="33B1045E" w14:textId="77777777" w:rsidTr="00B54007">
              <w:tc>
                <w:tcPr>
                  <w:tcW w:w="2450" w:type="pct"/>
                  <w:shd w:val="clear" w:color="auto" w:fill="F2F2F2" w:themeFill="background1" w:themeFillShade="F2"/>
                </w:tcPr>
                <w:p w14:paraId="12C9D101" w14:textId="77777777" w:rsidR="0011262F" w:rsidRPr="009C7B5C" w:rsidRDefault="0011262F" w:rsidP="00B54007">
                  <w:pPr>
                    <w:pStyle w:val="TableBodyText"/>
                    <w:jc w:val="left"/>
                  </w:pPr>
                  <w:r>
                    <w:t xml:space="preserve">Sum of </w:t>
                  </w:r>
                  <w:r w:rsidRPr="009C7B5C">
                    <w:t>other fund’s assets in same period</w:t>
                  </w:r>
                </w:p>
              </w:tc>
              <w:tc>
                <w:tcPr>
                  <w:tcW w:w="370" w:type="pct"/>
                  <w:shd w:val="clear" w:color="auto" w:fill="F2F2F2" w:themeFill="background1" w:themeFillShade="F2"/>
                </w:tcPr>
                <w:p w14:paraId="6363E1D0" w14:textId="77777777" w:rsidR="0011262F" w:rsidRPr="009C7B5C" w:rsidRDefault="0011262F" w:rsidP="00B54007">
                  <w:pPr>
                    <w:pStyle w:val="TableBodyText"/>
                  </w:pPr>
                </w:p>
              </w:tc>
              <w:tc>
                <w:tcPr>
                  <w:tcW w:w="638" w:type="pct"/>
                  <w:shd w:val="clear" w:color="auto" w:fill="F2F2F2" w:themeFill="background1" w:themeFillShade="F2"/>
                </w:tcPr>
                <w:p w14:paraId="09DAC939" w14:textId="77777777" w:rsidR="0011262F" w:rsidRPr="009C7B5C" w:rsidRDefault="0011262F" w:rsidP="00B54007">
                  <w:pPr>
                    <w:pStyle w:val="TableBodyText"/>
                  </w:pPr>
                </w:p>
              </w:tc>
              <w:tc>
                <w:tcPr>
                  <w:tcW w:w="532" w:type="pct"/>
                  <w:shd w:val="clear" w:color="auto" w:fill="F2F2F2" w:themeFill="background1" w:themeFillShade="F2"/>
                </w:tcPr>
                <w:p w14:paraId="29664F53" w14:textId="77777777" w:rsidR="0011262F" w:rsidRPr="009C7B5C" w:rsidRDefault="0011262F" w:rsidP="00B54007">
                  <w:pPr>
                    <w:pStyle w:val="TableBodyText"/>
                    <w:ind w:right="28"/>
                  </w:pPr>
                </w:p>
              </w:tc>
              <w:tc>
                <w:tcPr>
                  <w:tcW w:w="506" w:type="pct"/>
                  <w:shd w:val="clear" w:color="auto" w:fill="F2F2F2" w:themeFill="background1" w:themeFillShade="F2"/>
                </w:tcPr>
                <w:p w14:paraId="54FDDECB" w14:textId="77777777" w:rsidR="0011262F" w:rsidRPr="009C7B5C" w:rsidRDefault="0011262F" w:rsidP="00B54007">
                  <w:pPr>
                    <w:pStyle w:val="TableBodyText"/>
                    <w:ind w:right="28"/>
                  </w:pPr>
                  <w:r w:rsidRPr="009C7B5C">
                    <w:rPr>
                      <w:rFonts w:ascii="Wingdings" w:hAnsi="Wingdings"/>
                    </w:rPr>
                    <w:t></w:t>
                  </w:r>
                </w:p>
              </w:tc>
              <w:tc>
                <w:tcPr>
                  <w:tcW w:w="504" w:type="pct"/>
                  <w:shd w:val="clear" w:color="auto" w:fill="F2F2F2" w:themeFill="background1" w:themeFillShade="F2"/>
                </w:tcPr>
                <w:p w14:paraId="2A590211" w14:textId="77777777" w:rsidR="0011262F" w:rsidRPr="009C7B5C" w:rsidRDefault="0011262F" w:rsidP="00B54007">
                  <w:pPr>
                    <w:pStyle w:val="TableBodyText"/>
                    <w:ind w:right="28"/>
                    <w:rPr>
                      <w:rFonts w:ascii="Wingdings" w:hAnsi="Wingdings"/>
                    </w:rPr>
                  </w:pPr>
                </w:p>
              </w:tc>
            </w:tr>
            <w:tr w:rsidR="0011262F" w:rsidRPr="009C7B5C" w14:paraId="34C3A8FB" w14:textId="77777777" w:rsidTr="00B54007">
              <w:tc>
                <w:tcPr>
                  <w:tcW w:w="2450" w:type="pct"/>
                  <w:shd w:val="clear" w:color="auto" w:fill="auto"/>
                </w:tcPr>
                <w:p w14:paraId="29015AD9" w14:textId="77777777" w:rsidR="0011262F" w:rsidRPr="009C7B5C" w:rsidRDefault="0011262F" w:rsidP="00B54007">
                  <w:pPr>
                    <w:pStyle w:val="TableBodyText"/>
                    <w:jc w:val="left"/>
                  </w:pPr>
                  <w:r>
                    <w:t xml:space="preserve">Sum of </w:t>
                  </w:r>
                  <w:r w:rsidRPr="009C7B5C">
                    <w:t>other fund’s member accounts in same period</w:t>
                  </w:r>
                </w:p>
              </w:tc>
              <w:tc>
                <w:tcPr>
                  <w:tcW w:w="370" w:type="pct"/>
                </w:tcPr>
                <w:p w14:paraId="3407025C" w14:textId="77777777" w:rsidR="0011262F" w:rsidRPr="009C7B5C" w:rsidRDefault="0011262F" w:rsidP="00B54007">
                  <w:pPr>
                    <w:pStyle w:val="TableBodyText"/>
                  </w:pPr>
                </w:p>
              </w:tc>
              <w:tc>
                <w:tcPr>
                  <w:tcW w:w="638" w:type="pct"/>
                  <w:shd w:val="clear" w:color="auto" w:fill="auto"/>
                </w:tcPr>
                <w:p w14:paraId="0BF260DC" w14:textId="77777777" w:rsidR="0011262F" w:rsidRPr="009C7B5C" w:rsidRDefault="0011262F" w:rsidP="00B54007">
                  <w:pPr>
                    <w:pStyle w:val="TableBodyText"/>
                  </w:pPr>
                </w:p>
              </w:tc>
              <w:tc>
                <w:tcPr>
                  <w:tcW w:w="532" w:type="pct"/>
                  <w:shd w:val="clear" w:color="auto" w:fill="auto"/>
                </w:tcPr>
                <w:p w14:paraId="6C7A9ECD" w14:textId="77777777" w:rsidR="0011262F" w:rsidRPr="009C7B5C" w:rsidRDefault="0011262F" w:rsidP="00B54007">
                  <w:pPr>
                    <w:pStyle w:val="TableBodyText"/>
                    <w:ind w:right="28"/>
                  </w:pPr>
                </w:p>
              </w:tc>
              <w:tc>
                <w:tcPr>
                  <w:tcW w:w="506" w:type="pct"/>
                </w:tcPr>
                <w:p w14:paraId="372B183B" w14:textId="77777777" w:rsidR="0011262F" w:rsidRPr="009C7B5C" w:rsidRDefault="0011262F" w:rsidP="00B54007">
                  <w:pPr>
                    <w:pStyle w:val="TableBodyText"/>
                    <w:ind w:right="28"/>
                  </w:pPr>
                  <w:r w:rsidRPr="009C7B5C">
                    <w:rPr>
                      <w:rFonts w:ascii="Wingdings" w:hAnsi="Wingdings"/>
                    </w:rPr>
                    <w:t></w:t>
                  </w:r>
                </w:p>
              </w:tc>
              <w:tc>
                <w:tcPr>
                  <w:tcW w:w="504" w:type="pct"/>
                </w:tcPr>
                <w:p w14:paraId="0B4D6FB8" w14:textId="77777777" w:rsidR="0011262F" w:rsidRPr="009C7B5C" w:rsidRDefault="0011262F" w:rsidP="00B54007">
                  <w:pPr>
                    <w:pStyle w:val="TableBodyText"/>
                    <w:ind w:right="28"/>
                    <w:rPr>
                      <w:rFonts w:ascii="Wingdings" w:hAnsi="Wingdings"/>
                    </w:rPr>
                  </w:pPr>
                </w:p>
              </w:tc>
            </w:tr>
            <w:tr w:rsidR="0011262F" w:rsidRPr="009C7B5C" w14:paraId="1D183C37" w14:textId="77777777" w:rsidTr="00B54007">
              <w:tc>
                <w:tcPr>
                  <w:tcW w:w="2450" w:type="pct"/>
                  <w:shd w:val="clear" w:color="auto" w:fill="F2F2F2" w:themeFill="background1" w:themeFillShade="F2"/>
                </w:tcPr>
                <w:p w14:paraId="5136756E" w14:textId="77777777" w:rsidR="0011262F" w:rsidRPr="009C7B5C" w:rsidRDefault="0011262F" w:rsidP="00B54007">
                  <w:pPr>
                    <w:pStyle w:val="TableBodyText"/>
                    <w:jc w:val="left"/>
                  </w:pPr>
                  <w:r w:rsidRPr="009C7B5C">
                    <w:t>Sum o</w:t>
                  </w:r>
                  <w:r>
                    <w:t xml:space="preserve">f </w:t>
                  </w:r>
                  <w:r w:rsidRPr="009C7B5C">
                    <w:t>other fund’s annual net returns in same period</w:t>
                  </w:r>
                </w:p>
              </w:tc>
              <w:tc>
                <w:tcPr>
                  <w:tcW w:w="370" w:type="pct"/>
                  <w:shd w:val="clear" w:color="auto" w:fill="F2F2F2" w:themeFill="background1" w:themeFillShade="F2"/>
                </w:tcPr>
                <w:p w14:paraId="3143EB68" w14:textId="77777777" w:rsidR="0011262F" w:rsidRPr="009C7B5C" w:rsidRDefault="0011262F" w:rsidP="00B54007">
                  <w:pPr>
                    <w:pStyle w:val="TableBodyText"/>
                  </w:pPr>
                </w:p>
              </w:tc>
              <w:tc>
                <w:tcPr>
                  <w:tcW w:w="638" w:type="pct"/>
                  <w:shd w:val="clear" w:color="auto" w:fill="F2F2F2" w:themeFill="background1" w:themeFillShade="F2"/>
                </w:tcPr>
                <w:p w14:paraId="15AAC495" w14:textId="77777777" w:rsidR="0011262F" w:rsidRPr="009C7B5C" w:rsidRDefault="0011262F" w:rsidP="00B54007">
                  <w:pPr>
                    <w:pStyle w:val="TableBodyText"/>
                  </w:pPr>
                </w:p>
              </w:tc>
              <w:tc>
                <w:tcPr>
                  <w:tcW w:w="532" w:type="pct"/>
                  <w:shd w:val="clear" w:color="auto" w:fill="F2F2F2" w:themeFill="background1" w:themeFillShade="F2"/>
                </w:tcPr>
                <w:p w14:paraId="53444CC3" w14:textId="77777777" w:rsidR="0011262F" w:rsidRPr="009C7B5C" w:rsidRDefault="0011262F" w:rsidP="00B54007">
                  <w:pPr>
                    <w:pStyle w:val="TableBodyText"/>
                    <w:ind w:right="28"/>
                  </w:pPr>
                </w:p>
              </w:tc>
              <w:tc>
                <w:tcPr>
                  <w:tcW w:w="506" w:type="pct"/>
                  <w:shd w:val="clear" w:color="auto" w:fill="F2F2F2" w:themeFill="background1" w:themeFillShade="F2"/>
                </w:tcPr>
                <w:p w14:paraId="7E41BD5D" w14:textId="77777777" w:rsidR="0011262F" w:rsidRPr="009C7B5C" w:rsidRDefault="0011262F" w:rsidP="00B54007">
                  <w:pPr>
                    <w:pStyle w:val="TableBodyText"/>
                    <w:ind w:right="28"/>
                    <w:rPr>
                      <w:b/>
                    </w:rPr>
                  </w:pPr>
                  <w:r w:rsidRPr="009C7B5C">
                    <w:rPr>
                      <w:rFonts w:ascii="Wingdings" w:hAnsi="Wingdings"/>
                    </w:rPr>
                    <w:t></w:t>
                  </w:r>
                </w:p>
              </w:tc>
              <w:tc>
                <w:tcPr>
                  <w:tcW w:w="504" w:type="pct"/>
                  <w:shd w:val="clear" w:color="auto" w:fill="F2F2F2" w:themeFill="background1" w:themeFillShade="F2"/>
                </w:tcPr>
                <w:p w14:paraId="3B0A8189" w14:textId="77777777" w:rsidR="0011262F" w:rsidRPr="009C7B5C" w:rsidRDefault="0011262F" w:rsidP="00B54007">
                  <w:pPr>
                    <w:pStyle w:val="TableBodyText"/>
                    <w:ind w:right="28"/>
                    <w:rPr>
                      <w:rFonts w:ascii="Wingdings" w:hAnsi="Wingdings"/>
                    </w:rPr>
                  </w:pPr>
                </w:p>
              </w:tc>
            </w:tr>
            <w:tr w:rsidR="0011262F" w:rsidRPr="009C7B5C" w14:paraId="2049D6AA" w14:textId="77777777" w:rsidTr="00B54007">
              <w:tc>
                <w:tcPr>
                  <w:tcW w:w="2450" w:type="pct"/>
                  <w:tcBorders>
                    <w:bottom w:val="single" w:sz="6" w:space="0" w:color="BFBFBF"/>
                  </w:tcBorders>
                  <w:shd w:val="clear" w:color="auto" w:fill="auto"/>
                </w:tcPr>
                <w:p w14:paraId="45CABC7B" w14:textId="77777777" w:rsidR="0011262F" w:rsidRPr="009C7B5C" w:rsidRDefault="0011262F" w:rsidP="00B54007">
                  <w:pPr>
                    <w:pStyle w:val="TableBodyText"/>
                    <w:jc w:val="left"/>
                  </w:pPr>
                  <w:r>
                    <w:t xml:space="preserve">Fund type </w:t>
                  </w:r>
                  <m:oMath>
                    <m:r>
                      <m:rPr>
                        <m:sty m:val="p"/>
                      </m:rPr>
                      <w:rPr>
                        <w:rFonts w:ascii="Cambria Math" w:hAnsi="Cambria Math"/>
                      </w:rPr>
                      <m:t>×</m:t>
                    </m:r>
                  </m:oMath>
                  <w:r w:rsidRPr="009C7B5C">
                    <w:t xml:space="preserve"> </w:t>
                  </w:r>
                  <w:r>
                    <w:t>Change in expenses due to size</w:t>
                  </w:r>
                </w:p>
              </w:tc>
              <w:tc>
                <w:tcPr>
                  <w:tcW w:w="370" w:type="pct"/>
                  <w:tcBorders>
                    <w:bottom w:val="single" w:sz="6" w:space="0" w:color="BFBFBF"/>
                  </w:tcBorders>
                </w:tcPr>
                <w:p w14:paraId="0DADA4DC" w14:textId="77777777" w:rsidR="0011262F" w:rsidRPr="009C7B5C" w:rsidRDefault="0011262F" w:rsidP="00B54007">
                  <w:pPr>
                    <w:pStyle w:val="TableBodyText"/>
                  </w:pPr>
                </w:p>
              </w:tc>
              <w:tc>
                <w:tcPr>
                  <w:tcW w:w="638" w:type="pct"/>
                  <w:tcBorders>
                    <w:bottom w:val="single" w:sz="6" w:space="0" w:color="BFBFBF"/>
                  </w:tcBorders>
                  <w:shd w:val="clear" w:color="auto" w:fill="auto"/>
                </w:tcPr>
                <w:p w14:paraId="599A4E28" w14:textId="77777777" w:rsidR="0011262F" w:rsidRPr="009C7B5C" w:rsidRDefault="0011262F" w:rsidP="00B54007">
                  <w:pPr>
                    <w:pStyle w:val="TableBodyText"/>
                  </w:pPr>
                </w:p>
              </w:tc>
              <w:tc>
                <w:tcPr>
                  <w:tcW w:w="532" w:type="pct"/>
                  <w:tcBorders>
                    <w:bottom w:val="single" w:sz="6" w:space="0" w:color="BFBFBF"/>
                  </w:tcBorders>
                  <w:shd w:val="clear" w:color="auto" w:fill="auto"/>
                </w:tcPr>
                <w:p w14:paraId="0FB54441" w14:textId="77777777" w:rsidR="0011262F" w:rsidRPr="009C7B5C" w:rsidRDefault="0011262F" w:rsidP="00B54007">
                  <w:pPr>
                    <w:pStyle w:val="TableBodyText"/>
                    <w:ind w:right="28"/>
                  </w:pPr>
                </w:p>
              </w:tc>
              <w:tc>
                <w:tcPr>
                  <w:tcW w:w="506" w:type="pct"/>
                  <w:tcBorders>
                    <w:bottom w:val="single" w:sz="6" w:space="0" w:color="BFBFBF"/>
                  </w:tcBorders>
                </w:tcPr>
                <w:p w14:paraId="38081E6C" w14:textId="77777777" w:rsidR="0011262F" w:rsidRPr="009C7B5C" w:rsidRDefault="0011262F" w:rsidP="00B54007">
                  <w:pPr>
                    <w:pStyle w:val="TableBodyText"/>
                    <w:ind w:right="28"/>
                    <w:rPr>
                      <w:rFonts w:ascii="Wingdings" w:hAnsi="Wingdings"/>
                    </w:rPr>
                  </w:pPr>
                </w:p>
              </w:tc>
              <w:tc>
                <w:tcPr>
                  <w:tcW w:w="504" w:type="pct"/>
                  <w:tcBorders>
                    <w:bottom w:val="single" w:sz="6" w:space="0" w:color="BFBFBF"/>
                  </w:tcBorders>
                </w:tcPr>
                <w:p w14:paraId="2A83E08A" w14:textId="77777777" w:rsidR="0011262F" w:rsidRPr="009C7B5C" w:rsidRDefault="0011262F" w:rsidP="00B54007">
                  <w:pPr>
                    <w:pStyle w:val="TableBodyText"/>
                    <w:ind w:right="28"/>
                    <w:rPr>
                      <w:rFonts w:ascii="Wingdings" w:hAnsi="Wingdings"/>
                    </w:rPr>
                  </w:pPr>
                  <w:r w:rsidRPr="009C7B5C">
                    <w:rPr>
                      <w:rFonts w:ascii="Wingdings" w:hAnsi="Wingdings"/>
                    </w:rPr>
                    <w:t></w:t>
                  </w:r>
                </w:p>
              </w:tc>
            </w:tr>
          </w:tbl>
          <w:p w14:paraId="4BBD0B01" w14:textId="77777777" w:rsidR="0011262F" w:rsidRPr="009C7B5C" w:rsidRDefault="0011262F" w:rsidP="00B54007">
            <w:pPr>
              <w:pStyle w:val="Box"/>
            </w:pPr>
          </w:p>
        </w:tc>
      </w:tr>
      <w:tr w:rsidR="0011262F" w14:paraId="117D89C0" w14:textId="77777777" w:rsidTr="00B54007">
        <w:tc>
          <w:tcPr>
            <w:tcW w:w="5000" w:type="pct"/>
            <w:tcBorders>
              <w:top w:val="nil"/>
              <w:left w:val="nil"/>
              <w:bottom w:val="single" w:sz="6" w:space="0" w:color="78A22F"/>
              <w:right w:val="nil"/>
            </w:tcBorders>
            <w:shd w:val="clear" w:color="auto" w:fill="auto"/>
          </w:tcPr>
          <w:p w14:paraId="1937ECA1" w14:textId="77777777" w:rsidR="0011262F" w:rsidRDefault="0011262F" w:rsidP="00B54007">
            <w:pPr>
              <w:pStyle w:val="Box"/>
              <w:spacing w:before="0" w:line="120" w:lineRule="exact"/>
            </w:pPr>
          </w:p>
        </w:tc>
      </w:tr>
      <w:tr w:rsidR="0011262F" w:rsidRPr="000863A5" w14:paraId="40289BE2" w14:textId="77777777" w:rsidTr="00B54007">
        <w:tc>
          <w:tcPr>
            <w:tcW w:w="5000" w:type="pct"/>
            <w:tcBorders>
              <w:top w:val="single" w:sz="6" w:space="0" w:color="78A22F"/>
              <w:left w:val="nil"/>
              <w:bottom w:val="nil"/>
              <w:right w:val="nil"/>
            </w:tcBorders>
          </w:tcPr>
          <w:p w14:paraId="181A3324" w14:textId="77777777" w:rsidR="0011262F" w:rsidRPr="00626D32" w:rsidRDefault="0011262F" w:rsidP="00B54007">
            <w:pPr>
              <w:pStyle w:val="BoxSpaceBelow"/>
            </w:pPr>
          </w:p>
        </w:tc>
      </w:tr>
    </w:tbl>
    <w:p w14:paraId="70F10298" w14:textId="77777777" w:rsidR="0011262F" w:rsidRDefault="0011262F" w:rsidP="0011262F">
      <w:pPr>
        <w:pStyle w:val="Heading4"/>
      </w:pPr>
      <w:r>
        <w:t>Likelihood</w:t>
      </w:r>
    </w:p>
    <w:p w14:paraId="68FD64B9" w14:textId="77777777" w:rsidR="0011262F" w:rsidRPr="00805BBF" w:rsidRDefault="0011262F" w:rsidP="0011262F">
      <w:pPr>
        <w:pStyle w:val="BodyText"/>
      </w:pPr>
      <w:r>
        <w:t>The likelihood function (the probability distribution for outcome variables as a function of model parameters and conditional on the data) for the joint estimation of administration and investment expenses is modelled as a multivariate normal distribution:</w:t>
      </w:r>
    </w:p>
    <w:p w14:paraId="5C0DEF70" w14:textId="77777777" w:rsidR="0011262F" w:rsidRPr="008401C5" w:rsidRDefault="002F0937" w:rsidP="0011262F">
      <w:pPr>
        <w:pStyle w:val="BodyText"/>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Admin</m:t>
                    </m:r>
                  </m:e>
                </m:mr>
                <m:mr>
                  <m:e>
                    <m:r>
                      <w:rPr>
                        <w:rFonts w:ascii="Cambria Math" w:hAnsi="Cambria Math"/>
                      </w:rPr>
                      <m:t>Investment</m:t>
                    </m:r>
                  </m:e>
                </m:mr>
              </m:m>
            </m:e>
          </m:d>
          <m:r>
            <w:rPr>
              <w:rFonts w:ascii="Cambria Math" w:hAnsi="Cambria Math"/>
            </w:rPr>
            <m:t xml:space="preserve"> ~ MVN</m:t>
          </m:r>
          <m:d>
            <m:dPr>
              <m:ctrlPr>
                <w:rPr>
                  <w:rFonts w:ascii="Cambria Math" w:hAnsi="Cambria Math"/>
                  <w:i/>
                </w:rPr>
              </m:ctrlPr>
            </m:d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μ</m:t>
                            </m:r>
                          </m:e>
                          <m:sup>
                            <m:r>
                              <w:rPr>
                                <w:rFonts w:ascii="Cambria Math" w:hAnsi="Cambria Math"/>
                              </w:rPr>
                              <m:t>Admin</m:t>
                            </m:r>
                          </m:sup>
                        </m:sSup>
                      </m:e>
                    </m:mr>
                    <m:mr>
                      <m:e>
                        <m:sSup>
                          <m:sSupPr>
                            <m:ctrlPr>
                              <w:rPr>
                                <w:rFonts w:ascii="Cambria Math" w:hAnsi="Cambria Math"/>
                                <w:i/>
                              </w:rPr>
                            </m:ctrlPr>
                          </m:sSupPr>
                          <m:e>
                            <m:r>
                              <w:rPr>
                                <w:rFonts w:ascii="Cambria Math" w:hAnsi="Cambria Math"/>
                              </w:rPr>
                              <m:t>μ</m:t>
                            </m:r>
                          </m:e>
                          <m:sup>
                            <m:r>
                              <w:rPr>
                                <w:rFonts w:ascii="Cambria Math" w:hAnsi="Cambria Math"/>
                              </w:rPr>
                              <m:t>Invest</m:t>
                            </m:r>
                          </m:sup>
                        </m:sSup>
                      </m:e>
                    </m:mr>
                  </m:m>
                </m:e>
              </m:d>
              <m:r>
                <w:rPr>
                  <w:rFonts w:ascii="Cambria Math" w:hAnsi="Cambria Math"/>
                </w:rPr>
                <m:t xml:space="preserve">, </m:t>
              </m:r>
              <m:r>
                <w:rPr>
                  <w:rFonts w:ascii="Cambria Math" w:hAnsi="Cambria Math" w:hint="eastAsia"/>
                </w:rPr>
                <m:t>Σ</m:t>
              </m:r>
            </m:e>
          </m:d>
        </m:oMath>
      </m:oMathPara>
    </w:p>
    <w:p w14:paraId="1DA77A8D" w14:textId="77777777" w:rsidR="0011262F" w:rsidRDefault="0011262F" w:rsidP="0011262F">
      <w:pPr>
        <w:pStyle w:val="BodyText"/>
      </w:pPr>
    </w:p>
    <w:p w14:paraId="3D15250D" w14:textId="77777777" w:rsidR="0011262F" w:rsidRDefault="0011262F" w:rsidP="0011262F">
      <w:pPr>
        <w:pStyle w:val="BodyText"/>
      </w:pPr>
      <w:r>
        <w:lastRenderedPageBreak/>
        <w:t>With the following priors assumptions for the covariance matrix:</w:t>
      </w:r>
    </w:p>
    <w:p w14:paraId="6F3B358B" w14:textId="77777777" w:rsidR="0011262F" w:rsidRPr="008401C5" w:rsidRDefault="0011262F" w:rsidP="0011262F">
      <w:pPr>
        <w:pStyle w:val="BodyText"/>
      </w:pPr>
      <m:oMathPara>
        <m:oMath>
          <m:r>
            <m:rPr>
              <m:sty m:val="p"/>
            </m:rPr>
            <w:rPr>
              <w:rFonts w:ascii="Cambria Math" w:hAnsi="Cambria Math"/>
            </w:rPr>
            <m:t>Σ</m:t>
          </m:r>
          <m:r>
            <w:rPr>
              <w:rFonts w:ascii="Cambria Math" w:hAnsi="Cambria Math"/>
            </w:rPr>
            <m:t xml:space="preserve"> =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σ</m:t>
                        </m:r>
                      </m:e>
                      <m:sup>
                        <m:r>
                          <w:rPr>
                            <w:rFonts w:ascii="Cambria Math" w:hAnsi="Cambria Math"/>
                          </w:rPr>
                          <m:t>A</m:t>
                        </m:r>
                      </m:sup>
                    </m:sSup>
                  </m:e>
                  <m:e>
                    <m:r>
                      <w:rPr>
                        <w:rFonts w:ascii="Cambria Math" w:hAnsi="Cambria Math"/>
                      </w:rPr>
                      <m:t>0</m:t>
                    </m:r>
                  </m:e>
                </m:mr>
                <m:mr>
                  <m:e>
                    <m:r>
                      <w:rPr>
                        <w:rFonts w:ascii="Cambria Math" w:hAnsi="Cambria Math"/>
                      </w:rPr>
                      <m:t>0</m:t>
                    </m:r>
                  </m:e>
                  <m:e>
                    <m:sSup>
                      <m:sSupPr>
                        <m:ctrlPr>
                          <w:rPr>
                            <w:rFonts w:ascii="Cambria Math" w:hAnsi="Cambria Math"/>
                            <w:i/>
                          </w:rPr>
                        </m:ctrlPr>
                      </m:sSupPr>
                      <m:e>
                        <m:r>
                          <w:rPr>
                            <w:rFonts w:ascii="Cambria Math" w:hAnsi="Cambria Math"/>
                          </w:rPr>
                          <m:t>σ</m:t>
                        </m:r>
                      </m:e>
                      <m:sup>
                        <m:r>
                          <w:rPr>
                            <w:rFonts w:ascii="Cambria Math" w:hAnsi="Cambria Math"/>
                          </w:rPr>
                          <m:t>I</m:t>
                        </m:r>
                      </m:sup>
                    </m:sSup>
                  </m:e>
                </m:mr>
              </m:m>
            </m:e>
          </m:d>
          <m:r>
            <w:rPr>
              <w:rFonts w:ascii="Cambria Math" w:hAnsi="Cambria Math"/>
            </w:rPr>
            <m:t>L</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σ</m:t>
                        </m:r>
                      </m:e>
                      <m:sup>
                        <m:r>
                          <w:rPr>
                            <w:rFonts w:ascii="Cambria Math" w:hAnsi="Cambria Math"/>
                          </w:rPr>
                          <m:t>A</m:t>
                        </m:r>
                      </m:sup>
                    </m:sSup>
                  </m:e>
                  <m:e>
                    <m:r>
                      <w:rPr>
                        <w:rFonts w:ascii="Cambria Math" w:hAnsi="Cambria Math"/>
                      </w:rPr>
                      <m:t>0</m:t>
                    </m:r>
                  </m:e>
                </m:mr>
                <m:mr>
                  <m:e>
                    <m:r>
                      <w:rPr>
                        <w:rFonts w:ascii="Cambria Math" w:hAnsi="Cambria Math"/>
                      </w:rPr>
                      <m:t>0</m:t>
                    </m:r>
                  </m:e>
                  <m:e>
                    <m:sSup>
                      <m:sSupPr>
                        <m:ctrlPr>
                          <w:rPr>
                            <w:rFonts w:ascii="Cambria Math" w:hAnsi="Cambria Math"/>
                            <w:i/>
                          </w:rPr>
                        </m:ctrlPr>
                      </m:sSupPr>
                      <m:e>
                        <m:r>
                          <w:rPr>
                            <w:rFonts w:ascii="Cambria Math" w:hAnsi="Cambria Math"/>
                          </w:rPr>
                          <m:t>σ</m:t>
                        </m:r>
                      </m:e>
                      <m:sup>
                        <m:r>
                          <w:rPr>
                            <w:rFonts w:ascii="Cambria Math" w:hAnsi="Cambria Math"/>
                          </w:rPr>
                          <m:t>I</m:t>
                        </m:r>
                      </m:sup>
                    </m:sSup>
                  </m:e>
                </m:mr>
              </m:m>
            </m:e>
          </m:d>
        </m:oMath>
      </m:oMathPara>
    </w:p>
    <w:p w14:paraId="4D81FCD2" w14:textId="77777777" w:rsidR="0011262F" w:rsidRPr="00E631D2" w:rsidRDefault="0011262F" w:rsidP="0011262F">
      <w:pPr>
        <w:pStyle w:val="BodyText"/>
      </w:pPr>
      <m:oMathPara>
        <m:oMath>
          <m:r>
            <w:rPr>
              <w:rFonts w:ascii="Cambria Math" w:hAnsi="Cambria Math"/>
            </w:rPr>
            <m:t>L ~ LKJ(50)</m:t>
          </m:r>
        </m:oMath>
      </m:oMathPara>
    </w:p>
    <w:p w14:paraId="0ECCF0B7" w14:textId="77777777" w:rsidR="0011262F" w:rsidRPr="00114150" w:rsidRDefault="002F0937" w:rsidP="0011262F">
      <w:pPr>
        <w:pStyle w:val="BodyText"/>
      </w:pPr>
      <m:oMathPara>
        <m:oMath>
          <m:sSup>
            <m:sSupPr>
              <m:ctrlPr>
                <w:rPr>
                  <w:rFonts w:ascii="Cambria Math" w:hAnsi="Cambria Math"/>
                  <w:i/>
                </w:rPr>
              </m:ctrlPr>
            </m:sSupPr>
            <m:e>
              <m:r>
                <w:rPr>
                  <w:rFonts w:ascii="Cambria Math" w:hAnsi="Cambria Math"/>
                </w:rPr>
                <m:t>σ</m:t>
              </m:r>
            </m:e>
            <m:sup>
              <m:r>
                <w:rPr>
                  <w:rFonts w:ascii="Cambria Math" w:hAnsi="Cambria Math"/>
                </w:rPr>
                <m:t>A</m:t>
              </m:r>
            </m:sup>
          </m:sSup>
          <m:r>
            <w:rPr>
              <w:rFonts w:ascii="Cambria Math" w:hAnsi="Cambria Math"/>
            </w:rPr>
            <m:t xml:space="preserve">, </m:t>
          </m:r>
          <m:sSup>
            <m:sSupPr>
              <m:ctrlPr>
                <w:rPr>
                  <w:rFonts w:ascii="Cambria Math" w:hAnsi="Cambria Math"/>
                  <w:i/>
                </w:rPr>
              </m:ctrlPr>
            </m:sSupPr>
            <m:e>
              <m:r>
                <w:rPr>
                  <w:rFonts w:ascii="Cambria Math" w:hAnsi="Cambria Math"/>
                </w:rPr>
                <m:t>σ</m:t>
              </m:r>
            </m:e>
            <m:sup>
              <m:r>
                <w:rPr>
                  <w:rFonts w:ascii="Cambria Math" w:hAnsi="Cambria Math"/>
                </w:rPr>
                <m:t>I</m:t>
              </m:r>
            </m:sup>
          </m:sSup>
          <m:r>
            <w:rPr>
              <w:rFonts w:ascii="Cambria Math" w:hAnsi="Cambria Math"/>
            </w:rPr>
            <m:t xml:space="preserve"> ~ IG(2, 1)</m:t>
          </m:r>
        </m:oMath>
      </m:oMathPara>
    </w:p>
    <w:p w14:paraId="673B4996" w14:textId="77777777" w:rsidR="0011262F" w:rsidRDefault="0011262F" w:rsidP="0011262F">
      <w:pPr>
        <w:pStyle w:val="BodyText"/>
      </w:pPr>
      <w:r>
        <w:t xml:space="preserve">The priors and their corresponding </w:t>
      </w:r>
      <w:proofErr w:type="spellStart"/>
      <w:r>
        <w:t>hyperparameters</w:t>
      </w:r>
      <w:proofErr w:type="spellEnd"/>
      <w:r>
        <w:t xml:space="preserve"> for </w:t>
      </w:r>
      <m:oMath>
        <m:sSup>
          <m:sSupPr>
            <m:ctrlPr>
              <w:rPr>
                <w:rFonts w:ascii="Cambria Math" w:hAnsi="Cambria Math"/>
                <w:i/>
              </w:rPr>
            </m:ctrlPr>
          </m:sSupPr>
          <m:e>
            <m:r>
              <w:rPr>
                <w:rFonts w:ascii="Cambria Math" w:hAnsi="Cambria Math"/>
              </w:rPr>
              <m:t>μ</m:t>
            </m:r>
          </m:e>
          <m:sup>
            <m:r>
              <w:rPr>
                <w:rFonts w:ascii="Cambria Math" w:hAnsi="Cambria Math"/>
              </w:rPr>
              <m:t>Admin</m:t>
            </m:r>
          </m:sup>
        </m:sSup>
      </m:oMath>
      <w:r>
        <w:t xml:space="preserve"> and </w:t>
      </w:r>
      <m:oMath>
        <m:sSup>
          <m:sSupPr>
            <m:ctrlPr>
              <w:rPr>
                <w:rFonts w:ascii="Cambria Math" w:hAnsi="Cambria Math"/>
                <w:i/>
              </w:rPr>
            </m:ctrlPr>
          </m:sSupPr>
          <m:e>
            <m:r>
              <w:rPr>
                <w:rFonts w:ascii="Cambria Math" w:hAnsi="Cambria Math"/>
              </w:rPr>
              <m:t>μ</m:t>
            </m:r>
          </m:e>
          <m:sup>
            <m:r>
              <w:rPr>
                <w:rFonts w:ascii="Cambria Math" w:hAnsi="Cambria Math"/>
              </w:rPr>
              <m:t>Invest</m:t>
            </m:r>
          </m:sup>
        </m:sSup>
      </m:oMath>
      <w:r>
        <w:t xml:space="preserve"> are detailed in the sections below.</w:t>
      </w:r>
    </w:p>
    <w:p w14:paraId="6882E6AB" w14:textId="77777777" w:rsidR="0011262F" w:rsidRPr="006C70D4" w:rsidRDefault="0011262F" w:rsidP="0011262F">
      <w:pPr>
        <w:pStyle w:val="Heading4"/>
      </w:pPr>
      <w:r>
        <w:t>Administration expenses</w:t>
      </w:r>
    </w:p>
    <w:p w14:paraId="00D80C89" w14:textId="77777777" w:rsidR="0011262F" w:rsidRDefault="0011262F" w:rsidP="0011262F">
      <w:pPr>
        <w:pStyle w:val="BodyText"/>
      </w:pPr>
      <w:r>
        <w:t>Mean administration expenses are modelled as being dependent on a fund</w:t>
      </w:r>
      <w:r>
        <w:noBreakHyphen/>
        <w:t>specific intercept, fund</w:t>
      </w:r>
      <w:r>
        <w:noBreakHyphen/>
        <w:t>specific slope effects, non</w:t>
      </w:r>
      <w:r>
        <w:noBreakHyphen/>
        <w:t>fund specific slope effects and a survival prediction variable:</w:t>
      </w:r>
    </w:p>
    <w:p w14:paraId="7B659226" w14:textId="77777777" w:rsidR="0011262F" w:rsidRPr="00977F44" w:rsidRDefault="002F0937" w:rsidP="0011262F">
      <w:pPr>
        <w:pStyle w:val="BodyText"/>
      </w:pPr>
      <m:oMathPara>
        <m:oMath>
          <m:sSup>
            <m:sSupPr>
              <m:ctrlPr>
                <w:rPr>
                  <w:rFonts w:ascii="Cambria Math" w:hAnsi="Cambria Math"/>
                  <w:i/>
                </w:rPr>
              </m:ctrlPr>
            </m:sSupPr>
            <m:e>
              <m:r>
                <w:rPr>
                  <w:rFonts w:ascii="Cambria Math" w:hAnsi="Cambria Math"/>
                </w:rPr>
                <m:t>μ</m:t>
              </m:r>
            </m:e>
            <m:sup>
              <m:r>
                <w:rPr>
                  <w:rFonts w:ascii="Cambria Math" w:hAnsi="Cambria Math"/>
                </w:rPr>
                <m:t>Admin</m:t>
              </m:r>
            </m:sup>
          </m:sSup>
          <m:r>
            <w:rPr>
              <w:rFonts w:ascii="Cambria Math" w:hAnsi="Cambria Math"/>
            </w:rPr>
            <m:t>=</m:t>
          </m:r>
          <m:sSubSup>
            <m:sSubSupPr>
              <m:ctrlPr>
                <w:rPr>
                  <w:rFonts w:ascii="Cambria Math" w:hAnsi="Cambria Math"/>
                  <w:i/>
                </w:rPr>
              </m:ctrlPr>
            </m:sSubSupPr>
            <m:e>
              <m:r>
                <w:rPr>
                  <w:rFonts w:ascii="Cambria Math" w:hAnsi="Cambria Math"/>
                </w:rPr>
                <m:t>α</m:t>
              </m:r>
            </m:e>
            <m:sub>
              <m:d>
                <m:dPr>
                  <m:begChr m:val="["/>
                  <m:endChr m:val="]"/>
                  <m:ctrlPr>
                    <w:rPr>
                      <w:rFonts w:ascii="Cambria Math" w:hAnsi="Cambria Math"/>
                      <w:i/>
                    </w:rPr>
                  </m:ctrlPr>
                </m:dPr>
                <m:e>
                  <m:r>
                    <w:rPr>
                      <w:rFonts w:ascii="Cambria Math" w:hAnsi="Cambria Math"/>
                    </w:rPr>
                    <m:t>i</m:t>
                  </m:r>
                </m:e>
              </m:d>
            </m:sub>
            <m:sup>
              <m:r>
                <w:rPr>
                  <w:rFonts w:ascii="Cambria Math" w:hAnsi="Cambria Math"/>
                </w:rPr>
                <m:t>A</m:t>
              </m:r>
            </m:sup>
          </m:sSubSup>
          <m:r>
            <w:rPr>
              <w:rFonts w:ascii="Cambria Math" w:hAnsi="Cambria Math"/>
            </w:rPr>
            <m:t xml:space="preserve">+ </m:t>
          </m:r>
          <m:sSup>
            <m:sSupPr>
              <m:ctrlPr>
                <w:rPr>
                  <w:rFonts w:ascii="Cambria Math" w:hAnsi="Cambria Math"/>
                  <w:i/>
                </w:rPr>
              </m:ctrlPr>
            </m:sSupPr>
            <m:e>
              <m:r>
                <w:rPr>
                  <w:rFonts w:ascii="Cambria Math" w:hAnsi="Cambria Math"/>
                </w:rPr>
                <m:t>X</m:t>
              </m:r>
            </m:e>
            <m:sup>
              <m:r>
                <w:rPr>
                  <w:rFonts w:ascii="Cambria Math" w:hAnsi="Cambria Math"/>
                </w:rPr>
                <m:t>A</m:t>
              </m:r>
            </m:sup>
          </m:sSup>
          <m:sSubSup>
            <m:sSubSupPr>
              <m:ctrlPr>
                <w:rPr>
                  <w:rFonts w:ascii="Cambria Math" w:hAnsi="Cambria Math"/>
                  <w:i/>
                </w:rPr>
              </m:ctrlPr>
            </m:sSubSupPr>
            <m:e>
              <m:r>
                <w:rPr>
                  <w:rFonts w:ascii="Cambria Math" w:hAnsi="Cambria Math"/>
                </w:rPr>
                <m:t>β</m:t>
              </m:r>
            </m:e>
            <m:sub>
              <m:d>
                <m:dPr>
                  <m:begChr m:val="["/>
                  <m:endChr m:val="]"/>
                  <m:ctrlPr>
                    <w:rPr>
                      <w:rFonts w:ascii="Cambria Math" w:hAnsi="Cambria Math"/>
                      <w:i/>
                    </w:rPr>
                  </m:ctrlPr>
                </m:dPr>
                <m:e>
                  <m:r>
                    <w:rPr>
                      <w:rFonts w:ascii="Cambria Math" w:hAnsi="Cambria Math"/>
                    </w:rPr>
                    <m:t>i</m:t>
                  </m:r>
                </m:e>
              </m:d>
            </m:sub>
            <m:sup>
              <m:r>
                <w:rPr>
                  <w:rFonts w:ascii="Cambria Math" w:hAnsi="Cambria Math"/>
                </w:rPr>
                <m:t>A</m:t>
              </m:r>
            </m:sup>
          </m:sSubSup>
          <m:r>
            <w:rPr>
              <w:rFonts w:ascii="Cambria Math" w:hAnsi="Cambria Math"/>
            </w:rPr>
            <m:t xml:space="preserve">+ </m:t>
          </m:r>
          <m:sSup>
            <m:sSupPr>
              <m:ctrlPr>
                <w:rPr>
                  <w:rFonts w:ascii="Cambria Math" w:hAnsi="Cambria Math"/>
                  <w:i/>
                </w:rPr>
              </m:ctrlPr>
            </m:sSupPr>
            <m:e>
              <m:r>
                <w:rPr>
                  <w:rFonts w:ascii="Cambria Math" w:hAnsi="Cambria Math"/>
                </w:rPr>
                <m:t>Z</m:t>
              </m:r>
            </m:e>
            <m:sup>
              <m:r>
                <w:rPr>
                  <w:rFonts w:ascii="Cambria Math" w:hAnsi="Cambria Math"/>
                </w:rPr>
                <m:t>A</m:t>
              </m:r>
            </m:sup>
          </m:sSup>
          <m:sSup>
            <m:sSupPr>
              <m:ctrlPr>
                <w:rPr>
                  <w:rFonts w:ascii="Cambria Math" w:hAnsi="Cambria Math"/>
                  <w:i/>
                </w:rPr>
              </m:ctrlPr>
            </m:sSupPr>
            <m:e>
              <m:r>
                <w:rPr>
                  <w:rFonts w:ascii="Cambria Math" w:hAnsi="Cambria Math"/>
                </w:rPr>
                <m:t>γ</m:t>
              </m:r>
            </m:e>
            <m:sup>
              <m:r>
                <w:rPr>
                  <w:rFonts w:ascii="Cambria Math" w:hAnsi="Cambria Math"/>
                </w:rPr>
                <m:t>A</m:t>
              </m:r>
            </m:sup>
          </m:sSup>
          <m:r>
            <w:rPr>
              <w:rFonts w:ascii="Cambria Math" w:hAnsi="Cambria Math"/>
            </w:rPr>
            <m:t xml:space="preserve">+ </m:t>
          </m:r>
          <m:sSup>
            <m:sSupPr>
              <m:ctrlPr>
                <w:rPr>
                  <w:rFonts w:ascii="Cambria Math" w:hAnsi="Cambria Math"/>
                  <w:i/>
                </w:rPr>
              </m:ctrlPr>
            </m:sSupPr>
            <m:e>
              <m:r>
                <w:rPr>
                  <w:rFonts w:ascii="Cambria Math" w:hAnsi="Cambria Math"/>
                </w:rPr>
                <m:t>δ</m:t>
              </m:r>
            </m:e>
            <m:sup>
              <m:r>
                <w:rPr>
                  <w:rFonts w:ascii="Cambria Math" w:hAnsi="Cambria Math"/>
                </w:rPr>
                <m:t>A</m:t>
              </m:r>
            </m:sup>
          </m:sSup>
          <m:d>
            <m:dPr>
              <m:ctrlPr>
                <w:rPr>
                  <w:rFonts w:ascii="Cambria Math" w:hAnsi="Cambria Math"/>
                  <w:i/>
                </w:rPr>
              </m:ctrlPr>
            </m:dPr>
            <m:e>
              <m:acc>
                <m:accPr>
                  <m:ctrlPr>
                    <w:rPr>
                      <w:rFonts w:ascii="Cambria Math" w:hAnsi="Cambria Math"/>
                      <w:i/>
                    </w:rPr>
                  </m:ctrlPr>
                </m:accPr>
                <m:e>
                  <m:r>
                    <w:rPr>
                      <w:rFonts w:ascii="Cambria Math" w:hAnsi="Cambria Math"/>
                    </w:rPr>
                    <m:t>p</m:t>
                  </m:r>
                </m:e>
              </m:acc>
            </m:e>
          </m:d>
          <m:sSubSup>
            <m:sSubSupPr>
              <m:ctrlPr>
                <w:rPr>
                  <w:rFonts w:ascii="Cambria Math" w:hAnsi="Cambria Math"/>
                  <w:i/>
                </w:rPr>
              </m:ctrlPr>
            </m:sSubSupPr>
            <m:e>
              <m:r>
                <w:rPr>
                  <w:rFonts w:ascii="Cambria Math" w:hAnsi="Cambria Math"/>
                </w:rPr>
                <m:t>γ</m:t>
              </m:r>
            </m:e>
            <m:sub>
              <m:r>
                <w:rPr>
                  <w:rFonts w:ascii="Cambria Math" w:hAnsi="Cambria Math"/>
                </w:rPr>
                <m:t>CF</m:t>
              </m:r>
            </m:sub>
            <m:sup>
              <m:r>
                <w:rPr>
                  <w:rFonts w:ascii="Cambria Math" w:hAnsi="Cambria Math"/>
                </w:rPr>
                <m:t>A</m:t>
              </m:r>
            </m:sup>
          </m:sSubSup>
        </m:oMath>
      </m:oMathPara>
    </w:p>
    <w:p w14:paraId="02A4A65C" w14:textId="77777777" w:rsidR="0011262F" w:rsidRPr="00DF6440" w:rsidRDefault="0011262F" w:rsidP="0011262F">
      <w:pPr>
        <w:pStyle w:val="BodyText"/>
      </w:pPr>
      <w:r>
        <w:t>The fund</w:t>
      </w:r>
      <w:r>
        <w:noBreakHyphen/>
        <w:t>specific coefficients are modelled as a multivariate normal distribution:</w:t>
      </w:r>
    </w:p>
    <w:p w14:paraId="018EBB51" w14:textId="77777777" w:rsidR="0011262F" w:rsidRPr="00B67AF7" w:rsidRDefault="002F0937" w:rsidP="0011262F">
      <w:pPr>
        <w:pStyle w:val="BodyText"/>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α</m:t>
                        </m:r>
                      </m:e>
                      <m:sub>
                        <m:d>
                          <m:dPr>
                            <m:begChr m:val="["/>
                            <m:endChr m:val="]"/>
                            <m:ctrlPr>
                              <w:rPr>
                                <w:rFonts w:ascii="Cambria Math" w:hAnsi="Cambria Math"/>
                                <w:i/>
                              </w:rPr>
                            </m:ctrlPr>
                          </m:dPr>
                          <m:e>
                            <m:r>
                              <w:rPr>
                                <w:rFonts w:ascii="Cambria Math" w:hAnsi="Cambria Math"/>
                              </w:rPr>
                              <m:t>i</m:t>
                            </m:r>
                          </m:e>
                        </m:d>
                      </m:sub>
                      <m:sup>
                        <m:r>
                          <w:rPr>
                            <w:rFonts w:ascii="Cambria Math" w:hAnsi="Cambria Math"/>
                          </w:rPr>
                          <m:t>A</m:t>
                        </m:r>
                      </m:sup>
                    </m:sSubSup>
                  </m:e>
                </m:mr>
                <m:mr>
                  <m:e>
                    <m:sSubSup>
                      <m:sSubSupPr>
                        <m:ctrlPr>
                          <w:rPr>
                            <w:rFonts w:ascii="Cambria Math" w:hAnsi="Cambria Math"/>
                            <w:i/>
                          </w:rPr>
                        </m:ctrlPr>
                      </m:sSubSupPr>
                      <m:e>
                        <m:r>
                          <w:rPr>
                            <w:rFonts w:ascii="Cambria Math" w:hAnsi="Cambria Math"/>
                          </w:rPr>
                          <m:t>β</m:t>
                        </m:r>
                      </m:e>
                      <m:sub>
                        <m:d>
                          <m:dPr>
                            <m:begChr m:val="["/>
                            <m:endChr m:val="]"/>
                            <m:ctrlPr>
                              <w:rPr>
                                <w:rFonts w:ascii="Cambria Math" w:hAnsi="Cambria Math"/>
                                <w:i/>
                              </w:rPr>
                            </m:ctrlPr>
                          </m:dPr>
                          <m:e>
                            <m:r>
                              <w:rPr>
                                <w:rFonts w:ascii="Cambria Math" w:hAnsi="Cambria Math"/>
                              </w:rPr>
                              <m:t>i</m:t>
                            </m:r>
                          </m:e>
                        </m:d>
                      </m:sub>
                      <m:sup>
                        <m:r>
                          <w:rPr>
                            <w:rFonts w:ascii="Cambria Math" w:hAnsi="Cambria Math"/>
                          </w:rPr>
                          <m:t>A</m:t>
                        </m:r>
                      </m:sup>
                    </m:sSubSup>
                  </m:e>
                </m:mr>
              </m:m>
            </m:e>
          </m:d>
          <m:r>
            <w:rPr>
              <w:rFonts w:ascii="Cambria Math" w:hAnsi="Cambria Math"/>
            </w:rPr>
            <m:t xml:space="preserve"> ~ MVN</m:t>
          </m:r>
          <m:d>
            <m:dPr>
              <m:ctrlPr>
                <w:rPr>
                  <w:rFonts w:ascii="Cambria Math" w:hAnsi="Cambria Math"/>
                  <w:i/>
                </w:rPr>
              </m:ctrlPr>
            </m:d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α</m:t>
                            </m:r>
                          </m:e>
                          <m:sup>
                            <m:r>
                              <w:rPr>
                                <w:rFonts w:ascii="Cambria Math" w:hAnsi="Cambria Math"/>
                              </w:rPr>
                              <m:t>A</m:t>
                            </m:r>
                          </m:sup>
                        </m:sSup>
                      </m:e>
                    </m:mr>
                    <m:mr>
                      <m:e>
                        <m:sSup>
                          <m:sSupPr>
                            <m:ctrlPr>
                              <w:rPr>
                                <w:rFonts w:ascii="Cambria Math" w:hAnsi="Cambria Math"/>
                                <w:i/>
                              </w:rPr>
                            </m:ctrlPr>
                          </m:sSupPr>
                          <m:e>
                            <m:r>
                              <w:rPr>
                                <w:rFonts w:ascii="Cambria Math" w:hAnsi="Cambria Math"/>
                              </w:rPr>
                              <m:t>β</m:t>
                            </m:r>
                          </m:e>
                          <m:sup>
                            <m:r>
                              <w:rPr>
                                <w:rFonts w:ascii="Cambria Math" w:hAnsi="Cambria Math"/>
                              </w:rPr>
                              <m:t>A</m:t>
                            </m:r>
                          </m:sup>
                        </m:sSup>
                      </m:e>
                    </m:mr>
                  </m:m>
                </m:e>
              </m:d>
              <m:r>
                <w:rPr>
                  <w:rFonts w:ascii="Cambria Math" w:hAnsi="Cambria Math"/>
                </w:rPr>
                <m:t xml:space="preserve">, </m:t>
              </m:r>
              <m:sSup>
                <m:sSupPr>
                  <m:ctrlPr>
                    <w:rPr>
                      <w:rFonts w:ascii="Cambria Math" w:hAnsi="Cambria Math"/>
                      <w:i/>
                    </w:rPr>
                  </m:ctrlPr>
                </m:sSupPr>
                <m:e>
                  <m:r>
                    <m:rPr>
                      <m:sty m:val="p"/>
                    </m:rPr>
                    <w:rPr>
                      <w:rFonts w:ascii="Cambria Math" w:hAnsi="Cambria Math"/>
                    </w:rPr>
                    <m:t>Σ</m:t>
                  </m:r>
                </m:e>
                <m:sup>
                  <m:r>
                    <w:rPr>
                      <w:rFonts w:ascii="Cambria Math" w:hAnsi="Cambria Math"/>
                    </w:rPr>
                    <m:t>A</m:t>
                  </m:r>
                </m:sup>
              </m:sSup>
            </m:e>
          </m:d>
        </m:oMath>
      </m:oMathPara>
    </w:p>
    <w:p w14:paraId="5BB4C621" w14:textId="77777777" w:rsidR="0011262F" w:rsidRDefault="0011262F" w:rsidP="0011262F">
      <w:pPr>
        <w:pStyle w:val="BodyText"/>
      </w:pPr>
      <w:r>
        <w:t>With the following prior assumptions:</w:t>
      </w:r>
    </w:p>
    <w:p w14:paraId="4121B733" w14:textId="77777777" w:rsidR="0011262F" w:rsidRPr="008F2140" w:rsidRDefault="002F0937" w:rsidP="0011262F">
      <w:pPr>
        <w:pStyle w:val="BodyText"/>
      </w:pPr>
      <m:oMathPara>
        <m:oMath>
          <m:sSup>
            <m:sSupPr>
              <m:ctrlPr>
                <w:rPr>
                  <w:rFonts w:ascii="Cambria Math" w:hAnsi="Cambria Math"/>
                  <w:i/>
                </w:rPr>
              </m:ctrlPr>
            </m:sSupPr>
            <m:e>
              <m:r>
                <w:rPr>
                  <w:rFonts w:ascii="Cambria Math" w:hAnsi="Cambria Math"/>
                </w:rPr>
                <m:t>α</m:t>
              </m:r>
            </m:e>
            <m:sup>
              <m:r>
                <w:rPr>
                  <w:rFonts w:ascii="Cambria Math" w:hAnsi="Cambria Math"/>
                </w:rPr>
                <m:t>A</m:t>
              </m:r>
            </m:sup>
          </m:sSup>
          <m:r>
            <w:rPr>
              <w:rFonts w:ascii="Cambria Math" w:hAnsi="Cambria Math"/>
            </w:rPr>
            <m:t xml:space="preserve">, </m:t>
          </m:r>
          <m:sSup>
            <m:sSupPr>
              <m:ctrlPr>
                <w:rPr>
                  <w:rFonts w:ascii="Cambria Math" w:hAnsi="Cambria Math"/>
                  <w:i/>
                </w:rPr>
              </m:ctrlPr>
            </m:sSupPr>
            <m:e>
              <m:r>
                <w:rPr>
                  <w:rFonts w:ascii="Cambria Math" w:hAnsi="Cambria Math"/>
                </w:rPr>
                <m:t>β</m:t>
              </m:r>
            </m:e>
            <m:sup>
              <m:r>
                <w:rPr>
                  <w:rFonts w:ascii="Cambria Math" w:hAnsi="Cambria Math"/>
                </w:rPr>
                <m:t>A</m:t>
              </m:r>
            </m:sup>
          </m:sSup>
          <m:r>
            <w:rPr>
              <w:rFonts w:ascii="Cambria Math" w:hAnsi="Cambria Math"/>
            </w:rPr>
            <m:t xml:space="preserve"> ~ N(0, 1)</m:t>
          </m:r>
        </m:oMath>
      </m:oMathPara>
    </w:p>
    <w:p w14:paraId="457DF6BE" w14:textId="77777777" w:rsidR="0011262F" w:rsidRPr="00C53A8B" w:rsidRDefault="002F0937" w:rsidP="0011262F">
      <w:pPr>
        <w:pStyle w:val="BodyText"/>
        <w:rPr>
          <w:rFonts w:ascii="Cambria Math" w:hAnsi="Cambria Math"/>
        </w:rPr>
      </w:pPr>
      <m:oMathPara>
        <m:oMath>
          <m:sSup>
            <m:sSupPr>
              <m:ctrlPr>
                <w:rPr>
                  <w:rFonts w:ascii="Cambria Math" w:hAnsi="Cambria Math"/>
                  <w:i/>
                </w:rPr>
              </m:ctrlPr>
            </m:sSupPr>
            <m:e>
              <m:r>
                <m:rPr>
                  <m:sty m:val="p"/>
                </m:rPr>
                <w:rPr>
                  <w:rFonts w:ascii="Cambria Math" w:hAnsi="Cambria Math"/>
                </w:rPr>
                <m:t>Σ</m:t>
              </m:r>
            </m:e>
            <m:sup>
              <m:r>
                <w:rPr>
                  <w:rFonts w:ascii="Cambria Math" w:hAnsi="Cambria Math"/>
                </w:rPr>
                <m:t>A</m:t>
              </m:r>
            </m:sup>
          </m:sSup>
          <m:r>
            <w:rPr>
              <w:rFonts w:ascii="Cambria Math" w:hAnsi="Cambria Math"/>
            </w:rPr>
            <m:t xml:space="preserve"> =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A</m:t>
                        </m:r>
                      </m:sup>
                    </m:sSubSup>
                  </m:e>
                  <m:e>
                    <m:r>
                      <w:rPr>
                        <w:rFonts w:ascii="Cambria Math" w:hAnsi="Cambria Math"/>
                      </w:rPr>
                      <m:t>0</m:t>
                    </m:r>
                  </m:e>
                </m:mr>
                <m:mr>
                  <m:e>
                    <m:r>
                      <w:rPr>
                        <w:rFonts w:ascii="Cambria Math" w:hAnsi="Cambria Math"/>
                      </w:rPr>
                      <m:t>0</m:t>
                    </m:r>
                  </m:e>
                  <m:e>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A</m:t>
                        </m:r>
                      </m:sup>
                    </m:sSubSup>
                  </m:e>
                </m:mr>
              </m:m>
            </m:e>
          </m:d>
          <m:sSup>
            <m:sSupPr>
              <m:ctrlPr>
                <w:rPr>
                  <w:rFonts w:ascii="Cambria Math" w:hAnsi="Cambria Math"/>
                  <w:i/>
                </w:rPr>
              </m:ctrlPr>
            </m:sSupPr>
            <m:e>
              <m:r>
                <w:rPr>
                  <w:rFonts w:ascii="Cambria Math" w:hAnsi="Cambria Math"/>
                </w:rPr>
                <m:t>L</m:t>
              </m:r>
            </m:e>
            <m:sup>
              <m:r>
                <w:rPr>
                  <w:rFonts w:ascii="Cambria Math" w:hAnsi="Cambria Math"/>
                </w:rPr>
                <m:t>A</m:t>
              </m:r>
            </m:sup>
          </m:sSup>
          <m:d>
            <m:dPr>
              <m:begChr m:val="["/>
              <m:endChr m:val="]"/>
              <m:ctrlPr>
                <w:rPr>
                  <w:rFonts w:ascii="Cambria Math" w:hAnsi="Cambria Math"/>
                  <w:i/>
                </w:rPr>
              </m:ctrlPr>
            </m:dPr>
            <m:e>
              <m:m>
                <m:mPr>
                  <m:mcs>
                    <m:mc>
                      <m:mcPr>
                        <m:count m:val="2"/>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A</m:t>
                        </m:r>
                      </m:sup>
                    </m:sSubSup>
                  </m:e>
                  <m:e>
                    <m:r>
                      <w:rPr>
                        <w:rFonts w:ascii="Cambria Math" w:hAnsi="Cambria Math"/>
                      </w:rPr>
                      <m:t>0</m:t>
                    </m:r>
                  </m:e>
                </m:mr>
                <m:mr>
                  <m:e>
                    <m:r>
                      <w:rPr>
                        <w:rFonts w:ascii="Cambria Math" w:hAnsi="Cambria Math"/>
                      </w:rPr>
                      <m:t>0</m:t>
                    </m:r>
                  </m:e>
                  <m:e>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A</m:t>
                        </m:r>
                      </m:sup>
                    </m:sSubSup>
                  </m:e>
                </m:mr>
              </m:m>
            </m:e>
          </m:d>
        </m:oMath>
      </m:oMathPara>
    </w:p>
    <w:p w14:paraId="0C6FC15A" w14:textId="77777777" w:rsidR="0011262F" w:rsidRPr="00C53A8B" w:rsidRDefault="002F0937" w:rsidP="0011262F">
      <w:pPr>
        <w:pStyle w:val="BodyText"/>
      </w:pPr>
      <m:oMathPara>
        <m:oMath>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A</m:t>
              </m:r>
            </m:sup>
          </m:sSubSup>
          <m:r>
            <w:rPr>
              <w:rFonts w:ascii="Cambria Math" w:hAnsi="Cambria Math"/>
            </w:rPr>
            <m:t xml:space="preserve"> ~ IG(2, 1)</m:t>
          </m:r>
        </m:oMath>
      </m:oMathPara>
    </w:p>
    <w:p w14:paraId="36594382" w14:textId="77777777" w:rsidR="0011262F" w:rsidRPr="00977F44" w:rsidRDefault="002F0937" w:rsidP="0011262F">
      <w:pPr>
        <w:pStyle w:val="BodyText"/>
      </w:pPr>
      <m:oMathPara>
        <m:oMath>
          <m:sSup>
            <m:sSupPr>
              <m:ctrlPr>
                <w:rPr>
                  <w:rFonts w:ascii="Cambria Math" w:hAnsi="Cambria Math"/>
                  <w:i/>
                </w:rPr>
              </m:ctrlPr>
            </m:sSupPr>
            <m:e>
              <m:r>
                <w:rPr>
                  <w:rFonts w:ascii="Cambria Math" w:hAnsi="Cambria Math"/>
                </w:rPr>
                <m:t>L</m:t>
              </m:r>
            </m:e>
            <m:sup>
              <m:r>
                <w:rPr>
                  <w:rFonts w:ascii="Cambria Math" w:hAnsi="Cambria Math"/>
                </w:rPr>
                <m:t>A</m:t>
              </m:r>
            </m:sup>
          </m:sSup>
          <m:r>
            <w:rPr>
              <w:rFonts w:ascii="Cambria Math" w:hAnsi="Cambria Math"/>
            </w:rPr>
            <m:t xml:space="preserve"> ~ LKJ(50)</m:t>
          </m:r>
        </m:oMath>
      </m:oMathPara>
    </w:p>
    <w:p w14:paraId="197F9358" w14:textId="77777777" w:rsidR="0011262F" w:rsidRPr="00E631D2" w:rsidRDefault="0011262F" w:rsidP="0011262F">
      <w:pPr>
        <w:pStyle w:val="BodyText"/>
      </w:pPr>
      <w:r>
        <w:t>The coefficients that do not vary by fund have the following priors:</w:t>
      </w:r>
    </w:p>
    <w:p w14:paraId="4E444486" w14:textId="77777777" w:rsidR="0011262F" w:rsidRPr="00B67AF7" w:rsidRDefault="002F0937" w:rsidP="0011262F">
      <w:pPr>
        <w:pStyle w:val="BodyText"/>
      </w:pPr>
      <m:oMathPara>
        <m:oMath>
          <m:sSup>
            <m:sSupPr>
              <m:ctrlPr>
                <w:rPr>
                  <w:rFonts w:ascii="Cambria Math" w:hAnsi="Cambria Math"/>
                  <w:i/>
                </w:rPr>
              </m:ctrlPr>
            </m:sSupPr>
            <m:e>
              <m:r>
                <w:rPr>
                  <w:rFonts w:ascii="Cambria Math" w:hAnsi="Cambria Math"/>
                </w:rPr>
                <m:t>γ</m:t>
              </m:r>
            </m:e>
            <m:sup>
              <m:r>
                <w:rPr>
                  <w:rFonts w:ascii="Cambria Math" w:hAnsi="Cambria Math"/>
                </w:rPr>
                <m:t>A</m:t>
              </m:r>
            </m:sup>
          </m:sSup>
          <m:r>
            <w:rPr>
              <w:rFonts w:ascii="Cambria Math" w:hAnsi="Cambria Math"/>
            </w:rPr>
            <m:t xml:space="preserve">, </m:t>
          </m:r>
          <m:sSubSup>
            <m:sSubSupPr>
              <m:ctrlPr>
                <w:rPr>
                  <w:rFonts w:ascii="Cambria Math" w:hAnsi="Cambria Math"/>
                  <w:i/>
                </w:rPr>
              </m:ctrlPr>
            </m:sSubSupPr>
            <m:e>
              <m:r>
                <w:rPr>
                  <w:rFonts w:ascii="Cambria Math" w:hAnsi="Cambria Math"/>
                </w:rPr>
                <m:t>γ</m:t>
              </m:r>
            </m:e>
            <m:sub>
              <m:r>
                <w:rPr>
                  <w:rFonts w:ascii="Cambria Math" w:hAnsi="Cambria Math"/>
                </w:rPr>
                <m:t>CF</m:t>
              </m:r>
            </m:sub>
            <m:sup>
              <m:r>
                <w:rPr>
                  <w:rFonts w:ascii="Cambria Math" w:hAnsi="Cambria Math"/>
                </w:rPr>
                <m:t>A</m:t>
              </m:r>
            </m:sup>
          </m:sSubSup>
          <m:r>
            <w:rPr>
              <w:rFonts w:ascii="Cambria Math" w:hAnsi="Cambria Math"/>
            </w:rPr>
            <m:t xml:space="preserve"> ~ N(0, 0.5)</m:t>
          </m:r>
        </m:oMath>
      </m:oMathPara>
    </w:p>
    <w:p w14:paraId="2C05B34E" w14:textId="77777777" w:rsidR="0011262F" w:rsidRPr="00764AC1" w:rsidRDefault="0011262F" w:rsidP="0011262F">
      <w:pPr>
        <w:pStyle w:val="BodyText"/>
      </w:pPr>
      <w:r>
        <w:t>The survival prediction equations are presented below.</w:t>
      </w:r>
    </w:p>
    <w:p w14:paraId="71BC7D04" w14:textId="77777777" w:rsidR="0011262F" w:rsidRDefault="0011262F" w:rsidP="0011262F">
      <w:pPr>
        <w:pStyle w:val="Heading4"/>
      </w:pPr>
      <w:r>
        <w:lastRenderedPageBreak/>
        <w:t>Investment expenses</w:t>
      </w:r>
    </w:p>
    <w:p w14:paraId="6714FFCE" w14:textId="77777777" w:rsidR="0011262F" w:rsidRDefault="0011262F" w:rsidP="0011262F">
      <w:pPr>
        <w:pStyle w:val="BodyText"/>
      </w:pPr>
      <w:r>
        <w:t>Mean investment expenses are also modelled</w:t>
      </w:r>
      <w:r w:rsidRPr="00B67AF7">
        <w:t xml:space="preserve"> </w:t>
      </w:r>
      <w:r>
        <w:t>as being dependent on a fund</w:t>
      </w:r>
      <w:r>
        <w:noBreakHyphen/>
        <w:t>specific intercept, fund</w:t>
      </w:r>
      <w:r>
        <w:noBreakHyphen/>
        <w:t>specific slope effects, non</w:t>
      </w:r>
      <w:r>
        <w:noBreakHyphen/>
        <w:t>fund specific slope effects and a survival prediction variable:</w:t>
      </w:r>
    </w:p>
    <w:p w14:paraId="2BA67DB2" w14:textId="77777777" w:rsidR="0011262F" w:rsidRPr="00973ED4" w:rsidRDefault="002F0937" w:rsidP="0011262F">
      <w:pPr>
        <w:pStyle w:val="BodyText"/>
      </w:pPr>
      <m:oMathPara>
        <m:oMath>
          <m:sSup>
            <m:sSupPr>
              <m:ctrlPr>
                <w:rPr>
                  <w:rFonts w:ascii="Cambria Math" w:hAnsi="Cambria Math"/>
                  <w:i/>
                </w:rPr>
              </m:ctrlPr>
            </m:sSupPr>
            <m:e>
              <m:r>
                <w:rPr>
                  <w:rFonts w:ascii="Cambria Math" w:hAnsi="Cambria Math"/>
                </w:rPr>
                <m:t>μ</m:t>
              </m:r>
            </m:e>
            <m:sup>
              <m:r>
                <w:rPr>
                  <w:rFonts w:ascii="Cambria Math" w:hAnsi="Cambria Math"/>
                </w:rPr>
                <m:t>Invest</m:t>
              </m:r>
            </m:sup>
          </m:sSup>
          <m:r>
            <w:rPr>
              <w:rFonts w:ascii="Cambria Math" w:hAnsi="Cambria Math"/>
            </w:rPr>
            <m:t>=</m:t>
          </m:r>
          <m:sSubSup>
            <m:sSubSupPr>
              <m:ctrlPr>
                <w:rPr>
                  <w:rFonts w:ascii="Cambria Math" w:hAnsi="Cambria Math"/>
                  <w:i/>
                </w:rPr>
              </m:ctrlPr>
            </m:sSubSupPr>
            <m:e>
              <m:r>
                <w:rPr>
                  <w:rFonts w:ascii="Cambria Math" w:hAnsi="Cambria Math"/>
                </w:rPr>
                <m:t>α</m:t>
              </m:r>
            </m:e>
            <m:sub>
              <m:r>
                <w:rPr>
                  <w:rFonts w:ascii="Cambria Math" w:hAnsi="Cambria Math"/>
                </w:rPr>
                <m:t>[i]</m:t>
              </m:r>
            </m:sub>
            <m:sup>
              <m:r>
                <w:rPr>
                  <w:rFonts w:ascii="Cambria Math" w:hAnsi="Cambria Math"/>
                </w:rPr>
                <m:t>I</m:t>
              </m:r>
            </m:sup>
          </m:sSubSup>
          <m:r>
            <w:rPr>
              <w:rFonts w:ascii="Cambria Math" w:hAnsi="Cambria Math"/>
            </w:rPr>
            <m:t xml:space="preserve">+ </m:t>
          </m:r>
          <m:sSup>
            <m:sSupPr>
              <m:ctrlPr>
                <w:rPr>
                  <w:rFonts w:ascii="Cambria Math" w:hAnsi="Cambria Math"/>
                  <w:i/>
                </w:rPr>
              </m:ctrlPr>
            </m:sSupPr>
            <m:e>
              <m:r>
                <w:rPr>
                  <w:rFonts w:ascii="Cambria Math" w:hAnsi="Cambria Math"/>
                </w:rPr>
                <m:t>X</m:t>
              </m:r>
            </m:e>
            <m:sup>
              <m:r>
                <w:rPr>
                  <w:rFonts w:ascii="Cambria Math" w:hAnsi="Cambria Math"/>
                </w:rPr>
                <m:t>I</m:t>
              </m:r>
            </m:sup>
          </m:sSup>
          <m:sSubSup>
            <m:sSubSupPr>
              <m:ctrlPr>
                <w:rPr>
                  <w:rFonts w:ascii="Cambria Math" w:hAnsi="Cambria Math"/>
                  <w:i/>
                </w:rPr>
              </m:ctrlPr>
            </m:sSubSupPr>
            <m:e>
              <m:r>
                <w:rPr>
                  <w:rFonts w:ascii="Cambria Math" w:hAnsi="Cambria Math"/>
                </w:rPr>
                <m:t>β</m:t>
              </m:r>
            </m:e>
            <m:sub>
              <m:d>
                <m:dPr>
                  <m:begChr m:val="["/>
                  <m:endChr m:val="]"/>
                  <m:ctrlPr>
                    <w:rPr>
                      <w:rFonts w:ascii="Cambria Math" w:hAnsi="Cambria Math"/>
                      <w:i/>
                    </w:rPr>
                  </m:ctrlPr>
                </m:dPr>
                <m:e>
                  <m:r>
                    <w:rPr>
                      <w:rFonts w:ascii="Cambria Math" w:hAnsi="Cambria Math"/>
                    </w:rPr>
                    <m:t>i</m:t>
                  </m:r>
                </m:e>
              </m:d>
            </m:sub>
            <m:sup>
              <m:r>
                <w:rPr>
                  <w:rFonts w:ascii="Cambria Math" w:hAnsi="Cambria Math"/>
                </w:rPr>
                <m:t>I</m:t>
              </m:r>
            </m:sup>
          </m:sSubSup>
          <m:r>
            <w:rPr>
              <w:rFonts w:ascii="Cambria Math" w:hAnsi="Cambria Math"/>
            </w:rPr>
            <m:t xml:space="preserve">+ </m:t>
          </m:r>
          <m:sSup>
            <m:sSupPr>
              <m:ctrlPr>
                <w:rPr>
                  <w:rFonts w:ascii="Cambria Math" w:hAnsi="Cambria Math"/>
                  <w:i/>
                </w:rPr>
              </m:ctrlPr>
            </m:sSupPr>
            <m:e>
              <m:r>
                <w:rPr>
                  <w:rFonts w:ascii="Cambria Math" w:hAnsi="Cambria Math"/>
                </w:rPr>
                <m:t>Z</m:t>
              </m:r>
            </m:e>
            <m:sup>
              <m:r>
                <w:rPr>
                  <w:rFonts w:ascii="Cambria Math" w:hAnsi="Cambria Math"/>
                </w:rPr>
                <m:t>I</m:t>
              </m:r>
            </m:sup>
          </m:sSup>
          <m:sSup>
            <m:sSupPr>
              <m:ctrlPr>
                <w:rPr>
                  <w:rFonts w:ascii="Cambria Math" w:hAnsi="Cambria Math"/>
                  <w:i/>
                </w:rPr>
              </m:ctrlPr>
            </m:sSupPr>
            <m:e>
              <m:r>
                <w:rPr>
                  <w:rFonts w:ascii="Cambria Math" w:hAnsi="Cambria Math"/>
                </w:rPr>
                <m:t>γ</m:t>
              </m:r>
            </m:e>
            <m:sup>
              <m:r>
                <w:rPr>
                  <w:rFonts w:ascii="Cambria Math" w:hAnsi="Cambria Math"/>
                </w:rPr>
                <m:t>I</m:t>
              </m:r>
            </m:sup>
          </m:sSup>
          <m:r>
            <w:rPr>
              <w:rFonts w:ascii="Cambria Math" w:hAnsi="Cambria Math"/>
            </w:rPr>
            <m:t xml:space="preserve">+ </m:t>
          </m:r>
          <m:sSup>
            <m:sSupPr>
              <m:ctrlPr>
                <w:rPr>
                  <w:rFonts w:ascii="Cambria Math" w:hAnsi="Cambria Math"/>
                  <w:i/>
                </w:rPr>
              </m:ctrlPr>
            </m:sSupPr>
            <m:e>
              <m:r>
                <w:rPr>
                  <w:rFonts w:ascii="Cambria Math" w:hAnsi="Cambria Math"/>
                </w:rPr>
                <m:t>δ</m:t>
              </m:r>
            </m:e>
            <m:sup>
              <m:r>
                <w:rPr>
                  <w:rFonts w:ascii="Cambria Math" w:hAnsi="Cambria Math"/>
                </w:rPr>
                <m:t>I</m:t>
              </m:r>
            </m:sup>
          </m:sSup>
          <m:r>
            <w:rPr>
              <w:rFonts w:ascii="Cambria Math" w:hAnsi="Cambria Math"/>
            </w:rPr>
            <m:t>(</m:t>
          </m:r>
          <m:acc>
            <m:accPr>
              <m:ctrlPr>
                <w:rPr>
                  <w:rFonts w:ascii="Cambria Math" w:hAnsi="Cambria Math"/>
                  <w:i/>
                </w:rPr>
              </m:ctrlPr>
            </m:accPr>
            <m:e>
              <m:r>
                <w:rPr>
                  <w:rFonts w:ascii="Cambria Math" w:hAnsi="Cambria Math"/>
                </w:rPr>
                <m:t>p</m:t>
              </m:r>
            </m:e>
          </m:acc>
          <m:r>
            <w:rPr>
              <w:rFonts w:ascii="Cambria Math" w:hAnsi="Cambria Math"/>
            </w:rPr>
            <m:t xml:space="preserve">) </m:t>
          </m:r>
          <m:sSubSup>
            <m:sSubSupPr>
              <m:ctrlPr>
                <w:rPr>
                  <w:rFonts w:ascii="Cambria Math" w:hAnsi="Cambria Math"/>
                  <w:i/>
                </w:rPr>
              </m:ctrlPr>
            </m:sSubSupPr>
            <m:e>
              <m:r>
                <w:rPr>
                  <w:rFonts w:ascii="Cambria Math" w:hAnsi="Cambria Math"/>
                </w:rPr>
                <m:t>γ</m:t>
              </m:r>
            </m:e>
            <m:sub>
              <m:r>
                <w:rPr>
                  <w:rFonts w:ascii="Cambria Math" w:hAnsi="Cambria Math"/>
                </w:rPr>
                <m:t>CF</m:t>
              </m:r>
            </m:sub>
            <m:sup>
              <m:r>
                <w:rPr>
                  <w:rFonts w:ascii="Cambria Math" w:hAnsi="Cambria Math"/>
                </w:rPr>
                <m:t>I</m:t>
              </m:r>
            </m:sup>
          </m:sSubSup>
        </m:oMath>
      </m:oMathPara>
    </w:p>
    <w:p w14:paraId="2D30D2CF" w14:textId="77777777" w:rsidR="0011262F" w:rsidRPr="00DF6440" w:rsidRDefault="0011262F" w:rsidP="0011262F">
      <w:pPr>
        <w:pStyle w:val="BodyText"/>
      </w:pPr>
      <w:r>
        <w:t>For the coefficients that vary by fund:</w:t>
      </w:r>
    </w:p>
    <w:p w14:paraId="45140B11" w14:textId="77777777" w:rsidR="0011262F" w:rsidRPr="00B67AF7" w:rsidRDefault="002F0937" w:rsidP="0011262F">
      <w:pPr>
        <w:pStyle w:val="BodyText"/>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α</m:t>
                        </m:r>
                      </m:e>
                      <m:sub>
                        <m:d>
                          <m:dPr>
                            <m:begChr m:val="["/>
                            <m:endChr m:val="]"/>
                            <m:ctrlPr>
                              <w:rPr>
                                <w:rFonts w:ascii="Cambria Math" w:hAnsi="Cambria Math"/>
                                <w:i/>
                              </w:rPr>
                            </m:ctrlPr>
                          </m:dPr>
                          <m:e>
                            <m:r>
                              <w:rPr>
                                <w:rFonts w:ascii="Cambria Math" w:hAnsi="Cambria Math"/>
                              </w:rPr>
                              <m:t>i</m:t>
                            </m:r>
                          </m:e>
                        </m:d>
                      </m:sub>
                      <m:sup>
                        <m:r>
                          <w:rPr>
                            <w:rFonts w:ascii="Cambria Math" w:hAnsi="Cambria Math"/>
                          </w:rPr>
                          <m:t>I</m:t>
                        </m:r>
                      </m:sup>
                    </m:sSubSup>
                  </m:e>
                </m:mr>
                <m:mr>
                  <m:e>
                    <m:sSubSup>
                      <m:sSubSupPr>
                        <m:ctrlPr>
                          <w:rPr>
                            <w:rFonts w:ascii="Cambria Math" w:hAnsi="Cambria Math"/>
                            <w:i/>
                          </w:rPr>
                        </m:ctrlPr>
                      </m:sSubSupPr>
                      <m:e>
                        <m:r>
                          <w:rPr>
                            <w:rFonts w:ascii="Cambria Math" w:hAnsi="Cambria Math"/>
                          </w:rPr>
                          <m:t>β</m:t>
                        </m:r>
                      </m:e>
                      <m:sub>
                        <m:d>
                          <m:dPr>
                            <m:begChr m:val="["/>
                            <m:endChr m:val="]"/>
                            <m:ctrlPr>
                              <w:rPr>
                                <w:rFonts w:ascii="Cambria Math" w:hAnsi="Cambria Math"/>
                                <w:i/>
                              </w:rPr>
                            </m:ctrlPr>
                          </m:dPr>
                          <m:e>
                            <m:r>
                              <w:rPr>
                                <w:rFonts w:ascii="Cambria Math" w:hAnsi="Cambria Math"/>
                              </w:rPr>
                              <m:t>i</m:t>
                            </m:r>
                          </m:e>
                        </m:d>
                      </m:sub>
                      <m:sup>
                        <m:r>
                          <w:rPr>
                            <w:rFonts w:ascii="Cambria Math" w:hAnsi="Cambria Math"/>
                          </w:rPr>
                          <m:t>I</m:t>
                        </m:r>
                      </m:sup>
                    </m:sSubSup>
                  </m:e>
                </m:mr>
              </m:m>
            </m:e>
          </m:d>
          <m:r>
            <w:rPr>
              <w:rFonts w:ascii="Cambria Math" w:hAnsi="Cambria Math"/>
            </w:rPr>
            <m:t xml:space="preserve"> ~ MVN</m:t>
          </m:r>
          <m:d>
            <m:dPr>
              <m:ctrlPr>
                <w:rPr>
                  <w:rFonts w:ascii="Cambria Math" w:hAnsi="Cambria Math"/>
                  <w:i/>
                </w:rPr>
              </m:ctrlPr>
            </m:d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α</m:t>
                            </m:r>
                          </m:e>
                          <m:sup>
                            <m:r>
                              <w:rPr>
                                <w:rFonts w:ascii="Cambria Math" w:hAnsi="Cambria Math"/>
                              </w:rPr>
                              <m:t>I</m:t>
                            </m:r>
                          </m:sup>
                        </m:sSup>
                      </m:e>
                    </m:mr>
                    <m:mr>
                      <m:e>
                        <m:sSup>
                          <m:sSupPr>
                            <m:ctrlPr>
                              <w:rPr>
                                <w:rFonts w:ascii="Cambria Math" w:hAnsi="Cambria Math"/>
                                <w:i/>
                              </w:rPr>
                            </m:ctrlPr>
                          </m:sSupPr>
                          <m:e>
                            <m:r>
                              <w:rPr>
                                <w:rFonts w:ascii="Cambria Math" w:hAnsi="Cambria Math"/>
                              </w:rPr>
                              <m:t>β</m:t>
                            </m:r>
                          </m:e>
                          <m:sup>
                            <m:r>
                              <w:rPr>
                                <w:rFonts w:ascii="Cambria Math" w:hAnsi="Cambria Math"/>
                              </w:rPr>
                              <m:t>I</m:t>
                            </m:r>
                          </m:sup>
                        </m:sSup>
                      </m:e>
                    </m:mr>
                  </m:m>
                </m:e>
              </m:d>
              <m:r>
                <w:rPr>
                  <w:rFonts w:ascii="Cambria Math" w:hAnsi="Cambria Math"/>
                </w:rPr>
                <m:t xml:space="preserve">, </m:t>
              </m:r>
              <m:sSup>
                <m:sSupPr>
                  <m:ctrlPr>
                    <w:rPr>
                      <w:rFonts w:ascii="Cambria Math" w:hAnsi="Cambria Math"/>
                      <w:i/>
                    </w:rPr>
                  </m:ctrlPr>
                </m:sSupPr>
                <m:e>
                  <m:r>
                    <m:rPr>
                      <m:sty m:val="p"/>
                    </m:rPr>
                    <w:rPr>
                      <w:rFonts w:ascii="Cambria Math" w:hAnsi="Cambria Math"/>
                    </w:rPr>
                    <m:t>Σ</m:t>
                  </m:r>
                </m:e>
                <m:sup>
                  <m:r>
                    <w:rPr>
                      <w:rFonts w:ascii="Cambria Math" w:hAnsi="Cambria Math"/>
                    </w:rPr>
                    <m:t>I</m:t>
                  </m:r>
                </m:sup>
              </m:sSup>
            </m:e>
          </m:d>
        </m:oMath>
      </m:oMathPara>
    </w:p>
    <w:p w14:paraId="2CF96A09" w14:textId="77777777" w:rsidR="0011262F" w:rsidRPr="008F2140" w:rsidRDefault="002F0937" w:rsidP="0011262F">
      <w:pPr>
        <w:pStyle w:val="BodyText"/>
      </w:pPr>
      <m:oMathPara>
        <m:oMath>
          <m:sSup>
            <m:sSupPr>
              <m:ctrlPr>
                <w:rPr>
                  <w:rFonts w:ascii="Cambria Math" w:hAnsi="Cambria Math"/>
                  <w:i/>
                </w:rPr>
              </m:ctrlPr>
            </m:sSupPr>
            <m:e>
              <m:r>
                <w:rPr>
                  <w:rFonts w:ascii="Cambria Math" w:hAnsi="Cambria Math"/>
                </w:rPr>
                <m:t>α</m:t>
              </m:r>
            </m:e>
            <m:sup>
              <m:r>
                <w:rPr>
                  <w:rFonts w:ascii="Cambria Math" w:hAnsi="Cambria Math"/>
                </w:rPr>
                <m:t>I</m:t>
              </m:r>
            </m:sup>
          </m:sSup>
          <m:r>
            <w:rPr>
              <w:rFonts w:ascii="Cambria Math" w:hAnsi="Cambria Math"/>
            </w:rPr>
            <m:t xml:space="preserve">, </m:t>
          </m:r>
          <m:sSup>
            <m:sSupPr>
              <m:ctrlPr>
                <w:rPr>
                  <w:rFonts w:ascii="Cambria Math" w:hAnsi="Cambria Math"/>
                  <w:i/>
                </w:rPr>
              </m:ctrlPr>
            </m:sSupPr>
            <m:e>
              <m:r>
                <w:rPr>
                  <w:rFonts w:ascii="Cambria Math" w:hAnsi="Cambria Math"/>
                </w:rPr>
                <m:t>β</m:t>
              </m:r>
            </m:e>
            <m:sup>
              <m:r>
                <w:rPr>
                  <w:rFonts w:ascii="Cambria Math" w:hAnsi="Cambria Math"/>
                </w:rPr>
                <m:t>I</m:t>
              </m:r>
            </m:sup>
          </m:sSup>
          <m:r>
            <w:rPr>
              <w:rFonts w:ascii="Cambria Math" w:hAnsi="Cambria Math"/>
            </w:rPr>
            <m:t xml:space="preserve"> ~ N(0, 1)</m:t>
          </m:r>
        </m:oMath>
      </m:oMathPara>
    </w:p>
    <w:p w14:paraId="7765B375" w14:textId="77777777" w:rsidR="0011262F" w:rsidRPr="00C53A8B" w:rsidRDefault="002F0937" w:rsidP="0011262F">
      <w:pPr>
        <w:pStyle w:val="BodyText"/>
        <w:rPr>
          <w:rFonts w:ascii="Cambria Math" w:hAnsi="Cambria Math"/>
        </w:rPr>
      </w:pPr>
      <m:oMathPara>
        <m:oMath>
          <m:sSup>
            <m:sSupPr>
              <m:ctrlPr>
                <w:rPr>
                  <w:rFonts w:ascii="Cambria Math" w:hAnsi="Cambria Math"/>
                  <w:i/>
                </w:rPr>
              </m:ctrlPr>
            </m:sSupPr>
            <m:e>
              <m:r>
                <m:rPr>
                  <m:sty m:val="p"/>
                </m:rPr>
                <w:rPr>
                  <w:rFonts w:ascii="Cambria Math" w:hAnsi="Cambria Math"/>
                </w:rPr>
                <m:t>Σ</m:t>
              </m:r>
            </m:e>
            <m:sup>
              <m:r>
                <w:rPr>
                  <w:rFonts w:ascii="Cambria Math" w:hAnsi="Cambria Math"/>
                </w:rPr>
                <m:t>I</m:t>
              </m:r>
            </m:sup>
          </m:sSup>
          <m:r>
            <w:rPr>
              <w:rFonts w:ascii="Cambria Math" w:hAnsi="Cambria Math"/>
            </w:rPr>
            <m:t xml:space="preserve"> =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I</m:t>
                        </m:r>
                      </m:sup>
                    </m:sSubSup>
                  </m:e>
                  <m:e>
                    <m:r>
                      <w:rPr>
                        <w:rFonts w:ascii="Cambria Math" w:hAnsi="Cambria Math"/>
                      </w:rPr>
                      <m:t>0</m:t>
                    </m:r>
                  </m:e>
                </m:mr>
                <m:mr>
                  <m:e>
                    <m:r>
                      <w:rPr>
                        <w:rFonts w:ascii="Cambria Math" w:hAnsi="Cambria Math"/>
                      </w:rPr>
                      <m:t>0</m:t>
                    </m:r>
                  </m:e>
                  <m:e>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I</m:t>
                        </m:r>
                      </m:sup>
                    </m:sSubSup>
                  </m:e>
                </m:mr>
              </m:m>
            </m:e>
          </m:d>
          <m:sSup>
            <m:sSupPr>
              <m:ctrlPr>
                <w:rPr>
                  <w:rFonts w:ascii="Cambria Math" w:hAnsi="Cambria Math"/>
                  <w:i/>
                </w:rPr>
              </m:ctrlPr>
            </m:sSupPr>
            <m:e>
              <m:r>
                <w:rPr>
                  <w:rFonts w:ascii="Cambria Math" w:hAnsi="Cambria Math"/>
                </w:rPr>
                <m:t>L</m:t>
              </m:r>
            </m:e>
            <m:sup>
              <m:r>
                <w:rPr>
                  <w:rFonts w:ascii="Cambria Math" w:hAnsi="Cambria Math"/>
                </w:rPr>
                <m:t>I</m:t>
              </m:r>
            </m:sup>
          </m:sSup>
          <m:d>
            <m:dPr>
              <m:begChr m:val="["/>
              <m:endChr m:val="]"/>
              <m:ctrlPr>
                <w:rPr>
                  <w:rFonts w:ascii="Cambria Math" w:hAnsi="Cambria Math"/>
                  <w:i/>
                </w:rPr>
              </m:ctrlPr>
            </m:dPr>
            <m:e>
              <m:m>
                <m:mPr>
                  <m:mcs>
                    <m:mc>
                      <m:mcPr>
                        <m:count m:val="2"/>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I</m:t>
                        </m:r>
                      </m:sup>
                    </m:sSubSup>
                  </m:e>
                  <m:e>
                    <m:r>
                      <w:rPr>
                        <w:rFonts w:ascii="Cambria Math" w:hAnsi="Cambria Math"/>
                      </w:rPr>
                      <m:t>0</m:t>
                    </m:r>
                  </m:e>
                </m:mr>
                <m:mr>
                  <m:e>
                    <m:r>
                      <w:rPr>
                        <w:rFonts w:ascii="Cambria Math" w:hAnsi="Cambria Math"/>
                      </w:rPr>
                      <m:t>0</m:t>
                    </m:r>
                  </m:e>
                  <m:e>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I</m:t>
                        </m:r>
                      </m:sup>
                    </m:sSubSup>
                  </m:e>
                </m:mr>
              </m:m>
            </m:e>
          </m:d>
        </m:oMath>
      </m:oMathPara>
    </w:p>
    <w:p w14:paraId="13A287B1" w14:textId="77777777" w:rsidR="0011262F" w:rsidRPr="00C53A8B" w:rsidRDefault="002F0937" w:rsidP="0011262F">
      <w:pPr>
        <w:pStyle w:val="BodyText"/>
      </w:pPr>
      <m:oMathPara>
        <m:oMath>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I</m:t>
              </m:r>
            </m:sup>
          </m:sSubSup>
          <m:r>
            <w:rPr>
              <w:rFonts w:ascii="Cambria Math" w:hAnsi="Cambria Math"/>
            </w:rPr>
            <m:t xml:space="preserve"> ~ IG(2, 1)</m:t>
          </m:r>
        </m:oMath>
      </m:oMathPara>
    </w:p>
    <w:p w14:paraId="5D3C5243" w14:textId="77777777" w:rsidR="0011262F" w:rsidRPr="00977F44" w:rsidRDefault="002F0937" w:rsidP="0011262F">
      <w:pPr>
        <w:pStyle w:val="BodyText"/>
      </w:pPr>
      <m:oMathPara>
        <m:oMath>
          <m:sSup>
            <m:sSupPr>
              <m:ctrlPr>
                <w:rPr>
                  <w:rFonts w:ascii="Cambria Math" w:hAnsi="Cambria Math"/>
                  <w:i/>
                </w:rPr>
              </m:ctrlPr>
            </m:sSupPr>
            <m:e>
              <m:r>
                <w:rPr>
                  <w:rFonts w:ascii="Cambria Math" w:hAnsi="Cambria Math"/>
                </w:rPr>
                <m:t>L</m:t>
              </m:r>
            </m:e>
            <m:sup>
              <m:r>
                <w:rPr>
                  <w:rFonts w:ascii="Cambria Math" w:hAnsi="Cambria Math"/>
                </w:rPr>
                <m:t>I</m:t>
              </m:r>
            </m:sup>
          </m:sSup>
          <m:r>
            <w:rPr>
              <w:rFonts w:ascii="Cambria Math" w:hAnsi="Cambria Math"/>
            </w:rPr>
            <m:t xml:space="preserve"> ~ LKJ(50)</m:t>
          </m:r>
        </m:oMath>
      </m:oMathPara>
    </w:p>
    <w:p w14:paraId="6E2CC0AF" w14:textId="77777777" w:rsidR="0011262F" w:rsidRDefault="0011262F" w:rsidP="0011262F">
      <w:pPr>
        <w:pStyle w:val="BodyText"/>
      </w:pPr>
      <w:r>
        <w:t>The coefficients that do not vary by fund have the following priors:</w:t>
      </w:r>
    </w:p>
    <w:p w14:paraId="45E8EC70" w14:textId="77777777" w:rsidR="0011262F" w:rsidRPr="009672C4" w:rsidRDefault="002F0937" w:rsidP="0011262F">
      <w:pPr>
        <w:pStyle w:val="BodyText"/>
      </w:pPr>
      <m:oMathPara>
        <m:oMath>
          <m:sSup>
            <m:sSupPr>
              <m:ctrlPr>
                <w:rPr>
                  <w:rFonts w:ascii="Cambria Math" w:hAnsi="Cambria Math"/>
                  <w:i/>
                </w:rPr>
              </m:ctrlPr>
            </m:sSupPr>
            <m:e>
              <m:r>
                <w:rPr>
                  <w:rFonts w:ascii="Cambria Math" w:hAnsi="Cambria Math"/>
                </w:rPr>
                <m:t>γ</m:t>
              </m:r>
            </m:e>
            <m:sup>
              <m:r>
                <w:rPr>
                  <w:rFonts w:ascii="Cambria Math" w:hAnsi="Cambria Math"/>
                </w:rPr>
                <m:t>I</m:t>
              </m:r>
            </m:sup>
          </m:sSup>
          <m:r>
            <w:rPr>
              <w:rFonts w:ascii="Cambria Math" w:hAnsi="Cambria Math"/>
            </w:rPr>
            <m:t xml:space="preserve">, </m:t>
          </m:r>
          <m:sSubSup>
            <m:sSubSupPr>
              <m:ctrlPr>
                <w:rPr>
                  <w:rFonts w:ascii="Cambria Math" w:hAnsi="Cambria Math"/>
                  <w:i/>
                </w:rPr>
              </m:ctrlPr>
            </m:sSubSupPr>
            <m:e>
              <m:r>
                <w:rPr>
                  <w:rFonts w:ascii="Cambria Math" w:hAnsi="Cambria Math"/>
                </w:rPr>
                <m:t>γ</m:t>
              </m:r>
            </m:e>
            <m:sub>
              <m:r>
                <w:rPr>
                  <w:rFonts w:ascii="Cambria Math" w:hAnsi="Cambria Math"/>
                </w:rPr>
                <m:t>CF</m:t>
              </m:r>
            </m:sub>
            <m:sup>
              <m:r>
                <w:rPr>
                  <w:rFonts w:ascii="Cambria Math" w:hAnsi="Cambria Math"/>
                </w:rPr>
                <m:t>I</m:t>
              </m:r>
            </m:sup>
          </m:sSubSup>
          <m:r>
            <w:rPr>
              <w:rFonts w:ascii="Cambria Math" w:hAnsi="Cambria Math"/>
            </w:rPr>
            <m:t xml:space="preserve"> ~ N(0, 0.5)</m:t>
          </m:r>
        </m:oMath>
      </m:oMathPara>
    </w:p>
    <w:p w14:paraId="13C37010" w14:textId="77777777" w:rsidR="0011262F" w:rsidRDefault="0011262F" w:rsidP="0011262F">
      <w:pPr>
        <w:pStyle w:val="Heading4"/>
      </w:pPr>
      <w:r>
        <w:t>Selection equation</w:t>
      </w:r>
    </w:p>
    <w:p w14:paraId="4BAED474" w14:textId="77777777" w:rsidR="0011262F" w:rsidRDefault="0011262F" w:rsidP="0011262F">
      <w:pPr>
        <w:pStyle w:val="BodyText"/>
      </w:pPr>
      <w:r>
        <w:t xml:space="preserve">Survivorship bias is addressed using a control function approach. First, a logit regression is estimated using data on whether a fund is still in operation at the end of the financial year as the indicator of survival. All coefficients are assumed to not vary by fund. Variables included in the selection equations are presented in table </w:t>
      </w:r>
      <w:proofErr w:type="spellStart"/>
      <w:r>
        <w:t>B.2</w:t>
      </w:r>
      <w:proofErr w:type="spellEnd"/>
      <w:r>
        <w:t>.</w:t>
      </w:r>
    </w:p>
    <w:p w14:paraId="0D193A4A" w14:textId="77777777" w:rsidR="0011262F" w:rsidRPr="00FA66E0" w:rsidRDefault="0011262F" w:rsidP="0011262F">
      <w:pPr>
        <w:pStyle w:val="BodyText"/>
      </w:pPr>
      <m:oMathPara>
        <m:oMath>
          <m:r>
            <w:rPr>
              <w:rFonts w:ascii="Cambria Math" w:hAnsi="Cambria Math"/>
            </w:rPr>
            <m:t>SurvivalIndicator ~ logit(</m:t>
          </m:r>
          <m:sSup>
            <m:sSupPr>
              <m:ctrlPr>
                <w:rPr>
                  <w:rFonts w:ascii="Cambria Math" w:hAnsi="Cambria Math"/>
                  <w:i/>
                </w:rPr>
              </m:ctrlPr>
            </m:sSupPr>
            <m:e>
              <m:r>
                <w:rPr>
                  <w:rFonts w:ascii="Cambria Math" w:hAnsi="Cambria Math"/>
                </w:rPr>
                <m:t>μ</m:t>
              </m:r>
            </m:e>
            <m:sup>
              <m:r>
                <w:rPr>
                  <w:rFonts w:ascii="Cambria Math" w:hAnsi="Cambria Math"/>
                </w:rPr>
                <m:t>Survival</m:t>
              </m:r>
            </m:sup>
          </m:sSup>
          <m:r>
            <w:rPr>
              <w:rFonts w:ascii="Cambria Math" w:hAnsi="Cambria Math"/>
            </w:rPr>
            <m:t>)</m:t>
          </m:r>
        </m:oMath>
      </m:oMathPara>
    </w:p>
    <w:p w14:paraId="1BDDDBB0" w14:textId="77777777" w:rsidR="0011262F" w:rsidRDefault="0011262F" w:rsidP="0011262F">
      <w:pPr>
        <w:pStyle w:val="BodyText"/>
      </w:pPr>
      <w:r>
        <w:t xml:space="preserve">With the following assumed priors and </w:t>
      </w:r>
      <w:proofErr w:type="spellStart"/>
      <w:r>
        <w:t>hyperparameters</w:t>
      </w:r>
      <w:proofErr w:type="spellEnd"/>
      <w:r>
        <w:t>:</w:t>
      </w:r>
    </w:p>
    <w:p w14:paraId="2941A842" w14:textId="77777777" w:rsidR="0011262F" w:rsidRPr="007E3207" w:rsidRDefault="0011262F" w:rsidP="0011262F">
      <w:pPr>
        <w:pStyle w:val="BodyText"/>
      </w:pPr>
      <m:oMathPara>
        <m:oMath>
          <m:r>
            <w:rPr>
              <w:rFonts w:ascii="Cambria Math" w:hAnsi="Cambria Math"/>
            </w:rPr>
            <m:t>logit(</m:t>
          </m:r>
          <m:sSup>
            <m:sSupPr>
              <m:ctrlPr>
                <w:rPr>
                  <w:rFonts w:ascii="Cambria Math" w:hAnsi="Cambria Math"/>
                  <w:i/>
                </w:rPr>
              </m:ctrlPr>
            </m:sSupPr>
            <m:e>
              <m:r>
                <w:rPr>
                  <w:rFonts w:ascii="Cambria Math" w:hAnsi="Cambria Math"/>
                </w:rPr>
                <m:t>μ</m:t>
              </m:r>
            </m:e>
            <m:sup>
              <m:r>
                <w:rPr>
                  <w:rFonts w:ascii="Cambria Math" w:hAnsi="Cambria Math"/>
                </w:rPr>
                <m:t>Survival</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S</m:t>
              </m:r>
            </m:sup>
          </m:sSup>
          <m:sSup>
            <m:sSupPr>
              <m:ctrlPr>
                <w:rPr>
                  <w:rFonts w:ascii="Cambria Math" w:hAnsi="Cambria Math"/>
                  <w:i/>
                </w:rPr>
              </m:ctrlPr>
            </m:sSupPr>
            <m:e>
              <m:r>
                <w:rPr>
                  <w:rFonts w:ascii="Cambria Math" w:hAnsi="Cambria Math"/>
                </w:rPr>
                <m:t>γ</m:t>
              </m:r>
            </m:e>
            <m:sup>
              <m:r>
                <w:rPr>
                  <w:rFonts w:ascii="Cambria Math" w:hAnsi="Cambria Math"/>
                </w:rPr>
                <m:t>S</m:t>
              </m:r>
            </m:sup>
          </m:sSup>
        </m:oMath>
      </m:oMathPara>
    </w:p>
    <w:p w14:paraId="56E0C417" w14:textId="77777777" w:rsidR="0011262F" w:rsidRPr="003F0B16" w:rsidRDefault="002F0937" w:rsidP="0011262F">
      <w:pPr>
        <w:pStyle w:val="BodyText"/>
      </w:pPr>
      <m:oMathPara>
        <m:oMath>
          <m:sSup>
            <m:sSupPr>
              <m:ctrlPr>
                <w:rPr>
                  <w:rFonts w:ascii="Cambria Math" w:hAnsi="Cambria Math"/>
                  <w:i/>
                </w:rPr>
              </m:ctrlPr>
            </m:sSupPr>
            <m:e>
              <m:r>
                <w:rPr>
                  <w:rFonts w:ascii="Cambria Math" w:hAnsi="Cambria Math"/>
                </w:rPr>
                <m:t>γ</m:t>
              </m:r>
            </m:e>
            <m:sup>
              <m:r>
                <w:rPr>
                  <w:rFonts w:ascii="Cambria Math" w:hAnsi="Cambria Math"/>
                </w:rPr>
                <m:t>S</m:t>
              </m:r>
            </m:sup>
          </m:sSup>
          <m:r>
            <w:rPr>
              <w:rFonts w:ascii="Cambria Math" w:hAnsi="Cambria Math"/>
            </w:rPr>
            <m:t xml:space="preserve"> ~ N(0, 0.5)</m:t>
          </m:r>
        </m:oMath>
      </m:oMathPara>
    </w:p>
    <w:p w14:paraId="07CF9793" w14:textId="77777777" w:rsidR="0011262F" w:rsidRDefault="0011262F" w:rsidP="0011262F">
      <w:pPr>
        <w:pStyle w:val="BodyText"/>
      </w:pPr>
      <w:r>
        <w:t>The fitted values from the logit regression —</w:t>
      </w:r>
      <m:oMath>
        <m:r>
          <w:rPr>
            <w:rFonts w:ascii="Cambria Math" w:hAnsi="Cambria Math"/>
          </w:rPr>
          <m:t xml:space="preserve"> </m:t>
        </m:r>
        <m:acc>
          <m:accPr>
            <m:ctrlPr>
              <w:rPr>
                <w:rFonts w:ascii="Cambria Math" w:hAnsi="Cambria Math"/>
                <w:i/>
              </w:rPr>
            </m:ctrlPr>
          </m:accPr>
          <m:e>
            <m:r>
              <w:rPr>
                <w:rFonts w:ascii="Cambria Math" w:hAnsi="Cambria Math"/>
              </w:rPr>
              <m:t>p</m:t>
            </m:r>
          </m:e>
        </m:acc>
      </m:oMath>
      <w:r>
        <w:t xml:space="preserve"> (interpreted as the probability of a fund exiting in a given year) — are then used to construct a control function matrix, </w:t>
      </w:r>
      <m:oMath>
        <m:r>
          <w:rPr>
            <w:rFonts w:ascii="Cambria Math" w:hAnsi="Cambria Math"/>
          </w:rPr>
          <m:t>δ</m:t>
        </m:r>
        <m:d>
          <m:dPr>
            <m:ctrlPr>
              <w:rPr>
                <w:rFonts w:ascii="Cambria Math" w:hAnsi="Cambria Math"/>
                <w:i/>
              </w:rPr>
            </m:ctrlPr>
          </m:dPr>
          <m:e>
            <m:acc>
              <m:accPr>
                <m:ctrlPr>
                  <w:rPr>
                    <w:rFonts w:ascii="Cambria Math" w:hAnsi="Cambria Math"/>
                    <w:i/>
                  </w:rPr>
                </m:ctrlPr>
              </m:accPr>
              <m:e>
                <m:r>
                  <w:rPr>
                    <w:rFonts w:ascii="Cambria Math" w:hAnsi="Cambria Math"/>
                  </w:rPr>
                  <m:t>p</m:t>
                </m:r>
              </m:e>
            </m:acc>
          </m:e>
        </m:d>
      </m:oMath>
      <w:r>
        <w:t>, which is included in the administration and investment equations. The control function matrix is a five</w:t>
      </w:r>
      <w:r>
        <w:noBreakHyphen/>
        <w:t>degree polynomial.</w:t>
      </w:r>
    </w:p>
    <w:p w14:paraId="41F6A77D" w14:textId="77777777" w:rsidR="0011262F" w:rsidRPr="00843F4A" w:rsidRDefault="0011262F" w:rsidP="0011262F">
      <w:pPr>
        <w:pStyle w:val="BodyText"/>
      </w:pPr>
      <m:oMathPara>
        <m:oMath>
          <m:r>
            <w:rPr>
              <w:rFonts w:ascii="Cambria Math" w:hAnsi="Cambria Math"/>
            </w:rPr>
            <w:lastRenderedPageBreak/>
            <m:t>δ</m:t>
          </m:r>
          <m:d>
            <m:dPr>
              <m:ctrlPr>
                <w:rPr>
                  <w:rFonts w:ascii="Cambria Math" w:hAnsi="Cambria Math"/>
                  <w:i/>
                </w:rPr>
              </m:ctrlPr>
            </m:dPr>
            <m:e>
              <m:acc>
                <m:accPr>
                  <m:ctrlPr>
                    <w:rPr>
                      <w:rFonts w:ascii="Cambria Math" w:hAnsi="Cambria Math"/>
                      <w:i/>
                    </w:rPr>
                  </m:ctrlPr>
                </m:accPr>
                <m:e>
                  <m:r>
                    <w:rPr>
                      <w:rFonts w:ascii="Cambria Math" w:hAnsi="Cambria Math"/>
                    </w:rPr>
                    <m:t>p</m:t>
                  </m:r>
                </m:e>
              </m:acc>
            </m:e>
          </m:d>
          <m:r>
            <w:rPr>
              <w:rFonts w:ascii="Cambria Math" w:hAnsi="Cambria Math"/>
            </w:rPr>
            <m:t xml:space="preserve">= </m:t>
          </m:r>
          <m:d>
            <m:dPr>
              <m:begChr m:val="["/>
              <m:endChr m:val="]"/>
              <m:ctrlPr>
                <w:rPr>
                  <w:rFonts w:ascii="Cambria Math" w:hAnsi="Cambria Math"/>
                  <w:i/>
                </w:rPr>
              </m:ctrlPr>
            </m:dPr>
            <m:e>
              <m:m>
                <m:mPr>
                  <m:mcs>
                    <m:mc>
                      <m:mcPr>
                        <m:count m:val="4"/>
                        <m:mcJc m:val="center"/>
                      </m:mcPr>
                    </m:mc>
                  </m:mcs>
                  <m:ctrlPr>
                    <w:rPr>
                      <w:rFonts w:ascii="Cambria Math" w:hAnsi="Cambria Math"/>
                      <w:i/>
                    </w:rPr>
                  </m:ctrlPr>
                </m:mPr>
                <m:mr>
                  <m:e>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1</m:t>
                        </m:r>
                      </m:sub>
                    </m:sSub>
                  </m:e>
                  <m:e>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1</m:t>
                        </m:r>
                      </m:sub>
                      <m:sup>
                        <m:r>
                          <w:rPr>
                            <w:rFonts w:ascii="Cambria Math" w:hAnsi="Cambria Math"/>
                          </w:rPr>
                          <m:t>2</m:t>
                        </m:r>
                      </m:sup>
                    </m:sSubSup>
                  </m:e>
                  <m:e>
                    <m:r>
                      <w:rPr>
                        <w:rFonts w:ascii="Cambria Math" w:hAnsi="Cambria Math"/>
                      </w:rPr>
                      <m:t>…</m:t>
                    </m:r>
                    <m:ctrlPr>
                      <w:rPr>
                        <w:rFonts w:ascii="Cambria Math" w:eastAsia="Cambria Math" w:hAnsi="Cambria Math" w:cs="Cambria Math"/>
                        <w:i/>
                      </w:rPr>
                    </m:ctrlPr>
                  </m:e>
                  <m:e>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1</m:t>
                        </m:r>
                      </m:sub>
                      <m:sup>
                        <m:r>
                          <w:rPr>
                            <w:rFonts w:ascii="Cambria Math" w:hAnsi="Cambria Math"/>
                          </w:rPr>
                          <m:t>5</m:t>
                        </m:r>
                      </m:sup>
                    </m:sSubSup>
                    <m:ctrlPr>
                      <w:rPr>
                        <w:rFonts w:ascii="Cambria Math" w:eastAsia="Cambria Math" w:hAnsi="Cambria Math" w:cs="Cambria Math"/>
                        <w:i/>
                      </w:rPr>
                    </m:ctrlPr>
                  </m:e>
                </m:mr>
                <m:mr>
                  <m:e>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2</m:t>
                        </m:r>
                      </m:sub>
                    </m:sSub>
                    <m:ctrlPr>
                      <w:rPr>
                        <w:rFonts w:ascii="Cambria Math" w:eastAsia="Cambria Math" w:hAnsi="Cambria Math" w:cs="Cambria Math"/>
                        <w:i/>
                      </w:rPr>
                    </m:ctrlPr>
                  </m:e>
                  <m:e>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2</m:t>
                        </m:r>
                      </m:sub>
                      <m:sup>
                        <m:r>
                          <w:rPr>
                            <w:rFonts w:ascii="Cambria Math" w:hAnsi="Cambria Math"/>
                          </w:rPr>
                          <m:t>2</m:t>
                        </m:r>
                      </m:sup>
                    </m:sSubSup>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2</m:t>
                        </m:r>
                      </m:sub>
                      <m:sup>
                        <m:r>
                          <w:rPr>
                            <w:rFonts w:ascii="Cambria Math" w:hAnsi="Cambria Math"/>
                          </w:rPr>
                          <m:t>5</m:t>
                        </m:r>
                      </m:sup>
                    </m:sSubSup>
                    <m:ctrlPr>
                      <w:rPr>
                        <w:rFonts w:ascii="Cambria Math" w:eastAsia="Cambria Math" w:hAnsi="Cambria Math" w:cs="Cambria Math"/>
                        <w:i/>
                      </w:rPr>
                    </m:ctrlPr>
                  </m:e>
                </m:mr>
                <m:mr>
                  <m:e>
                    <m:r>
                      <w:rPr>
                        <w:rFonts w:ascii="Cambria Math" w:eastAsia="Cambria Math" w:hAnsi="Cambria Math" w:cs="Cambria Math"/>
                      </w:rPr>
                      <m:t>⋮</m:t>
                    </m:r>
                  </m:e>
                  <m:e>
                    <m:r>
                      <w:rPr>
                        <w:rFonts w:ascii="Cambria Math" w:hAnsi="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mr>
                <m:mr>
                  <m:e>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N</m:t>
                        </m:r>
                      </m:sub>
                    </m:sSub>
                    <m:ctrlPr>
                      <w:rPr>
                        <w:rFonts w:ascii="Cambria Math" w:eastAsia="Cambria Math" w:hAnsi="Cambria Math" w:cs="Cambria Math"/>
                        <w:i/>
                      </w:rPr>
                    </m:ctrlPr>
                  </m:e>
                  <m:e>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N</m:t>
                        </m:r>
                      </m:sub>
                      <m:sup>
                        <m:r>
                          <w:rPr>
                            <w:rFonts w:ascii="Cambria Math" w:hAnsi="Cambria Math"/>
                          </w:rPr>
                          <m:t>2</m:t>
                        </m:r>
                      </m:sup>
                    </m:sSubSup>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N</m:t>
                        </m:r>
                      </m:sub>
                      <m:sup>
                        <m:r>
                          <w:rPr>
                            <w:rFonts w:ascii="Cambria Math" w:hAnsi="Cambria Math"/>
                          </w:rPr>
                          <m:t>5</m:t>
                        </m:r>
                      </m:sup>
                    </m:sSubSup>
                  </m:e>
                </m:mr>
              </m:m>
            </m:e>
          </m:d>
        </m:oMath>
      </m:oMathPara>
    </w:p>
    <w:p w14:paraId="2E842C05" w14:textId="77777777" w:rsidR="0011262F" w:rsidRDefault="0011262F" w:rsidP="0011262F">
      <w:pPr>
        <w:pStyle w:val="BodyText"/>
      </w:pPr>
      <w:r>
        <w:t xml:space="preserve">For example, </w:t>
      </w: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1</m:t>
            </m:r>
          </m:sub>
        </m:sSub>
      </m:oMath>
      <w:r>
        <w:t xml:space="preserve">is the fitted value for fund 1,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2</m:t>
            </m:r>
          </m:sub>
          <m:sup>
            <m:r>
              <w:rPr>
                <w:rFonts w:ascii="Cambria Math" w:hAnsi="Cambria Math"/>
              </w:rPr>
              <m:t>2</m:t>
            </m:r>
          </m:sup>
        </m:sSubSup>
      </m:oMath>
      <w:r>
        <w:t xml:space="preserve">is the fitted value for fund 2 raised to the power of 2, and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N</m:t>
            </m:r>
          </m:sub>
          <m:sup>
            <m:r>
              <w:rPr>
                <w:rFonts w:ascii="Cambria Math" w:hAnsi="Cambria Math"/>
              </w:rPr>
              <m:t>5</m:t>
            </m:r>
          </m:sup>
        </m:sSubSup>
      </m:oMath>
      <w:r>
        <w:t xml:space="preserve"> is the fitted value for fund </w:t>
      </w:r>
      <m:oMath>
        <m:r>
          <w:rPr>
            <w:rFonts w:ascii="Cambria Math" w:hAnsi="Cambria Math"/>
          </w:rPr>
          <m:t>N</m:t>
        </m:r>
      </m:oMath>
      <w:r>
        <w:t xml:space="preserve"> raised to the power of 5.</w:t>
      </w:r>
    </w:p>
    <w:p w14:paraId="1F998BD8" w14:textId="77777777" w:rsidR="0011262F" w:rsidRDefault="0011262F" w:rsidP="0011262F">
      <w:pPr>
        <w:pStyle w:val="Heading4"/>
      </w:pPr>
      <w:r>
        <w:t>Number of investment options</w:t>
      </w:r>
    </w:p>
    <w:p w14:paraId="609690A5" w14:textId="77777777" w:rsidR="0011262F" w:rsidRDefault="0011262F" w:rsidP="0011262F">
      <w:pPr>
        <w:pStyle w:val="BodyText"/>
      </w:pPr>
      <w:r>
        <w:t>The number of investment options (an input into the administration, investment and selection equations) is modelled using a normal distribution:</w:t>
      </w:r>
    </w:p>
    <w:p w14:paraId="0B37E61B" w14:textId="77777777" w:rsidR="0011262F" w:rsidRDefault="0011262F" w:rsidP="0011262F">
      <w:pPr>
        <w:pStyle w:val="BodyText"/>
      </w:pPr>
      <m:oMathPara>
        <m:oMath>
          <m:r>
            <w:rPr>
              <w:rFonts w:ascii="Cambria Math" w:hAnsi="Cambria Math"/>
            </w:rPr>
            <m:t>NumOptions ~ N(</m:t>
          </m:r>
          <m:sSup>
            <m:sSupPr>
              <m:ctrlPr>
                <w:rPr>
                  <w:rFonts w:ascii="Cambria Math" w:hAnsi="Cambria Math"/>
                  <w:i/>
                </w:rPr>
              </m:ctrlPr>
            </m:sSupPr>
            <m:e>
              <m:r>
                <w:rPr>
                  <w:rFonts w:ascii="Cambria Math" w:hAnsi="Cambria Math"/>
                </w:rPr>
                <m:t>μ</m:t>
              </m:r>
            </m:e>
            <m:sup>
              <m:r>
                <w:rPr>
                  <w:rFonts w:ascii="Cambria Math" w:hAnsi="Cambria Math"/>
                </w:rPr>
                <m:t>NumOptions</m:t>
              </m:r>
            </m:sup>
          </m:sSup>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NumOptions</m:t>
              </m:r>
            </m:sup>
          </m:sSup>
          <m:r>
            <w:rPr>
              <w:rFonts w:ascii="Cambria Math" w:hAnsi="Cambria Math"/>
            </w:rPr>
            <m:t>)</m:t>
          </m:r>
        </m:oMath>
      </m:oMathPara>
    </w:p>
    <w:p w14:paraId="7A835D51" w14:textId="77777777" w:rsidR="0011262F" w:rsidRDefault="0011262F" w:rsidP="0011262F">
      <w:pPr>
        <w:pStyle w:val="BodyText"/>
      </w:pPr>
      <w:r>
        <w:t xml:space="preserve">With the following assumed priors and </w:t>
      </w:r>
      <w:proofErr w:type="spellStart"/>
      <w:r>
        <w:t>hyperparameters</w:t>
      </w:r>
      <w:proofErr w:type="spellEnd"/>
      <w:r>
        <w:t>:</w:t>
      </w:r>
    </w:p>
    <w:p w14:paraId="1C9FDF85" w14:textId="77777777" w:rsidR="0011262F" w:rsidRPr="002033B0" w:rsidRDefault="002F0937" w:rsidP="0011262F">
      <w:pPr>
        <w:pStyle w:val="BodyText"/>
      </w:pPr>
      <m:oMathPara>
        <m:oMath>
          <m:sSup>
            <m:sSupPr>
              <m:ctrlPr>
                <w:rPr>
                  <w:rFonts w:ascii="Cambria Math" w:hAnsi="Cambria Math"/>
                  <w:i/>
                </w:rPr>
              </m:ctrlPr>
            </m:sSupPr>
            <m:e>
              <m:r>
                <w:rPr>
                  <w:rFonts w:ascii="Cambria Math" w:hAnsi="Cambria Math"/>
                </w:rPr>
                <m:t>μ</m:t>
              </m:r>
            </m:e>
            <m:sup>
              <m:r>
                <w:rPr>
                  <w:rFonts w:ascii="Cambria Math" w:hAnsi="Cambria Math"/>
                </w:rPr>
                <m:t>NumOptions</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N</m:t>
              </m:r>
            </m:sup>
          </m:sSup>
          <m:sSup>
            <m:sSupPr>
              <m:ctrlPr>
                <w:rPr>
                  <w:rFonts w:ascii="Cambria Math" w:hAnsi="Cambria Math"/>
                  <w:i/>
                </w:rPr>
              </m:ctrlPr>
            </m:sSupPr>
            <m:e>
              <m:r>
                <w:rPr>
                  <w:rFonts w:ascii="Cambria Math" w:hAnsi="Cambria Math"/>
                </w:rPr>
                <m:t>γ</m:t>
              </m:r>
            </m:e>
            <m:sup>
              <m:r>
                <w:rPr>
                  <w:rFonts w:ascii="Cambria Math" w:hAnsi="Cambria Math"/>
                </w:rPr>
                <m:t>N</m:t>
              </m:r>
            </m:sup>
          </m:sSup>
        </m:oMath>
      </m:oMathPara>
    </w:p>
    <w:p w14:paraId="3C4EA4CB" w14:textId="77777777" w:rsidR="0011262F" w:rsidRPr="008401C5" w:rsidRDefault="002F0937" w:rsidP="0011262F">
      <w:pPr>
        <w:pStyle w:val="BodyText"/>
      </w:pPr>
      <m:oMathPara>
        <m:oMath>
          <m:sSup>
            <m:sSupPr>
              <m:ctrlPr>
                <w:rPr>
                  <w:rFonts w:ascii="Cambria Math" w:hAnsi="Cambria Math"/>
                  <w:i/>
                </w:rPr>
              </m:ctrlPr>
            </m:sSupPr>
            <m:e>
              <m:r>
                <w:rPr>
                  <w:rFonts w:ascii="Cambria Math" w:hAnsi="Cambria Math"/>
                </w:rPr>
                <m:t>σ</m:t>
              </m:r>
            </m:e>
            <m:sup>
              <m:r>
                <w:rPr>
                  <w:rFonts w:ascii="Cambria Math" w:hAnsi="Cambria Math"/>
                </w:rPr>
                <m:t>NumOptions</m:t>
              </m:r>
            </m:sup>
          </m:sSup>
          <m:r>
            <w:rPr>
              <w:rFonts w:ascii="Cambria Math" w:hAnsi="Cambria Math"/>
            </w:rPr>
            <m:t xml:space="preserve"> ~ Truncated Studen</m:t>
          </m:r>
          <m:sSup>
            <m:sSupPr>
              <m:ctrlPr>
                <w:rPr>
                  <w:rFonts w:ascii="Cambria Math" w:hAnsi="Cambria Math"/>
                  <w:i/>
                </w:rPr>
              </m:ctrlPr>
            </m:sSupPr>
            <m:e>
              <m:r>
                <w:rPr>
                  <w:rFonts w:ascii="Cambria Math" w:hAnsi="Cambria Math"/>
                </w:rPr>
                <m:t>t</m:t>
              </m:r>
            </m:e>
            <m:sup>
              <m:r>
                <w:rPr>
                  <w:rFonts w:ascii="Cambria Math" w:hAnsi="Cambria Math"/>
                </w:rPr>
                <m:t>'</m:t>
              </m:r>
            </m:sup>
          </m:sSup>
          <m:r>
            <w:rPr>
              <w:rFonts w:ascii="Cambria Math" w:hAnsi="Cambria Math"/>
            </w:rPr>
            <m:t>s t(4, 0, 0.5)</m:t>
          </m:r>
        </m:oMath>
      </m:oMathPara>
    </w:p>
    <w:p w14:paraId="3014D16B" w14:textId="77777777" w:rsidR="0011262F" w:rsidRPr="006A64A1" w:rsidRDefault="002F0937" w:rsidP="0011262F">
      <w:pPr>
        <w:pStyle w:val="BodyText"/>
      </w:pPr>
      <m:oMathPara>
        <m:oMath>
          <m:sSup>
            <m:sSupPr>
              <m:ctrlPr>
                <w:rPr>
                  <w:rFonts w:ascii="Cambria Math" w:hAnsi="Cambria Math"/>
                  <w:i/>
                </w:rPr>
              </m:ctrlPr>
            </m:sSupPr>
            <m:e>
              <m:r>
                <w:rPr>
                  <w:rFonts w:ascii="Cambria Math" w:hAnsi="Cambria Math"/>
                </w:rPr>
                <m:t>γ</m:t>
              </m:r>
            </m:e>
            <m:sup>
              <m:r>
                <w:rPr>
                  <w:rFonts w:ascii="Cambria Math" w:hAnsi="Cambria Math"/>
                </w:rPr>
                <m:t>N</m:t>
              </m:r>
            </m:sup>
          </m:sSup>
          <m:r>
            <w:rPr>
              <w:rFonts w:ascii="Cambria Math" w:hAnsi="Cambria Math"/>
            </w:rPr>
            <m:t xml:space="preserve"> ~ N(0, 0.5)</m:t>
          </m:r>
        </m:oMath>
      </m:oMathPara>
    </w:p>
    <w:p w14:paraId="29B2CF43" w14:textId="77777777" w:rsidR="0011262F" w:rsidRPr="00F03A32" w:rsidRDefault="0011262F" w:rsidP="0011262F">
      <w:pPr>
        <w:pStyle w:val="BodyText"/>
      </w:pPr>
      <w:r>
        <w:t>The estimated values are used for funds did not report data on the number of investment options in APRA data.</w:t>
      </w:r>
    </w:p>
    <w:p w14:paraId="4BC60B91" w14:textId="77777777" w:rsidR="0011262F" w:rsidRDefault="0011262F" w:rsidP="0011262F">
      <w:pPr>
        <w:pStyle w:val="Heading4"/>
      </w:pPr>
      <w:r>
        <w:t>Pass</w:t>
      </w:r>
      <w:r>
        <w:noBreakHyphen/>
        <w:t>through</w:t>
      </w:r>
    </w:p>
    <w:p w14:paraId="07B6856F" w14:textId="77777777" w:rsidR="0011262F" w:rsidRDefault="0011262F" w:rsidP="0011262F">
      <w:pPr>
        <w:pStyle w:val="BodyText"/>
      </w:pPr>
      <w:r>
        <w:t>The pass</w:t>
      </w:r>
      <w:r>
        <w:noBreakHyphen/>
        <w:t>through module takes predicted values for the yearly change in costs attributable to changes in scale and compares it to actual yearly changes in fees.</w:t>
      </w:r>
    </w:p>
    <w:p w14:paraId="002998F1" w14:textId="77777777" w:rsidR="0011262F" w:rsidRDefault="0011262F" w:rsidP="0011262F">
      <w:pPr>
        <w:pStyle w:val="BodyText"/>
      </w:pPr>
      <w:r>
        <w:t>The dependent variable is the change in (log) fees for a fund over one time period. Pass</w:t>
      </w:r>
      <w:r>
        <w:noBreakHyphen/>
        <w:t>through is estimated for administration, investment, and total fees, and is modelled using normal distributions:</w:t>
      </w:r>
    </w:p>
    <w:p w14:paraId="56DD1012" w14:textId="77777777" w:rsidR="0011262F" w:rsidRPr="00635B65" w:rsidRDefault="0011262F" w:rsidP="0011262F">
      <w:pPr>
        <w:pStyle w:val="BodyText"/>
      </w:pPr>
      <m:oMathPara>
        <m:oMath>
          <m:r>
            <w:rPr>
              <w:rFonts w:ascii="Cambria Math" w:hAnsi="Cambria Math"/>
            </w:rPr>
            <m:t>TotalPassthrough ~ N(</m:t>
          </m:r>
          <m:sSup>
            <m:sSupPr>
              <m:ctrlPr>
                <w:rPr>
                  <w:rFonts w:ascii="Cambria Math" w:hAnsi="Cambria Math"/>
                  <w:i/>
                </w:rPr>
              </m:ctrlPr>
            </m:sSupPr>
            <m:e>
              <m:r>
                <w:rPr>
                  <w:rFonts w:ascii="Cambria Math" w:hAnsi="Cambria Math"/>
                </w:rPr>
                <m:t>μ</m:t>
              </m:r>
            </m:e>
            <m:sup>
              <m:r>
                <w:rPr>
                  <w:rFonts w:ascii="Cambria Math" w:hAnsi="Cambria Math"/>
                </w:rPr>
                <m:t>TotalPassthrough</m:t>
              </m:r>
            </m:sup>
          </m:sSup>
          <m:r>
            <w:rPr>
              <w:rFonts w:ascii="Cambria Math" w:hAnsi="Cambria Math"/>
            </w:rPr>
            <m:t xml:space="preserve">, </m:t>
          </m:r>
          <m:sSubSup>
            <m:sSubSupPr>
              <m:ctrlPr>
                <w:rPr>
                  <w:rFonts w:ascii="Cambria Math" w:hAnsi="Cambria Math"/>
                  <w:i/>
                </w:rPr>
              </m:ctrlPr>
            </m:sSubSupPr>
            <m:e>
              <m:r>
                <w:rPr>
                  <w:rFonts w:ascii="Cambria Math" w:hAnsi="Cambria Math"/>
                </w:rPr>
                <m:t>σ</m:t>
              </m:r>
            </m:e>
            <m:sub/>
            <m:sup>
              <m:r>
                <w:rPr>
                  <w:rFonts w:ascii="Cambria Math" w:hAnsi="Cambria Math"/>
                </w:rPr>
                <m:t>TotalPassthrough</m:t>
              </m:r>
            </m:sup>
          </m:sSubSup>
          <m:r>
            <w:rPr>
              <w:rFonts w:ascii="Cambria Math" w:hAnsi="Cambria Math"/>
            </w:rPr>
            <m:t>)</m:t>
          </m:r>
        </m:oMath>
      </m:oMathPara>
    </w:p>
    <w:p w14:paraId="79BE570E" w14:textId="77777777" w:rsidR="0011262F" w:rsidRDefault="0011262F" w:rsidP="0011262F">
      <w:pPr>
        <w:pStyle w:val="BodyText"/>
      </w:pPr>
      <m:oMathPara>
        <m:oMath>
          <m:r>
            <w:rPr>
              <w:rFonts w:ascii="Cambria Math" w:hAnsi="Cambria Math"/>
            </w:rPr>
            <m:t>AdminPassthrough ~ N(</m:t>
          </m:r>
          <m:sSup>
            <m:sSupPr>
              <m:ctrlPr>
                <w:rPr>
                  <w:rFonts w:ascii="Cambria Math" w:hAnsi="Cambria Math"/>
                  <w:i/>
                </w:rPr>
              </m:ctrlPr>
            </m:sSupPr>
            <m:e>
              <m:r>
                <w:rPr>
                  <w:rFonts w:ascii="Cambria Math" w:hAnsi="Cambria Math"/>
                </w:rPr>
                <m:t>μ</m:t>
              </m:r>
            </m:e>
            <m:sup>
              <m:r>
                <w:rPr>
                  <w:rFonts w:ascii="Cambria Math" w:hAnsi="Cambria Math"/>
                </w:rPr>
                <m:t>AdminPassthrough</m:t>
              </m:r>
            </m:sup>
          </m:sSup>
          <m:r>
            <w:rPr>
              <w:rFonts w:ascii="Cambria Math" w:hAnsi="Cambria Math"/>
            </w:rPr>
            <m:t xml:space="preserve">, </m:t>
          </m:r>
          <m:sSubSup>
            <m:sSubSupPr>
              <m:ctrlPr>
                <w:rPr>
                  <w:rFonts w:ascii="Cambria Math" w:hAnsi="Cambria Math"/>
                  <w:i/>
                </w:rPr>
              </m:ctrlPr>
            </m:sSubSupPr>
            <m:e>
              <m:r>
                <w:rPr>
                  <w:rFonts w:ascii="Cambria Math" w:hAnsi="Cambria Math"/>
                </w:rPr>
                <m:t>σ</m:t>
              </m:r>
            </m:e>
            <m:sub/>
            <m:sup>
              <m:r>
                <w:rPr>
                  <w:rFonts w:ascii="Cambria Math" w:hAnsi="Cambria Math"/>
                </w:rPr>
                <m:t>AdminPassthrough</m:t>
              </m:r>
            </m:sup>
          </m:sSubSup>
          <m:r>
            <w:rPr>
              <w:rFonts w:ascii="Cambria Math" w:hAnsi="Cambria Math"/>
            </w:rPr>
            <m:t>)</m:t>
          </m:r>
        </m:oMath>
      </m:oMathPara>
    </w:p>
    <w:p w14:paraId="161EBE7B" w14:textId="77777777" w:rsidR="0011262F" w:rsidRPr="00487DD5" w:rsidRDefault="0011262F" w:rsidP="0011262F">
      <w:pPr>
        <w:pStyle w:val="BodyText"/>
      </w:pPr>
      <m:oMathPara>
        <m:oMath>
          <m:r>
            <w:rPr>
              <w:rFonts w:ascii="Cambria Math" w:hAnsi="Cambria Math"/>
            </w:rPr>
            <m:t>InvestPassthrough ~ N(</m:t>
          </m:r>
          <m:sSup>
            <m:sSupPr>
              <m:ctrlPr>
                <w:rPr>
                  <w:rFonts w:ascii="Cambria Math" w:hAnsi="Cambria Math"/>
                  <w:i/>
                </w:rPr>
              </m:ctrlPr>
            </m:sSupPr>
            <m:e>
              <m:r>
                <w:rPr>
                  <w:rFonts w:ascii="Cambria Math" w:hAnsi="Cambria Math"/>
                </w:rPr>
                <m:t>μ</m:t>
              </m:r>
            </m:e>
            <m:sup>
              <m:r>
                <w:rPr>
                  <w:rFonts w:ascii="Cambria Math" w:hAnsi="Cambria Math"/>
                </w:rPr>
                <m:t>InvestPassthrough</m:t>
              </m:r>
            </m:sup>
          </m:sSup>
          <m:r>
            <w:rPr>
              <w:rFonts w:ascii="Cambria Math" w:hAnsi="Cambria Math"/>
            </w:rPr>
            <m:t xml:space="preserve">, </m:t>
          </m:r>
          <m:sSubSup>
            <m:sSubSupPr>
              <m:ctrlPr>
                <w:rPr>
                  <w:rFonts w:ascii="Cambria Math" w:hAnsi="Cambria Math"/>
                  <w:i/>
                </w:rPr>
              </m:ctrlPr>
            </m:sSubSupPr>
            <m:e>
              <m:r>
                <w:rPr>
                  <w:rFonts w:ascii="Cambria Math" w:hAnsi="Cambria Math"/>
                </w:rPr>
                <m:t>σ</m:t>
              </m:r>
            </m:e>
            <m:sub/>
            <m:sup>
              <m:r>
                <w:rPr>
                  <w:rFonts w:ascii="Cambria Math" w:hAnsi="Cambria Math"/>
                </w:rPr>
                <m:t>InvestPassthrough</m:t>
              </m:r>
            </m:sup>
          </m:sSubSup>
          <m:r>
            <w:rPr>
              <w:rFonts w:ascii="Cambria Math" w:hAnsi="Cambria Math"/>
            </w:rPr>
            <m:t>)</m:t>
          </m:r>
        </m:oMath>
      </m:oMathPara>
    </w:p>
    <w:p w14:paraId="347E3B0B" w14:textId="77777777" w:rsidR="0011262F" w:rsidRPr="00107174" w:rsidRDefault="002F0937" w:rsidP="0011262F">
      <w:pPr>
        <w:pStyle w:val="BodyText"/>
        <w:rPr>
          <w:rFonts w:ascii="Cambria Math" w:hAnsi="Cambria Math"/>
        </w:rPr>
      </w:pPr>
      <m:oMathPara>
        <m:oMath>
          <m:sSup>
            <m:sSupPr>
              <m:ctrlPr>
                <w:rPr>
                  <w:rFonts w:ascii="Cambria Math" w:hAnsi="Cambria Math"/>
                  <w:i/>
                </w:rPr>
              </m:ctrlPr>
            </m:sSupPr>
            <m:e>
              <m:r>
                <w:rPr>
                  <w:rFonts w:ascii="Cambria Math" w:hAnsi="Cambria Math"/>
                </w:rPr>
                <m:t>μ</m:t>
              </m:r>
            </m:e>
            <m:sup>
              <m:r>
                <w:rPr>
                  <w:rFonts w:ascii="Cambria Math" w:hAnsi="Cambria Math"/>
                </w:rPr>
                <m:t>TotalPassthrough</m:t>
              </m:r>
            </m:sup>
          </m:sSup>
          <m:r>
            <w:rPr>
              <w:rFonts w:ascii="Cambria Math" w:hAnsi="Cambria Math"/>
            </w:rPr>
            <m:t xml:space="preserve">= </m:t>
          </m:r>
          <m:sSubSup>
            <m:sSubSupPr>
              <m:ctrlPr>
                <w:rPr>
                  <w:rFonts w:ascii="Cambria Math" w:hAnsi="Cambria Math"/>
                  <w:i/>
                </w:rPr>
              </m:ctrlPr>
            </m:sSubSupPr>
            <m:e>
              <m:r>
                <w:rPr>
                  <w:rFonts w:ascii="Cambria Math" w:hAnsi="Cambria Math"/>
                </w:rPr>
                <m:t>α</m:t>
              </m:r>
            </m:e>
            <m:sub>
              <m:d>
                <m:dPr>
                  <m:begChr m:val="["/>
                  <m:endChr m:val="]"/>
                  <m:ctrlPr>
                    <w:rPr>
                      <w:rFonts w:ascii="Cambria Math" w:hAnsi="Cambria Math"/>
                      <w:i/>
                    </w:rPr>
                  </m:ctrlPr>
                </m:dPr>
                <m:e>
                  <m:r>
                    <w:rPr>
                      <w:rFonts w:ascii="Cambria Math" w:hAnsi="Cambria Math"/>
                    </w:rPr>
                    <m:t>i</m:t>
                  </m:r>
                </m:e>
              </m:d>
            </m:sub>
            <m:sup>
              <m:r>
                <w:rPr>
                  <w:rFonts w:ascii="Cambria Math" w:hAnsi="Cambria Math"/>
                </w:rPr>
                <m:t>TP</m:t>
              </m:r>
            </m:sup>
          </m:sSubSup>
          <m:r>
            <w:rPr>
              <w:rFonts w:ascii="Cambria Math" w:hAnsi="Cambria Math"/>
            </w:rPr>
            <m:t>+</m:t>
          </m:r>
          <m:sSubSup>
            <m:sSubSupPr>
              <m:ctrlPr>
                <w:rPr>
                  <w:rFonts w:ascii="Cambria Math" w:hAnsi="Cambria Math"/>
                  <w:i/>
                </w:rPr>
              </m:ctrlPr>
            </m:sSubSupPr>
            <m:e>
              <m:r>
                <w:rPr>
                  <w:rFonts w:ascii="Cambria Math" w:hAnsi="Cambria Math"/>
                </w:rPr>
                <m:t>β</m:t>
              </m:r>
            </m:e>
            <m:sub>
              <m:d>
                <m:dPr>
                  <m:begChr m:val="["/>
                  <m:endChr m:val="]"/>
                  <m:ctrlPr>
                    <w:rPr>
                      <w:rFonts w:ascii="Cambria Math" w:hAnsi="Cambria Math"/>
                      <w:i/>
                    </w:rPr>
                  </m:ctrlPr>
                </m:dPr>
                <m:e>
                  <m:r>
                    <w:rPr>
                      <w:rFonts w:ascii="Cambria Math" w:hAnsi="Cambria Math"/>
                    </w:rPr>
                    <m:t>i</m:t>
                  </m:r>
                </m:e>
              </m:d>
            </m:sub>
            <m:sup>
              <m:r>
                <w:rPr>
                  <w:rFonts w:ascii="Cambria Math" w:hAnsi="Cambria Math"/>
                </w:rPr>
                <m:t>TP</m:t>
              </m:r>
            </m:sup>
          </m:sSubSup>
          <m:r>
            <m:rPr>
              <m:sty m:val="p"/>
            </m:rPr>
            <w:rPr>
              <w:rFonts w:ascii="Cambria Math" w:hAnsi="Cambria Math"/>
            </w:rPr>
            <m:t>Δ</m:t>
          </m:r>
          <m:r>
            <w:rPr>
              <w:rFonts w:ascii="Cambria Math" w:hAnsi="Cambria Math"/>
            </w:rPr>
            <m:t>Total+</m:t>
          </m:r>
          <m:sSup>
            <m:sSupPr>
              <m:ctrlPr>
                <w:rPr>
                  <w:rFonts w:ascii="Cambria Math" w:hAnsi="Cambria Math"/>
                  <w:i/>
                </w:rPr>
              </m:ctrlPr>
            </m:sSupPr>
            <m:e>
              <m:sSup>
                <m:sSupPr>
                  <m:ctrlPr>
                    <w:rPr>
                      <w:rFonts w:ascii="Cambria Math" w:hAnsi="Cambria Math"/>
                      <w:i/>
                    </w:rPr>
                  </m:ctrlPr>
                </m:sSupPr>
                <m:e>
                  <m:r>
                    <w:rPr>
                      <w:rFonts w:ascii="Cambria Math" w:hAnsi="Cambria Math"/>
                    </w:rPr>
                    <m:t>Z</m:t>
                  </m:r>
                </m:e>
                <m:sup>
                  <m:r>
                    <w:rPr>
                      <w:rFonts w:ascii="Cambria Math" w:hAnsi="Cambria Math"/>
                    </w:rPr>
                    <m:t>TP</m:t>
                  </m:r>
                </m:sup>
              </m:sSup>
              <m:r>
                <w:rPr>
                  <w:rFonts w:ascii="Cambria Math" w:hAnsi="Cambria Math"/>
                </w:rPr>
                <m:t>γ</m:t>
              </m:r>
            </m:e>
            <m:sup>
              <m:r>
                <w:rPr>
                  <w:rFonts w:ascii="Cambria Math" w:hAnsi="Cambria Math"/>
                </w:rPr>
                <m:t>TP</m:t>
              </m:r>
            </m:sup>
          </m:sSup>
        </m:oMath>
      </m:oMathPara>
    </w:p>
    <w:p w14:paraId="69ABDDF9" w14:textId="77777777" w:rsidR="0011262F" w:rsidRDefault="002F0937" w:rsidP="0011262F">
      <w:pPr>
        <w:pStyle w:val="BodyText"/>
        <w:rPr>
          <w:rFonts w:ascii="Cambria Math" w:hAnsi="Cambria Math"/>
        </w:rPr>
      </w:pPr>
      <m:oMathPara>
        <m:oMath>
          <m:sSup>
            <m:sSupPr>
              <m:ctrlPr>
                <w:rPr>
                  <w:rFonts w:ascii="Cambria Math" w:hAnsi="Cambria Math"/>
                  <w:i/>
                </w:rPr>
              </m:ctrlPr>
            </m:sSupPr>
            <m:e>
              <m:r>
                <w:rPr>
                  <w:rFonts w:ascii="Cambria Math" w:hAnsi="Cambria Math"/>
                </w:rPr>
                <m:t>μ</m:t>
              </m:r>
            </m:e>
            <m:sup>
              <m:r>
                <w:rPr>
                  <w:rFonts w:ascii="Cambria Math" w:hAnsi="Cambria Math"/>
                </w:rPr>
                <m:t>AdminPassthrough</m:t>
              </m:r>
            </m:sup>
          </m:sSup>
          <m:r>
            <w:rPr>
              <w:rFonts w:ascii="Cambria Math" w:hAnsi="Cambria Math"/>
            </w:rPr>
            <m:t xml:space="preserve">= </m:t>
          </m:r>
          <m:sSubSup>
            <m:sSubSupPr>
              <m:ctrlPr>
                <w:rPr>
                  <w:rFonts w:ascii="Cambria Math" w:hAnsi="Cambria Math"/>
                  <w:i/>
                </w:rPr>
              </m:ctrlPr>
            </m:sSubSupPr>
            <m:e>
              <m:r>
                <w:rPr>
                  <w:rFonts w:ascii="Cambria Math" w:hAnsi="Cambria Math"/>
                </w:rPr>
                <m:t>α</m:t>
              </m:r>
            </m:e>
            <m:sub>
              <m:d>
                <m:dPr>
                  <m:begChr m:val="["/>
                  <m:endChr m:val="]"/>
                  <m:ctrlPr>
                    <w:rPr>
                      <w:rFonts w:ascii="Cambria Math" w:hAnsi="Cambria Math"/>
                      <w:i/>
                    </w:rPr>
                  </m:ctrlPr>
                </m:dPr>
                <m:e>
                  <m:r>
                    <w:rPr>
                      <w:rFonts w:ascii="Cambria Math" w:hAnsi="Cambria Math"/>
                    </w:rPr>
                    <m:t>i</m:t>
                  </m:r>
                </m:e>
              </m:d>
            </m:sub>
            <m:sup>
              <m:r>
                <w:rPr>
                  <w:rFonts w:ascii="Cambria Math" w:hAnsi="Cambria Math"/>
                </w:rPr>
                <m:t>AP</m:t>
              </m:r>
            </m:sup>
          </m:sSubSup>
          <m:r>
            <w:rPr>
              <w:rFonts w:ascii="Cambria Math" w:hAnsi="Cambria Math"/>
            </w:rPr>
            <m:t>+</m:t>
          </m:r>
          <m:sSubSup>
            <m:sSubSupPr>
              <m:ctrlPr>
                <w:rPr>
                  <w:rFonts w:ascii="Cambria Math" w:hAnsi="Cambria Math"/>
                  <w:i/>
                </w:rPr>
              </m:ctrlPr>
            </m:sSubSupPr>
            <m:e>
              <m:r>
                <w:rPr>
                  <w:rFonts w:ascii="Cambria Math" w:hAnsi="Cambria Math"/>
                </w:rPr>
                <m:t>β</m:t>
              </m:r>
            </m:e>
            <m:sub>
              <m:d>
                <m:dPr>
                  <m:begChr m:val="["/>
                  <m:endChr m:val="]"/>
                  <m:ctrlPr>
                    <w:rPr>
                      <w:rFonts w:ascii="Cambria Math" w:hAnsi="Cambria Math"/>
                      <w:i/>
                    </w:rPr>
                  </m:ctrlPr>
                </m:dPr>
                <m:e>
                  <m:r>
                    <w:rPr>
                      <w:rFonts w:ascii="Cambria Math" w:hAnsi="Cambria Math"/>
                    </w:rPr>
                    <m:t>i</m:t>
                  </m:r>
                </m:e>
              </m:d>
            </m:sub>
            <m:sup>
              <m:r>
                <w:rPr>
                  <w:rFonts w:ascii="Cambria Math" w:hAnsi="Cambria Math"/>
                </w:rPr>
                <m:t>AP</m:t>
              </m:r>
            </m:sup>
          </m:sSubSup>
          <m:r>
            <m:rPr>
              <m:sty m:val="p"/>
            </m:rPr>
            <w:rPr>
              <w:rFonts w:ascii="Cambria Math" w:hAnsi="Cambria Math"/>
            </w:rPr>
            <m:t>Δ</m:t>
          </m:r>
          <m:r>
            <w:rPr>
              <w:rFonts w:ascii="Cambria Math" w:hAnsi="Cambria Math"/>
            </w:rPr>
            <m:t>Admin+</m:t>
          </m:r>
          <m:sSup>
            <m:sSupPr>
              <m:ctrlPr>
                <w:rPr>
                  <w:rFonts w:ascii="Cambria Math" w:hAnsi="Cambria Math"/>
                  <w:i/>
                </w:rPr>
              </m:ctrlPr>
            </m:sSupPr>
            <m:e>
              <m:sSup>
                <m:sSupPr>
                  <m:ctrlPr>
                    <w:rPr>
                      <w:rFonts w:ascii="Cambria Math" w:hAnsi="Cambria Math"/>
                      <w:i/>
                    </w:rPr>
                  </m:ctrlPr>
                </m:sSupPr>
                <m:e>
                  <m:r>
                    <w:rPr>
                      <w:rFonts w:ascii="Cambria Math" w:hAnsi="Cambria Math"/>
                    </w:rPr>
                    <m:t>Z</m:t>
                  </m:r>
                </m:e>
                <m:sup>
                  <m:r>
                    <w:rPr>
                      <w:rFonts w:ascii="Cambria Math" w:hAnsi="Cambria Math"/>
                    </w:rPr>
                    <m:t>AP</m:t>
                  </m:r>
                </m:sup>
              </m:sSup>
              <m:r>
                <w:rPr>
                  <w:rFonts w:ascii="Cambria Math" w:hAnsi="Cambria Math"/>
                </w:rPr>
                <m:t>γ</m:t>
              </m:r>
            </m:e>
            <m:sup>
              <m:r>
                <w:rPr>
                  <w:rFonts w:ascii="Cambria Math" w:hAnsi="Cambria Math"/>
                </w:rPr>
                <m:t>AP</m:t>
              </m:r>
            </m:sup>
          </m:sSup>
        </m:oMath>
      </m:oMathPara>
    </w:p>
    <w:p w14:paraId="016F9684" w14:textId="77777777" w:rsidR="0011262F" w:rsidRPr="00DB69B7" w:rsidRDefault="002F0937" w:rsidP="0011262F">
      <w:pPr>
        <w:pStyle w:val="BodyText"/>
        <w:rPr>
          <w:rFonts w:ascii="Cambria Math" w:hAnsi="Cambria Math"/>
        </w:rPr>
      </w:pPr>
      <m:oMathPara>
        <m:oMath>
          <m:sSup>
            <m:sSupPr>
              <m:ctrlPr>
                <w:rPr>
                  <w:rFonts w:ascii="Cambria Math" w:hAnsi="Cambria Math"/>
                  <w:i/>
                </w:rPr>
              </m:ctrlPr>
            </m:sSupPr>
            <m:e>
              <m:r>
                <w:rPr>
                  <w:rFonts w:ascii="Cambria Math" w:hAnsi="Cambria Math"/>
                </w:rPr>
                <m:t>μ</m:t>
              </m:r>
            </m:e>
            <m:sup>
              <m:r>
                <w:rPr>
                  <w:rFonts w:ascii="Cambria Math" w:hAnsi="Cambria Math"/>
                </w:rPr>
                <m:t>InvestPassthrough</m:t>
              </m:r>
            </m:sup>
          </m:sSup>
          <m:r>
            <w:rPr>
              <w:rFonts w:ascii="Cambria Math" w:hAnsi="Cambria Math"/>
            </w:rPr>
            <m:t xml:space="preserve">= </m:t>
          </m:r>
          <m:sSubSup>
            <m:sSubSupPr>
              <m:ctrlPr>
                <w:rPr>
                  <w:rFonts w:ascii="Cambria Math" w:hAnsi="Cambria Math"/>
                  <w:i/>
                </w:rPr>
              </m:ctrlPr>
            </m:sSubSupPr>
            <m:e>
              <m:r>
                <w:rPr>
                  <w:rFonts w:ascii="Cambria Math" w:hAnsi="Cambria Math"/>
                </w:rPr>
                <m:t>α</m:t>
              </m:r>
            </m:e>
            <m:sub>
              <m:d>
                <m:dPr>
                  <m:begChr m:val="["/>
                  <m:endChr m:val="]"/>
                  <m:ctrlPr>
                    <w:rPr>
                      <w:rFonts w:ascii="Cambria Math" w:hAnsi="Cambria Math"/>
                      <w:i/>
                    </w:rPr>
                  </m:ctrlPr>
                </m:dPr>
                <m:e>
                  <m:r>
                    <w:rPr>
                      <w:rFonts w:ascii="Cambria Math" w:hAnsi="Cambria Math"/>
                    </w:rPr>
                    <m:t>i</m:t>
                  </m:r>
                </m:e>
              </m:d>
            </m:sub>
            <m:sup>
              <m:r>
                <w:rPr>
                  <w:rFonts w:ascii="Cambria Math" w:hAnsi="Cambria Math"/>
                </w:rPr>
                <m:t>IP</m:t>
              </m:r>
            </m:sup>
          </m:sSubSup>
          <m:r>
            <w:rPr>
              <w:rFonts w:ascii="Cambria Math" w:hAnsi="Cambria Math"/>
            </w:rPr>
            <m:t>+</m:t>
          </m:r>
          <m:sSubSup>
            <m:sSubSupPr>
              <m:ctrlPr>
                <w:rPr>
                  <w:rFonts w:ascii="Cambria Math" w:hAnsi="Cambria Math"/>
                  <w:i/>
                </w:rPr>
              </m:ctrlPr>
            </m:sSubSupPr>
            <m:e>
              <m:r>
                <w:rPr>
                  <w:rFonts w:ascii="Cambria Math" w:hAnsi="Cambria Math"/>
                </w:rPr>
                <m:t>β</m:t>
              </m:r>
            </m:e>
            <m:sub>
              <m:d>
                <m:dPr>
                  <m:begChr m:val="["/>
                  <m:endChr m:val="]"/>
                  <m:ctrlPr>
                    <w:rPr>
                      <w:rFonts w:ascii="Cambria Math" w:hAnsi="Cambria Math"/>
                      <w:i/>
                    </w:rPr>
                  </m:ctrlPr>
                </m:dPr>
                <m:e>
                  <m:r>
                    <w:rPr>
                      <w:rFonts w:ascii="Cambria Math" w:hAnsi="Cambria Math"/>
                    </w:rPr>
                    <m:t>i</m:t>
                  </m:r>
                </m:e>
              </m:d>
            </m:sub>
            <m:sup>
              <m:r>
                <w:rPr>
                  <w:rFonts w:ascii="Cambria Math" w:hAnsi="Cambria Math"/>
                </w:rPr>
                <m:t>IP</m:t>
              </m:r>
            </m:sup>
          </m:sSubSup>
          <m:r>
            <m:rPr>
              <m:sty m:val="p"/>
            </m:rPr>
            <w:rPr>
              <w:rFonts w:ascii="Cambria Math" w:hAnsi="Cambria Math"/>
            </w:rPr>
            <m:t>Δ</m:t>
          </m:r>
          <m:r>
            <w:rPr>
              <w:rFonts w:ascii="Cambria Math" w:hAnsi="Cambria Math"/>
            </w:rPr>
            <m:t>Invest+</m:t>
          </m:r>
          <m:sSup>
            <m:sSupPr>
              <m:ctrlPr>
                <w:rPr>
                  <w:rFonts w:ascii="Cambria Math" w:hAnsi="Cambria Math"/>
                  <w:i/>
                </w:rPr>
              </m:ctrlPr>
            </m:sSupPr>
            <m:e>
              <m:sSup>
                <m:sSupPr>
                  <m:ctrlPr>
                    <w:rPr>
                      <w:rFonts w:ascii="Cambria Math" w:hAnsi="Cambria Math"/>
                      <w:i/>
                    </w:rPr>
                  </m:ctrlPr>
                </m:sSupPr>
                <m:e>
                  <m:r>
                    <w:rPr>
                      <w:rFonts w:ascii="Cambria Math" w:hAnsi="Cambria Math"/>
                    </w:rPr>
                    <m:t>Z</m:t>
                  </m:r>
                </m:e>
                <m:sup>
                  <m:r>
                    <w:rPr>
                      <w:rFonts w:ascii="Cambria Math" w:hAnsi="Cambria Math"/>
                    </w:rPr>
                    <m:t>IP</m:t>
                  </m:r>
                </m:sup>
              </m:sSup>
              <m:r>
                <w:rPr>
                  <w:rFonts w:ascii="Cambria Math" w:hAnsi="Cambria Math"/>
                </w:rPr>
                <m:t>γ</m:t>
              </m:r>
            </m:e>
            <m:sup>
              <m:r>
                <w:rPr>
                  <w:rFonts w:ascii="Cambria Math" w:hAnsi="Cambria Math"/>
                </w:rPr>
                <m:t>IP</m:t>
              </m:r>
            </m:sup>
          </m:sSup>
        </m:oMath>
      </m:oMathPara>
    </w:p>
    <w:p w14:paraId="30EDFF80" w14:textId="77777777" w:rsidR="0011262F" w:rsidRDefault="0011262F" w:rsidP="0011262F">
      <w:pPr>
        <w:pStyle w:val="BodyText"/>
      </w:pPr>
      <m:oMath>
        <m:r>
          <m:rPr>
            <m:sty m:val="p"/>
          </m:rPr>
          <w:rPr>
            <w:rFonts w:ascii="Cambria Math" w:hAnsi="Cambria Math"/>
          </w:rPr>
          <m:t>Δ</m:t>
        </m:r>
        <m:r>
          <w:rPr>
            <w:rFonts w:ascii="Cambria Math" w:hAnsi="Cambria Math"/>
          </w:rPr>
          <m:t>Total</m:t>
        </m:r>
      </m:oMath>
      <w:r>
        <w:t xml:space="preserve">, </w:t>
      </w:r>
      <m:oMath>
        <m:r>
          <m:rPr>
            <m:sty m:val="p"/>
          </m:rPr>
          <w:rPr>
            <w:rFonts w:ascii="Cambria Math" w:hAnsi="Cambria Math"/>
          </w:rPr>
          <m:t>Δ</m:t>
        </m:r>
        <m:r>
          <w:rPr>
            <w:rFonts w:ascii="Cambria Math" w:hAnsi="Cambria Math"/>
          </w:rPr>
          <m:t>Admin</m:t>
        </m:r>
      </m:oMath>
      <w:r>
        <w:t xml:space="preserve">, and </w:t>
      </w:r>
      <m:oMath>
        <m:r>
          <m:rPr>
            <m:sty m:val="p"/>
          </m:rPr>
          <w:rPr>
            <w:rFonts w:ascii="Cambria Math" w:hAnsi="Cambria Math"/>
          </w:rPr>
          <m:t>Δ</m:t>
        </m:r>
        <m:r>
          <w:rPr>
            <w:rFonts w:ascii="Cambria Math" w:hAnsi="Cambria Math"/>
          </w:rPr>
          <m:t>Invest</m:t>
        </m:r>
      </m:oMath>
      <w:r>
        <w:t xml:space="preserve"> refer to the predicted change in expenses only due to a change in size. They are calculated by taking the difference between the predicted costs for a fund in the current time period </w:t>
      </w:r>
      <m:oMath>
        <m:r>
          <w:rPr>
            <w:rFonts w:ascii="Cambria Math" w:hAnsi="Cambria Math"/>
          </w:rPr>
          <m:t>(</m:t>
        </m:r>
        <m:sSubSup>
          <m:sSubSupPr>
            <m:ctrlPr>
              <w:rPr>
                <w:rFonts w:ascii="Cambria Math" w:hAnsi="Cambria Math"/>
                <w:i/>
              </w:rPr>
            </m:ctrlPr>
          </m:sSubSupPr>
          <m:e>
            <m:r>
              <w:rPr>
                <w:rFonts w:ascii="Cambria Math" w:hAnsi="Cambria Math"/>
              </w:rPr>
              <m:t>μ</m:t>
            </m:r>
          </m:e>
          <m:sub>
            <m:r>
              <w:rPr>
                <w:rFonts w:ascii="Cambria Math" w:hAnsi="Cambria Math"/>
              </w:rPr>
              <m:t>Base</m:t>
            </m:r>
          </m:sub>
          <m:sup/>
        </m:sSubSup>
        <m:r>
          <w:rPr>
            <w:rFonts w:ascii="Cambria Math" w:hAnsi="Cambria Math"/>
          </w:rPr>
          <m:t>)</m:t>
        </m:r>
      </m:oMath>
      <w:r>
        <w:t xml:space="preserve"> and the predicted costs if the total assets and members acc</w:t>
      </w:r>
      <w:proofErr w:type="spellStart"/>
      <w:r>
        <w:t>ounts</w:t>
      </w:r>
      <w:proofErr w:type="spellEnd"/>
      <w:r>
        <w:t xml:space="preserve"> are shifted forward one period but other information is held constant </w:t>
      </w:r>
      <m:oMath>
        <m:r>
          <w:rPr>
            <w:rFonts w:ascii="Cambria Math" w:hAnsi="Cambria Math"/>
          </w:rPr>
          <m:t>(</m:t>
        </m:r>
        <m:sSubSup>
          <m:sSubSupPr>
            <m:ctrlPr>
              <w:rPr>
                <w:rFonts w:ascii="Cambria Math" w:hAnsi="Cambria Math"/>
                <w:i/>
              </w:rPr>
            </m:ctrlPr>
          </m:sSubSupPr>
          <m:e>
            <m:r>
              <w:rPr>
                <w:rFonts w:ascii="Cambria Math" w:hAnsi="Cambria Math"/>
              </w:rPr>
              <m:t>μ</m:t>
            </m:r>
          </m:e>
          <m:sub>
            <m:r>
              <w:rPr>
                <w:rFonts w:ascii="Cambria Math" w:hAnsi="Cambria Math"/>
              </w:rPr>
              <m:t>Size</m:t>
            </m:r>
          </m:sub>
          <m:sup/>
        </m:sSubSup>
        <m:r>
          <w:rPr>
            <w:rFonts w:ascii="Cambria Math" w:hAnsi="Cambria Math"/>
          </w:rPr>
          <m:t>)</m:t>
        </m:r>
      </m:oMath>
      <w:r>
        <w:t>.</w:t>
      </w:r>
    </w:p>
    <w:p w14:paraId="356F9829" w14:textId="77777777" w:rsidR="0011262F" w:rsidRDefault="0011262F" w:rsidP="0011262F">
      <w:pPr>
        <w:pStyle w:val="BodyText"/>
      </w:pPr>
      <w:r>
        <w:t xml:space="preserve">To calculate total expenses, the above expressions for administration and investment expenses are </w:t>
      </w:r>
      <w:proofErr w:type="spellStart"/>
      <w:r w:rsidRPr="00B877B7">
        <w:t>unstandardised</w:t>
      </w:r>
      <w:proofErr w:type="spellEnd"/>
      <w:r>
        <w:t xml:space="preserve"> and summed up.</w:t>
      </w:r>
    </w:p>
    <w:p w14:paraId="152D26E4" w14:textId="77777777" w:rsidR="0011262F" w:rsidRPr="008E07E9" w:rsidRDefault="002F0937" w:rsidP="0011262F">
      <w:pPr>
        <w:pStyle w:val="BodyText"/>
      </w:pPr>
      <m:oMathPara>
        <m:oMath>
          <m:sSubSup>
            <m:sSubSupPr>
              <m:ctrlPr>
                <w:rPr>
                  <w:rFonts w:ascii="Cambria Math" w:hAnsi="Cambria Math"/>
                  <w:i/>
                </w:rPr>
              </m:ctrlPr>
            </m:sSubSupPr>
            <m:e>
              <m:r>
                <m:rPr>
                  <m:sty m:val="p"/>
                </m:rPr>
                <w:rPr>
                  <w:rFonts w:ascii="Cambria Math" w:hAnsi="Cambria Math"/>
                </w:rPr>
                <m:t>Μ</m:t>
              </m:r>
            </m:e>
            <m:sub>
              <m:r>
                <w:rPr>
                  <w:rFonts w:ascii="Cambria Math" w:hAnsi="Cambria Math"/>
                </w:rPr>
                <m:t>Base</m:t>
              </m:r>
            </m:sub>
            <m:sup>
              <m:r>
                <w:rPr>
                  <w:rFonts w:ascii="Cambria Math" w:hAnsi="Cambria Math"/>
                </w:rPr>
                <m:t>Admin</m:t>
              </m:r>
            </m:sup>
          </m:sSubSup>
          <m:r>
            <w:rPr>
              <w:rFonts w:ascii="Cambria Math" w:hAnsi="Cambria Math"/>
            </w:rPr>
            <m:t xml:space="preserve"> ∝</m:t>
          </m:r>
          <m:r>
            <m:rPr>
              <m:sty m:val="p"/>
            </m:rPr>
            <w:rPr>
              <w:rFonts w:ascii="Cambria Math" w:hAnsi="Cambria Math"/>
            </w:rPr>
            <m:t>exp⁡</m:t>
          </m:r>
          <m:r>
            <w:rPr>
              <w:rFonts w:ascii="Cambria Math" w:hAnsi="Cambria Math"/>
            </w:rPr>
            <m:t>(</m:t>
          </m:r>
          <m:sSubSup>
            <m:sSubSupPr>
              <m:ctrlPr>
                <w:rPr>
                  <w:rFonts w:ascii="Cambria Math" w:hAnsi="Cambria Math"/>
                  <w:i/>
                </w:rPr>
              </m:ctrlPr>
            </m:sSubSupPr>
            <m:e>
              <m:r>
                <w:rPr>
                  <w:rFonts w:ascii="Cambria Math" w:hAnsi="Cambria Math"/>
                </w:rPr>
                <m:t>μ</m:t>
              </m:r>
            </m:e>
            <m:sub>
              <m:r>
                <w:rPr>
                  <w:rFonts w:ascii="Cambria Math" w:hAnsi="Cambria Math"/>
                </w:rPr>
                <m:t>Base</m:t>
              </m:r>
            </m:sub>
            <m:sup>
              <m:r>
                <w:rPr>
                  <w:rFonts w:ascii="Cambria Math" w:hAnsi="Cambria Math"/>
                </w:rPr>
                <m:t>Admin</m:t>
              </m:r>
            </m:sup>
          </m:sSubSup>
          <m:r>
            <w:rPr>
              <w:rFonts w:ascii="Cambria Math" w:hAnsi="Cambria Math"/>
            </w:rPr>
            <m:t>)</m:t>
          </m:r>
        </m:oMath>
      </m:oMathPara>
    </w:p>
    <w:p w14:paraId="0039A74A" w14:textId="77777777" w:rsidR="0011262F" w:rsidRDefault="002F0937" w:rsidP="0011262F">
      <w:pPr>
        <w:pStyle w:val="BodyText"/>
      </w:pPr>
      <m:oMathPara>
        <m:oMath>
          <m:sSubSup>
            <m:sSubSupPr>
              <m:ctrlPr>
                <w:rPr>
                  <w:rFonts w:ascii="Cambria Math" w:hAnsi="Cambria Math"/>
                  <w:i/>
                </w:rPr>
              </m:ctrlPr>
            </m:sSubSupPr>
            <m:e>
              <m:r>
                <m:rPr>
                  <m:sty m:val="p"/>
                </m:rPr>
                <w:rPr>
                  <w:rFonts w:ascii="Cambria Math" w:hAnsi="Cambria Math"/>
                </w:rPr>
                <m:t>Μ</m:t>
              </m:r>
            </m:e>
            <m:sub>
              <m:r>
                <w:rPr>
                  <w:rFonts w:ascii="Cambria Math" w:hAnsi="Cambria Math"/>
                </w:rPr>
                <m:t>Size</m:t>
              </m:r>
            </m:sub>
            <m:sup>
              <m:r>
                <w:rPr>
                  <w:rFonts w:ascii="Cambria Math" w:hAnsi="Cambria Math"/>
                </w:rPr>
                <m:t>Admin</m:t>
              </m:r>
            </m:sup>
          </m:sSubSup>
          <m:r>
            <w:rPr>
              <w:rFonts w:ascii="Cambria Math" w:hAnsi="Cambria Math"/>
            </w:rPr>
            <m:t xml:space="preserve"> ∝</m:t>
          </m:r>
          <m:r>
            <m:rPr>
              <m:sty m:val="p"/>
            </m:rPr>
            <w:rPr>
              <w:rFonts w:ascii="Cambria Math" w:hAnsi="Cambria Math"/>
            </w:rPr>
            <m:t>exp⁡</m:t>
          </m:r>
          <m:r>
            <w:rPr>
              <w:rFonts w:ascii="Cambria Math" w:hAnsi="Cambria Math"/>
            </w:rPr>
            <m:t>(</m:t>
          </m:r>
          <m:sSubSup>
            <m:sSubSupPr>
              <m:ctrlPr>
                <w:rPr>
                  <w:rFonts w:ascii="Cambria Math" w:hAnsi="Cambria Math"/>
                  <w:i/>
                </w:rPr>
              </m:ctrlPr>
            </m:sSubSupPr>
            <m:e>
              <m:r>
                <w:rPr>
                  <w:rFonts w:ascii="Cambria Math" w:hAnsi="Cambria Math"/>
                </w:rPr>
                <m:t>μ</m:t>
              </m:r>
            </m:e>
            <m:sub>
              <m:r>
                <w:rPr>
                  <w:rFonts w:ascii="Cambria Math" w:hAnsi="Cambria Math"/>
                </w:rPr>
                <m:t>Size</m:t>
              </m:r>
            </m:sub>
            <m:sup>
              <m:r>
                <w:rPr>
                  <w:rFonts w:ascii="Cambria Math" w:hAnsi="Cambria Math"/>
                </w:rPr>
                <m:t>Admin</m:t>
              </m:r>
            </m:sup>
          </m:sSubSup>
          <m:r>
            <w:rPr>
              <w:rFonts w:ascii="Cambria Math" w:hAnsi="Cambria Math"/>
            </w:rPr>
            <m:t>)</m:t>
          </m:r>
        </m:oMath>
      </m:oMathPara>
    </w:p>
    <w:p w14:paraId="3ED366AC" w14:textId="77777777" w:rsidR="0011262F" w:rsidRDefault="002F0937" w:rsidP="0011262F">
      <w:pPr>
        <w:pStyle w:val="BodyText"/>
      </w:pPr>
      <m:oMathPara>
        <m:oMath>
          <m:sSubSup>
            <m:sSubSupPr>
              <m:ctrlPr>
                <w:rPr>
                  <w:rFonts w:ascii="Cambria Math" w:hAnsi="Cambria Math"/>
                  <w:i/>
                </w:rPr>
              </m:ctrlPr>
            </m:sSubSupPr>
            <m:e>
              <m:r>
                <m:rPr>
                  <m:sty m:val="p"/>
                </m:rPr>
                <w:rPr>
                  <w:rFonts w:ascii="Cambria Math" w:hAnsi="Cambria Math"/>
                </w:rPr>
                <m:t>Μ</m:t>
              </m:r>
            </m:e>
            <m:sub>
              <m:r>
                <w:rPr>
                  <w:rFonts w:ascii="Cambria Math" w:hAnsi="Cambria Math"/>
                </w:rPr>
                <m:t>Base</m:t>
              </m:r>
            </m:sub>
            <m:sup>
              <m:r>
                <w:rPr>
                  <w:rFonts w:ascii="Cambria Math" w:hAnsi="Cambria Math"/>
                </w:rPr>
                <m:t>Invest</m:t>
              </m:r>
            </m:sup>
          </m:sSubSup>
          <m:r>
            <w:rPr>
              <w:rFonts w:ascii="Cambria Math" w:hAnsi="Cambria Math"/>
            </w:rPr>
            <m:t xml:space="preserve"> ∝</m:t>
          </m:r>
          <m:r>
            <m:rPr>
              <m:sty m:val="p"/>
            </m:rPr>
            <w:rPr>
              <w:rFonts w:ascii="Cambria Math" w:hAnsi="Cambria Math"/>
            </w:rPr>
            <m:t>exp⁡</m:t>
          </m:r>
          <m:r>
            <w:rPr>
              <w:rFonts w:ascii="Cambria Math" w:hAnsi="Cambria Math"/>
            </w:rPr>
            <m:t>(</m:t>
          </m:r>
          <m:sSubSup>
            <m:sSubSupPr>
              <m:ctrlPr>
                <w:rPr>
                  <w:rFonts w:ascii="Cambria Math" w:hAnsi="Cambria Math"/>
                  <w:i/>
                </w:rPr>
              </m:ctrlPr>
            </m:sSubSupPr>
            <m:e>
              <m:r>
                <w:rPr>
                  <w:rFonts w:ascii="Cambria Math" w:hAnsi="Cambria Math"/>
                </w:rPr>
                <m:t>μ</m:t>
              </m:r>
            </m:e>
            <m:sub>
              <m:r>
                <w:rPr>
                  <w:rFonts w:ascii="Cambria Math" w:hAnsi="Cambria Math"/>
                </w:rPr>
                <m:t>Base</m:t>
              </m:r>
            </m:sub>
            <m:sup>
              <m:r>
                <w:rPr>
                  <w:rFonts w:ascii="Cambria Math" w:hAnsi="Cambria Math"/>
                </w:rPr>
                <m:t>Invest</m:t>
              </m:r>
            </m:sup>
          </m:sSubSup>
          <m:r>
            <w:rPr>
              <w:rFonts w:ascii="Cambria Math" w:hAnsi="Cambria Math"/>
            </w:rPr>
            <m:t>)</m:t>
          </m:r>
        </m:oMath>
      </m:oMathPara>
    </w:p>
    <w:p w14:paraId="4F16B571" w14:textId="77777777" w:rsidR="0011262F" w:rsidRPr="008E07E9" w:rsidRDefault="002F0937" w:rsidP="0011262F">
      <w:pPr>
        <w:pStyle w:val="BodyText"/>
      </w:pPr>
      <m:oMathPara>
        <m:oMath>
          <m:sSubSup>
            <m:sSubSupPr>
              <m:ctrlPr>
                <w:rPr>
                  <w:rFonts w:ascii="Cambria Math" w:hAnsi="Cambria Math"/>
                  <w:i/>
                </w:rPr>
              </m:ctrlPr>
            </m:sSubSupPr>
            <m:e>
              <m:r>
                <m:rPr>
                  <m:sty m:val="p"/>
                </m:rPr>
                <w:rPr>
                  <w:rFonts w:ascii="Cambria Math" w:hAnsi="Cambria Math"/>
                </w:rPr>
                <m:t>Μ</m:t>
              </m:r>
            </m:e>
            <m:sub>
              <m:r>
                <w:rPr>
                  <w:rFonts w:ascii="Cambria Math" w:hAnsi="Cambria Math"/>
                </w:rPr>
                <m:t>Size</m:t>
              </m:r>
            </m:sub>
            <m:sup>
              <m:r>
                <w:rPr>
                  <w:rFonts w:ascii="Cambria Math" w:hAnsi="Cambria Math"/>
                </w:rPr>
                <m:t>Invest</m:t>
              </m:r>
            </m:sup>
          </m:sSubSup>
          <m:r>
            <w:rPr>
              <w:rFonts w:ascii="Cambria Math" w:hAnsi="Cambria Math"/>
            </w:rPr>
            <m:t xml:space="preserve"> ∝</m:t>
          </m:r>
          <m:r>
            <m:rPr>
              <m:sty m:val="p"/>
            </m:rPr>
            <w:rPr>
              <w:rFonts w:ascii="Cambria Math" w:hAnsi="Cambria Math"/>
            </w:rPr>
            <m:t>exp⁡</m:t>
          </m:r>
          <m:r>
            <w:rPr>
              <w:rFonts w:ascii="Cambria Math" w:hAnsi="Cambria Math"/>
            </w:rPr>
            <m:t>(</m:t>
          </m:r>
          <m:sSubSup>
            <m:sSubSupPr>
              <m:ctrlPr>
                <w:rPr>
                  <w:rFonts w:ascii="Cambria Math" w:hAnsi="Cambria Math"/>
                  <w:i/>
                </w:rPr>
              </m:ctrlPr>
            </m:sSubSupPr>
            <m:e>
              <m:r>
                <w:rPr>
                  <w:rFonts w:ascii="Cambria Math" w:hAnsi="Cambria Math"/>
                </w:rPr>
                <m:t>μ</m:t>
              </m:r>
            </m:e>
            <m:sub>
              <m:r>
                <w:rPr>
                  <w:rFonts w:ascii="Cambria Math" w:hAnsi="Cambria Math"/>
                </w:rPr>
                <m:t>Size</m:t>
              </m:r>
            </m:sub>
            <m:sup>
              <m:r>
                <w:rPr>
                  <w:rFonts w:ascii="Cambria Math" w:hAnsi="Cambria Math"/>
                </w:rPr>
                <m:t>Invest</m:t>
              </m:r>
            </m:sup>
          </m:sSubSup>
          <m:r>
            <w:rPr>
              <w:rFonts w:ascii="Cambria Math" w:hAnsi="Cambria Math"/>
            </w:rPr>
            <m:t>)</m:t>
          </m:r>
        </m:oMath>
      </m:oMathPara>
    </w:p>
    <w:p w14:paraId="353B99ED" w14:textId="77777777" w:rsidR="0011262F" w:rsidRPr="00EA0FCC" w:rsidRDefault="002F0937" w:rsidP="0011262F">
      <w:pPr>
        <w:pStyle w:val="ListBullet"/>
        <w:numPr>
          <w:ilvl w:val="0"/>
          <w:numId w:val="0"/>
        </w:numPr>
        <w:ind w:left="340"/>
      </w:pPr>
      <m:oMathPara>
        <m:oMath>
          <m:sSubSup>
            <m:sSubSupPr>
              <m:ctrlPr>
                <w:rPr>
                  <w:rFonts w:ascii="Cambria Math" w:hAnsi="Cambria Math"/>
                  <w:i/>
                </w:rPr>
              </m:ctrlPr>
            </m:sSubSupPr>
            <m:e>
              <m:r>
                <m:rPr>
                  <m:sty m:val="p"/>
                </m:rPr>
                <w:rPr>
                  <w:rFonts w:ascii="Cambria Math" w:hAnsi="Cambria Math"/>
                </w:rPr>
                <m:t>Μ</m:t>
              </m:r>
            </m:e>
            <m:sub>
              <m:r>
                <w:rPr>
                  <w:rFonts w:ascii="Cambria Math" w:hAnsi="Cambria Math"/>
                </w:rPr>
                <m:t>Base</m:t>
              </m:r>
            </m:sub>
            <m:sup>
              <m:r>
                <w:rPr>
                  <w:rFonts w:ascii="Cambria Math" w:hAnsi="Cambria Math"/>
                </w:rPr>
                <m:t>Total</m:t>
              </m:r>
            </m:sup>
          </m:sSubSup>
          <m:r>
            <w:rPr>
              <w:rFonts w:ascii="Cambria Math" w:hAnsi="Cambria Math"/>
            </w:rPr>
            <m:t xml:space="preserve">= </m:t>
          </m:r>
          <m:sSubSup>
            <m:sSubSupPr>
              <m:ctrlPr>
                <w:rPr>
                  <w:rFonts w:ascii="Cambria Math" w:hAnsi="Cambria Math"/>
                  <w:i/>
                </w:rPr>
              </m:ctrlPr>
            </m:sSubSupPr>
            <m:e>
              <m:r>
                <m:rPr>
                  <m:sty m:val="p"/>
                </m:rPr>
                <w:rPr>
                  <w:rFonts w:ascii="Cambria Math" w:hAnsi="Cambria Math"/>
                </w:rPr>
                <m:t>Μ</m:t>
              </m:r>
            </m:e>
            <m:sub>
              <m:r>
                <w:rPr>
                  <w:rFonts w:ascii="Cambria Math" w:hAnsi="Cambria Math"/>
                </w:rPr>
                <m:t>Base</m:t>
              </m:r>
            </m:sub>
            <m:sup>
              <m:r>
                <w:rPr>
                  <w:rFonts w:ascii="Cambria Math" w:hAnsi="Cambria Math"/>
                </w:rPr>
                <m:t>Admin</m:t>
              </m:r>
            </m:sup>
          </m:sSubSup>
          <m:r>
            <w:rPr>
              <w:rFonts w:ascii="Cambria Math" w:hAnsi="Cambria Math"/>
            </w:rPr>
            <m:t xml:space="preserve">+ </m:t>
          </m:r>
          <m:sSubSup>
            <m:sSubSupPr>
              <m:ctrlPr>
                <w:rPr>
                  <w:rFonts w:ascii="Cambria Math" w:hAnsi="Cambria Math"/>
                  <w:i/>
                </w:rPr>
              </m:ctrlPr>
            </m:sSubSupPr>
            <m:e>
              <m:r>
                <m:rPr>
                  <m:sty m:val="p"/>
                </m:rPr>
                <w:rPr>
                  <w:rFonts w:ascii="Cambria Math" w:hAnsi="Cambria Math"/>
                </w:rPr>
                <m:t>Μ</m:t>
              </m:r>
            </m:e>
            <m:sub>
              <m:r>
                <w:rPr>
                  <w:rFonts w:ascii="Cambria Math" w:hAnsi="Cambria Math"/>
                </w:rPr>
                <m:t>Base</m:t>
              </m:r>
            </m:sub>
            <m:sup>
              <m:r>
                <w:rPr>
                  <w:rFonts w:ascii="Cambria Math" w:hAnsi="Cambria Math"/>
                </w:rPr>
                <m:t>Invest</m:t>
              </m:r>
            </m:sup>
          </m:sSubSup>
        </m:oMath>
      </m:oMathPara>
    </w:p>
    <w:p w14:paraId="4A8CE5D3" w14:textId="77777777" w:rsidR="0011262F" w:rsidRDefault="002F0937" w:rsidP="0011262F">
      <w:pPr>
        <w:pStyle w:val="ListBullet"/>
        <w:numPr>
          <w:ilvl w:val="0"/>
          <w:numId w:val="0"/>
        </w:numPr>
        <w:ind w:left="340"/>
      </w:pPr>
      <m:oMathPara>
        <m:oMath>
          <m:sSubSup>
            <m:sSubSupPr>
              <m:ctrlPr>
                <w:rPr>
                  <w:rFonts w:ascii="Cambria Math" w:hAnsi="Cambria Math"/>
                  <w:i/>
                </w:rPr>
              </m:ctrlPr>
            </m:sSubSupPr>
            <m:e>
              <m:r>
                <m:rPr>
                  <m:sty m:val="p"/>
                </m:rPr>
                <w:rPr>
                  <w:rFonts w:ascii="Cambria Math" w:hAnsi="Cambria Math"/>
                </w:rPr>
                <m:t>Μ</m:t>
              </m:r>
            </m:e>
            <m:sub>
              <m:r>
                <w:rPr>
                  <w:rFonts w:ascii="Cambria Math" w:hAnsi="Cambria Math"/>
                </w:rPr>
                <m:t>Size</m:t>
              </m:r>
            </m:sub>
            <m:sup>
              <m:r>
                <w:rPr>
                  <w:rFonts w:ascii="Cambria Math" w:hAnsi="Cambria Math"/>
                </w:rPr>
                <m:t>Total</m:t>
              </m:r>
            </m:sup>
          </m:sSubSup>
          <m:r>
            <w:rPr>
              <w:rFonts w:ascii="Cambria Math" w:hAnsi="Cambria Math"/>
            </w:rPr>
            <m:t xml:space="preserve">= </m:t>
          </m:r>
          <m:sSubSup>
            <m:sSubSupPr>
              <m:ctrlPr>
                <w:rPr>
                  <w:rFonts w:ascii="Cambria Math" w:hAnsi="Cambria Math"/>
                  <w:i/>
                </w:rPr>
              </m:ctrlPr>
            </m:sSubSupPr>
            <m:e>
              <m:r>
                <m:rPr>
                  <m:sty m:val="p"/>
                </m:rPr>
                <w:rPr>
                  <w:rFonts w:ascii="Cambria Math" w:hAnsi="Cambria Math"/>
                </w:rPr>
                <m:t>Μ</m:t>
              </m:r>
            </m:e>
            <m:sub>
              <m:r>
                <w:rPr>
                  <w:rFonts w:ascii="Cambria Math" w:hAnsi="Cambria Math"/>
                </w:rPr>
                <m:t>Size</m:t>
              </m:r>
            </m:sub>
            <m:sup>
              <m:r>
                <w:rPr>
                  <w:rFonts w:ascii="Cambria Math" w:hAnsi="Cambria Math"/>
                </w:rPr>
                <m:t>Admin</m:t>
              </m:r>
            </m:sup>
          </m:sSubSup>
          <m:r>
            <w:rPr>
              <w:rFonts w:ascii="Cambria Math" w:hAnsi="Cambria Math"/>
            </w:rPr>
            <m:t xml:space="preserve">+ </m:t>
          </m:r>
          <m:sSubSup>
            <m:sSubSupPr>
              <m:ctrlPr>
                <w:rPr>
                  <w:rFonts w:ascii="Cambria Math" w:hAnsi="Cambria Math"/>
                  <w:i/>
                </w:rPr>
              </m:ctrlPr>
            </m:sSubSupPr>
            <m:e>
              <m:r>
                <m:rPr>
                  <m:sty m:val="p"/>
                </m:rPr>
                <w:rPr>
                  <w:rFonts w:ascii="Cambria Math" w:hAnsi="Cambria Math"/>
                </w:rPr>
                <m:t>Μ</m:t>
              </m:r>
            </m:e>
            <m:sub>
              <m:r>
                <w:rPr>
                  <w:rFonts w:ascii="Cambria Math" w:hAnsi="Cambria Math"/>
                </w:rPr>
                <m:t>Size</m:t>
              </m:r>
            </m:sub>
            <m:sup>
              <m:r>
                <w:rPr>
                  <w:rFonts w:ascii="Cambria Math" w:hAnsi="Cambria Math"/>
                </w:rPr>
                <m:t>Invest</m:t>
              </m:r>
            </m:sup>
          </m:sSubSup>
        </m:oMath>
      </m:oMathPara>
    </w:p>
    <w:p w14:paraId="1A59A97E" w14:textId="77777777" w:rsidR="0011262F" w:rsidRDefault="0011262F" w:rsidP="0011262F">
      <w:pPr>
        <w:pStyle w:val="BodyText"/>
      </w:pPr>
      <w:r>
        <w:t>Log differences are taken for total, administration, and investment expenses to calculate the change in expenses only due to a change in size.</w:t>
      </w:r>
    </w:p>
    <w:p w14:paraId="7CC81871" w14:textId="77777777" w:rsidR="0011262F" w:rsidRPr="008E07E9" w:rsidRDefault="0011262F" w:rsidP="0011262F">
      <w:pPr>
        <w:pStyle w:val="BodyText"/>
      </w:pPr>
      <m:oMathPara>
        <m:oMath>
          <m:r>
            <m:rPr>
              <m:sty m:val="p"/>
            </m:rPr>
            <w:rPr>
              <w:rFonts w:ascii="Cambria Math" w:hAnsi="Cambria Math"/>
            </w:rPr>
            <m:t>Δ</m:t>
          </m:r>
          <m:r>
            <w:rPr>
              <w:rFonts w:ascii="Cambria Math" w:hAnsi="Cambria Math"/>
            </w:rPr>
            <m:t>Total=</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Sup>
                    <m:sSubSupPr>
                      <m:ctrlPr>
                        <w:rPr>
                          <w:rFonts w:ascii="Cambria Math" w:hAnsi="Cambria Math"/>
                          <w:i/>
                        </w:rPr>
                      </m:ctrlPr>
                    </m:sSubSupPr>
                    <m:e>
                      <m:r>
                        <m:rPr>
                          <m:sty m:val="p"/>
                        </m:rPr>
                        <w:rPr>
                          <w:rFonts w:ascii="Cambria Math" w:hAnsi="Cambria Math"/>
                        </w:rPr>
                        <m:t>Μ</m:t>
                      </m:r>
                    </m:e>
                    <m:sub>
                      <m:r>
                        <w:rPr>
                          <w:rFonts w:ascii="Cambria Math" w:hAnsi="Cambria Math"/>
                        </w:rPr>
                        <m:t>Size</m:t>
                      </m:r>
                    </m:sub>
                    <m:sup>
                      <m:r>
                        <w:rPr>
                          <w:rFonts w:ascii="Cambria Math" w:hAnsi="Cambria Math"/>
                        </w:rPr>
                        <m:t>Total</m:t>
                      </m:r>
                    </m:sup>
                  </m:sSubSup>
                </m:e>
              </m:d>
            </m:e>
          </m:func>
          <m:r>
            <w:rPr>
              <w:rFonts w:ascii="Cambria Math" w:hAnsi="Cambria Math"/>
            </w:rPr>
            <m:t>-</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Sup>
                    <m:sSubSupPr>
                      <m:ctrlPr>
                        <w:rPr>
                          <w:rFonts w:ascii="Cambria Math" w:hAnsi="Cambria Math"/>
                          <w:i/>
                        </w:rPr>
                      </m:ctrlPr>
                    </m:sSubSupPr>
                    <m:e>
                      <m:r>
                        <m:rPr>
                          <m:sty m:val="p"/>
                        </m:rPr>
                        <w:rPr>
                          <w:rFonts w:ascii="Cambria Math" w:hAnsi="Cambria Math"/>
                        </w:rPr>
                        <m:t>Μ</m:t>
                      </m:r>
                    </m:e>
                    <m:sub>
                      <m:r>
                        <w:rPr>
                          <w:rFonts w:ascii="Cambria Math" w:hAnsi="Cambria Math"/>
                        </w:rPr>
                        <m:t>Base</m:t>
                      </m:r>
                    </m:sub>
                    <m:sup>
                      <m:r>
                        <w:rPr>
                          <w:rFonts w:ascii="Cambria Math" w:hAnsi="Cambria Math"/>
                        </w:rPr>
                        <m:t>Total</m:t>
                      </m:r>
                    </m:sup>
                  </m:sSubSup>
                </m:e>
              </m:d>
            </m:e>
          </m:func>
        </m:oMath>
      </m:oMathPara>
    </w:p>
    <w:p w14:paraId="235EA6CE" w14:textId="77777777" w:rsidR="0011262F" w:rsidRDefault="0011262F" w:rsidP="0011262F">
      <w:pPr>
        <w:pStyle w:val="BodyText"/>
      </w:pPr>
      <m:oMathPara>
        <m:oMath>
          <m:r>
            <m:rPr>
              <m:sty m:val="p"/>
            </m:rPr>
            <w:rPr>
              <w:rFonts w:ascii="Cambria Math" w:hAnsi="Cambria Math"/>
            </w:rPr>
            <m:t>Δ</m:t>
          </m:r>
          <m:r>
            <w:rPr>
              <w:rFonts w:ascii="Cambria Math" w:hAnsi="Cambria Math"/>
            </w:rPr>
            <m:t>Admin=</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Sup>
                    <m:sSubSupPr>
                      <m:ctrlPr>
                        <w:rPr>
                          <w:rFonts w:ascii="Cambria Math" w:hAnsi="Cambria Math"/>
                          <w:i/>
                        </w:rPr>
                      </m:ctrlPr>
                    </m:sSubSupPr>
                    <m:e>
                      <m:r>
                        <m:rPr>
                          <m:sty m:val="p"/>
                        </m:rPr>
                        <w:rPr>
                          <w:rFonts w:ascii="Cambria Math" w:hAnsi="Cambria Math"/>
                        </w:rPr>
                        <m:t>Μ</m:t>
                      </m:r>
                    </m:e>
                    <m:sub>
                      <m:r>
                        <w:rPr>
                          <w:rFonts w:ascii="Cambria Math" w:hAnsi="Cambria Math"/>
                        </w:rPr>
                        <m:t>Size</m:t>
                      </m:r>
                    </m:sub>
                    <m:sup>
                      <m:r>
                        <w:rPr>
                          <w:rFonts w:ascii="Cambria Math" w:hAnsi="Cambria Math"/>
                        </w:rPr>
                        <m:t>Admin</m:t>
                      </m:r>
                    </m:sup>
                  </m:sSubSup>
                </m:e>
              </m:d>
            </m:e>
          </m:func>
          <m:r>
            <w:rPr>
              <w:rFonts w:ascii="Cambria Math" w:hAnsi="Cambria Math"/>
            </w:rPr>
            <m:t>-</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Sup>
                    <m:sSubSupPr>
                      <m:ctrlPr>
                        <w:rPr>
                          <w:rFonts w:ascii="Cambria Math" w:hAnsi="Cambria Math"/>
                          <w:i/>
                        </w:rPr>
                      </m:ctrlPr>
                    </m:sSubSupPr>
                    <m:e>
                      <m:r>
                        <m:rPr>
                          <m:sty m:val="p"/>
                        </m:rPr>
                        <w:rPr>
                          <w:rFonts w:ascii="Cambria Math" w:hAnsi="Cambria Math"/>
                        </w:rPr>
                        <m:t>Μ</m:t>
                      </m:r>
                    </m:e>
                    <m:sub>
                      <m:r>
                        <w:rPr>
                          <w:rFonts w:ascii="Cambria Math" w:hAnsi="Cambria Math"/>
                        </w:rPr>
                        <m:t>Base</m:t>
                      </m:r>
                    </m:sub>
                    <m:sup>
                      <m:r>
                        <w:rPr>
                          <w:rFonts w:ascii="Cambria Math" w:hAnsi="Cambria Math"/>
                        </w:rPr>
                        <m:t>Admin</m:t>
                      </m:r>
                    </m:sup>
                  </m:sSubSup>
                </m:e>
              </m:d>
            </m:e>
          </m:func>
        </m:oMath>
      </m:oMathPara>
    </w:p>
    <w:p w14:paraId="0131FB24" w14:textId="77777777" w:rsidR="0011262F" w:rsidRPr="00DB69B7" w:rsidRDefault="0011262F" w:rsidP="0011262F">
      <w:pPr>
        <w:pStyle w:val="BodyText"/>
      </w:pPr>
      <m:oMathPara>
        <m:oMath>
          <m:r>
            <m:rPr>
              <m:sty m:val="p"/>
            </m:rPr>
            <w:rPr>
              <w:rFonts w:ascii="Cambria Math" w:hAnsi="Cambria Math"/>
            </w:rPr>
            <m:t>Δ</m:t>
          </m:r>
          <m:r>
            <w:rPr>
              <w:rFonts w:ascii="Cambria Math" w:hAnsi="Cambria Math"/>
            </w:rPr>
            <m:t>Invest=</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Sup>
                    <m:sSubSupPr>
                      <m:ctrlPr>
                        <w:rPr>
                          <w:rFonts w:ascii="Cambria Math" w:hAnsi="Cambria Math"/>
                          <w:i/>
                        </w:rPr>
                      </m:ctrlPr>
                    </m:sSubSupPr>
                    <m:e>
                      <m:r>
                        <m:rPr>
                          <m:sty m:val="p"/>
                        </m:rPr>
                        <w:rPr>
                          <w:rFonts w:ascii="Cambria Math" w:hAnsi="Cambria Math"/>
                        </w:rPr>
                        <m:t>Μ</m:t>
                      </m:r>
                    </m:e>
                    <m:sub>
                      <m:r>
                        <w:rPr>
                          <w:rFonts w:ascii="Cambria Math" w:hAnsi="Cambria Math"/>
                        </w:rPr>
                        <m:t>Size</m:t>
                      </m:r>
                    </m:sub>
                    <m:sup>
                      <m:r>
                        <w:rPr>
                          <w:rFonts w:ascii="Cambria Math" w:hAnsi="Cambria Math"/>
                        </w:rPr>
                        <m:t>Invest</m:t>
                      </m:r>
                    </m:sup>
                  </m:sSubSup>
                </m:e>
              </m:d>
            </m:e>
          </m:func>
          <m:r>
            <w:rPr>
              <w:rFonts w:ascii="Cambria Math" w:hAnsi="Cambria Math"/>
            </w:rPr>
            <m:t>-</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Sup>
                    <m:sSubSupPr>
                      <m:ctrlPr>
                        <w:rPr>
                          <w:rFonts w:ascii="Cambria Math" w:hAnsi="Cambria Math"/>
                          <w:i/>
                        </w:rPr>
                      </m:ctrlPr>
                    </m:sSubSupPr>
                    <m:e>
                      <m:r>
                        <m:rPr>
                          <m:sty m:val="p"/>
                        </m:rPr>
                        <w:rPr>
                          <w:rFonts w:ascii="Cambria Math" w:hAnsi="Cambria Math"/>
                        </w:rPr>
                        <m:t>Μ</m:t>
                      </m:r>
                    </m:e>
                    <m:sub>
                      <m:r>
                        <w:rPr>
                          <w:rFonts w:ascii="Cambria Math" w:hAnsi="Cambria Math"/>
                        </w:rPr>
                        <m:t>Base</m:t>
                      </m:r>
                    </m:sub>
                    <m:sup>
                      <m:r>
                        <w:rPr>
                          <w:rFonts w:ascii="Cambria Math" w:hAnsi="Cambria Math"/>
                        </w:rPr>
                        <m:t>Invest</m:t>
                      </m:r>
                    </m:sup>
                  </m:sSubSup>
                </m:e>
              </m:d>
            </m:e>
          </m:func>
        </m:oMath>
      </m:oMathPara>
    </w:p>
    <w:p w14:paraId="757C406F" w14:textId="77777777" w:rsidR="0011262F" w:rsidRDefault="0011262F" w:rsidP="0011262F">
      <w:pPr>
        <w:pStyle w:val="BodyText"/>
      </w:pPr>
      <w:r>
        <w:t>The priors for the pass</w:t>
      </w:r>
      <w:r>
        <w:noBreakHyphen/>
        <w:t>through model are:</w:t>
      </w:r>
    </w:p>
    <w:p w14:paraId="3AC0D08C" w14:textId="77777777" w:rsidR="0011262F" w:rsidRPr="00B5023A" w:rsidRDefault="002F0937" w:rsidP="0011262F">
      <w:pPr>
        <w:pStyle w:val="BodyText"/>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α</m:t>
                        </m:r>
                      </m:e>
                      <m:sub>
                        <m:d>
                          <m:dPr>
                            <m:begChr m:val="["/>
                            <m:endChr m:val="]"/>
                            <m:ctrlPr>
                              <w:rPr>
                                <w:rFonts w:ascii="Cambria Math" w:hAnsi="Cambria Math"/>
                                <w:i/>
                              </w:rPr>
                            </m:ctrlPr>
                          </m:dPr>
                          <m:e>
                            <m:r>
                              <w:rPr>
                                <w:rFonts w:ascii="Cambria Math" w:hAnsi="Cambria Math"/>
                              </w:rPr>
                              <m:t>i</m:t>
                            </m:r>
                          </m:e>
                        </m:d>
                      </m:sub>
                      <m:sup>
                        <m:r>
                          <w:rPr>
                            <w:rFonts w:ascii="Cambria Math" w:hAnsi="Cambria Math"/>
                          </w:rPr>
                          <m:t>TP</m:t>
                        </m:r>
                      </m:sup>
                    </m:sSubSup>
                  </m:e>
                </m:mr>
                <m:mr>
                  <m:e>
                    <m:sSubSup>
                      <m:sSubSupPr>
                        <m:ctrlPr>
                          <w:rPr>
                            <w:rFonts w:ascii="Cambria Math" w:hAnsi="Cambria Math"/>
                            <w:i/>
                          </w:rPr>
                        </m:ctrlPr>
                      </m:sSubSupPr>
                      <m:e>
                        <m:r>
                          <w:rPr>
                            <w:rFonts w:ascii="Cambria Math" w:hAnsi="Cambria Math"/>
                          </w:rPr>
                          <m:t>β</m:t>
                        </m:r>
                      </m:e>
                      <m:sub>
                        <m:d>
                          <m:dPr>
                            <m:begChr m:val="["/>
                            <m:endChr m:val="]"/>
                            <m:ctrlPr>
                              <w:rPr>
                                <w:rFonts w:ascii="Cambria Math" w:hAnsi="Cambria Math"/>
                                <w:i/>
                              </w:rPr>
                            </m:ctrlPr>
                          </m:dPr>
                          <m:e>
                            <m:r>
                              <w:rPr>
                                <w:rFonts w:ascii="Cambria Math" w:hAnsi="Cambria Math"/>
                              </w:rPr>
                              <m:t>i</m:t>
                            </m:r>
                          </m:e>
                        </m:d>
                      </m:sub>
                      <m:sup>
                        <m:r>
                          <w:rPr>
                            <w:rFonts w:ascii="Cambria Math" w:hAnsi="Cambria Math"/>
                          </w:rPr>
                          <m:t>TP</m:t>
                        </m:r>
                      </m:sup>
                    </m:sSubSup>
                  </m:e>
                </m:mr>
              </m:m>
            </m:e>
          </m:d>
          <m:r>
            <w:rPr>
              <w:rFonts w:ascii="Cambria Math" w:hAnsi="Cambria Math"/>
            </w:rPr>
            <m:t xml:space="preserve"> ~ MVN</m:t>
          </m:r>
          <m:d>
            <m:dPr>
              <m:ctrlPr>
                <w:rPr>
                  <w:rFonts w:ascii="Cambria Math" w:hAnsi="Cambria Math"/>
                  <w:i/>
                </w:rPr>
              </m:ctrlPr>
            </m:d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α</m:t>
                            </m:r>
                          </m:e>
                          <m:sup>
                            <m:r>
                              <w:rPr>
                                <w:rFonts w:ascii="Cambria Math" w:hAnsi="Cambria Math"/>
                              </w:rPr>
                              <m:t>TP</m:t>
                            </m:r>
                          </m:sup>
                        </m:sSup>
                      </m:e>
                    </m:mr>
                    <m:mr>
                      <m:e>
                        <m:sSup>
                          <m:sSupPr>
                            <m:ctrlPr>
                              <w:rPr>
                                <w:rFonts w:ascii="Cambria Math" w:hAnsi="Cambria Math"/>
                                <w:i/>
                              </w:rPr>
                            </m:ctrlPr>
                          </m:sSupPr>
                          <m:e>
                            <m:r>
                              <w:rPr>
                                <w:rFonts w:ascii="Cambria Math" w:hAnsi="Cambria Math"/>
                              </w:rPr>
                              <m:t>β</m:t>
                            </m:r>
                          </m:e>
                          <m:sup>
                            <m:r>
                              <w:rPr>
                                <w:rFonts w:ascii="Cambria Math" w:hAnsi="Cambria Math"/>
                              </w:rPr>
                              <m:t>TP</m:t>
                            </m:r>
                          </m:sup>
                        </m:sSup>
                      </m:e>
                    </m:mr>
                  </m:m>
                </m:e>
              </m:d>
              <m:r>
                <w:rPr>
                  <w:rFonts w:ascii="Cambria Math" w:hAnsi="Cambria Math"/>
                </w:rPr>
                <m:t xml:space="preserve">, </m:t>
              </m:r>
              <m:sSup>
                <m:sSupPr>
                  <m:ctrlPr>
                    <w:rPr>
                      <w:rFonts w:ascii="Cambria Math" w:hAnsi="Cambria Math"/>
                      <w:i/>
                    </w:rPr>
                  </m:ctrlPr>
                </m:sSupPr>
                <m:e>
                  <m:r>
                    <m:rPr>
                      <m:sty m:val="p"/>
                    </m:rPr>
                    <w:rPr>
                      <w:rFonts w:ascii="Cambria Math" w:hAnsi="Cambria Math"/>
                    </w:rPr>
                    <m:t>Σ</m:t>
                  </m:r>
                </m:e>
                <m:sup>
                  <m:r>
                    <w:rPr>
                      <w:rFonts w:ascii="Cambria Math" w:hAnsi="Cambria Math"/>
                    </w:rPr>
                    <m:t>TP</m:t>
                  </m:r>
                </m:sup>
              </m:sSup>
            </m:e>
          </m:d>
        </m:oMath>
      </m:oMathPara>
    </w:p>
    <w:p w14:paraId="120D515F" w14:textId="77777777" w:rsidR="0011262F" w:rsidRDefault="002F0937" w:rsidP="0011262F">
      <w:pPr>
        <w:pStyle w:val="BodyText"/>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α</m:t>
                        </m:r>
                      </m:e>
                      <m:sub>
                        <m:d>
                          <m:dPr>
                            <m:begChr m:val="["/>
                            <m:endChr m:val="]"/>
                            <m:ctrlPr>
                              <w:rPr>
                                <w:rFonts w:ascii="Cambria Math" w:hAnsi="Cambria Math"/>
                                <w:i/>
                              </w:rPr>
                            </m:ctrlPr>
                          </m:dPr>
                          <m:e>
                            <m:r>
                              <w:rPr>
                                <w:rFonts w:ascii="Cambria Math" w:hAnsi="Cambria Math"/>
                              </w:rPr>
                              <m:t>i</m:t>
                            </m:r>
                          </m:e>
                        </m:d>
                      </m:sub>
                      <m:sup>
                        <m:r>
                          <w:rPr>
                            <w:rFonts w:ascii="Cambria Math" w:hAnsi="Cambria Math"/>
                          </w:rPr>
                          <m:t>AP</m:t>
                        </m:r>
                      </m:sup>
                    </m:sSubSup>
                  </m:e>
                </m:mr>
                <m:mr>
                  <m:e>
                    <m:sSubSup>
                      <m:sSubSupPr>
                        <m:ctrlPr>
                          <w:rPr>
                            <w:rFonts w:ascii="Cambria Math" w:hAnsi="Cambria Math"/>
                            <w:i/>
                          </w:rPr>
                        </m:ctrlPr>
                      </m:sSubSupPr>
                      <m:e>
                        <m:r>
                          <w:rPr>
                            <w:rFonts w:ascii="Cambria Math" w:hAnsi="Cambria Math"/>
                          </w:rPr>
                          <m:t>β</m:t>
                        </m:r>
                      </m:e>
                      <m:sub>
                        <m:d>
                          <m:dPr>
                            <m:begChr m:val="["/>
                            <m:endChr m:val="]"/>
                            <m:ctrlPr>
                              <w:rPr>
                                <w:rFonts w:ascii="Cambria Math" w:hAnsi="Cambria Math"/>
                                <w:i/>
                              </w:rPr>
                            </m:ctrlPr>
                          </m:dPr>
                          <m:e>
                            <m:r>
                              <w:rPr>
                                <w:rFonts w:ascii="Cambria Math" w:hAnsi="Cambria Math"/>
                              </w:rPr>
                              <m:t>i</m:t>
                            </m:r>
                          </m:e>
                        </m:d>
                      </m:sub>
                      <m:sup>
                        <m:r>
                          <w:rPr>
                            <w:rFonts w:ascii="Cambria Math" w:hAnsi="Cambria Math"/>
                          </w:rPr>
                          <m:t>AP</m:t>
                        </m:r>
                      </m:sup>
                    </m:sSubSup>
                  </m:e>
                </m:mr>
              </m:m>
            </m:e>
          </m:d>
          <m:r>
            <w:rPr>
              <w:rFonts w:ascii="Cambria Math" w:hAnsi="Cambria Math"/>
            </w:rPr>
            <m:t xml:space="preserve"> ~ MVN</m:t>
          </m:r>
          <m:d>
            <m:dPr>
              <m:ctrlPr>
                <w:rPr>
                  <w:rFonts w:ascii="Cambria Math" w:hAnsi="Cambria Math"/>
                  <w:i/>
                </w:rPr>
              </m:ctrlPr>
            </m:d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α</m:t>
                            </m:r>
                          </m:e>
                          <m:sup>
                            <m:r>
                              <w:rPr>
                                <w:rFonts w:ascii="Cambria Math" w:hAnsi="Cambria Math"/>
                              </w:rPr>
                              <m:t>AP</m:t>
                            </m:r>
                          </m:sup>
                        </m:sSup>
                      </m:e>
                    </m:mr>
                    <m:mr>
                      <m:e>
                        <m:sSup>
                          <m:sSupPr>
                            <m:ctrlPr>
                              <w:rPr>
                                <w:rFonts w:ascii="Cambria Math" w:hAnsi="Cambria Math"/>
                                <w:i/>
                              </w:rPr>
                            </m:ctrlPr>
                          </m:sSupPr>
                          <m:e>
                            <m:r>
                              <w:rPr>
                                <w:rFonts w:ascii="Cambria Math" w:hAnsi="Cambria Math"/>
                              </w:rPr>
                              <m:t>β</m:t>
                            </m:r>
                          </m:e>
                          <m:sup>
                            <m:r>
                              <w:rPr>
                                <w:rFonts w:ascii="Cambria Math" w:hAnsi="Cambria Math"/>
                              </w:rPr>
                              <m:t>AP</m:t>
                            </m:r>
                          </m:sup>
                        </m:sSup>
                      </m:e>
                    </m:mr>
                  </m:m>
                </m:e>
              </m:d>
              <m:r>
                <w:rPr>
                  <w:rFonts w:ascii="Cambria Math" w:hAnsi="Cambria Math"/>
                </w:rPr>
                <m:t xml:space="preserve">, </m:t>
              </m:r>
              <m:sSup>
                <m:sSupPr>
                  <m:ctrlPr>
                    <w:rPr>
                      <w:rFonts w:ascii="Cambria Math" w:hAnsi="Cambria Math"/>
                      <w:i/>
                    </w:rPr>
                  </m:ctrlPr>
                </m:sSupPr>
                <m:e>
                  <m:r>
                    <m:rPr>
                      <m:sty m:val="p"/>
                    </m:rPr>
                    <w:rPr>
                      <w:rFonts w:ascii="Cambria Math" w:hAnsi="Cambria Math"/>
                    </w:rPr>
                    <m:t>Σ</m:t>
                  </m:r>
                </m:e>
                <m:sup>
                  <m:r>
                    <w:rPr>
                      <w:rFonts w:ascii="Cambria Math" w:hAnsi="Cambria Math"/>
                    </w:rPr>
                    <m:t>AP</m:t>
                  </m:r>
                </m:sup>
              </m:sSup>
            </m:e>
          </m:d>
        </m:oMath>
      </m:oMathPara>
    </w:p>
    <w:p w14:paraId="23F75A11" w14:textId="77777777" w:rsidR="0011262F" w:rsidRDefault="002F0937" w:rsidP="0011262F">
      <w:pPr>
        <w:pStyle w:val="BodyText"/>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α</m:t>
                        </m:r>
                      </m:e>
                      <m:sub>
                        <m:d>
                          <m:dPr>
                            <m:begChr m:val="["/>
                            <m:endChr m:val="]"/>
                            <m:ctrlPr>
                              <w:rPr>
                                <w:rFonts w:ascii="Cambria Math" w:hAnsi="Cambria Math"/>
                                <w:i/>
                              </w:rPr>
                            </m:ctrlPr>
                          </m:dPr>
                          <m:e>
                            <m:r>
                              <w:rPr>
                                <w:rFonts w:ascii="Cambria Math" w:hAnsi="Cambria Math"/>
                              </w:rPr>
                              <m:t>i</m:t>
                            </m:r>
                          </m:e>
                        </m:d>
                      </m:sub>
                      <m:sup>
                        <m:r>
                          <w:rPr>
                            <w:rFonts w:ascii="Cambria Math" w:hAnsi="Cambria Math"/>
                          </w:rPr>
                          <m:t>IP</m:t>
                        </m:r>
                      </m:sup>
                    </m:sSubSup>
                  </m:e>
                </m:mr>
                <m:mr>
                  <m:e>
                    <m:sSubSup>
                      <m:sSubSupPr>
                        <m:ctrlPr>
                          <w:rPr>
                            <w:rFonts w:ascii="Cambria Math" w:hAnsi="Cambria Math"/>
                            <w:i/>
                          </w:rPr>
                        </m:ctrlPr>
                      </m:sSubSupPr>
                      <m:e>
                        <m:r>
                          <w:rPr>
                            <w:rFonts w:ascii="Cambria Math" w:hAnsi="Cambria Math"/>
                          </w:rPr>
                          <m:t>β</m:t>
                        </m:r>
                      </m:e>
                      <m:sub>
                        <m:d>
                          <m:dPr>
                            <m:begChr m:val="["/>
                            <m:endChr m:val="]"/>
                            <m:ctrlPr>
                              <w:rPr>
                                <w:rFonts w:ascii="Cambria Math" w:hAnsi="Cambria Math"/>
                                <w:i/>
                              </w:rPr>
                            </m:ctrlPr>
                          </m:dPr>
                          <m:e>
                            <m:r>
                              <w:rPr>
                                <w:rFonts w:ascii="Cambria Math" w:hAnsi="Cambria Math"/>
                              </w:rPr>
                              <m:t>i</m:t>
                            </m:r>
                          </m:e>
                        </m:d>
                      </m:sub>
                      <m:sup>
                        <m:r>
                          <w:rPr>
                            <w:rFonts w:ascii="Cambria Math" w:hAnsi="Cambria Math"/>
                          </w:rPr>
                          <m:t>IP</m:t>
                        </m:r>
                      </m:sup>
                    </m:sSubSup>
                  </m:e>
                </m:mr>
              </m:m>
            </m:e>
          </m:d>
          <m:r>
            <w:rPr>
              <w:rFonts w:ascii="Cambria Math" w:hAnsi="Cambria Math"/>
            </w:rPr>
            <m:t xml:space="preserve"> ~ MVN</m:t>
          </m:r>
          <m:d>
            <m:dPr>
              <m:ctrlPr>
                <w:rPr>
                  <w:rFonts w:ascii="Cambria Math" w:hAnsi="Cambria Math"/>
                  <w:i/>
                </w:rPr>
              </m:ctrlPr>
            </m:d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α</m:t>
                            </m:r>
                          </m:e>
                          <m:sup>
                            <m:r>
                              <w:rPr>
                                <w:rFonts w:ascii="Cambria Math" w:hAnsi="Cambria Math"/>
                              </w:rPr>
                              <m:t>IP</m:t>
                            </m:r>
                          </m:sup>
                        </m:sSup>
                      </m:e>
                    </m:mr>
                    <m:mr>
                      <m:e>
                        <m:sSup>
                          <m:sSupPr>
                            <m:ctrlPr>
                              <w:rPr>
                                <w:rFonts w:ascii="Cambria Math" w:hAnsi="Cambria Math"/>
                                <w:i/>
                              </w:rPr>
                            </m:ctrlPr>
                          </m:sSupPr>
                          <m:e>
                            <m:r>
                              <w:rPr>
                                <w:rFonts w:ascii="Cambria Math" w:hAnsi="Cambria Math"/>
                              </w:rPr>
                              <m:t>β</m:t>
                            </m:r>
                          </m:e>
                          <m:sup>
                            <m:r>
                              <w:rPr>
                                <w:rFonts w:ascii="Cambria Math" w:hAnsi="Cambria Math"/>
                              </w:rPr>
                              <m:t>IP</m:t>
                            </m:r>
                          </m:sup>
                        </m:sSup>
                      </m:e>
                    </m:mr>
                  </m:m>
                </m:e>
              </m:d>
              <m:r>
                <w:rPr>
                  <w:rFonts w:ascii="Cambria Math" w:hAnsi="Cambria Math"/>
                </w:rPr>
                <m:t xml:space="preserve">, </m:t>
              </m:r>
              <m:sSup>
                <m:sSupPr>
                  <m:ctrlPr>
                    <w:rPr>
                      <w:rFonts w:ascii="Cambria Math" w:hAnsi="Cambria Math"/>
                      <w:i/>
                    </w:rPr>
                  </m:ctrlPr>
                </m:sSupPr>
                <m:e>
                  <m:r>
                    <m:rPr>
                      <m:sty m:val="p"/>
                    </m:rPr>
                    <w:rPr>
                      <w:rFonts w:ascii="Cambria Math" w:hAnsi="Cambria Math"/>
                    </w:rPr>
                    <m:t>Σ</m:t>
                  </m:r>
                </m:e>
                <m:sup>
                  <m:r>
                    <w:rPr>
                      <w:rFonts w:ascii="Cambria Math" w:hAnsi="Cambria Math"/>
                    </w:rPr>
                    <m:t>IP</m:t>
                  </m:r>
                </m:sup>
              </m:sSup>
            </m:e>
          </m:d>
        </m:oMath>
      </m:oMathPara>
    </w:p>
    <w:p w14:paraId="63470CA0" w14:textId="77777777" w:rsidR="0011262F" w:rsidRPr="00764AC1" w:rsidRDefault="002F0937" w:rsidP="0011262F">
      <w:pPr>
        <w:pStyle w:val="BodyText"/>
      </w:pPr>
      <m:oMathPara>
        <m:oMath>
          <m:sSup>
            <m:sSupPr>
              <m:ctrlPr>
                <w:rPr>
                  <w:rFonts w:ascii="Cambria Math" w:hAnsi="Cambria Math"/>
                  <w:i/>
                </w:rPr>
              </m:ctrlPr>
            </m:sSupPr>
            <m:e>
              <m:r>
                <w:rPr>
                  <w:rFonts w:ascii="Cambria Math" w:hAnsi="Cambria Math"/>
                </w:rPr>
                <m:t>α</m:t>
              </m:r>
            </m:e>
            <m:sup>
              <m:r>
                <w:rPr>
                  <w:rFonts w:ascii="Cambria Math" w:hAnsi="Cambria Math"/>
                </w:rPr>
                <m:t>TP</m:t>
              </m:r>
            </m:sup>
          </m:sSup>
          <m:r>
            <w:rPr>
              <w:rFonts w:ascii="Cambria Math" w:hAnsi="Cambria Math"/>
            </w:rPr>
            <m:t xml:space="preserve">, </m:t>
          </m:r>
          <m:sSup>
            <m:sSupPr>
              <m:ctrlPr>
                <w:rPr>
                  <w:rFonts w:ascii="Cambria Math" w:hAnsi="Cambria Math"/>
                  <w:i/>
                </w:rPr>
              </m:ctrlPr>
            </m:sSupPr>
            <m:e>
              <m:r>
                <w:rPr>
                  <w:rFonts w:ascii="Cambria Math" w:hAnsi="Cambria Math"/>
                </w:rPr>
                <m:t>β</m:t>
              </m:r>
            </m:e>
            <m:sup>
              <m:r>
                <w:rPr>
                  <w:rFonts w:ascii="Cambria Math" w:hAnsi="Cambria Math"/>
                </w:rPr>
                <m:t>TP</m:t>
              </m:r>
            </m:sup>
          </m:sSup>
          <m:r>
            <w:rPr>
              <w:rFonts w:ascii="Cambria Math" w:hAnsi="Cambria Math"/>
            </w:rPr>
            <m:t xml:space="preserve">, </m:t>
          </m:r>
          <m:sSup>
            <m:sSupPr>
              <m:ctrlPr>
                <w:rPr>
                  <w:rFonts w:ascii="Cambria Math" w:hAnsi="Cambria Math"/>
                  <w:i/>
                </w:rPr>
              </m:ctrlPr>
            </m:sSupPr>
            <m:e>
              <m:r>
                <w:rPr>
                  <w:rFonts w:ascii="Cambria Math" w:hAnsi="Cambria Math"/>
                </w:rPr>
                <m:t>α</m:t>
              </m:r>
            </m:e>
            <m:sup>
              <m:r>
                <w:rPr>
                  <w:rFonts w:ascii="Cambria Math" w:hAnsi="Cambria Math"/>
                </w:rPr>
                <m:t>AP</m:t>
              </m:r>
            </m:sup>
          </m:sSup>
          <m:r>
            <w:rPr>
              <w:rFonts w:ascii="Cambria Math" w:hAnsi="Cambria Math"/>
            </w:rPr>
            <m:t xml:space="preserve">, </m:t>
          </m:r>
          <m:sSup>
            <m:sSupPr>
              <m:ctrlPr>
                <w:rPr>
                  <w:rFonts w:ascii="Cambria Math" w:hAnsi="Cambria Math"/>
                  <w:i/>
                </w:rPr>
              </m:ctrlPr>
            </m:sSupPr>
            <m:e>
              <m:r>
                <w:rPr>
                  <w:rFonts w:ascii="Cambria Math" w:hAnsi="Cambria Math"/>
                </w:rPr>
                <m:t>β</m:t>
              </m:r>
            </m:e>
            <m:sup>
              <m:r>
                <w:rPr>
                  <w:rFonts w:ascii="Cambria Math" w:hAnsi="Cambria Math"/>
                </w:rPr>
                <m:t>AP</m:t>
              </m:r>
            </m:sup>
          </m:sSup>
          <m:r>
            <w:rPr>
              <w:rFonts w:ascii="Cambria Math" w:hAnsi="Cambria Math"/>
            </w:rPr>
            <m:t xml:space="preserve">, </m:t>
          </m:r>
          <m:sSup>
            <m:sSupPr>
              <m:ctrlPr>
                <w:rPr>
                  <w:rFonts w:ascii="Cambria Math" w:hAnsi="Cambria Math"/>
                  <w:i/>
                </w:rPr>
              </m:ctrlPr>
            </m:sSupPr>
            <m:e>
              <m:r>
                <w:rPr>
                  <w:rFonts w:ascii="Cambria Math" w:hAnsi="Cambria Math"/>
                </w:rPr>
                <m:t>α</m:t>
              </m:r>
            </m:e>
            <m:sup>
              <m:r>
                <w:rPr>
                  <w:rFonts w:ascii="Cambria Math" w:hAnsi="Cambria Math"/>
                </w:rPr>
                <m:t>IP</m:t>
              </m:r>
            </m:sup>
          </m:sSup>
          <m:r>
            <w:rPr>
              <w:rFonts w:ascii="Cambria Math" w:hAnsi="Cambria Math"/>
            </w:rPr>
            <m:t xml:space="preserve">, </m:t>
          </m:r>
          <m:sSup>
            <m:sSupPr>
              <m:ctrlPr>
                <w:rPr>
                  <w:rFonts w:ascii="Cambria Math" w:hAnsi="Cambria Math"/>
                  <w:i/>
                </w:rPr>
              </m:ctrlPr>
            </m:sSupPr>
            <m:e>
              <m:r>
                <w:rPr>
                  <w:rFonts w:ascii="Cambria Math" w:hAnsi="Cambria Math"/>
                </w:rPr>
                <m:t>β</m:t>
              </m:r>
            </m:e>
            <m:sup>
              <m:r>
                <w:rPr>
                  <w:rFonts w:ascii="Cambria Math" w:hAnsi="Cambria Math"/>
                </w:rPr>
                <m:t>IP</m:t>
              </m:r>
            </m:sup>
          </m:sSup>
          <m:r>
            <w:rPr>
              <w:rFonts w:ascii="Cambria Math" w:hAnsi="Cambria Math"/>
            </w:rPr>
            <m:t xml:space="preserve"> ~ N(0, 1)</m:t>
          </m:r>
        </m:oMath>
      </m:oMathPara>
    </w:p>
    <w:p w14:paraId="37BC36C9" w14:textId="77777777" w:rsidR="0011262F" w:rsidRPr="00A1591B" w:rsidRDefault="002F0937" w:rsidP="0011262F">
      <w:pPr>
        <w:pStyle w:val="BodyText"/>
        <w:rPr>
          <w:rFonts w:ascii="Cambria Math" w:hAnsi="Cambria Math"/>
        </w:rPr>
      </w:pPr>
      <m:oMathPara>
        <m:oMath>
          <m:sSup>
            <m:sSupPr>
              <m:ctrlPr>
                <w:rPr>
                  <w:rFonts w:ascii="Cambria Math" w:hAnsi="Cambria Math"/>
                  <w:i/>
                </w:rPr>
              </m:ctrlPr>
            </m:sSupPr>
            <m:e>
              <m:r>
                <m:rPr>
                  <m:sty m:val="p"/>
                </m:rPr>
                <w:rPr>
                  <w:rFonts w:ascii="Cambria Math" w:hAnsi="Cambria Math"/>
                </w:rPr>
                <m:t>Σ</m:t>
              </m:r>
            </m:e>
            <m:sup>
              <m:r>
                <w:rPr>
                  <w:rFonts w:ascii="Cambria Math" w:hAnsi="Cambria Math"/>
                </w:rPr>
                <m:t>TP</m:t>
              </m:r>
            </m:sup>
          </m:sSup>
          <m:r>
            <w:rPr>
              <w:rFonts w:ascii="Cambria Math" w:hAnsi="Cambria Math"/>
            </w:rPr>
            <m:t xml:space="preserve"> =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TP</m:t>
                        </m:r>
                      </m:sup>
                    </m:sSubSup>
                  </m:e>
                  <m:e>
                    <m:r>
                      <w:rPr>
                        <w:rFonts w:ascii="Cambria Math" w:hAnsi="Cambria Math"/>
                      </w:rPr>
                      <m:t>0</m:t>
                    </m:r>
                  </m:e>
                </m:mr>
                <m:mr>
                  <m:e>
                    <m:r>
                      <w:rPr>
                        <w:rFonts w:ascii="Cambria Math" w:hAnsi="Cambria Math"/>
                      </w:rPr>
                      <m:t>0</m:t>
                    </m:r>
                  </m:e>
                  <m:e>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TP</m:t>
                        </m:r>
                      </m:sup>
                    </m:sSubSup>
                  </m:e>
                </m:mr>
              </m:m>
            </m:e>
          </m:d>
          <m:sSup>
            <m:sSupPr>
              <m:ctrlPr>
                <w:rPr>
                  <w:rFonts w:ascii="Cambria Math" w:hAnsi="Cambria Math"/>
                  <w:i/>
                </w:rPr>
              </m:ctrlPr>
            </m:sSupPr>
            <m:e>
              <m:r>
                <w:rPr>
                  <w:rFonts w:ascii="Cambria Math" w:hAnsi="Cambria Math"/>
                </w:rPr>
                <m:t>L</m:t>
              </m:r>
            </m:e>
            <m:sup>
              <m:r>
                <w:rPr>
                  <w:rFonts w:ascii="Cambria Math" w:hAnsi="Cambria Math"/>
                </w:rPr>
                <m:t>TP</m:t>
              </m:r>
            </m:sup>
          </m:sSup>
          <m:d>
            <m:dPr>
              <m:begChr m:val="["/>
              <m:endChr m:val="]"/>
              <m:ctrlPr>
                <w:rPr>
                  <w:rFonts w:ascii="Cambria Math" w:hAnsi="Cambria Math"/>
                  <w:i/>
                </w:rPr>
              </m:ctrlPr>
            </m:dPr>
            <m:e>
              <m:m>
                <m:mPr>
                  <m:mcs>
                    <m:mc>
                      <m:mcPr>
                        <m:count m:val="2"/>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TP</m:t>
                        </m:r>
                      </m:sup>
                    </m:sSubSup>
                  </m:e>
                  <m:e>
                    <m:r>
                      <w:rPr>
                        <w:rFonts w:ascii="Cambria Math" w:hAnsi="Cambria Math"/>
                      </w:rPr>
                      <m:t>0</m:t>
                    </m:r>
                  </m:e>
                </m:mr>
                <m:mr>
                  <m:e>
                    <m:r>
                      <w:rPr>
                        <w:rFonts w:ascii="Cambria Math" w:hAnsi="Cambria Math"/>
                      </w:rPr>
                      <m:t>0</m:t>
                    </m:r>
                  </m:e>
                  <m:e>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TP</m:t>
                        </m:r>
                      </m:sup>
                    </m:sSubSup>
                  </m:e>
                </m:mr>
              </m:m>
            </m:e>
          </m:d>
        </m:oMath>
      </m:oMathPara>
    </w:p>
    <w:p w14:paraId="4A8E7CA2" w14:textId="77777777" w:rsidR="0011262F" w:rsidRDefault="002F0937" w:rsidP="0011262F">
      <w:pPr>
        <w:pStyle w:val="BodyText"/>
        <w:rPr>
          <w:rFonts w:ascii="Cambria Math" w:hAnsi="Cambria Math"/>
        </w:rPr>
      </w:pPr>
      <m:oMathPara>
        <m:oMath>
          <m:sSup>
            <m:sSupPr>
              <m:ctrlPr>
                <w:rPr>
                  <w:rFonts w:ascii="Cambria Math" w:hAnsi="Cambria Math"/>
                  <w:i/>
                </w:rPr>
              </m:ctrlPr>
            </m:sSupPr>
            <m:e>
              <m:r>
                <m:rPr>
                  <m:sty m:val="p"/>
                </m:rPr>
                <w:rPr>
                  <w:rFonts w:ascii="Cambria Math" w:hAnsi="Cambria Math"/>
                </w:rPr>
                <m:t>Σ</m:t>
              </m:r>
            </m:e>
            <m:sup>
              <m:r>
                <w:rPr>
                  <w:rFonts w:ascii="Cambria Math" w:hAnsi="Cambria Math"/>
                </w:rPr>
                <m:t>AP</m:t>
              </m:r>
            </m:sup>
          </m:sSup>
          <m:r>
            <w:rPr>
              <w:rFonts w:ascii="Cambria Math" w:hAnsi="Cambria Math"/>
            </w:rPr>
            <m:t xml:space="preserve"> =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AP</m:t>
                        </m:r>
                      </m:sup>
                    </m:sSubSup>
                  </m:e>
                  <m:e>
                    <m:r>
                      <w:rPr>
                        <w:rFonts w:ascii="Cambria Math" w:hAnsi="Cambria Math"/>
                      </w:rPr>
                      <m:t>0</m:t>
                    </m:r>
                  </m:e>
                </m:mr>
                <m:mr>
                  <m:e>
                    <m:r>
                      <w:rPr>
                        <w:rFonts w:ascii="Cambria Math" w:hAnsi="Cambria Math"/>
                      </w:rPr>
                      <m:t>0</m:t>
                    </m:r>
                  </m:e>
                  <m:e>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AP</m:t>
                        </m:r>
                      </m:sup>
                    </m:sSubSup>
                  </m:e>
                </m:mr>
              </m:m>
            </m:e>
          </m:d>
          <m:sSup>
            <m:sSupPr>
              <m:ctrlPr>
                <w:rPr>
                  <w:rFonts w:ascii="Cambria Math" w:hAnsi="Cambria Math"/>
                  <w:i/>
                </w:rPr>
              </m:ctrlPr>
            </m:sSupPr>
            <m:e>
              <m:r>
                <w:rPr>
                  <w:rFonts w:ascii="Cambria Math" w:hAnsi="Cambria Math"/>
                </w:rPr>
                <m:t>L</m:t>
              </m:r>
            </m:e>
            <m:sup>
              <m:r>
                <w:rPr>
                  <w:rFonts w:ascii="Cambria Math" w:hAnsi="Cambria Math"/>
                </w:rPr>
                <m:t>AP</m:t>
              </m:r>
            </m:sup>
          </m:sSup>
          <m:d>
            <m:dPr>
              <m:begChr m:val="["/>
              <m:endChr m:val="]"/>
              <m:ctrlPr>
                <w:rPr>
                  <w:rFonts w:ascii="Cambria Math" w:hAnsi="Cambria Math"/>
                  <w:i/>
                </w:rPr>
              </m:ctrlPr>
            </m:dPr>
            <m:e>
              <m:m>
                <m:mPr>
                  <m:mcs>
                    <m:mc>
                      <m:mcPr>
                        <m:count m:val="2"/>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AP</m:t>
                        </m:r>
                      </m:sup>
                    </m:sSubSup>
                  </m:e>
                  <m:e>
                    <m:r>
                      <w:rPr>
                        <w:rFonts w:ascii="Cambria Math" w:hAnsi="Cambria Math"/>
                      </w:rPr>
                      <m:t>0</m:t>
                    </m:r>
                  </m:e>
                </m:mr>
                <m:mr>
                  <m:e>
                    <m:r>
                      <w:rPr>
                        <w:rFonts w:ascii="Cambria Math" w:hAnsi="Cambria Math"/>
                      </w:rPr>
                      <m:t>0</m:t>
                    </m:r>
                  </m:e>
                  <m:e>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AP</m:t>
                        </m:r>
                      </m:sup>
                    </m:sSubSup>
                  </m:e>
                </m:mr>
              </m:m>
            </m:e>
          </m:d>
        </m:oMath>
      </m:oMathPara>
    </w:p>
    <w:p w14:paraId="575034DB" w14:textId="77777777" w:rsidR="0011262F" w:rsidRPr="00C53A8B" w:rsidRDefault="002F0937" w:rsidP="0011262F">
      <w:pPr>
        <w:pStyle w:val="BodyText"/>
        <w:rPr>
          <w:rFonts w:ascii="Cambria Math" w:hAnsi="Cambria Math"/>
        </w:rPr>
      </w:pPr>
      <m:oMathPara>
        <m:oMath>
          <m:sSup>
            <m:sSupPr>
              <m:ctrlPr>
                <w:rPr>
                  <w:rFonts w:ascii="Cambria Math" w:hAnsi="Cambria Math"/>
                  <w:i/>
                </w:rPr>
              </m:ctrlPr>
            </m:sSupPr>
            <m:e>
              <m:r>
                <m:rPr>
                  <m:sty m:val="p"/>
                </m:rPr>
                <w:rPr>
                  <w:rFonts w:ascii="Cambria Math" w:hAnsi="Cambria Math"/>
                </w:rPr>
                <m:t>Σ</m:t>
              </m:r>
            </m:e>
            <m:sup>
              <m:r>
                <w:rPr>
                  <w:rFonts w:ascii="Cambria Math" w:hAnsi="Cambria Math"/>
                </w:rPr>
                <m:t>IP</m:t>
              </m:r>
            </m:sup>
          </m:sSup>
          <m:r>
            <w:rPr>
              <w:rFonts w:ascii="Cambria Math" w:hAnsi="Cambria Math"/>
            </w:rPr>
            <m:t xml:space="preserve"> =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IP</m:t>
                        </m:r>
                      </m:sup>
                    </m:sSubSup>
                  </m:e>
                  <m:e>
                    <m:r>
                      <w:rPr>
                        <w:rFonts w:ascii="Cambria Math" w:hAnsi="Cambria Math"/>
                      </w:rPr>
                      <m:t>0</m:t>
                    </m:r>
                  </m:e>
                </m:mr>
                <m:mr>
                  <m:e>
                    <m:r>
                      <w:rPr>
                        <w:rFonts w:ascii="Cambria Math" w:hAnsi="Cambria Math"/>
                      </w:rPr>
                      <m:t>0</m:t>
                    </m:r>
                  </m:e>
                  <m:e>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IP</m:t>
                        </m:r>
                      </m:sup>
                    </m:sSubSup>
                  </m:e>
                </m:mr>
              </m:m>
            </m:e>
          </m:d>
          <m:sSup>
            <m:sSupPr>
              <m:ctrlPr>
                <w:rPr>
                  <w:rFonts w:ascii="Cambria Math" w:hAnsi="Cambria Math"/>
                  <w:i/>
                </w:rPr>
              </m:ctrlPr>
            </m:sSupPr>
            <m:e>
              <m:r>
                <w:rPr>
                  <w:rFonts w:ascii="Cambria Math" w:hAnsi="Cambria Math"/>
                </w:rPr>
                <m:t>L</m:t>
              </m:r>
            </m:e>
            <m:sup>
              <m:r>
                <w:rPr>
                  <w:rFonts w:ascii="Cambria Math" w:hAnsi="Cambria Math"/>
                </w:rPr>
                <m:t>IP</m:t>
              </m:r>
            </m:sup>
          </m:sSup>
          <m:d>
            <m:dPr>
              <m:begChr m:val="["/>
              <m:endChr m:val="]"/>
              <m:ctrlPr>
                <w:rPr>
                  <w:rFonts w:ascii="Cambria Math" w:hAnsi="Cambria Math"/>
                  <w:i/>
                </w:rPr>
              </m:ctrlPr>
            </m:dPr>
            <m:e>
              <m:m>
                <m:mPr>
                  <m:mcs>
                    <m:mc>
                      <m:mcPr>
                        <m:count m:val="2"/>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IP</m:t>
                        </m:r>
                      </m:sup>
                    </m:sSubSup>
                  </m:e>
                  <m:e>
                    <m:r>
                      <w:rPr>
                        <w:rFonts w:ascii="Cambria Math" w:hAnsi="Cambria Math"/>
                      </w:rPr>
                      <m:t>0</m:t>
                    </m:r>
                  </m:e>
                </m:mr>
                <m:mr>
                  <m:e>
                    <m:r>
                      <w:rPr>
                        <w:rFonts w:ascii="Cambria Math" w:hAnsi="Cambria Math"/>
                      </w:rPr>
                      <m:t>0</m:t>
                    </m:r>
                  </m:e>
                  <m:e>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IP</m:t>
                        </m:r>
                      </m:sup>
                    </m:sSubSup>
                  </m:e>
                </m:mr>
              </m:m>
            </m:e>
          </m:d>
        </m:oMath>
      </m:oMathPara>
    </w:p>
    <w:p w14:paraId="3B08A5E0" w14:textId="77777777" w:rsidR="0011262F" w:rsidRPr="00C53A8B" w:rsidRDefault="002F0937" w:rsidP="0011262F">
      <w:pPr>
        <w:pStyle w:val="BodyText"/>
      </w:pPr>
      <m:oMathPara>
        <m:oMath>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TP</m:t>
              </m:r>
            </m:sup>
          </m:sSubSup>
          <m:r>
            <w:rPr>
              <w:rFonts w:ascii="Cambria Math" w:hAnsi="Cambria Math"/>
            </w:rPr>
            <m:t xml:space="preserve">, </m:t>
          </m:r>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AP</m:t>
              </m:r>
            </m:sup>
          </m:sSubSup>
          <m:r>
            <w:rPr>
              <w:rFonts w:ascii="Cambria Math" w:hAnsi="Cambria Math"/>
            </w:rPr>
            <m:t xml:space="preserve">, </m:t>
          </m:r>
          <m:sSubSup>
            <m:sSubSupPr>
              <m:ctrlPr>
                <w:rPr>
                  <w:rFonts w:ascii="Cambria Math" w:hAnsi="Cambria Math"/>
                  <w:i/>
                </w:rPr>
              </m:ctrlPr>
            </m:sSubSupPr>
            <m:e>
              <m:r>
                <w:rPr>
                  <w:rFonts w:ascii="Cambria Math" w:hAnsi="Cambria Math"/>
                </w:rPr>
                <m:t>σ</m:t>
              </m:r>
            </m:e>
            <m:sub>
              <m:d>
                <m:dPr>
                  <m:begChr m:val="["/>
                  <m:endChr m:val="]"/>
                  <m:ctrlPr>
                    <w:rPr>
                      <w:rFonts w:ascii="Cambria Math" w:hAnsi="Cambria Math"/>
                      <w:i/>
                    </w:rPr>
                  </m:ctrlPr>
                </m:dPr>
                <m:e>
                  <m:r>
                    <w:rPr>
                      <w:rFonts w:ascii="Cambria Math" w:hAnsi="Cambria Math"/>
                    </w:rPr>
                    <m:t>i</m:t>
                  </m:r>
                </m:e>
              </m:d>
            </m:sub>
            <m:sup>
              <m:r>
                <w:rPr>
                  <w:rFonts w:ascii="Cambria Math" w:hAnsi="Cambria Math"/>
                </w:rPr>
                <m:t>IP</m:t>
              </m:r>
            </m:sup>
          </m:sSubSup>
          <m:r>
            <w:rPr>
              <w:rFonts w:ascii="Cambria Math" w:hAnsi="Cambria Math"/>
            </w:rPr>
            <m:t xml:space="preserve"> ~ IG(2, 1)</m:t>
          </m:r>
        </m:oMath>
      </m:oMathPara>
    </w:p>
    <w:p w14:paraId="55D066EE" w14:textId="77777777" w:rsidR="0011262F" w:rsidRPr="00977F44" w:rsidRDefault="002F0937" w:rsidP="0011262F">
      <w:pPr>
        <w:pStyle w:val="BodyText"/>
      </w:pPr>
      <m:oMathPara>
        <m:oMath>
          <m:sSup>
            <m:sSupPr>
              <m:ctrlPr>
                <w:rPr>
                  <w:rFonts w:ascii="Cambria Math" w:hAnsi="Cambria Math"/>
                  <w:i/>
                </w:rPr>
              </m:ctrlPr>
            </m:sSupPr>
            <m:e>
              <m:r>
                <w:rPr>
                  <w:rFonts w:ascii="Cambria Math" w:hAnsi="Cambria Math"/>
                </w:rPr>
                <m:t>L</m:t>
              </m:r>
            </m:e>
            <m:sup>
              <m:r>
                <w:rPr>
                  <w:rFonts w:ascii="Cambria Math" w:hAnsi="Cambria Math"/>
                </w:rPr>
                <m:t>TP</m:t>
              </m:r>
            </m:sup>
          </m:sSup>
          <m:r>
            <w:rPr>
              <w:rFonts w:ascii="Cambria Math" w:hAnsi="Cambria Math"/>
            </w:rPr>
            <m:t xml:space="preserve">, </m:t>
          </m:r>
          <m:sSup>
            <m:sSupPr>
              <m:ctrlPr>
                <w:rPr>
                  <w:rFonts w:ascii="Cambria Math" w:hAnsi="Cambria Math"/>
                  <w:i/>
                </w:rPr>
              </m:ctrlPr>
            </m:sSupPr>
            <m:e>
              <m:r>
                <w:rPr>
                  <w:rFonts w:ascii="Cambria Math" w:hAnsi="Cambria Math"/>
                </w:rPr>
                <m:t>L</m:t>
              </m:r>
            </m:e>
            <m:sup>
              <m:r>
                <w:rPr>
                  <w:rFonts w:ascii="Cambria Math" w:hAnsi="Cambria Math"/>
                </w:rPr>
                <m:t>AP</m:t>
              </m:r>
            </m:sup>
          </m:sSup>
          <m:r>
            <w:rPr>
              <w:rFonts w:ascii="Cambria Math" w:hAnsi="Cambria Math"/>
            </w:rPr>
            <m:t xml:space="preserve">, </m:t>
          </m:r>
          <m:sSup>
            <m:sSupPr>
              <m:ctrlPr>
                <w:rPr>
                  <w:rFonts w:ascii="Cambria Math" w:hAnsi="Cambria Math"/>
                  <w:i/>
                </w:rPr>
              </m:ctrlPr>
            </m:sSupPr>
            <m:e>
              <m:r>
                <w:rPr>
                  <w:rFonts w:ascii="Cambria Math" w:hAnsi="Cambria Math"/>
                </w:rPr>
                <m:t>L</m:t>
              </m:r>
            </m:e>
            <m:sup>
              <m:r>
                <w:rPr>
                  <w:rFonts w:ascii="Cambria Math" w:hAnsi="Cambria Math"/>
                </w:rPr>
                <m:t>IP</m:t>
              </m:r>
            </m:sup>
          </m:sSup>
          <m:r>
            <w:rPr>
              <w:rFonts w:ascii="Cambria Math" w:hAnsi="Cambria Math"/>
            </w:rPr>
            <m:t xml:space="preserve"> ~ LKJ(50)</m:t>
          </m:r>
        </m:oMath>
      </m:oMathPara>
    </w:p>
    <w:p w14:paraId="37098929" w14:textId="77777777" w:rsidR="0011262F" w:rsidRDefault="002F0937" w:rsidP="0011262F">
      <w:pPr>
        <w:pStyle w:val="BodyText"/>
      </w:pPr>
      <m:oMathPara>
        <m:oMath>
          <m:sSup>
            <m:sSupPr>
              <m:ctrlPr>
                <w:rPr>
                  <w:rFonts w:ascii="Cambria Math" w:hAnsi="Cambria Math"/>
                  <w:i/>
                </w:rPr>
              </m:ctrlPr>
            </m:sSupPr>
            <m:e>
              <m:r>
                <w:rPr>
                  <w:rFonts w:ascii="Cambria Math" w:hAnsi="Cambria Math"/>
                </w:rPr>
                <m:t>γ</m:t>
              </m:r>
            </m:e>
            <m:sup>
              <m:r>
                <w:rPr>
                  <w:rFonts w:ascii="Cambria Math" w:hAnsi="Cambria Math"/>
                </w:rPr>
                <m:t>TP</m:t>
              </m:r>
            </m:sup>
          </m:sSup>
          <m:r>
            <w:rPr>
              <w:rFonts w:ascii="Cambria Math" w:hAnsi="Cambria Math"/>
            </w:rPr>
            <m:t>,</m:t>
          </m:r>
          <m:sSup>
            <m:sSupPr>
              <m:ctrlPr>
                <w:rPr>
                  <w:rFonts w:ascii="Cambria Math" w:hAnsi="Cambria Math"/>
                  <w:i/>
                </w:rPr>
              </m:ctrlPr>
            </m:sSupPr>
            <m:e>
              <m:r>
                <w:rPr>
                  <w:rFonts w:ascii="Cambria Math" w:hAnsi="Cambria Math"/>
                </w:rPr>
                <m:t>γ</m:t>
              </m:r>
            </m:e>
            <m:sup>
              <m:r>
                <w:rPr>
                  <w:rFonts w:ascii="Cambria Math" w:hAnsi="Cambria Math"/>
                </w:rPr>
                <m:t>AP</m:t>
              </m:r>
            </m:sup>
          </m:sSup>
          <m:r>
            <w:rPr>
              <w:rFonts w:ascii="Cambria Math" w:hAnsi="Cambria Math"/>
            </w:rPr>
            <m:t xml:space="preserve">, </m:t>
          </m:r>
          <m:sSup>
            <m:sSupPr>
              <m:ctrlPr>
                <w:rPr>
                  <w:rFonts w:ascii="Cambria Math" w:hAnsi="Cambria Math"/>
                  <w:i/>
                </w:rPr>
              </m:ctrlPr>
            </m:sSupPr>
            <m:e>
              <m:r>
                <w:rPr>
                  <w:rFonts w:ascii="Cambria Math" w:hAnsi="Cambria Math"/>
                </w:rPr>
                <m:t>γ</m:t>
              </m:r>
            </m:e>
            <m:sup>
              <m:r>
                <w:rPr>
                  <w:rFonts w:ascii="Cambria Math" w:hAnsi="Cambria Math"/>
                </w:rPr>
                <m:t>IP</m:t>
              </m:r>
            </m:sup>
          </m:sSup>
          <m:r>
            <w:rPr>
              <w:rFonts w:ascii="Cambria Math" w:hAnsi="Cambria Math"/>
            </w:rPr>
            <m:t xml:space="preserve"> ~ N(0, 0.5)</m:t>
          </m:r>
        </m:oMath>
      </m:oMathPara>
    </w:p>
    <w:p w14:paraId="03DFB56D" w14:textId="77777777" w:rsidR="0011262F" w:rsidRPr="00F01303" w:rsidRDefault="002F0937" w:rsidP="0011262F">
      <w:pPr>
        <w:pStyle w:val="BodyText"/>
      </w:pPr>
      <m:oMathPara>
        <m:oMath>
          <m:sSubSup>
            <m:sSubSupPr>
              <m:ctrlPr>
                <w:rPr>
                  <w:rFonts w:ascii="Cambria Math" w:hAnsi="Cambria Math"/>
                  <w:i/>
                </w:rPr>
              </m:ctrlPr>
            </m:sSubSupPr>
            <m:e>
              <m:r>
                <w:rPr>
                  <w:rFonts w:ascii="Cambria Math" w:hAnsi="Cambria Math"/>
                </w:rPr>
                <m:t>σ</m:t>
              </m:r>
            </m:e>
            <m:sub/>
            <m:sup>
              <m:r>
                <w:rPr>
                  <w:rFonts w:ascii="Cambria Math" w:hAnsi="Cambria Math"/>
                </w:rPr>
                <m:t>TotalPassthrough</m:t>
              </m:r>
            </m:sup>
          </m:sSubSup>
          <m:r>
            <w:rPr>
              <w:rFonts w:ascii="Cambria Math" w:hAnsi="Cambria Math"/>
            </w:rPr>
            <m:t xml:space="preserve">, </m:t>
          </m:r>
          <m:sSubSup>
            <m:sSubSupPr>
              <m:ctrlPr>
                <w:rPr>
                  <w:rFonts w:ascii="Cambria Math" w:hAnsi="Cambria Math"/>
                  <w:i/>
                </w:rPr>
              </m:ctrlPr>
            </m:sSubSupPr>
            <m:e>
              <m:r>
                <w:rPr>
                  <w:rFonts w:ascii="Cambria Math" w:hAnsi="Cambria Math"/>
                </w:rPr>
                <m:t>σ</m:t>
              </m:r>
            </m:e>
            <m:sub/>
            <m:sup>
              <m:r>
                <w:rPr>
                  <w:rFonts w:ascii="Cambria Math" w:hAnsi="Cambria Math"/>
                </w:rPr>
                <m:t>AdminPassthrough</m:t>
              </m:r>
            </m:sup>
          </m:sSubSup>
          <m:r>
            <w:rPr>
              <w:rFonts w:ascii="Cambria Math" w:hAnsi="Cambria Math"/>
            </w:rPr>
            <m:t xml:space="preserve">, </m:t>
          </m:r>
          <m:sSubSup>
            <m:sSubSupPr>
              <m:ctrlPr>
                <w:rPr>
                  <w:rFonts w:ascii="Cambria Math" w:hAnsi="Cambria Math"/>
                  <w:i/>
                </w:rPr>
              </m:ctrlPr>
            </m:sSubSupPr>
            <m:e>
              <m:r>
                <w:rPr>
                  <w:rFonts w:ascii="Cambria Math" w:hAnsi="Cambria Math"/>
                </w:rPr>
                <m:t>σ</m:t>
              </m:r>
            </m:e>
            <m:sub/>
            <m:sup>
              <m:r>
                <w:rPr>
                  <w:rFonts w:ascii="Cambria Math" w:hAnsi="Cambria Math"/>
                </w:rPr>
                <m:t>InvestPassthrough</m:t>
              </m:r>
            </m:sup>
          </m:sSubSup>
          <m:r>
            <w:rPr>
              <w:rFonts w:ascii="Cambria Math" w:hAnsi="Cambria Math"/>
            </w:rPr>
            <m:t xml:space="preserve"> ~ IG(2, 1)</m:t>
          </m:r>
        </m:oMath>
      </m:oMathPara>
    </w:p>
    <w:p w14:paraId="383FCDAC" w14:textId="77777777" w:rsidR="0011262F" w:rsidRDefault="0011262F" w:rsidP="0011262F">
      <w:pPr>
        <w:pStyle w:val="Heading4"/>
      </w:pPr>
      <w:r>
        <w:t>Interpretation of parameters — calculation of power coefficients</w:t>
      </w:r>
    </w:p>
    <w:p w14:paraId="02C2065F" w14:textId="77777777" w:rsidR="0011262F" w:rsidRPr="00E274F4" w:rsidRDefault="0011262F" w:rsidP="0011262F">
      <w:pPr>
        <w:pStyle w:val="BodyText"/>
      </w:pPr>
      <w:r>
        <w:t>Reversing the log standardisation of the size and cost variables leads to the following equation (using admin expenses as an example):</w:t>
      </w:r>
    </w:p>
    <w:p w14:paraId="687B178B" w14:textId="77777777" w:rsidR="0011262F" w:rsidRPr="005D465A" w:rsidRDefault="0011262F" w:rsidP="0011262F">
      <w:pPr>
        <w:pStyle w:val="BodyText"/>
      </w:pPr>
      <m:oMathPara>
        <m:oMath>
          <m:r>
            <w:rPr>
              <w:rFonts w:ascii="Cambria Math" w:hAnsi="Cambria Math"/>
            </w:rPr>
            <m:t>AdminExpense ∝Asset</m:t>
          </m:r>
          <m:sSup>
            <m:sSupPr>
              <m:ctrlPr>
                <w:rPr>
                  <w:rFonts w:ascii="Cambria Math" w:hAnsi="Cambria Math"/>
                  <w:i/>
                </w:rPr>
              </m:ctrlPr>
            </m:sSupPr>
            <m:e>
              <m:r>
                <w:rPr>
                  <w:rFonts w:ascii="Cambria Math" w:hAnsi="Cambria Math"/>
                </w:rPr>
                <m:t>s</m:t>
              </m:r>
            </m:e>
            <m:sup>
              <m:sSubSup>
                <m:sSubSupPr>
                  <m:ctrlPr>
                    <w:rPr>
                      <w:rFonts w:ascii="Cambria Math" w:hAnsi="Cambria Math"/>
                      <w:i/>
                    </w:rPr>
                  </m:ctrlPr>
                </m:sSubSupPr>
                <m:e>
                  <m:r>
                    <w:rPr>
                      <w:rFonts w:ascii="Cambria Math" w:hAnsi="Cambria Math"/>
                    </w:rPr>
                    <m:t>β</m:t>
                  </m:r>
                </m:e>
                <m:sub>
                  <m:r>
                    <w:rPr>
                      <w:rFonts w:ascii="Cambria Math" w:hAnsi="Cambria Math"/>
                    </w:rPr>
                    <m:t xml:space="preserve">1, </m:t>
                  </m:r>
                  <m:d>
                    <m:dPr>
                      <m:begChr m:val="["/>
                      <m:endChr m:val="]"/>
                      <m:ctrlPr>
                        <w:rPr>
                          <w:rFonts w:ascii="Cambria Math" w:hAnsi="Cambria Math"/>
                          <w:i/>
                        </w:rPr>
                      </m:ctrlPr>
                    </m:dPr>
                    <m:e>
                      <m:r>
                        <w:rPr>
                          <w:rFonts w:ascii="Cambria Math" w:hAnsi="Cambria Math"/>
                        </w:rPr>
                        <m:t>i</m:t>
                      </m:r>
                    </m:e>
                  </m:d>
                </m:sub>
                <m:sup>
                  <m:r>
                    <w:rPr>
                      <w:rFonts w:ascii="Cambria Math" w:hAnsi="Cambria Math"/>
                    </w:rPr>
                    <m:t>A</m:t>
                  </m:r>
                </m:sup>
              </m:sSubSup>
              <m:r>
                <w:rPr>
                  <w:rFonts w:ascii="Cambria Math" w:hAnsi="Cambria Math"/>
                </w:rPr>
                <m:t>+</m:t>
              </m:r>
              <m:sSubSup>
                <m:sSubSupPr>
                  <m:ctrlPr>
                    <w:rPr>
                      <w:rFonts w:ascii="Cambria Math" w:hAnsi="Cambria Math"/>
                      <w:i/>
                    </w:rPr>
                  </m:ctrlPr>
                </m:sSubSupPr>
                <m:e>
                  <m:r>
                    <w:rPr>
                      <w:rFonts w:ascii="Cambria Math" w:hAnsi="Cambria Math"/>
                    </w:rPr>
                    <m:t>γ</m:t>
                  </m:r>
                </m:e>
                <m:sub>
                  <m:r>
                    <w:rPr>
                      <w:rFonts w:ascii="Cambria Math" w:hAnsi="Cambria Math"/>
                    </w:rPr>
                    <m:t>1</m:t>
                  </m:r>
                </m:sub>
                <m:sup>
                  <m:r>
                    <w:rPr>
                      <w:rFonts w:ascii="Cambria Math" w:hAnsi="Cambria Math"/>
                    </w:rPr>
                    <m:t>A</m:t>
                  </m:r>
                </m:sup>
              </m:sSubSup>
              <m:r>
                <w:rPr>
                  <w:rFonts w:ascii="Cambria Math" w:hAnsi="Cambria Math"/>
                </w:rPr>
                <m:t>FundType</m:t>
              </m:r>
            </m:sup>
          </m:sSup>
          <m:r>
            <w:rPr>
              <w:rFonts w:ascii="Cambria Math" w:hAnsi="Cambria Math"/>
            </w:rPr>
            <m:t>×</m:t>
          </m:r>
          <m:sSup>
            <m:sSupPr>
              <m:ctrlPr>
                <w:rPr>
                  <w:rFonts w:ascii="Cambria Math" w:hAnsi="Cambria Math"/>
                  <w:i/>
                </w:rPr>
              </m:ctrlPr>
            </m:sSupPr>
            <m:e>
              <m:r>
                <w:rPr>
                  <w:rFonts w:ascii="Cambria Math" w:hAnsi="Cambria Math"/>
                </w:rPr>
                <m:t>MemberAccounts</m:t>
              </m:r>
            </m:e>
            <m:sup>
              <m:sSubSup>
                <m:sSubSupPr>
                  <m:ctrlPr>
                    <w:rPr>
                      <w:rFonts w:ascii="Cambria Math" w:hAnsi="Cambria Math"/>
                      <w:i/>
                    </w:rPr>
                  </m:ctrlPr>
                </m:sSubSupPr>
                <m:e>
                  <m:r>
                    <w:rPr>
                      <w:rFonts w:ascii="Cambria Math" w:hAnsi="Cambria Math"/>
                    </w:rPr>
                    <m:t>β</m:t>
                  </m:r>
                </m:e>
                <m:sub>
                  <m:r>
                    <w:rPr>
                      <w:rFonts w:ascii="Cambria Math" w:hAnsi="Cambria Math"/>
                    </w:rPr>
                    <m:t xml:space="preserve">2, </m:t>
                  </m:r>
                  <m:d>
                    <m:dPr>
                      <m:begChr m:val="["/>
                      <m:endChr m:val="]"/>
                      <m:ctrlPr>
                        <w:rPr>
                          <w:rFonts w:ascii="Cambria Math" w:hAnsi="Cambria Math"/>
                          <w:i/>
                        </w:rPr>
                      </m:ctrlPr>
                    </m:dPr>
                    <m:e>
                      <m:r>
                        <w:rPr>
                          <w:rFonts w:ascii="Cambria Math" w:hAnsi="Cambria Math"/>
                        </w:rPr>
                        <m:t>i</m:t>
                      </m:r>
                    </m:e>
                  </m:d>
                </m:sub>
                <m:sup>
                  <m:r>
                    <w:rPr>
                      <w:rFonts w:ascii="Cambria Math" w:hAnsi="Cambria Math"/>
                    </w:rPr>
                    <m:t>A</m:t>
                  </m:r>
                </m:sup>
              </m:sSubSup>
              <m:r>
                <w:rPr>
                  <w:rFonts w:ascii="Cambria Math" w:hAnsi="Cambria Math"/>
                </w:rPr>
                <m:t>+</m:t>
              </m:r>
              <m:sSubSup>
                <m:sSubSupPr>
                  <m:ctrlPr>
                    <w:rPr>
                      <w:rFonts w:ascii="Cambria Math" w:hAnsi="Cambria Math"/>
                      <w:i/>
                    </w:rPr>
                  </m:ctrlPr>
                </m:sSubSupPr>
                <m:e>
                  <m:r>
                    <w:rPr>
                      <w:rFonts w:ascii="Cambria Math" w:hAnsi="Cambria Math"/>
                    </w:rPr>
                    <m:t>γ</m:t>
                  </m:r>
                </m:e>
                <m:sub>
                  <m:r>
                    <w:rPr>
                      <w:rFonts w:ascii="Cambria Math" w:hAnsi="Cambria Math"/>
                    </w:rPr>
                    <m:t>2</m:t>
                  </m:r>
                </m:sub>
                <m:sup>
                  <m:r>
                    <w:rPr>
                      <w:rFonts w:ascii="Cambria Math" w:hAnsi="Cambria Math"/>
                    </w:rPr>
                    <m:t>A</m:t>
                  </m:r>
                </m:sup>
              </m:sSubSup>
              <m:r>
                <w:rPr>
                  <w:rFonts w:ascii="Cambria Math" w:hAnsi="Cambria Math"/>
                </w:rPr>
                <m:t>FundType</m:t>
              </m:r>
            </m:sup>
          </m:sSup>
        </m:oMath>
      </m:oMathPara>
    </w:p>
    <w:p w14:paraId="55430FB5" w14:textId="77777777" w:rsidR="0011262F" w:rsidRDefault="0011262F" w:rsidP="0011262F">
      <w:pPr>
        <w:pStyle w:val="BodyText"/>
      </w:pPr>
      <w:r>
        <w:t>This implies that the curvature of the cost function depends on:</w:t>
      </w:r>
    </w:p>
    <w:p w14:paraId="08BE65EE" w14:textId="77777777" w:rsidR="0011262F" w:rsidRDefault="0011262F" w:rsidP="0011262F">
      <w:pPr>
        <w:pStyle w:val="ListBullet"/>
      </w:pPr>
      <w:r>
        <w:t>a component which varies by fund type (</w:t>
      </w:r>
      <m:oMath>
        <m:sSubSup>
          <m:sSubSupPr>
            <m:ctrlPr>
              <w:rPr>
                <w:rFonts w:ascii="Cambria Math" w:hAnsi="Cambria Math"/>
                <w:i/>
              </w:rPr>
            </m:ctrlPr>
          </m:sSubSupPr>
          <m:e>
            <m:r>
              <w:rPr>
                <w:rFonts w:ascii="Cambria Math" w:hAnsi="Cambria Math"/>
              </w:rPr>
              <m:t>γ</m:t>
            </m:r>
          </m:e>
          <m:sub>
            <m:r>
              <w:rPr>
                <w:rFonts w:ascii="Cambria Math" w:hAnsi="Cambria Math"/>
              </w:rPr>
              <m:t>1</m:t>
            </m:r>
          </m:sub>
          <m:sup>
            <m:r>
              <w:rPr>
                <w:rFonts w:ascii="Cambria Math" w:hAnsi="Cambria Math"/>
              </w:rPr>
              <m:t>A</m:t>
            </m:r>
          </m:sup>
        </m:sSubSup>
        <m:r>
          <w:rPr>
            <w:rFonts w:ascii="Cambria Math" w:hAnsi="Cambria Math"/>
          </w:rPr>
          <m:t xml:space="preserve">, </m:t>
        </m:r>
        <m:sSubSup>
          <m:sSubSupPr>
            <m:ctrlPr>
              <w:rPr>
                <w:rFonts w:ascii="Cambria Math" w:hAnsi="Cambria Math"/>
                <w:i/>
              </w:rPr>
            </m:ctrlPr>
          </m:sSubSupPr>
          <m:e>
            <m:r>
              <w:rPr>
                <w:rFonts w:ascii="Cambria Math" w:hAnsi="Cambria Math"/>
              </w:rPr>
              <m:t>γ</m:t>
            </m:r>
          </m:e>
          <m:sub>
            <m:r>
              <w:rPr>
                <w:rFonts w:ascii="Cambria Math" w:hAnsi="Cambria Math"/>
              </w:rPr>
              <m:t>2</m:t>
            </m:r>
          </m:sub>
          <m:sup>
            <m:r>
              <w:rPr>
                <w:rFonts w:ascii="Cambria Math" w:hAnsi="Cambria Math"/>
              </w:rPr>
              <m:t>A</m:t>
            </m:r>
          </m:sup>
        </m:sSubSup>
      </m:oMath>
      <w:r>
        <w:t>), i.e., it takes on the same value for all funds of the same type</w:t>
      </w:r>
    </w:p>
    <w:p w14:paraId="0B590067" w14:textId="77777777" w:rsidR="0011262F" w:rsidRDefault="0011262F" w:rsidP="0011262F">
      <w:pPr>
        <w:pStyle w:val="ListBullet"/>
      </w:pPr>
      <w:r>
        <w:t>a component which varies by fund (</w:t>
      </w:r>
      <m:oMath>
        <m:sSub>
          <m:sSubPr>
            <m:ctrlPr>
              <w:rPr>
                <w:rFonts w:ascii="Cambria Math" w:hAnsi="Cambria Math"/>
                <w:i/>
              </w:rPr>
            </m:ctrlPr>
          </m:sSubPr>
          <m:e>
            <m:r>
              <w:rPr>
                <w:rFonts w:ascii="Cambria Math" w:hAnsi="Cambria Math"/>
              </w:rPr>
              <m:t>β</m:t>
            </m:r>
          </m:e>
          <m:sub>
            <m:r>
              <w:rPr>
                <w:rFonts w:ascii="Cambria Math" w:hAnsi="Cambria Math"/>
              </w:rPr>
              <m:t>1, [i]</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2, [i]</m:t>
            </m:r>
          </m:sub>
        </m:sSub>
        <m:r>
          <w:rPr>
            <w:rFonts w:ascii="Cambria Math" w:hAnsi="Cambria Math"/>
          </w:rPr>
          <m:t>)</m:t>
        </m:r>
      </m:oMath>
      <w:r>
        <w:t>.</w:t>
      </w:r>
    </w:p>
    <w:p w14:paraId="707137F2" w14:textId="77777777" w:rsidR="0011262F" w:rsidRDefault="0011262F" w:rsidP="0011262F">
      <w:pPr>
        <w:pStyle w:val="ListBullet"/>
        <w:numPr>
          <w:ilvl w:val="0"/>
          <w:numId w:val="0"/>
        </w:numPr>
      </w:pPr>
      <w:r>
        <w:t xml:space="preserve">The sum of the two components is defined as the power coefficient for a fund. If the power coefficient for assets is larger than 1, the cost function for fund </w:t>
      </w:r>
      <m:oMath>
        <m:r>
          <w:rPr>
            <w:rFonts w:ascii="Cambria Math" w:hAnsi="Cambria Math"/>
          </w:rPr>
          <m:t>i</m:t>
        </m:r>
      </m:oMath>
      <w:r>
        <w:t xml:space="preserve"> is convex with respect to assets (that is, experiences diseconomies of scale or increasing average costs). If the sum is less than 1, this implies a concave cost function which corresponds to economies of scale (decreasing average costs). The same logic can be applied to see if there are economies of scale with respect to the number of member accounts.</w:t>
      </w:r>
    </w:p>
    <w:p w14:paraId="427C3886" w14:textId="77777777" w:rsidR="0011262F" w:rsidRPr="00F01303" w:rsidRDefault="0011262F" w:rsidP="0011262F">
      <w:pPr>
        <w:pStyle w:val="BodyText"/>
      </w:pPr>
      <w:r>
        <w:t xml:space="preserve">An important caveat is that this model imposes the restriction that an </w:t>
      </w:r>
      <w:r w:rsidRPr="003F3932">
        <w:t>individual</w:t>
      </w:r>
      <w:r>
        <w:t xml:space="preserve"> fund can only experience economies of scale or diseconomies of scale (with respect to total assets or number of member accounts). </w:t>
      </w:r>
    </w:p>
    <w:p w14:paraId="32913F07" w14:textId="77777777" w:rsidR="0011262F" w:rsidRDefault="0011262F" w:rsidP="0011262F">
      <w:pPr>
        <w:pStyle w:val="BodyText"/>
      </w:pPr>
      <w:r>
        <w:br w:type="page"/>
      </w:r>
    </w:p>
    <w:p w14:paraId="092BBAED" w14:textId="77777777" w:rsidR="0011262F" w:rsidRDefault="0011262F" w:rsidP="0011262F">
      <w:pPr>
        <w:pStyle w:val="Heading4"/>
      </w:pPr>
      <w:r w:rsidRPr="00726C6E">
        <w:lastRenderedPageBreak/>
        <w:t>Priors</w:t>
      </w:r>
    </w:p>
    <w:p w14:paraId="6DAEBF3B" w14:textId="77777777" w:rsidR="0011262F" w:rsidRPr="00D360B7" w:rsidRDefault="0011262F" w:rsidP="0011262F">
      <w:pPr>
        <w:pStyle w:val="BodyText"/>
      </w:pPr>
      <w:r>
        <w:t xml:space="preserve">Broadly speaking, the Commission has adopted informative priors. While the Commission did consult with participants on potential economies of scale present in the superannuation industry, this did not directly lead to information that could be included in priors. Rather, the Commission chose priors </w:t>
      </w:r>
      <w:proofErr w:type="spellStart"/>
      <w:r>
        <w:t>centered</w:t>
      </w:r>
      <w:proofErr w:type="spellEnd"/>
      <w:r>
        <w:t xml:space="preserve"> on zero with relatively diffuse variances. To ensure that the priors chosen were not driving results, a specification with more diffuse priors was tested (annex C). </w:t>
      </w:r>
    </w:p>
    <w:p w14:paraId="63EB2FEB" w14:textId="77777777" w:rsidR="0011262F" w:rsidRDefault="0011262F" w:rsidP="0011262F">
      <w:pPr>
        <w:pStyle w:val="BodyText"/>
      </w:pPr>
      <w:r w:rsidRPr="00E76671">
        <w:t>Priors</w:t>
      </w:r>
      <w:r>
        <w:t xml:space="preserve"> have been presented alongside their respective parameters in the previous sections. A summary of the priors used in the model is presented in table </w:t>
      </w:r>
      <w:proofErr w:type="spellStart"/>
      <w:r>
        <w:t>B.3</w:t>
      </w:r>
      <w:proofErr w:type="spellEnd"/>
      <w:r>
        <w:t xml:space="preserve">. </w:t>
      </w:r>
    </w:p>
    <w:p w14:paraId="509A4361" w14:textId="77777777" w:rsidR="0011262F" w:rsidRDefault="0011262F" w:rsidP="0011262F">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1262F" w14:paraId="304CEBCA" w14:textId="77777777" w:rsidTr="00B54007">
        <w:trPr>
          <w:tblHeader/>
        </w:trPr>
        <w:tc>
          <w:tcPr>
            <w:tcW w:w="5000" w:type="pct"/>
            <w:tcBorders>
              <w:top w:val="single" w:sz="6" w:space="0" w:color="78A22F"/>
              <w:left w:val="nil"/>
              <w:bottom w:val="nil"/>
              <w:right w:val="nil"/>
            </w:tcBorders>
            <w:shd w:val="clear" w:color="auto" w:fill="auto"/>
          </w:tcPr>
          <w:p w14:paraId="4917C77D" w14:textId="77777777" w:rsidR="0011262F" w:rsidRPr="00784A05" w:rsidRDefault="0011262F" w:rsidP="00B54007">
            <w:pPr>
              <w:pStyle w:val="TableTitle"/>
            </w:pPr>
            <w:r>
              <w:rPr>
                <w:b w:val="0"/>
              </w:rPr>
              <w:t xml:space="preserve">Table </w:t>
            </w:r>
            <w:proofErr w:type="spellStart"/>
            <w:r>
              <w:rPr>
                <w:b w:val="0"/>
              </w:rPr>
              <w:t>B.3</w:t>
            </w:r>
            <w:proofErr w:type="spellEnd"/>
            <w:r>
              <w:tab/>
              <w:t>Priors on model parameters</w:t>
            </w:r>
            <w:r w:rsidRPr="007F739B">
              <w:rPr>
                <w:rStyle w:val="NoteLabel"/>
              </w:rPr>
              <w:t>a</w:t>
            </w:r>
          </w:p>
        </w:tc>
      </w:tr>
      <w:tr w:rsidR="0011262F" w14:paraId="0F0A2BD7" w14:textId="77777777" w:rsidTr="00B5400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551"/>
              <w:gridCol w:w="1135"/>
              <w:gridCol w:w="1274"/>
              <w:gridCol w:w="1135"/>
              <w:gridCol w:w="1034"/>
              <w:gridCol w:w="1376"/>
            </w:tblGrid>
            <w:tr w:rsidR="0011262F" w14:paraId="10E058D1" w14:textId="77777777" w:rsidTr="00B54007">
              <w:trPr>
                <w:tblHeader/>
              </w:trPr>
              <w:tc>
                <w:tcPr>
                  <w:tcW w:w="1500" w:type="pct"/>
                  <w:tcBorders>
                    <w:top w:val="single" w:sz="6" w:space="0" w:color="BFBFBF"/>
                    <w:bottom w:val="single" w:sz="6" w:space="0" w:color="BFBFBF"/>
                  </w:tcBorders>
                  <w:shd w:val="clear" w:color="auto" w:fill="auto"/>
                  <w:tcMar>
                    <w:top w:w="28" w:type="dxa"/>
                  </w:tcMar>
                  <w:vAlign w:val="bottom"/>
                </w:tcPr>
                <w:p w14:paraId="11FE7502" w14:textId="77777777" w:rsidR="0011262F" w:rsidRDefault="0011262F" w:rsidP="00B54007">
                  <w:pPr>
                    <w:pStyle w:val="TableColumnHeading"/>
                    <w:jc w:val="left"/>
                  </w:pPr>
                  <w:r>
                    <w:t>Parameters</w:t>
                  </w:r>
                </w:p>
              </w:tc>
              <w:tc>
                <w:tcPr>
                  <w:tcW w:w="667" w:type="pct"/>
                  <w:tcBorders>
                    <w:top w:val="single" w:sz="6" w:space="0" w:color="BFBFBF"/>
                    <w:bottom w:val="single" w:sz="6" w:space="0" w:color="BFBFBF"/>
                  </w:tcBorders>
                  <w:vAlign w:val="bottom"/>
                </w:tcPr>
                <w:p w14:paraId="69DB9249" w14:textId="77777777" w:rsidR="0011262F" w:rsidRDefault="0011262F" w:rsidP="00B54007">
                  <w:pPr>
                    <w:pStyle w:val="TableColumnHeading"/>
                  </w:pPr>
                  <w:r>
                    <w:t>Admin</w:t>
                  </w:r>
                </w:p>
              </w:tc>
              <w:tc>
                <w:tcPr>
                  <w:tcW w:w="749" w:type="pct"/>
                  <w:tcBorders>
                    <w:top w:val="single" w:sz="6" w:space="0" w:color="BFBFBF"/>
                    <w:bottom w:val="single" w:sz="6" w:space="0" w:color="BFBFBF"/>
                  </w:tcBorders>
                  <w:shd w:val="clear" w:color="auto" w:fill="auto"/>
                  <w:tcMar>
                    <w:top w:w="28" w:type="dxa"/>
                  </w:tcMar>
                  <w:vAlign w:val="bottom"/>
                </w:tcPr>
                <w:p w14:paraId="2787DC14" w14:textId="77777777" w:rsidR="0011262F" w:rsidRDefault="0011262F" w:rsidP="00B54007">
                  <w:pPr>
                    <w:pStyle w:val="TableColumnHeading"/>
                  </w:pPr>
                  <w:r>
                    <w:t>Investment</w:t>
                  </w:r>
                </w:p>
              </w:tc>
              <w:tc>
                <w:tcPr>
                  <w:tcW w:w="667" w:type="pct"/>
                  <w:tcBorders>
                    <w:top w:val="single" w:sz="6" w:space="0" w:color="BFBFBF"/>
                    <w:bottom w:val="single" w:sz="6" w:space="0" w:color="BFBFBF"/>
                  </w:tcBorders>
                  <w:vAlign w:val="bottom"/>
                </w:tcPr>
                <w:p w14:paraId="2212B1C6" w14:textId="77777777" w:rsidR="0011262F" w:rsidRDefault="0011262F" w:rsidP="00B54007">
                  <w:pPr>
                    <w:pStyle w:val="TableColumnHeading"/>
                  </w:pPr>
                  <w:r>
                    <w:t>Number of options</w:t>
                  </w:r>
                </w:p>
              </w:tc>
              <w:tc>
                <w:tcPr>
                  <w:tcW w:w="608" w:type="pct"/>
                  <w:tcBorders>
                    <w:top w:val="single" w:sz="6" w:space="0" w:color="BFBFBF"/>
                    <w:bottom w:val="single" w:sz="6" w:space="0" w:color="BFBFBF"/>
                  </w:tcBorders>
                  <w:vAlign w:val="bottom"/>
                </w:tcPr>
                <w:p w14:paraId="423ACFD9" w14:textId="77777777" w:rsidR="0011262F" w:rsidRDefault="0011262F" w:rsidP="00B54007">
                  <w:pPr>
                    <w:pStyle w:val="TableColumnHeading"/>
                  </w:pPr>
                  <w:r>
                    <w:t>Selection model</w:t>
                  </w:r>
                </w:p>
              </w:tc>
              <w:tc>
                <w:tcPr>
                  <w:tcW w:w="809" w:type="pct"/>
                  <w:tcBorders>
                    <w:top w:val="single" w:sz="6" w:space="0" w:color="BFBFBF"/>
                    <w:bottom w:val="single" w:sz="6" w:space="0" w:color="BFBFBF"/>
                  </w:tcBorders>
                  <w:vAlign w:val="bottom"/>
                </w:tcPr>
                <w:p w14:paraId="65448648" w14:textId="77777777" w:rsidR="0011262F" w:rsidRDefault="0011262F" w:rsidP="00B54007">
                  <w:pPr>
                    <w:pStyle w:val="TableColumnHeading"/>
                  </w:pPr>
                  <w:r>
                    <w:t>Pass</w:t>
                  </w:r>
                  <w:r>
                    <w:noBreakHyphen/>
                    <w:t>through model</w:t>
                  </w:r>
                </w:p>
              </w:tc>
            </w:tr>
            <w:tr w:rsidR="0011262F" w14:paraId="7AB71053" w14:textId="77777777" w:rsidTr="00B54007">
              <w:tc>
                <w:tcPr>
                  <w:tcW w:w="1500" w:type="pct"/>
                  <w:tcBorders>
                    <w:top w:val="single" w:sz="6" w:space="0" w:color="BFBFBF"/>
                  </w:tcBorders>
                </w:tcPr>
                <w:p w14:paraId="09BC098B" w14:textId="77777777" w:rsidR="0011262F" w:rsidRDefault="0011262F" w:rsidP="00B54007">
                  <w:pPr>
                    <w:pStyle w:val="TableUnitsRow"/>
                    <w:jc w:val="left"/>
                  </w:pPr>
                  <w:r>
                    <w:t>Non</w:t>
                  </w:r>
                  <w:r>
                    <w:noBreakHyphen/>
                    <w:t>varying coefficients</w:t>
                  </w:r>
                </w:p>
              </w:tc>
              <w:tc>
                <w:tcPr>
                  <w:tcW w:w="667" w:type="pct"/>
                  <w:tcBorders>
                    <w:top w:val="single" w:sz="6" w:space="0" w:color="BFBFBF"/>
                  </w:tcBorders>
                </w:tcPr>
                <w:p w14:paraId="0DC6D524" w14:textId="77777777" w:rsidR="0011262F" w:rsidRDefault="0011262F" w:rsidP="00B54007">
                  <w:pPr>
                    <w:pStyle w:val="TableUnitsRow"/>
                  </w:pPr>
                  <w:r>
                    <w:t>N(0, 0.5)</w:t>
                  </w:r>
                </w:p>
              </w:tc>
              <w:tc>
                <w:tcPr>
                  <w:tcW w:w="749" w:type="pct"/>
                  <w:tcBorders>
                    <w:top w:val="single" w:sz="6" w:space="0" w:color="BFBFBF"/>
                  </w:tcBorders>
                </w:tcPr>
                <w:p w14:paraId="1FEB9009" w14:textId="77777777" w:rsidR="0011262F" w:rsidRDefault="0011262F" w:rsidP="00B54007">
                  <w:pPr>
                    <w:pStyle w:val="TableUnitsRow"/>
                  </w:pPr>
                  <w:r>
                    <w:t>N(0, 0.5)</w:t>
                  </w:r>
                </w:p>
              </w:tc>
              <w:tc>
                <w:tcPr>
                  <w:tcW w:w="667" w:type="pct"/>
                  <w:tcBorders>
                    <w:top w:val="single" w:sz="6" w:space="0" w:color="BFBFBF"/>
                  </w:tcBorders>
                </w:tcPr>
                <w:p w14:paraId="2B016776" w14:textId="77777777" w:rsidR="0011262F" w:rsidRDefault="0011262F" w:rsidP="00B54007">
                  <w:pPr>
                    <w:pStyle w:val="TableUnitsRow"/>
                  </w:pPr>
                  <w:r>
                    <w:t>N(0, .5)</w:t>
                  </w:r>
                </w:p>
              </w:tc>
              <w:tc>
                <w:tcPr>
                  <w:tcW w:w="608" w:type="pct"/>
                  <w:tcBorders>
                    <w:top w:val="single" w:sz="6" w:space="0" w:color="BFBFBF"/>
                  </w:tcBorders>
                </w:tcPr>
                <w:p w14:paraId="6FEAEA90" w14:textId="77777777" w:rsidR="0011262F" w:rsidRDefault="0011262F" w:rsidP="00B54007">
                  <w:pPr>
                    <w:pStyle w:val="TableUnitsRow"/>
                  </w:pPr>
                  <w:r>
                    <w:t>N(0, 0.5)</w:t>
                  </w:r>
                </w:p>
              </w:tc>
              <w:tc>
                <w:tcPr>
                  <w:tcW w:w="809" w:type="pct"/>
                  <w:tcBorders>
                    <w:top w:val="single" w:sz="6" w:space="0" w:color="BFBFBF"/>
                  </w:tcBorders>
                </w:tcPr>
                <w:p w14:paraId="22358835" w14:textId="77777777" w:rsidR="0011262F" w:rsidRDefault="0011262F" w:rsidP="00B54007">
                  <w:pPr>
                    <w:pStyle w:val="TableUnitsRow"/>
                  </w:pPr>
                  <w:r>
                    <w:t>N(0, 0.5)</w:t>
                  </w:r>
                </w:p>
              </w:tc>
            </w:tr>
            <w:tr w:rsidR="0011262F" w14:paraId="5C1EDFDE" w14:textId="77777777" w:rsidTr="00B54007">
              <w:trPr>
                <w:trHeight w:val="138"/>
              </w:trPr>
              <w:tc>
                <w:tcPr>
                  <w:tcW w:w="1500" w:type="pct"/>
                  <w:shd w:val="clear" w:color="auto" w:fill="F2F2F2" w:themeFill="background1" w:themeFillShade="F2"/>
                </w:tcPr>
                <w:p w14:paraId="5BFA2D65" w14:textId="77777777" w:rsidR="0011262F" w:rsidRDefault="0011262F" w:rsidP="00B54007">
                  <w:pPr>
                    <w:pStyle w:val="TableBodyText"/>
                    <w:jc w:val="left"/>
                  </w:pPr>
                  <w:r>
                    <w:t>Temporary intercept</w:t>
                  </w:r>
                </w:p>
              </w:tc>
              <w:tc>
                <w:tcPr>
                  <w:tcW w:w="667" w:type="pct"/>
                  <w:shd w:val="clear" w:color="auto" w:fill="F2F2F2" w:themeFill="background1" w:themeFillShade="F2"/>
                </w:tcPr>
                <w:p w14:paraId="27AC759A" w14:textId="77777777" w:rsidR="0011262F" w:rsidRDefault="0011262F" w:rsidP="00B54007">
                  <w:pPr>
                    <w:pStyle w:val="TableBodyText"/>
                  </w:pPr>
                  <w:r>
                    <w:t>N(1, 0.5)</w:t>
                  </w:r>
                </w:p>
              </w:tc>
              <w:tc>
                <w:tcPr>
                  <w:tcW w:w="749" w:type="pct"/>
                  <w:shd w:val="clear" w:color="auto" w:fill="F2F2F2" w:themeFill="background1" w:themeFillShade="F2"/>
                </w:tcPr>
                <w:p w14:paraId="1E285CBB" w14:textId="77777777" w:rsidR="0011262F" w:rsidRDefault="0011262F" w:rsidP="00B54007">
                  <w:pPr>
                    <w:pStyle w:val="TableBodyText"/>
                  </w:pPr>
                  <w:r>
                    <w:t>N(1, 0.5)</w:t>
                  </w:r>
                </w:p>
              </w:tc>
              <w:tc>
                <w:tcPr>
                  <w:tcW w:w="667" w:type="pct"/>
                  <w:shd w:val="clear" w:color="auto" w:fill="F2F2F2" w:themeFill="background1" w:themeFillShade="F2"/>
                </w:tcPr>
                <w:p w14:paraId="0D7A25DD" w14:textId="77777777" w:rsidR="0011262F" w:rsidRDefault="0011262F" w:rsidP="00B54007">
                  <w:pPr>
                    <w:pStyle w:val="TableBodyText"/>
                  </w:pPr>
                  <w:r>
                    <w:t>N(1, 0.5)</w:t>
                  </w:r>
                </w:p>
              </w:tc>
              <w:tc>
                <w:tcPr>
                  <w:tcW w:w="608" w:type="pct"/>
                  <w:shd w:val="clear" w:color="auto" w:fill="F2F2F2" w:themeFill="background1" w:themeFillShade="F2"/>
                </w:tcPr>
                <w:p w14:paraId="220B3E0B" w14:textId="77777777" w:rsidR="0011262F" w:rsidRDefault="0011262F" w:rsidP="00B54007">
                  <w:pPr>
                    <w:pStyle w:val="TableBodyText"/>
                  </w:pPr>
                  <w:r>
                    <w:t>N(1, 0.5)</w:t>
                  </w:r>
                </w:p>
              </w:tc>
              <w:tc>
                <w:tcPr>
                  <w:tcW w:w="809" w:type="pct"/>
                  <w:shd w:val="clear" w:color="auto" w:fill="F2F2F2" w:themeFill="background1" w:themeFillShade="F2"/>
                </w:tcPr>
                <w:p w14:paraId="2457ECA9" w14:textId="77777777" w:rsidR="0011262F" w:rsidRDefault="0011262F" w:rsidP="00B54007">
                  <w:pPr>
                    <w:pStyle w:val="TableBodyText"/>
                  </w:pPr>
                  <w:r>
                    <w:t>N(1, 0.5)</w:t>
                  </w:r>
                </w:p>
              </w:tc>
            </w:tr>
            <w:tr w:rsidR="0011262F" w14:paraId="05CE43D0" w14:textId="77777777" w:rsidTr="00B54007">
              <w:tc>
                <w:tcPr>
                  <w:tcW w:w="1500" w:type="pct"/>
                  <w:shd w:val="clear" w:color="auto" w:fill="auto"/>
                </w:tcPr>
                <w:p w14:paraId="277F24A3" w14:textId="77777777" w:rsidR="0011262F" w:rsidRDefault="0011262F" w:rsidP="00B54007">
                  <w:pPr>
                    <w:pStyle w:val="TableBodyText"/>
                    <w:jc w:val="left"/>
                  </w:pPr>
                  <w:r>
                    <w:t>Control function coefficients</w:t>
                  </w:r>
                </w:p>
              </w:tc>
              <w:tc>
                <w:tcPr>
                  <w:tcW w:w="667" w:type="pct"/>
                </w:tcPr>
                <w:p w14:paraId="53AD44A6" w14:textId="77777777" w:rsidR="0011262F" w:rsidRDefault="0011262F" w:rsidP="00B54007">
                  <w:pPr>
                    <w:pStyle w:val="TableBodyText"/>
                  </w:pPr>
                  <w:r>
                    <w:t>N(0, 0.5)</w:t>
                  </w:r>
                </w:p>
              </w:tc>
              <w:tc>
                <w:tcPr>
                  <w:tcW w:w="749" w:type="pct"/>
                  <w:shd w:val="clear" w:color="auto" w:fill="auto"/>
                </w:tcPr>
                <w:p w14:paraId="392F806D" w14:textId="77777777" w:rsidR="0011262F" w:rsidRDefault="0011262F" w:rsidP="00B54007">
                  <w:pPr>
                    <w:pStyle w:val="TableBodyText"/>
                  </w:pPr>
                  <w:r>
                    <w:t>N(0, 0.5)</w:t>
                  </w:r>
                </w:p>
              </w:tc>
              <w:tc>
                <w:tcPr>
                  <w:tcW w:w="667" w:type="pct"/>
                </w:tcPr>
                <w:p w14:paraId="6E5EB38E" w14:textId="77777777" w:rsidR="0011262F" w:rsidRDefault="0011262F" w:rsidP="00B54007">
                  <w:pPr>
                    <w:pStyle w:val="TableBodyText"/>
                  </w:pPr>
                </w:p>
              </w:tc>
              <w:tc>
                <w:tcPr>
                  <w:tcW w:w="608" w:type="pct"/>
                </w:tcPr>
                <w:p w14:paraId="421B463F" w14:textId="77777777" w:rsidR="0011262F" w:rsidRDefault="0011262F" w:rsidP="00B54007">
                  <w:pPr>
                    <w:pStyle w:val="TableBodyText"/>
                  </w:pPr>
                </w:p>
              </w:tc>
              <w:tc>
                <w:tcPr>
                  <w:tcW w:w="809" w:type="pct"/>
                </w:tcPr>
                <w:p w14:paraId="2B62BBE0" w14:textId="77777777" w:rsidR="0011262F" w:rsidRDefault="0011262F" w:rsidP="00B54007">
                  <w:pPr>
                    <w:pStyle w:val="TableBodyText"/>
                  </w:pPr>
                </w:p>
              </w:tc>
            </w:tr>
            <w:tr w:rsidR="0011262F" w14:paraId="40E594E9" w14:textId="77777777" w:rsidTr="00B54007">
              <w:tc>
                <w:tcPr>
                  <w:tcW w:w="1500" w:type="pct"/>
                  <w:shd w:val="clear" w:color="auto" w:fill="F2F2F2" w:themeFill="background1" w:themeFillShade="F2"/>
                </w:tcPr>
                <w:p w14:paraId="550C4852" w14:textId="77777777" w:rsidR="0011262F" w:rsidRDefault="0011262F" w:rsidP="00B54007">
                  <w:pPr>
                    <w:pStyle w:val="TableBodyText"/>
                    <w:jc w:val="left"/>
                  </w:pPr>
                  <w:r>
                    <w:t>SD of residual</w:t>
                  </w:r>
                </w:p>
              </w:tc>
              <w:tc>
                <w:tcPr>
                  <w:tcW w:w="667" w:type="pct"/>
                  <w:shd w:val="clear" w:color="auto" w:fill="F2F2F2" w:themeFill="background1" w:themeFillShade="F2"/>
                </w:tcPr>
                <w:p w14:paraId="533F4FC0" w14:textId="77777777" w:rsidR="0011262F" w:rsidRDefault="0011262F" w:rsidP="00B54007">
                  <w:pPr>
                    <w:pStyle w:val="TableBodyText"/>
                  </w:pPr>
                  <w:r>
                    <w:t>IG(2, 1)</w:t>
                  </w:r>
                </w:p>
              </w:tc>
              <w:tc>
                <w:tcPr>
                  <w:tcW w:w="749" w:type="pct"/>
                  <w:shd w:val="clear" w:color="auto" w:fill="F2F2F2" w:themeFill="background1" w:themeFillShade="F2"/>
                </w:tcPr>
                <w:p w14:paraId="3EE34A0C" w14:textId="77777777" w:rsidR="0011262F" w:rsidRDefault="0011262F" w:rsidP="00B54007">
                  <w:pPr>
                    <w:pStyle w:val="TableBodyText"/>
                  </w:pPr>
                  <w:r>
                    <w:t>IG(2, 1)</w:t>
                  </w:r>
                </w:p>
              </w:tc>
              <w:tc>
                <w:tcPr>
                  <w:tcW w:w="667" w:type="pct"/>
                  <w:shd w:val="clear" w:color="auto" w:fill="F2F2F2" w:themeFill="background1" w:themeFillShade="F2"/>
                </w:tcPr>
                <w:p w14:paraId="309C8B46" w14:textId="77777777" w:rsidR="0011262F" w:rsidRDefault="0011262F" w:rsidP="00B54007">
                  <w:pPr>
                    <w:pStyle w:val="TableBodyText"/>
                  </w:pPr>
                  <w:r>
                    <w:t>Truncated positive t with 4 degrees of freedom and 0.5 standard deviation</w:t>
                  </w:r>
                  <w:r w:rsidRPr="001270BB">
                    <w:rPr>
                      <w:rStyle w:val="NoteLabel"/>
                    </w:rPr>
                    <w:t>b</w:t>
                  </w:r>
                </w:p>
              </w:tc>
              <w:tc>
                <w:tcPr>
                  <w:tcW w:w="608" w:type="pct"/>
                  <w:shd w:val="clear" w:color="auto" w:fill="F2F2F2" w:themeFill="background1" w:themeFillShade="F2"/>
                </w:tcPr>
                <w:p w14:paraId="0097B8E7" w14:textId="77777777" w:rsidR="0011262F" w:rsidRDefault="0011262F" w:rsidP="00B54007">
                  <w:pPr>
                    <w:pStyle w:val="TableBodyText"/>
                  </w:pPr>
                </w:p>
              </w:tc>
              <w:tc>
                <w:tcPr>
                  <w:tcW w:w="809" w:type="pct"/>
                  <w:shd w:val="clear" w:color="auto" w:fill="F2F2F2" w:themeFill="background1" w:themeFillShade="F2"/>
                </w:tcPr>
                <w:p w14:paraId="579D196F" w14:textId="77777777" w:rsidR="0011262F" w:rsidRDefault="0011262F" w:rsidP="00B54007">
                  <w:pPr>
                    <w:pStyle w:val="TableBodyText"/>
                  </w:pPr>
                  <w:r>
                    <w:t>IG(2, 1)</w:t>
                  </w:r>
                </w:p>
              </w:tc>
            </w:tr>
            <w:tr w:rsidR="0011262F" w14:paraId="0F53F9EB" w14:textId="77777777" w:rsidTr="00B54007">
              <w:tc>
                <w:tcPr>
                  <w:tcW w:w="1500" w:type="pct"/>
                  <w:shd w:val="clear" w:color="auto" w:fill="auto"/>
                </w:tcPr>
                <w:p w14:paraId="428E8EED" w14:textId="77777777" w:rsidR="0011262F" w:rsidRDefault="0011262F" w:rsidP="00B54007">
                  <w:pPr>
                    <w:pStyle w:val="TableBodyText"/>
                    <w:jc w:val="left"/>
                  </w:pPr>
                  <w:r>
                    <w:t>SD of varying coefficients</w:t>
                  </w:r>
                </w:p>
              </w:tc>
              <w:tc>
                <w:tcPr>
                  <w:tcW w:w="667" w:type="pct"/>
                </w:tcPr>
                <w:p w14:paraId="720E0398" w14:textId="77777777" w:rsidR="0011262F" w:rsidRDefault="0011262F" w:rsidP="00B54007">
                  <w:pPr>
                    <w:pStyle w:val="TableBodyText"/>
                  </w:pPr>
                  <w:r>
                    <w:t>IG(2, 1)</w:t>
                  </w:r>
                </w:p>
              </w:tc>
              <w:tc>
                <w:tcPr>
                  <w:tcW w:w="749" w:type="pct"/>
                  <w:shd w:val="clear" w:color="auto" w:fill="auto"/>
                </w:tcPr>
                <w:p w14:paraId="1EACD4D5" w14:textId="77777777" w:rsidR="0011262F" w:rsidRDefault="0011262F" w:rsidP="00B54007">
                  <w:pPr>
                    <w:pStyle w:val="TableBodyText"/>
                  </w:pPr>
                  <w:r>
                    <w:t>IG(2, 1)</w:t>
                  </w:r>
                </w:p>
              </w:tc>
              <w:tc>
                <w:tcPr>
                  <w:tcW w:w="667" w:type="pct"/>
                </w:tcPr>
                <w:p w14:paraId="676DB788" w14:textId="77777777" w:rsidR="0011262F" w:rsidRDefault="0011262F" w:rsidP="00B54007">
                  <w:pPr>
                    <w:pStyle w:val="TableBodyText"/>
                  </w:pPr>
                </w:p>
              </w:tc>
              <w:tc>
                <w:tcPr>
                  <w:tcW w:w="608" w:type="pct"/>
                </w:tcPr>
                <w:p w14:paraId="7726D989" w14:textId="77777777" w:rsidR="0011262F" w:rsidRDefault="0011262F" w:rsidP="00B54007">
                  <w:pPr>
                    <w:pStyle w:val="TableBodyText"/>
                  </w:pPr>
                </w:p>
              </w:tc>
              <w:tc>
                <w:tcPr>
                  <w:tcW w:w="809" w:type="pct"/>
                </w:tcPr>
                <w:p w14:paraId="287443A6" w14:textId="77777777" w:rsidR="0011262F" w:rsidRDefault="0011262F" w:rsidP="00B54007">
                  <w:pPr>
                    <w:pStyle w:val="TableBodyText"/>
                  </w:pPr>
                  <w:r>
                    <w:t>IG(2, 1)</w:t>
                  </w:r>
                </w:p>
              </w:tc>
            </w:tr>
            <w:tr w:rsidR="0011262F" w14:paraId="27A49A48" w14:textId="77777777" w:rsidTr="00B54007">
              <w:tc>
                <w:tcPr>
                  <w:tcW w:w="1500" w:type="pct"/>
                  <w:shd w:val="clear" w:color="auto" w:fill="F2F2F2" w:themeFill="background1" w:themeFillShade="F2"/>
                </w:tcPr>
                <w:p w14:paraId="23A77235" w14:textId="77777777" w:rsidR="0011262F" w:rsidRDefault="0011262F" w:rsidP="00B54007">
                  <w:pPr>
                    <w:pStyle w:val="TableBodyText"/>
                    <w:jc w:val="left"/>
                  </w:pPr>
                  <w:r>
                    <w:t>Varying coefficients</w:t>
                  </w:r>
                </w:p>
              </w:tc>
              <w:tc>
                <w:tcPr>
                  <w:tcW w:w="667" w:type="pct"/>
                  <w:shd w:val="clear" w:color="auto" w:fill="F2F2F2" w:themeFill="background1" w:themeFillShade="F2"/>
                </w:tcPr>
                <w:p w14:paraId="69D519D1" w14:textId="77777777" w:rsidR="0011262F" w:rsidRDefault="0011262F" w:rsidP="00B54007">
                  <w:pPr>
                    <w:pStyle w:val="TableBodyText"/>
                  </w:pPr>
                  <w:r>
                    <w:t xml:space="preserve">N(0, </w:t>
                  </w:r>
                  <w:r w:rsidDel="00C60028">
                    <w:t>1</w:t>
                  </w:r>
                  <w:r>
                    <w:t>)</w:t>
                  </w:r>
                </w:p>
              </w:tc>
              <w:tc>
                <w:tcPr>
                  <w:tcW w:w="749" w:type="pct"/>
                  <w:shd w:val="clear" w:color="auto" w:fill="F2F2F2" w:themeFill="background1" w:themeFillShade="F2"/>
                </w:tcPr>
                <w:p w14:paraId="2F4C5A77" w14:textId="77777777" w:rsidR="0011262F" w:rsidRDefault="0011262F" w:rsidP="00B54007">
                  <w:pPr>
                    <w:pStyle w:val="TableBodyText"/>
                  </w:pPr>
                  <w:r>
                    <w:t xml:space="preserve">N(0, </w:t>
                  </w:r>
                  <w:r w:rsidDel="00C60028">
                    <w:t>1</w:t>
                  </w:r>
                  <w:r>
                    <w:t>)</w:t>
                  </w:r>
                </w:p>
              </w:tc>
              <w:tc>
                <w:tcPr>
                  <w:tcW w:w="667" w:type="pct"/>
                  <w:shd w:val="clear" w:color="auto" w:fill="F2F2F2" w:themeFill="background1" w:themeFillShade="F2"/>
                </w:tcPr>
                <w:p w14:paraId="1F376485" w14:textId="77777777" w:rsidR="0011262F" w:rsidRDefault="0011262F" w:rsidP="00B54007">
                  <w:pPr>
                    <w:pStyle w:val="TableBodyText"/>
                  </w:pPr>
                </w:p>
              </w:tc>
              <w:tc>
                <w:tcPr>
                  <w:tcW w:w="608" w:type="pct"/>
                  <w:shd w:val="clear" w:color="auto" w:fill="F2F2F2" w:themeFill="background1" w:themeFillShade="F2"/>
                </w:tcPr>
                <w:p w14:paraId="2B17FB43" w14:textId="77777777" w:rsidR="0011262F" w:rsidRDefault="0011262F" w:rsidP="00B54007">
                  <w:pPr>
                    <w:pStyle w:val="TableBodyText"/>
                  </w:pPr>
                </w:p>
              </w:tc>
              <w:tc>
                <w:tcPr>
                  <w:tcW w:w="809" w:type="pct"/>
                  <w:shd w:val="clear" w:color="auto" w:fill="F2F2F2" w:themeFill="background1" w:themeFillShade="F2"/>
                </w:tcPr>
                <w:p w14:paraId="520F14FA" w14:textId="77777777" w:rsidR="0011262F" w:rsidRDefault="0011262F" w:rsidP="00B54007">
                  <w:pPr>
                    <w:pStyle w:val="TableBodyText"/>
                  </w:pPr>
                  <w:r>
                    <w:t xml:space="preserve">N(0, </w:t>
                  </w:r>
                  <w:r w:rsidDel="00C60028">
                    <w:t>1</w:t>
                  </w:r>
                  <w:r>
                    <w:t>)</w:t>
                  </w:r>
                </w:p>
              </w:tc>
            </w:tr>
            <w:tr w:rsidR="0011262F" w14:paraId="4AB47FB4" w14:textId="77777777" w:rsidTr="00B54007">
              <w:tc>
                <w:tcPr>
                  <w:tcW w:w="1500" w:type="pct"/>
                  <w:shd w:val="clear" w:color="auto" w:fill="auto"/>
                </w:tcPr>
                <w:p w14:paraId="70BF7F5D" w14:textId="77777777" w:rsidR="0011262F" w:rsidRDefault="0011262F" w:rsidP="00B54007">
                  <w:pPr>
                    <w:pStyle w:val="TableBodyText"/>
                    <w:jc w:val="left"/>
                  </w:pPr>
                  <w:proofErr w:type="spellStart"/>
                  <w:r>
                    <w:t>Cholesky</w:t>
                  </w:r>
                  <w:proofErr w:type="spellEnd"/>
                  <w:r>
                    <w:t xml:space="preserve"> factor for varying coefficients</w:t>
                  </w:r>
                </w:p>
              </w:tc>
              <w:tc>
                <w:tcPr>
                  <w:tcW w:w="667" w:type="pct"/>
                </w:tcPr>
                <w:p w14:paraId="7D86105D" w14:textId="77777777" w:rsidR="0011262F" w:rsidRDefault="0011262F" w:rsidP="00B54007">
                  <w:pPr>
                    <w:pStyle w:val="TableBodyText"/>
                  </w:pPr>
                  <w:proofErr w:type="spellStart"/>
                  <w:r>
                    <w:t>LKJ</w:t>
                  </w:r>
                  <w:proofErr w:type="spellEnd"/>
                  <w:r>
                    <w:t>(50)</w:t>
                  </w:r>
                </w:p>
              </w:tc>
              <w:tc>
                <w:tcPr>
                  <w:tcW w:w="749" w:type="pct"/>
                  <w:shd w:val="clear" w:color="auto" w:fill="auto"/>
                </w:tcPr>
                <w:p w14:paraId="1B2EAA1C" w14:textId="77777777" w:rsidR="0011262F" w:rsidRDefault="0011262F" w:rsidP="00B54007">
                  <w:pPr>
                    <w:pStyle w:val="TableBodyText"/>
                  </w:pPr>
                  <w:proofErr w:type="spellStart"/>
                  <w:r>
                    <w:t>LKJ</w:t>
                  </w:r>
                  <w:proofErr w:type="spellEnd"/>
                  <w:r>
                    <w:t>(50)</w:t>
                  </w:r>
                </w:p>
              </w:tc>
              <w:tc>
                <w:tcPr>
                  <w:tcW w:w="667" w:type="pct"/>
                </w:tcPr>
                <w:p w14:paraId="6840C46B" w14:textId="77777777" w:rsidR="0011262F" w:rsidRDefault="0011262F" w:rsidP="00B54007">
                  <w:pPr>
                    <w:pStyle w:val="TableBodyText"/>
                  </w:pPr>
                </w:p>
              </w:tc>
              <w:tc>
                <w:tcPr>
                  <w:tcW w:w="608" w:type="pct"/>
                </w:tcPr>
                <w:p w14:paraId="17BC2B51" w14:textId="77777777" w:rsidR="0011262F" w:rsidRDefault="0011262F" w:rsidP="00B54007">
                  <w:pPr>
                    <w:pStyle w:val="TableBodyText"/>
                  </w:pPr>
                </w:p>
              </w:tc>
              <w:tc>
                <w:tcPr>
                  <w:tcW w:w="809" w:type="pct"/>
                </w:tcPr>
                <w:p w14:paraId="28D6923A" w14:textId="77777777" w:rsidR="0011262F" w:rsidRDefault="0011262F" w:rsidP="00B54007">
                  <w:pPr>
                    <w:pStyle w:val="TableBodyText"/>
                  </w:pPr>
                  <w:proofErr w:type="spellStart"/>
                  <w:r>
                    <w:t>LKJ</w:t>
                  </w:r>
                  <w:proofErr w:type="spellEnd"/>
                  <w:r>
                    <w:t>(50)</w:t>
                  </w:r>
                </w:p>
              </w:tc>
            </w:tr>
            <w:tr w:rsidR="0011262F" w14:paraId="7FE0226D" w14:textId="77777777" w:rsidTr="00B54007">
              <w:tc>
                <w:tcPr>
                  <w:tcW w:w="1500" w:type="pct"/>
                  <w:tcBorders>
                    <w:bottom w:val="single" w:sz="6" w:space="0" w:color="BFBFBF"/>
                  </w:tcBorders>
                  <w:shd w:val="clear" w:color="auto" w:fill="F2F2F2" w:themeFill="background1" w:themeFillShade="F2"/>
                </w:tcPr>
                <w:p w14:paraId="099404EB" w14:textId="77777777" w:rsidR="0011262F" w:rsidRDefault="0011262F" w:rsidP="00B54007">
                  <w:pPr>
                    <w:pStyle w:val="TableBodyText"/>
                    <w:jc w:val="left"/>
                  </w:pPr>
                  <w:proofErr w:type="spellStart"/>
                  <w:r>
                    <w:t>Cholesky</w:t>
                  </w:r>
                  <w:proofErr w:type="spellEnd"/>
                  <w:r>
                    <w:t xml:space="preserve"> factor for joint estimation of admin/investment expenses</w:t>
                  </w:r>
                </w:p>
              </w:tc>
              <w:tc>
                <w:tcPr>
                  <w:tcW w:w="667" w:type="pct"/>
                  <w:tcBorders>
                    <w:bottom w:val="single" w:sz="6" w:space="0" w:color="BFBFBF"/>
                  </w:tcBorders>
                  <w:shd w:val="clear" w:color="auto" w:fill="F2F2F2" w:themeFill="background1" w:themeFillShade="F2"/>
                </w:tcPr>
                <w:p w14:paraId="0E8D6DC3" w14:textId="77777777" w:rsidR="0011262F" w:rsidRDefault="0011262F" w:rsidP="00B54007">
                  <w:pPr>
                    <w:pStyle w:val="TableBodyText"/>
                  </w:pPr>
                  <w:proofErr w:type="spellStart"/>
                  <w:r>
                    <w:t>LKJ</w:t>
                  </w:r>
                  <w:proofErr w:type="spellEnd"/>
                  <w:r>
                    <w:t>(50)</w:t>
                  </w:r>
                </w:p>
              </w:tc>
              <w:tc>
                <w:tcPr>
                  <w:tcW w:w="749" w:type="pct"/>
                  <w:tcBorders>
                    <w:bottom w:val="single" w:sz="6" w:space="0" w:color="BFBFBF"/>
                  </w:tcBorders>
                  <w:shd w:val="clear" w:color="auto" w:fill="F2F2F2" w:themeFill="background1" w:themeFillShade="F2"/>
                </w:tcPr>
                <w:p w14:paraId="62B882C4" w14:textId="77777777" w:rsidR="0011262F" w:rsidRDefault="0011262F" w:rsidP="00B54007">
                  <w:pPr>
                    <w:pStyle w:val="TableBodyText"/>
                  </w:pPr>
                  <w:proofErr w:type="spellStart"/>
                  <w:r>
                    <w:t>LKJ</w:t>
                  </w:r>
                  <w:proofErr w:type="spellEnd"/>
                  <w:r>
                    <w:t>(50)</w:t>
                  </w:r>
                </w:p>
              </w:tc>
              <w:tc>
                <w:tcPr>
                  <w:tcW w:w="667" w:type="pct"/>
                  <w:tcBorders>
                    <w:bottom w:val="single" w:sz="6" w:space="0" w:color="BFBFBF"/>
                  </w:tcBorders>
                  <w:shd w:val="clear" w:color="auto" w:fill="F2F2F2" w:themeFill="background1" w:themeFillShade="F2"/>
                </w:tcPr>
                <w:p w14:paraId="5B7D8A7E" w14:textId="77777777" w:rsidR="0011262F" w:rsidRDefault="0011262F" w:rsidP="00B54007">
                  <w:pPr>
                    <w:pStyle w:val="TableBodyText"/>
                  </w:pPr>
                </w:p>
              </w:tc>
              <w:tc>
                <w:tcPr>
                  <w:tcW w:w="608" w:type="pct"/>
                  <w:tcBorders>
                    <w:bottom w:val="single" w:sz="6" w:space="0" w:color="BFBFBF"/>
                  </w:tcBorders>
                  <w:shd w:val="clear" w:color="auto" w:fill="F2F2F2" w:themeFill="background1" w:themeFillShade="F2"/>
                </w:tcPr>
                <w:p w14:paraId="7A36F630" w14:textId="77777777" w:rsidR="0011262F" w:rsidRDefault="0011262F" w:rsidP="00B54007">
                  <w:pPr>
                    <w:pStyle w:val="TableBodyText"/>
                  </w:pPr>
                </w:p>
              </w:tc>
              <w:tc>
                <w:tcPr>
                  <w:tcW w:w="809" w:type="pct"/>
                  <w:tcBorders>
                    <w:bottom w:val="single" w:sz="6" w:space="0" w:color="BFBFBF"/>
                  </w:tcBorders>
                  <w:shd w:val="clear" w:color="auto" w:fill="F2F2F2" w:themeFill="background1" w:themeFillShade="F2"/>
                </w:tcPr>
                <w:p w14:paraId="298F774A" w14:textId="77777777" w:rsidR="0011262F" w:rsidRDefault="0011262F" w:rsidP="00B54007">
                  <w:pPr>
                    <w:pStyle w:val="TableBodyText"/>
                  </w:pPr>
                </w:p>
              </w:tc>
            </w:tr>
          </w:tbl>
          <w:p w14:paraId="5495B9EA" w14:textId="77777777" w:rsidR="0011262F" w:rsidRDefault="0011262F" w:rsidP="00B54007">
            <w:pPr>
              <w:pStyle w:val="Box"/>
            </w:pPr>
          </w:p>
        </w:tc>
      </w:tr>
      <w:tr w:rsidR="0011262F" w14:paraId="0A33F1C3" w14:textId="77777777" w:rsidTr="00B54007">
        <w:tc>
          <w:tcPr>
            <w:tcW w:w="5000" w:type="pct"/>
            <w:tcBorders>
              <w:top w:val="nil"/>
              <w:left w:val="nil"/>
              <w:bottom w:val="nil"/>
              <w:right w:val="nil"/>
            </w:tcBorders>
            <w:shd w:val="clear" w:color="auto" w:fill="auto"/>
          </w:tcPr>
          <w:p w14:paraId="144084D1" w14:textId="77777777" w:rsidR="0011262F" w:rsidRPr="000E6A4D" w:rsidRDefault="0011262F" w:rsidP="00B54007">
            <w:pPr>
              <w:pStyle w:val="Note"/>
              <w:rPr>
                <w:i/>
                <w:spacing w:val="-2"/>
              </w:rPr>
            </w:pPr>
            <w:r w:rsidRPr="000E6A4D">
              <w:rPr>
                <w:rStyle w:val="NoteLabel"/>
                <w:spacing w:val="-2"/>
              </w:rPr>
              <w:t>a</w:t>
            </w:r>
            <w:r w:rsidRPr="000E6A4D">
              <w:rPr>
                <w:spacing w:val="-2"/>
              </w:rPr>
              <w:t xml:space="preserve"> </w:t>
            </w:r>
            <w:r w:rsidRPr="000E6A4D">
              <w:rPr>
                <w:i/>
                <w:spacing w:val="-2"/>
              </w:rPr>
              <w:t>N</w:t>
            </w:r>
            <w:r w:rsidRPr="000E6A4D">
              <w:rPr>
                <w:spacing w:val="-2"/>
              </w:rPr>
              <w:t xml:space="preserve"> denotes a normal distribution. </w:t>
            </w:r>
            <w:r w:rsidRPr="000E6A4D">
              <w:rPr>
                <w:i/>
                <w:spacing w:val="-2"/>
              </w:rPr>
              <w:t>IG</w:t>
            </w:r>
            <w:r w:rsidRPr="000E6A4D">
              <w:rPr>
                <w:spacing w:val="-2"/>
              </w:rPr>
              <w:t xml:space="preserve"> denotes an inverse gamma distribution. </w:t>
            </w:r>
            <w:proofErr w:type="spellStart"/>
            <w:r w:rsidRPr="000E6A4D">
              <w:rPr>
                <w:i/>
                <w:spacing w:val="-2"/>
              </w:rPr>
              <w:t>LKJ</w:t>
            </w:r>
            <w:proofErr w:type="spellEnd"/>
            <w:r w:rsidRPr="000E6A4D">
              <w:rPr>
                <w:spacing w:val="-2"/>
              </w:rPr>
              <w:t xml:space="preserve"> denotes the </w:t>
            </w:r>
            <w:proofErr w:type="spellStart"/>
            <w:r w:rsidRPr="000E6A4D">
              <w:rPr>
                <w:spacing w:val="-2"/>
              </w:rPr>
              <w:t>LKJ</w:t>
            </w:r>
            <w:proofErr w:type="spellEnd"/>
            <w:r w:rsidRPr="000E6A4D">
              <w:rPr>
                <w:spacing w:val="-2"/>
              </w:rPr>
              <w:t xml:space="preserve"> distribution.</w:t>
            </w:r>
            <w:r w:rsidRPr="001270BB">
              <w:rPr>
                <w:rStyle w:val="NoteLabel"/>
              </w:rPr>
              <w:t xml:space="preserve"> b</w:t>
            </w:r>
            <w:r w:rsidRPr="000E6A4D">
              <w:rPr>
                <w:spacing w:val="-2"/>
              </w:rPr>
              <w:t xml:space="preserve"> </w:t>
            </w:r>
            <w:r>
              <w:rPr>
                <w:spacing w:val="-2"/>
              </w:rPr>
              <w:t>The Commission discovered this inconsistency prior to publication. However the Commission tested a specification with consistent and tighter priors with minimal differences (annex C).</w:t>
            </w:r>
          </w:p>
        </w:tc>
      </w:tr>
      <w:tr w:rsidR="0011262F" w14:paraId="5E8F38E5" w14:textId="77777777" w:rsidTr="00B54007">
        <w:tc>
          <w:tcPr>
            <w:tcW w:w="5000" w:type="pct"/>
            <w:tcBorders>
              <w:top w:val="nil"/>
              <w:left w:val="nil"/>
              <w:bottom w:val="single" w:sz="6" w:space="0" w:color="78A22F"/>
              <w:right w:val="nil"/>
            </w:tcBorders>
            <w:shd w:val="clear" w:color="auto" w:fill="auto"/>
          </w:tcPr>
          <w:p w14:paraId="05CE8349" w14:textId="77777777" w:rsidR="0011262F" w:rsidRDefault="0011262F" w:rsidP="00B54007">
            <w:pPr>
              <w:pStyle w:val="Box"/>
              <w:spacing w:before="0" w:line="120" w:lineRule="exact"/>
            </w:pPr>
          </w:p>
        </w:tc>
      </w:tr>
      <w:tr w:rsidR="0011262F" w:rsidRPr="000863A5" w14:paraId="42658D26" w14:textId="77777777" w:rsidTr="00B54007">
        <w:tc>
          <w:tcPr>
            <w:tcW w:w="5000" w:type="pct"/>
            <w:tcBorders>
              <w:top w:val="single" w:sz="6" w:space="0" w:color="78A22F"/>
              <w:left w:val="nil"/>
              <w:bottom w:val="nil"/>
              <w:right w:val="nil"/>
            </w:tcBorders>
          </w:tcPr>
          <w:p w14:paraId="37869DEE" w14:textId="77777777" w:rsidR="0011262F" w:rsidRPr="00626D32" w:rsidRDefault="0011262F" w:rsidP="00B54007">
            <w:pPr>
              <w:pStyle w:val="BoxSpaceBelow"/>
            </w:pPr>
          </w:p>
        </w:tc>
      </w:tr>
    </w:tbl>
    <w:p w14:paraId="4CE4D4E7" w14:textId="77777777" w:rsidR="0011262F" w:rsidRPr="007F739B" w:rsidRDefault="0011262F" w:rsidP="0011262F">
      <w:pPr>
        <w:pStyle w:val="BodyText"/>
      </w:pPr>
      <w:r>
        <w:br w:type="page"/>
      </w:r>
    </w:p>
    <w:p w14:paraId="01C8838E" w14:textId="77777777" w:rsidR="0011262F" w:rsidRDefault="0011262F" w:rsidP="0011262F">
      <w:pPr>
        <w:pStyle w:val="Heading2"/>
      </w:pPr>
      <w:bookmarkStart w:id="68" w:name="_Toc532997277"/>
      <w:bookmarkStart w:id="69" w:name="_Toc534642296"/>
      <w:r>
        <w:lastRenderedPageBreak/>
        <w:t xml:space="preserve">Annex </w:t>
      </w:r>
      <w:r w:rsidDel="00E33AC6">
        <w:t>C</w:t>
      </w:r>
      <w:r>
        <w:t>:</w:t>
      </w:r>
      <w:r>
        <w:tab/>
        <w:t>Tests of assumptions and specifications</w:t>
      </w:r>
      <w:bookmarkEnd w:id="68"/>
      <w:bookmarkEnd w:id="69"/>
    </w:p>
    <w:p w14:paraId="046B85B4" w14:textId="77777777" w:rsidR="0011262F" w:rsidRPr="00CC08C3" w:rsidRDefault="0011262F" w:rsidP="0011262F">
      <w:pPr>
        <w:pStyle w:val="BodyText"/>
      </w:pPr>
      <w:r>
        <w:t>To check the robustness of the Commission’s cost model, some underlying assumptions and alternative specifications were tested. Almost all do not materially alter results, although how fees data are treated may matter.</w:t>
      </w:r>
    </w:p>
    <w:p w14:paraId="2BF4F6D4" w14:textId="77777777" w:rsidR="0011262F" w:rsidRDefault="0011262F" w:rsidP="0011262F">
      <w:pPr>
        <w:pStyle w:val="Heading3"/>
      </w:pPr>
      <w:r>
        <w:t>Weighted average fees</w:t>
      </w:r>
    </w:p>
    <w:p w14:paraId="6FADE278" w14:textId="77777777" w:rsidR="0011262F" w:rsidRDefault="0011262F" w:rsidP="0011262F">
      <w:pPr>
        <w:pStyle w:val="BodyText"/>
      </w:pPr>
      <w:r>
        <w:t>Participants at the Commission’s technical workshop suggested using a weighted average of a fund’s products to calculate average fees rather than a simple average. Another change was to remove a handful of observations where fees were equal to zero for every one of a fund’s products.</w:t>
      </w:r>
    </w:p>
    <w:p w14:paraId="7CD600C6" w14:textId="77777777" w:rsidR="0011262F" w:rsidRDefault="0011262F" w:rsidP="0011262F">
      <w:pPr>
        <w:pStyle w:val="BodyText"/>
      </w:pPr>
      <w:r>
        <w:rPr>
          <w:spacing w:val="-2"/>
        </w:rPr>
        <w:t>In the earlier years covered by the data</w:t>
      </w:r>
      <w:r w:rsidRPr="00EC78FA">
        <w:rPr>
          <w:spacing w:val="-2"/>
        </w:rPr>
        <w:t xml:space="preserve">, product coverage for funds </w:t>
      </w:r>
      <w:r>
        <w:rPr>
          <w:spacing w:val="-2"/>
        </w:rPr>
        <w:t xml:space="preserve">was </w:t>
      </w:r>
      <w:r w:rsidRPr="00EC78FA">
        <w:rPr>
          <w:spacing w:val="-2"/>
        </w:rPr>
        <w:t>quite limited therefore using weighted averages on the available data may not necessarily yield fees more representative of the fund as a whole</w:t>
      </w:r>
      <w:r>
        <w:rPr>
          <w:spacing w:val="-2"/>
        </w:rPr>
        <w:t xml:space="preserve"> than using simple averages</w:t>
      </w:r>
      <w:r w:rsidRPr="00EC78FA">
        <w:rPr>
          <w:spacing w:val="-2"/>
        </w:rPr>
        <w:t xml:space="preserve">. </w:t>
      </w:r>
    </w:p>
    <w:p w14:paraId="38E8B92C" w14:textId="77777777" w:rsidR="0011262F" w:rsidRPr="00CC08C3" w:rsidRDefault="0011262F" w:rsidP="0011262F">
      <w:pPr>
        <w:pStyle w:val="BodyText"/>
      </w:pPr>
      <w:r>
        <w:t xml:space="preserve">Analysis of model results that incorporated both these changes (for which coefficients are presented in annex E), showed no material changes to the results presented in the body of the supplement. The only notable change was that the median estimate of the power coefficient for industry funds shifted above one (from 0.89 to 1.06), reinforcing the conclusion that it is difficult to find evidence for economies of scale in investment for industry funds based on the available data. </w:t>
      </w:r>
      <w:r w:rsidRPr="00E920F0">
        <w:t>Given that the two approaches to calculating fees do not change the key findings, and the risks inherent in changing presented figures and tables close to publication, the Commission opted to publish the model results that calculate fees using a simple average and include a small number of zero</w:t>
      </w:r>
      <w:r>
        <w:noBreakHyphen/>
      </w:r>
      <w:r w:rsidRPr="00E920F0">
        <w:t>fee observations</w:t>
      </w:r>
      <w:r>
        <w:t>.</w:t>
      </w:r>
    </w:p>
    <w:p w14:paraId="53148F98" w14:textId="77777777" w:rsidR="0011262F" w:rsidRDefault="0011262F" w:rsidP="0011262F">
      <w:pPr>
        <w:pStyle w:val="Heading3"/>
      </w:pPr>
      <w:r>
        <w:t>Other tests</w:t>
      </w:r>
    </w:p>
    <w:p w14:paraId="56D5A66A" w14:textId="77777777" w:rsidR="0011262F" w:rsidRDefault="0011262F" w:rsidP="0011262F">
      <w:pPr>
        <w:pStyle w:val="Heading4"/>
        <w:spacing w:before="240"/>
      </w:pPr>
      <w:r>
        <w:t>Random</w:t>
      </w:r>
      <w:r>
        <w:noBreakHyphen/>
        <w:t>effects assumption</w:t>
      </w:r>
    </w:p>
    <w:p w14:paraId="5D5E156F" w14:textId="77777777" w:rsidR="0011262F" w:rsidRDefault="0011262F" w:rsidP="0011262F">
      <w:pPr>
        <w:pStyle w:val="BodyText"/>
      </w:pPr>
      <w:r>
        <w:t>Random effects models assume that fund</w:t>
      </w:r>
      <w:r>
        <w:noBreakHyphen/>
        <w:t>specific effects are uncorrelated with the independent variables. If they are not, the parameters estimates may be biased. This can be corrected by including the average of the independent variables for each fund as a fund</w:t>
      </w:r>
      <w:r>
        <w:noBreakHyphen/>
        <w:t>level independent variable when estimating the varying slope and varying intercepts. The parameter estimates with the corrected model do not differ significantly from the original estimates, suggesting that the random effects assumption is not violated.</w:t>
      </w:r>
    </w:p>
    <w:p w14:paraId="7D6936DC" w14:textId="77777777" w:rsidR="0011262F" w:rsidRDefault="0011262F" w:rsidP="0011262F">
      <w:pPr>
        <w:pStyle w:val="Heading4"/>
      </w:pPr>
      <w:r>
        <w:t>Yearly effects (including inflation)</w:t>
      </w:r>
    </w:p>
    <w:p w14:paraId="486A9992" w14:textId="77777777" w:rsidR="0011262F" w:rsidRPr="00A71546" w:rsidRDefault="0011262F" w:rsidP="0011262F">
      <w:pPr>
        <w:pStyle w:val="BodyText"/>
      </w:pPr>
      <w:r>
        <w:t>To test for the potential effects of inflation and other time</w:t>
      </w:r>
      <w:r>
        <w:noBreakHyphen/>
        <w:t xml:space="preserve">varying factors that may drive costs, yearly fixed effects were included. The estimated median effects for these parameters </w:t>
      </w:r>
      <w:r>
        <w:lastRenderedPageBreak/>
        <w:t>were all close to zero. For this reason, and to maintain parsimony in the modelling strategy, the Commission’s preferred specification does not include yearly fixed effects.</w:t>
      </w:r>
      <w:r w:rsidRPr="006007B3">
        <w:rPr>
          <w:rStyle w:val="FootnoteReference"/>
        </w:rPr>
        <w:footnoteReference w:id="32"/>
      </w:r>
    </w:p>
    <w:p w14:paraId="3C92556C" w14:textId="77777777" w:rsidR="0011262F" w:rsidRDefault="0011262F" w:rsidP="0011262F">
      <w:pPr>
        <w:pStyle w:val="Heading4"/>
      </w:pPr>
      <w:r>
        <w:t>Insourcing versus outsourcing of investment management</w:t>
      </w:r>
    </w:p>
    <w:p w14:paraId="54E3F2D7" w14:textId="77777777" w:rsidR="0011262F" w:rsidRDefault="0011262F" w:rsidP="0011262F">
      <w:pPr>
        <w:pStyle w:val="BodyText"/>
      </w:pPr>
      <w:r>
        <w:t>Stakeholder consultation highlighted that the investment expenses associated with in</w:t>
      </w:r>
      <w:r>
        <w:noBreakHyphen/>
        <w:t>house management investment, particularly by large industry funds are more likely to be captured in the APRA reporting framework. Therefore, the increased in</w:t>
      </w:r>
      <w:r>
        <w:noBreakHyphen/>
        <w:t>house management of investments by some large industry funds could present as increased investment management costs</w:t>
      </w:r>
      <w:r w:rsidRPr="00716280">
        <w:t xml:space="preserve"> </w:t>
      </w:r>
      <w:r>
        <w:t>in APRA data because it results in costs being more accurately reported, even though costs are actually likely to have decreased. This could lead the model to conclude a weaker economies of scale relationship for industry funds relative to other fund types than there actually is.</w:t>
      </w:r>
    </w:p>
    <w:p w14:paraId="47E7FD71" w14:textId="77777777" w:rsidR="0011262F" w:rsidRDefault="0011262F" w:rsidP="0011262F">
      <w:pPr>
        <w:pStyle w:val="BodyText"/>
      </w:pPr>
      <w:r>
        <w:t>To better understand these issues, the Commission sought data on the proportion of in</w:t>
      </w:r>
      <w:r>
        <w:noBreakHyphen/>
        <w:t>house managed investments from ten large funds that are known to manage investments in</w:t>
      </w:r>
      <w:r>
        <w:noBreakHyphen/>
        <w:t xml:space="preserve">house. </w:t>
      </w:r>
    </w:p>
    <w:p w14:paraId="29F2C200" w14:textId="77777777" w:rsidR="0011262F" w:rsidRPr="00C47811" w:rsidRDefault="0011262F" w:rsidP="0011262F">
      <w:pPr>
        <w:pStyle w:val="BodyText"/>
      </w:pPr>
      <w:r>
        <w:t>When these data are included in the cost model (all other funds are assumed to have zero in</w:t>
      </w:r>
      <w:r>
        <w:noBreakHyphen/>
        <w:t>house investment management), there do not appear to be any material differences in the economies of scale relationship for industry funds. However, with so little in</w:t>
      </w:r>
      <w:r>
        <w:noBreakHyphen/>
        <w:t>house management in the system as a whole, this should not be interpreted as a zero effect, rather it indicates that no effect could be found based on the limited data available.</w:t>
      </w:r>
    </w:p>
    <w:p w14:paraId="61094DB1" w14:textId="77777777" w:rsidR="0011262F" w:rsidRDefault="0011262F" w:rsidP="0011262F">
      <w:pPr>
        <w:pStyle w:val="Heading4"/>
      </w:pPr>
      <w:r>
        <w:t xml:space="preserve">Priors </w:t>
      </w:r>
    </w:p>
    <w:p w14:paraId="3CF67B62" w14:textId="77777777" w:rsidR="0011262F" w:rsidRDefault="0011262F" w:rsidP="0011262F">
      <w:pPr>
        <w:pStyle w:val="BodyText"/>
      </w:pPr>
      <w:r>
        <w:t xml:space="preserve">To check that the priors adopted were not too tight and were not driving estimates, the Commission estimated the model with a more diffuse set of priors as specified in table </w:t>
      </w:r>
      <w:proofErr w:type="spellStart"/>
      <w:r>
        <w:t>C.1</w:t>
      </w:r>
      <w:proofErr w:type="spellEnd"/>
      <w:r>
        <w:t xml:space="preserve">. There were no significant differences to model estimates. </w:t>
      </w:r>
    </w:p>
    <w:p w14:paraId="56E830A6" w14:textId="77777777" w:rsidR="0011262F" w:rsidRDefault="0011262F" w:rsidP="0011262F">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1262F" w14:paraId="088845F9" w14:textId="77777777" w:rsidTr="00B54007">
        <w:trPr>
          <w:tblHeader/>
        </w:trPr>
        <w:tc>
          <w:tcPr>
            <w:tcW w:w="5000" w:type="pct"/>
            <w:tcBorders>
              <w:top w:val="single" w:sz="6" w:space="0" w:color="78A22F"/>
              <w:left w:val="nil"/>
              <w:bottom w:val="nil"/>
              <w:right w:val="nil"/>
            </w:tcBorders>
            <w:shd w:val="clear" w:color="auto" w:fill="auto"/>
          </w:tcPr>
          <w:p w14:paraId="249F262D" w14:textId="77777777" w:rsidR="0011262F" w:rsidRPr="00784A05" w:rsidRDefault="0011262F" w:rsidP="00B54007">
            <w:pPr>
              <w:pStyle w:val="TableTitle"/>
            </w:pPr>
            <w:r>
              <w:rPr>
                <w:b w:val="0"/>
              </w:rPr>
              <w:t xml:space="preserve">Table </w:t>
            </w:r>
            <w:proofErr w:type="spellStart"/>
            <w:r>
              <w:rPr>
                <w:b w:val="0"/>
              </w:rPr>
              <w:t>C.1</w:t>
            </w:r>
            <w:proofErr w:type="spellEnd"/>
            <w:r>
              <w:tab/>
              <w:t>Priors on model parameters</w:t>
            </w:r>
            <w:r w:rsidRPr="007F739B">
              <w:rPr>
                <w:rStyle w:val="NoteLabel"/>
              </w:rPr>
              <w:t>a</w:t>
            </w:r>
          </w:p>
        </w:tc>
      </w:tr>
      <w:tr w:rsidR="0011262F" w14:paraId="671507CC" w14:textId="77777777" w:rsidTr="00B5400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551"/>
              <w:gridCol w:w="1135"/>
              <w:gridCol w:w="1274"/>
              <w:gridCol w:w="1135"/>
              <w:gridCol w:w="1034"/>
              <w:gridCol w:w="1376"/>
            </w:tblGrid>
            <w:tr w:rsidR="0011262F" w14:paraId="6100EA3D" w14:textId="77777777" w:rsidTr="00B54007">
              <w:trPr>
                <w:tblHeader/>
              </w:trPr>
              <w:tc>
                <w:tcPr>
                  <w:tcW w:w="1500" w:type="pct"/>
                  <w:tcBorders>
                    <w:top w:val="single" w:sz="6" w:space="0" w:color="BFBFBF"/>
                    <w:bottom w:val="single" w:sz="6" w:space="0" w:color="BFBFBF"/>
                  </w:tcBorders>
                  <w:shd w:val="clear" w:color="auto" w:fill="auto"/>
                  <w:tcMar>
                    <w:top w:w="28" w:type="dxa"/>
                  </w:tcMar>
                  <w:vAlign w:val="bottom"/>
                </w:tcPr>
                <w:p w14:paraId="6EF108B8" w14:textId="77777777" w:rsidR="0011262F" w:rsidRDefault="0011262F" w:rsidP="00B54007">
                  <w:pPr>
                    <w:pStyle w:val="TableColumnHeading"/>
                    <w:jc w:val="left"/>
                  </w:pPr>
                  <w:r>
                    <w:t>Parameters</w:t>
                  </w:r>
                </w:p>
              </w:tc>
              <w:tc>
                <w:tcPr>
                  <w:tcW w:w="667" w:type="pct"/>
                  <w:tcBorders>
                    <w:top w:val="single" w:sz="6" w:space="0" w:color="BFBFBF"/>
                    <w:bottom w:val="single" w:sz="6" w:space="0" w:color="BFBFBF"/>
                  </w:tcBorders>
                  <w:vAlign w:val="bottom"/>
                </w:tcPr>
                <w:p w14:paraId="2FE85B94" w14:textId="77777777" w:rsidR="0011262F" w:rsidRDefault="0011262F" w:rsidP="00B54007">
                  <w:pPr>
                    <w:pStyle w:val="TableColumnHeading"/>
                  </w:pPr>
                  <w:r>
                    <w:t>Admin</w:t>
                  </w:r>
                </w:p>
              </w:tc>
              <w:tc>
                <w:tcPr>
                  <w:tcW w:w="749" w:type="pct"/>
                  <w:tcBorders>
                    <w:top w:val="single" w:sz="6" w:space="0" w:color="BFBFBF"/>
                    <w:bottom w:val="single" w:sz="6" w:space="0" w:color="BFBFBF"/>
                  </w:tcBorders>
                  <w:shd w:val="clear" w:color="auto" w:fill="auto"/>
                  <w:tcMar>
                    <w:top w:w="28" w:type="dxa"/>
                  </w:tcMar>
                  <w:vAlign w:val="bottom"/>
                </w:tcPr>
                <w:p w14:paraId="000E036D" w14:textId="77777777" w:rsidR="0011262F" w:rsidRDefault="0011262F" w:rsidP="00B54007">
                  <w:pPr>
                    <w:pStyle w:val="TableColumnHeading"/>
                  </w:pPr>
                  <w:r>
                    <w:t>Investment</w:t>
                  </w:r>
                </w:p>
              </w:tc>
              <w:tc>
                <w:tcPr>
                  <w:tcW w:w="667" w:type="pct"/>
                  <w:tcBorders>
                    <w:top w:val="single" w:sz="6" w:space="0" w:color="BFBFBF"/>
                    <w:bottom w:val="single" w:sz="6" w:space="0" w:color="BFBFBF"/>
                  </w:tcBorders>
                  <w:vAlign w:val="bottom"/>
                </w:tcPr>
                <w:p w14:paraId="34A62B17" w14:textId="77777777" w:rsidR="0011262F" w:rsidRDefault="0011262F" w:rsidP="00B54007">
                  <w:pPr>
                    <w:pStyle w:val="TableColumnHeading"/>
                  </w:pPr>
                  <w:r>
                    <w:t>Number of options</w:t>
                  </w:r>
                </w:p>
              </w:tc>
              <w:tc>
                <w:tcPr>
                  <w:tcW w:w="608" w:type="pct"/>
                  <w:tcBorders>
                    <w:top w:val="single" w:sz="6" w:space="0" w:color="BFBFBF"/>
                    <w:bottom w:val="single" w:sz="6" w:space="0" w:color="BFBFBF"/>
                  </w:tcBorders>
                  <w:vAlign w:val="bottom"/>
                </w:tcPr>
                <w:p w14:paraId="65CFD790" w14:textId="77777777" w:rsidR="0011262F" w:rsidRDefault="0011262F" w:rsidP="00B54007">
                  <w:pPr>
                    <w:pStyle w:val="TableColumnHeading"/>
                  </w:pPr>
                  <w:r>
                    <w:t>Selection model</w:t>
                  </w:r>
                </w:p>
              </w:tc>
              <w:tc>
                <w:tcPr>
                  <w:tcW w:w="809" w:type="pct"/>
                  <w:tcBorders>
                    <w:top w:val="single" w:sz="6" w:space="0" w:color="BFBFBF"/>
                    <w:bottom w:val="single" w:sz="6" w:space="0" w:color="BFBFBF"/>
                  </w:tcBorders>
                  <w:vAlign w:val="bottom"/>
                </w:tcPr>
                <w:p w14:paraId="718D9E5B" w14:textId="77777777" w:rsidR="0011262F" w:rsidRDefault="0011262F" w:rsidP="00B54007">
                  <w:pPr>
                    <w:pStyle w:val="TableColumnHeading"/>
                  </w:pPr>
                  <w:r>
                    <w:t>Pass</w:t>
                  </w:r>
                  <w:r>
                    <w:noBreakHyphen/>
                    <w:t>through model</w:t>
                  </w:r>
                </w:p>
              </w:tc>
            </w:tr>
            <w:tr w:rsidR="0011262F" w14:paraId="151CB6E5" w14:textId="77777777" w:rsidTr="00B54007">
              <w:tc>
                <w:tcPr>
                  <w:tcW w:w="1500" w:type="pct"/>
                  <w:tcBorders>
                    <w:top w:val="single" w:sz="6" w:space="0" w:color="BFBFBF"/>
                  </w:tcBorders>
                </w:tcPr>
                <w:p w14:paraId="7B2716A0" w14:textId="77777777" w:rsidR="0011262F" w:rsidRDefault="0011262F" w:rsidP="00B54007">
                  <w:pPr>
                    <w:pStyle w:val="TableUnitsRow"/>
                    <w:jc w:val="left"/>
                  </w:pPr>
                  <w:r>
                    <w:t>Non</w:t>
                  </w:r>
                  <w:r>
                    <w:noBreakHyphen/>
                    <w:t>varying coefficients</w:t>
                  </w:r>
                </w:p>
              </w:tc>
              <w:tc>
                <w:tcPr>
                  <w:tcW w:w="667" w:type="pct"/>
                  <w:tcBorders>
                    <w:top w:val="single" w:sz="6" w:space="0" w:color="BFBFBF"/>
                  </w:tcBorders>
                </w:tcPr>
                <w:p w14:paraId="259BEA9E" w14:textId="77777777" w:rsidR="0011262F" w:rsidRDefault="0011262F" w:rsidP="00B54007">
                  <w:pPr>
                    <w:pStyle w:val="TableUnitsRow"/>
                  </w:pPr>
                  <w:r>
                    <w:t>N(0, 1)</w:t>
                  </w:r>
                </w:p>
              </w:tc>
              <w:tc>
                <w:tcPr>
                  <w:tcW w:w="749" w:type="pct"/>
                  <w:tcBorders>
                    <w:top w:val="single" w:sz="6" w:space="0" w:color="BFBFBF"/>
                  </w:tcBorders>
                </w:tcPr>
                <w:p w14:paraId="698477DA" w14:textId="77777777" w:rsidR="0011262F" w:rsidRDefault="0011262F" w:rsidP="00B54007">
                  <w:pPr>
                    <w:pStyle w:val="TableUnitsRow"/>
                  </w:pPr>
                  <w:r>
                    <w:t>N(0, 1)</w:t>
                  </w:r>
                </w:p>
              </w:tc>
              <w:tc>
                <w:tcPr>
                  <w:tcW w:w="667" w:type="pct"/>
                  <w:tcBorders>
                    <w:top w:val="single" w:sz="6" w:space="0" w:color="BFBFBF"/>
                  </w:tcBorders>
                </w:tcPr>
                <w:p w14:paraId="19F6D8D7" w14:textId="77777777" w:rsidR="0011262F" w:rsidRDefault="0011262F" w:rsidP="00B54007">
                  <w:pPr>
                    <w:pStyle w:val="TableUnitsRow"/>
                  </w:pPr>
                  <w:r>
                    <w:t>N(0, 1)</w:t>
                  </w:r>
                </w:p>
              </w:tc>
              <w:tc>
                <w:tcPr>
                  <w:tcW w:w="608" w:type="pct"/>
                  <w:tcBorders>
                    <w:top w:val="single" w:sz="6" w:space="0" w:color="BFBFBF"/>
                  </w:tcBorders>
                </w:tcPr>
                <w:p w14:paraId="2DE96023" w14:textId="77777777" w:rsidR="0011262F" w:rsidRDefault="0011262F" w:rsidP="00B54007">
                  <w:pPr>
                    <w:pStyle w:val="TableUnitsRow"/>
                  </w:pPr>
                  <w:r>
                    <w:t>N(0, 1)</w:t>
                  </w:r>
                </w:p>
              </w:tc>
              <w:tc>
                <w:tcPr>
                  <w:tcW w:w="809" w:type="pct"/>
                  <w:tcBorders>
                    <w:top w:val="single" w:sz="6" w:space="0" w:color="BFBFBF"/>
                  </w:tcBorders>
                </w:tcPr>
                <w:p w14:paraId="6D19E2BF" w14:textId="77777777" w:rsidR="0011262F" w:rsidRDefault="0011262F" w:rsidP="00B54007">
                  <w:pPr>
                    <w:pStyle w:val="TableUnitsRow"/>
                  </w:pPr>
                  <w:r>
                    <w:t>N(0, 1)</w:t>
                  </w:r>
                </w:p>
              </w:tc>
            </w:tr>
            <w:tr w:rsidR="0011262F" w14:paraId="59F16EB7" w14:textId="77777777" w:rsidTr="00B54007">
              <w:trPr>
                <w:trHeight w:val="138"/>
              </w:trPr>
              <w:tc>
                <w:tcPr>
                  <w:tcW w:w="1500" w:type="pct"/>
                  <w:shd w:val="clear" w:color="auto" w:fill="F2F2F2" w:themeFill="background1" w:themeFillShade="F2"/>
                </w:tcPr>
                <w:p w14:paraId="09A12C43" w14:textId="77777777" w:rsidR="0011262F" w:rsidRDefault="0011262F" w:rsidP="00B54007">
                  <w:pPr>
                    <w:pStyle w:val="TableBodyText"/>
                    <w:jc w:val="left"/>
                  </w:pPr>
                  <w:r>
                    <w:t>Temporary intercept</w:t>
                  </w:r>
                </w:p>
              </w:tc>
              <w:tc>
                <w:tcPr>
                  <w:tcW w:w="667" w:type="pct"/>
                  <w:shd w:val="clear" w:color="auto" w:fill="F2F2F2" w:themeFill="background1" w:themeFillShade="F2"/>
                </w:tcPr>
                <w:p w14:paraId="072BBB3E" w14:textId="77777777" w:rsidR="0011262F" w:rsidRDefault="0011262F" w:rsidP="00B54007">
                  <w:pPr>
                    <w:pStyle w:val="TableBodyText"/>
                  </w:pPr>
                  <w:r>
                    <w:t>N(1, 1)</w:t>
                  </w:r>
                </w:p>
              </w:tc>
              <w:tc>
                <w:tcPr>
                  <w:tcW w:w="749" w:type="pct"/>
                  <w:shd w:val="clear" w:color="auto" w:fill="F2F2F2" w:themeFill="background1" w:themeFillShade="F2"/>
                </w:tcPr>
                <w:p w14:paraId="33BAF624" w14:textId="77777777" w:rsidR="0011262F" w:rsidRDefault="0011262F" w:rsidP="00B54007">
                  <w:pPr>
                    <w:pStyle w:val="TableBodyText"/>
                  </w:pPr>
                  <w:r>
                    <w:t>N(1, 1)</w:t>
                  </w:r>
                </w:p>
              </w:tc>
              <w:tc>
                <w:tcPr>
                  <w:tcW w:w="667" w:type="pct"/>
                  <w:shd w:val="clear" w:color="auto" w:fill="F2F2F2" w:themeFill="background1" w:themeFillShade="F2"/>
                </w:tcPr>
                <w:p w14:paraId="26819AE5" w14:textId="77777777" w:rsidR="0011262F" w:rsidRDefault="0011262F" w:rsidP="00B54007">
                  <w:pPr>
                    <w:pStyle w:val="TableBodyText"/>
                  </w:pPr>
                  <w:r>
                    <w:t>N(1, 1)</w:t>
                  </w:r>
                </w:p>
              </w:tc>
              <w:tc>
                <w:tcPr>
                  <w:tcW w:w="608" w:type="pct"/>
                  <w:shd w:val="clear" w:color="auto" w:fill="F2F2F2" w:themeFill="background1" w:themeFillShade="F2"/>
                </w:tcPr>
                <w:p w14:paraId="55201889" w14:textId="77777777" w:rsidR="0011262F" w:rsidRDefault="0011262F" w:rsidP="00B54007">
                  <w:pPr>
                    <w:pStyle w:val="TableBodyText"/>
                  </w:pPr>
                  <w:r>
                    <w:t>N(1, 1)</w:t>
                  </w:r>
                </w:p>
              </w:tc>
              <w:tc>
                <w:tcPr>
                  <w:tcW w:w="809" w:type="pct"/>
                  <w:shd w:val="clear" w:color="auto" w:fill="F2F2F2" w:themeFill="background1" w:themeFillShade="F2"/>
                </w:tcPr>
                <w:p w14:paraId="4B5A1556" w14:textId="77777777" w:rsidR="0011262F" w:rsidRDefault="0011262F" w:rsidP="00B54007">
                  <w:pPr>
                    <w:pStyle w:val="TableBodyText"/>
                  </w:pPr>
                  <w:r>
                    <w:t>N(1, 1)</w:t>
                  </w:r>
                </w:p>
              </w:tc>
            </w:tr>
            <w:tr w:rsidR="0011262F" w14:paraId="35DD5522" w14:textId="77777777" w:rsidTr="00B54007">
              <w:tc>
                <w:tcPr>
                  <w:tcW w:w="1500" w:type="pct"/>
                  <w:shd w:val="clear" w:color="auto" w:fill="auto"/>
                </w:tcPr>
                <w:p w14:paraId="1E314098" w14:textId="77777777" w:rsidR="0011262F" w:rsidRDefault="0011262F" w:rsidP="00B54007">
                  <w:pPr>
                    <w:pStyle w:val="TableBodyText"/>
                    <w:jc w:val="left"/>
                  </w:pPr>
                  <w:r>
                    <w:t>Control function coefficients</w:t>
                  </w:r>
                </w:p>
              </w:tc>
              <w:tc>
                <w:tcPr>
                  <w:tcW w:w="667" w:type="pct"/>
                </w:tcPr>
                <w:p w14:paraId="6287C016" w14:textId="77777777" w:rsidR="0011262F" w:rsidRDefault="0011262F" w:rsidP="00B54007">
                  <w:pPr>
                    <w:pStyle w:val="TableBodyText"/>
                  </w:pPr>
                  <w:r>
                    <w:t>N(0, 1)</w:t>
                  </w:r>
                </w:p>
              </w:tc>
              <w:tc>
                <w:tcPr>
                  <w:tcW w:w="749" w:type="pct"/>
                  <w:shd w:val="clear" w:color="auto" w:fill="auto"/>
                </w:tcPr>
                <w:p w14:paraId="0CE10707" w14:textId="77777777" w:rsidR="0011262F" w:rsidRDefault="0011262F" w:rsidP="00B54007">
                  <w:pPr>
                    <w:pStyle w:val="TableBodyText"/>
                  </w:pPr>
                  <w:r>
                    <w:t>N(0, 1)</w:t>
                  </w:r>
                </w:p>
              </w:tc>
              <w:tc>
                <w:tcPr>
                  <w:tcW w:w="667" w:type="pct"/>
                </w:tcPr>
                <w:p w14:paraId="2FD754C3" w14:textId="77777777" w:rsidR="0011262F" w:rsidRDefault="0011262F" w:rsidP="00B54007">
                  <w:pPr>
                    <w:pStyle w:val="TableBodyText"/>
                  </w:pPr>
                </w:p>
              </w:tc>
              <w:tc>
                <w:tcPr>
                  <w:tcW w:w="608" w:type="pct"/>
                </w:tcPr>
                <w:p w14:paraId="72DB7FAC" w14:textId="77777777" w:rsidR="0011262F" w:rsidRDefault="0011262F" w:rsidP="00B54007">
                  <w:pPr>
                    <w:pStyle w:val="TableBodyText"/>
                  </w:pPr>
                </w:p>
              </w:tc>
              <w:tc>
                <w:tcPr>
                  <w:tcW w:w="809" w:type="pct"/>
                </w:tcPr>
                <w:p w14:paraId="69BDEA95" w14:textId="77777777" w:rsidR="0011262F" w:rsidRDefault="0011262F" w:rsidP="00B54007">
                  <w:pPr>
                    <w:pStyle w:val="TableBodyText"/>
                  </w:pPr>
                </w:p>
              </w:tc>
            </w:tr>
            <w:tr w:rsidR="0011262F" w14:paraId="2941AE9D" w14:textId="77777777" w:rsidTr="00B54007">
              <w:tc>
                <w:tcPr>
                  <w:tcW w:w="1500" w:type="pct"/>
                  <w:shd w:val="clear" w:color="auto" w:fill="F2F2F2" w:themeFill="background1" w:themeFillShade="F2"/>
                </w:tcPr>
                <w:p w14:paraId="0717CEA0" w14:textId="77777777" w:rsidR="0011262F" w:rsidRDefault="0011262F" w:rsidP="00B54007">
                  <w:pPr>
                    <w:pStyle w:val="TableBodyText"/>
                    <w:jc w:val="left"/>
                  </w:pPr>
                  <w:r>
                    <w:t>SD of residual</w:t>
                  </w:r>
                </w:p>
              </w:tc>
              <w:tc>
                <w:tcPr>
                  <w:tcW w:w="667" w:type="pct"/>
                  <w:shd w:val="clear" w:color="auto" w:fill="F2F2F2" w:themeFill="background1" w:themeFillShade="F2"/>
                </w:tcPr>
                <w:p w14:paraId="375E785D" w14:textId="77777777" w:rsidR="0011262F" w:rsidRDefault="0011262F" w:rsidP="00B54007">
                  <w:pPr>
                    <w:pStyle w:val="TableBodyText"/>
                  </w:pPr>
                  <w:r>
                    <w:t>IG(2, 1)</w:t>
                  </w:r>
                </w:p>
              </w:tc>
              <w:tc>
                <w:tcPr>
                  <w:tcW w:w="749" w:type="pct"/>
                  <w:shd w:val="clear" w:color="auto" w:fill="F2F2F2" w:themeFill="background1" w:themeFillShade="F2"/>
                </w:tcPr>
                <w:p w14:paraId="3E3C5004" w14:textId="77777777" w:rsidR="0011262F" w:rsidRDefault="0011262F" w:rsidP="00B54007">
                  <w:pPr>
                    <w:pStyle w:val="TableBodyText"/>
                  </w:pPr>
                  <w:r>
                    <w:t>IG(2, 1)</w:t>
                  </w:r>
                </w:p>
              </w:tc>
              <w:tc>
                <w:tcPr>
                  <w:tcW w:w="667" w:type="pct"/>
                  <w:shd w:val="clear" w:color="auto" w:fill="F2F2F2" w:themeFill="background1" w:themeFillShade="F2"/>
                </w:tcPr>
                <w:p w14:paraId="2AD68731" w14:textId="77777777" w:rsidR="0011262F" w:rsidRDefault="0011262F" w:rsidP="00B54007">
                  <w:pPr>
                    <w:pStyle w:val="TableBodyText"/>
                  </w:pPr>
                  <w:r>
                    <w:t>IG(2, 1)</w:t>
                  </w:r>
                </w:p>
              </w:tc>
              <w:tc>
                <w:tcPr>
                  <w:tcW w:w="608" w:type="pct"/>
                  <w:shd w:val="clear" w:color="auto" w:fill="F2F2F2" w:themeFill="background1" w:themeFillShade="F2"/>
                </w:tcPr>
                <w:p w14:paraId="030D1F32" w14:textId="77777777" w:rsidR="0011262F" w:rsidRDefault="0011262F" w:rsidP="00B54007">
                  <w:pPr>
                    <w:pStyle w:val="TableBodyText"/>
                  </w:pPr>
                </w:p>
              </w:tc>
              <w:tc>
                <w:tcPr>
                  <w:tcW w:w="809" w:type="pct"/>
                  <w:shd w:val="clear" w:color="auto" w:fill="F2F2F2" w:themeFill="background1" w:themeFillShade="F2"/>
                </w:tcPr>
                <w:p w14:paraId="29728414" w14:textId="77777777" w:rsidR="0011262F" w:rsidRDefault="0011262F" w:rsidP="00B54007">
                  <w:pPr>
                    <w:pStyle w:val="TableBodyText"/>
                  </w:pPr>
                  <w:r>
                    <w:t>IG(2, 1)</w:t>
                  </w:r>
                </w:p>
              </w:tc>
            </w:tr>
            <w:tr w:rsidR="0011262F" w14:paraId="2F1D9927" w14:textId="77777777" w:rsidTr="00B54007">
              <w:tc>
                <w:tcPr>
                  <w:tcW w:w="1500" w:type="pct"/>
                  <w:shd w:val="clear" w:color="auto" w:fill="auto"/>
                </w:tcPr>
                <w:p w14:paraId="57D4821E" w14:textId="77777777" w:rsidR="0011262F" w:rsidRDefault="0011262F" w:rsidP="00B54007">
                  <w:pPr>
                    <w:pStyle w:val="TableBodyText"/>
                    <w:jc w:val="left"/>
                  </w:pPr>
                  <w:r>
                    <w:t>SD of varying coefficients</w:t>
                  </w:r>
                </w:p>
              </w:tc>
              <w:tc>
                <w:tcPr>
                  <w:tcW w:w="667" w:type="pct"/>
                </w:tcPr>
                <w:p w14:paraId="0E90A4E0" w14:textId="77777777" w:rsidR="0011262F" w:rsidRDefault="0011262F" w:rsidP="00B54007">
                  <w:pPr>
                    <w:pStyle w:val="TableBodyText"/>
                  </w:pPr>
                  <w:r>
                    <w:t>IG(2, 1)</w:t>
                  </w:r>
                </w:p>
              </w:tc>
              <w:tc>
                <w:tcPr>
                  <w:tcW w:w="749" w:type="pct"/>
                  <w:shd w:val="clear" w:color="auto" w:fill="auto"/>
                </w:tcPr>
                <w:p w14:paraId="5E11CF09" w14:textId="77777777" w:rsidR="0011262F" w:rsidRDefault="0011262F" w:rsidP="00B54007">
                  <w:pPr>
                    <w:pStyle w:val="TableBodyText"/>
                  </w:pPr>
                  <w:r>
                    <w:t>IG(2, 1)</w:t>
                  </w:r>
                </w:p>
              </w:tc>
              <w:tc>
                <w:tcPr>
                  <w:tcW w:w="667" w:type="pct"/>
                </w:tcPr>
                <w:p w14:paraId="6C4065CE" w14:textId="77777777" w:rsidR="0011262F" w:rsidRDefault="0011262F" w:rsidP="00B54007">
                  <w:pPr>
                    <w:pStyle w:val="TableBodyText"/>
                  </w:pPr>
                </w:p>
              </w:tc>
              <w:tc>
                <w:tcPr>
                  <w:tcW w:w="608" w:type="pct"/>
                </w:tcPr>
                <w:p w14:paraId="7D8E925C" w14:textId="77777777" w:rsidR="0011262F" w:rsidRDefault="0011262F" w:rsidP="00B54007">
                  <w:pPr>
                    <w:pStyle w:val="TableBodyText"/>
                  </w:pPr>
                </w:p>
              </w:tc>
              <w:tc>
                <w:tcPr>
                  <w:tcW w:w="809" w:type="pct"/>
                </w:tcPr>
                <w:p w14:paraId="6191BD72" w14:textId="77777777" w:rsidR="0011262F" w:rsidRDefault="0011262F" w:rsidP="00B54007">
                  <w:pPr>
                    <w:pStyle w:val="TableBodyText"/>
                  </w:pPr>
                  <w:r>
                    <w:t>IG(2, 1)</w:t>
                  </w:r>
                </w:p>
              </w:tc>
            </w:tr>
            <w:tr w:rsidR="0011262F" w14:paraId="6795D4D0" w14:textId="77777777" w:rsidTr="00B54007">
              <w:tc>
                <w:tcPr>
                  <w:tcW w:w="1500" w:type="pct"/>
                  <w:shd w:val="clear" w:color="auto" w:fill="F2F2F2" w:themeFill="background1" w:themeFillShade="F2"/>
                </w:tcPr>
                <w:p w14:paraId="1D8945BC" w14:textId="77777777" w:rsidR="0011262F" w:rsidRDefault="0011262F" w:rsidP="00B54007">
                  <w:pPr>
                    <w:pStyle w:val="TableBodyText"/>
                    <w:jc w:val="left"/>
                  </w:pPr>
                  <w:r>
                    <w:t>Varying coefficients</w:t>
                  </w:r>
                </w:p>
              </w:tc>
              <w:tc>
                <w:tcPr>
                  <w:tcW w:w="667" w:type="pct"/>
                  <w:shd w:val="clear" w:color="auto" w:fill="F2F2F2" w:themeFill="background1" w:themeFillShade="F2"/>
                </w:tcPr>
                <w:p w14:paraId="36450B99" w14:textId="77777777" w:rsidR="0011262F" w:rsidRDefault="0011262F" w:rsidP="00B54007">
                  <w:pPr>
                    <w:pStyle w:val="TableBodyText"/>
                  </w:pPr>
                  <w:r>
                    <w:t xml:space="preserve">N(0, </w:t>
                  </w:r>
                  <w:r w:rsidDel="00C60028">
                    <w:t>1</w:t>
                  </w:r>
                  <w:r>
                    <w:t>)</w:t>
                  </w:r>
                </w:p>
              </w:tc>
              <w:tc>
                <w:tcPr>
                  <w:tcW w:w="749" w:type="pct"/>
                  <w:shd w:val="clear" w:color="auto" w:fill="F2F2F2" w:themeFill="background1" w:themeFillShade="F2"/>
                </w:tcPr>
                <w:p w14:paraId="11DABF4E" w14:textId="77777777" w:rsidR="0011262F" w:rsidRDefault="0011262F" w:rsidP="00B54007">
                  <w:pPr>
                    <w:pStyle w:val="TableBodyText"/>
                  </w:pPr>
                  <w:r>
                    <w:t xml:space="preserve">N(0, </w:t>
                  </w:r>
                  <w:r w:rsidDel="00C60028">
                    <w:t>1</w:t>
                  </w:r>
                  <w:r>
                    <w:t>)</w:t>
                  </w:r>
                </w:p>
              </w:tc>
              <w:tc>
                <w:tcPr>
                  <w:tcW w:w="667" w:type="pct"/>
                  <w:shd w:val="clear" w:color="auto" w:fill="F2F2F2" w:themeFill="background1" w:themeFillShade="F2"/>
                </w:tcPr>
                <w:p w14:paraId="0FE9DB32" w14:textId="77777777" w:rsidR="0011262F" w:rsidRDefault="0011262F" w:rsidP="00B54007">
                  <w:pPr>
                    <w:pStyle w:val="TableBodyText"/>
                  </w:pPr>
                </w:p>
              </w:tc>
              <w:tc>
                <w:tcPr>
                  <w:tcW w:w="608" w:type="pct"/>
                  <w:shd w:val="clear" w:color="auto" w:fill="F2F2F2" w:themeFill="background1" w:themeFillShade="F2"/>
                </w:tcPr>
                <w:p w14:paraId="198AC80F" w14:textId="77777777" w:rsidR="0011262F" w:rsidRDefault="0011262F" w:rsidP="00B54007">
                  <w:pPr>
                    <w:pStyle w:val="TableBodyText"/>
                  </w:pPr>
                </w:p>
              </w:tc>
              <w:tc>
                <w:tcPr>
                  <w:tcW w:w="809" w:type="pct"/>
                  <w:shd w:val="clear" w:color="auto" w:fill="F2F2F2" w:themeFill="background1" w:themeFillShade="F2"/>
                </w:tcPr>
                <w:p w14:paraId="7C29B871" w14:textId="77777777" w:rsidR="0011262F" w:rsidRDefault="0011262F" w:rsidP="00B54007">
                  <w:pPr>
                    <w:pStyle w:val="TableBodyText"/>
                  </w:pPr>
                  <w:r>
                    <w:t xml:space="preserve">N(0, </w:t>
                  </w:r>
                  <w:r w:rsidDel="00C60028">
                    <w:t>1</w:t>
                  </w:r>
                  <w:r>
                    <w:t>)</w:t>
                  </w:r>
                </w:p>
              </w:tc>
            </w:tr>
            <w:tr w:rsidR="0011262F" w14:paraId="171A5A57" w14:textId="77777777" w:rsidTr="00B54007">
              <w:tc>
                <w:tcPr>
                  <w:tcW w:w="1500" w:type="pct"/>
                  <w:shd w:val="clear" w:color="auto" w:fill="auto"/>
                </w:tcPr>
                <w:p w14:paraId="7A1222E0" w14:textId="77777777" w:rsidR="0011262F" w:rsidRDefault="0011262F" w:rsidP="00B54007">
                  <w:pPr>
                    <w:pStyle w:val="TableBodyText"/>
                    <w:jc w:val="left"/>
                  </w:pPr>
                  <w:proofErr w:type="spellStart"/>
                  <w:r>
                    <w:t>Cholesky</w:t>
                  </w:r>
                  <w:proofErr w:type="spellEnd"/>
                  <w:r>
                    <w:t xml:space="preserve"> factor for varying coefficients</w:t>
                  </w:r>
                </w:p>
              </w:tc>
              <w:tc>
                <w:tcPr>
                  <w:tcW w:w="667" w:type="pct"/>
                </w:tcPr>
                <w:p w14:paraId="24D0DA1F" w14:textId="77777777" w:rsidR="0011262F" w:rsidRDefault="0011262F" w:rsidP="00B54007">
                  <w:pPr>
                    <w:pStyle w:val="TableBodyText"/>
                  </w:pPr>
                  <w:proofErr w:type="spellStart"/>
                  <w:r>
                    <w:t>LKJ</w:t>
                  </w:r>
                  <w:proofErr w:type="spellEnd"/>
                  <w:r>
                    <w:t>(50)</w:t>
                  </w:r>
                </w:p>
              </w:tc>
              <w:tc>
                <w:tcPr>
                  <w:tcW w:w="749" w:type="pct"/>
                  <w:shd w:val="clear" w:color="auto" w:fill="auto"/>
                </w:tcPr>
                <w:p w14:paraId="7B4C9CB8" w14:textId="77777777" w:rsidR="0011262F" w:rsidRDefault="0011262F" w:rsidP="00B54007">
                  <w:pPr>
                    <w:pStyle w:val="TableBodyText"/>
                  </w:pPr>
                  <w:proofErr w:type="spellStart"/>
                  <w:r>
                    <w:t>LKJ</w:t>
                  </w:r>
                  <w:proofErr w:type="spellEnd"/>
                  <w:r>
                    <w:t>(50)</w:t>
                  </w:r>
                </w:p>
              </w:tc>
              <w:tc>
                <w:tcPr>
                  <w:tcW w:w="667" w:type="pct"/>
                </w:tcPr>
                <w:p w14:paraId="4525274B" w14:textId="77777777" w:rsidR="0011262F" w:rsidRDefault="0011262F" w:rsidP="00B54007">
                  <w:pPr>
                    <w:pStyle w:val="TableBodyText"/>
                  </w:pPr>
                </w:p>
              </w:tc>
              <w:tc>
                <w:tcPr>
                  <w:tcW w:w="608" w:type="pct"/>
                </w:tcPr>
                <w:p w14:paraId="3D614A2E" w14:textId="77777777" w:rsidR="0011262F" w:rsidRDefault="0011262F" w:rsidP="00B54007">
                  <w:pPr>
                    <w:pStyle w:val="TableBodyText"/>
                  </w:pPr>
                </w:p>
              </w:tc>
              <w:tc>
                <w:tcPr>
                  <w:tcW w:w="809" w:type="pct"/>
                </w:tcPr>
                <w:p w14:paraId="586789B2" w14:textId="77777777" w:rsidR="0011262F" w:rsidRDefault="0011262F" w:rsidP="00B54007">
                  <w:pPr>
                    <w:pStyle w:val="TableBodyText"/>
                  </w:pPr>
                  <w:proofErr w:type="spellStart"/>
                  <w:r>
                    <w:t>LKJ</w:t>
                  </w:r>
                  <w:proofErr w:type="spellEnd"/>
                  <w:r>
                    <w:t>(50)</w:t>
                  </w:r>
                </w:p>
              </w:tc>
            </w:tr>
            <w:tr w:rsidR="0011262F" w14:paraId="5404ECC3" w14:textId="77777777" w:rsidTr="00B54007">
              <w:tc>
                <w:tcPr>
                  <w:tcW w:w="1500" w:type="pct"/>
                  <w:tcBorders>
                    <w:bottom w:val="single" w:sz="6" w:space="0" w:color="BFBFBF"/>
                  </w:tcBorders>
                  <w:shd w:val="clear" w:color="auto" w:fill="F2F2F2" w:themeFill="background1" w:themeFillShade="F2"/>
                </w:tcPr>
                <w:p w14:paraId="69088BED" w14:textId="77777777" w:rsidR="0011262F" w:rsidRDefault="0011262F" w:rsidP="00B54007">
                  <w:pPr>
                    <w:pStyle w:val="TableBodyText"/>
                    <w:jc w:val="left"/>
                  </w:pPr>
                  <w:proofErr w:type="spellStart"/>
                  <w:r>
                    <w:t>Cholesky</w:t>
                  </w:r>
                  <w:proofErr w:type="spellEnd"/>
                  <w:r>
                    <w:t xml:space="preserve"> factor for joint estimation of admin/investment expenses</w:t>
                  </w:r>
                </w:p>
              </w:tc>
              <w:tc>
                <w:tcPr>
                  <w:tcW w:w="667" w:type="pct"/>
                  <w:tcBorders>
                    <w:bottom w:val="single" w:sz="6" w:space="0" w:color="BFBFBF"/>
                  </w:tcBorders>
                  <w:shd w:val="clear" w:color="auto" w:fill="F2F2F2" w:themeFill="background1" w:themeFillShade="F2"/>
                </w:tcPr>
                <w:p w14:paraId="07ECF884" w14:textId="77777777" w:rsidR="0011262F" w:rsidRDefault="0011262F" w:rsidP="00B54007">
                  <w:pPr>
                    <w:pStyle w:val="TableBodyText"/>
                  </w:pPr>
                  <w:proofErr w:type="spellStart"/>
                  <w:r>
                    <w:t>LKJ</w:t>
                  </w:r>
                  <w:proofErr w:type="spellEnd"/>
                  <w:r>
                    <w:t>(50)</w:t>
                  </w:r>
                </w:p>
              </w:tc>
              <w:tc>
                <w:tcPr>
                  <w:tcW w:w="749" w:type="pct"/>
                  <w:tcBorders>
                    <w:bottom w:val="single" w:sz="6" w:space="0" w:color="BFBFBF"/>
                  </w:tcBorders>
                  <w:shd w:val="clear" w:color="auto" w:fill="F2F2F2" w:themeFill="background1" w:themeFillShade="F2"/>
                </w:tcPr>
                <w:p w14:paraId="29068545" w14:textId="77777777" w:rsidR="0011262F" w:rsidRDefault="0011262F" w:rsidP="00B54007">
                  <w:pPr>
                    <w:pStyle w:val="TableBodyText"/>
                  </w:pPr>
                  <w:proofErr w:type="spellStart"/>
                  <w:r>
                    <w:t>LKJ</w:t>
                  </w:r>
                  <w:proofErr w:type="spellEnd"/>
                  <w:r>
                    <w:t>(50)</w:t>
                  </w:r>
                </w:p>
              </w:tc>
              <w:tc>
                <w:tcPr>
                  <w:tcW w:w="667" w:type="pct"/>
                  <w:tcBorders>
                    <w:bottom w:val="single" w:sz="6" w:space="0" w:color="BFBFBF"/>
                  </w:tcBorders>
                  <w:shd w:val="clear" w:color="auto" w:fill="F2F2F2" w:themeFill="background1" w:themeFillShade="F2"/>
                </w:tcPr>
                <w:p w14:paraId="7A336D12" w14:textId="77777777" w:rsidR="0011262F" w:rsidRDefault="0011262F" w:rsidP="00B54007">
                  <w:pPr>
                    <w:pStyle w:val="TableBodyText"/>
                  </w:pPr>
                </w:p>
              </w:tc>
              <w:tc>
                <w:tcPr>
                  <w:tcW w:w="608" w:type="pct"/>
                  <w:tcBorders>
                    <w:bottom w:val="single" w:sz="6" w:space="0" w:color="BFBFBF"/>
                  </w:tcBorders>
                  <w:shd w:val="clear" w:color="auto" w:fill="F2F2F2" w:themeFill="background1" w:themeFillShade="F2"/>
                </w:tcPr>
                <w:p w14:paraId="21EC56E8" w14:textId="77777777" w:rsidR="0011262F" w:rsidRDefault="0011262F" w:rsidP="00B54007">
                  <w:pPr>
                    <w:pStyle w:val="TableBodyText"/>
                  </w:pPr>
                </w:p>
              </w:tc>
              <w:tc>
                <w:tcPr>
                  <w:tcW w:w="809" w:type="pct"/>
                  <w:tcBorders>
                    <w:bottom w:val="single" w:sz="6" w:space="0" w:color="BFBFBF"/>
                  </w:tcBorders>
                  <w:shd w:val="clear" w:color="auto" w:fill="F2F2F2" w:themeFill="background1" w:themeFillShade="F2"/>
                </w:tcPr>
                <w:p w14:paraId="02CED66E" w14:textId="77777777" w:rsidR="0011262F" w:rsidRDefault="0011262F" w:rsidP="00B54007">
                  <w:pPr>
                    <w:pStyle w:val="TableBodyText"/>
                  </w:pPr>
                </w:p>
              </w:tc>
            </w:tr>
          </w:tbl>
          <w:p w14:paraId="5BFBD486" w14:textId="77777777" w:rsidR="0011262F" w:rsidRDefault="0011262F" w:rsidP="00B54007">
            <w:pPr>
              <w:pStyle w:val="Box"/>
            </w:pPr>
          </w:p>
        </w:tc>
      </w:tr>
      <w:tr w:rsidR="0011262F" w14:paraId="1CABA140" w14:textId="77777777" w:rsidTr="00B54007">
        <w:tc>
          <w:tcPr>
            <w:tcW w:w="5000" w:type="pct"/>
            <w:tcBorders>
              <w:top w:val="nil"/>
              <w:left w:val="nil"/>
              <w:bottom w:val="nil"/>
              <w:right w:val="nil"/>
            </w:tcBorders>
            <w:shd w:val="clear" w:color="auto" w:fill="auto"/>
          </w:tcPr>
          <w:p w14:paraId="2CD90543" w14:textId="77777777" w:rsidR="0011262F" w:rsidRPr="000E6A4D" w:rsidRDefault="0011262F" w:rsidP="00B54007">
            <w:pPr>
              <w:pStyle w:val="Note"/>
              <w:rPr>
                <w:i/>
                <w:spacing w:val="-2"/>
              </w:rPr>
            </w:pPr>
            <w:r w:rsidRPr="000E6A4D">
              <w:rPr>
                <w:rStyle w:val="NoteLabel"/>
                <w:spacing w:val="-2"/>
              </w:rPr>
              <w:t>a</w:t>
            </w:r>
            <w:r w:rsidRPr="000E6A4D">
              <w:rPr>
                <w:spacing w:val="-2"/>
              </w:rPr>
              <w:t xml:space="preserve"> </w:t>
            </w:r>
            <w:r w:rsidRPr="00B94DE4">
              <w:rPr>
                <w:spacing w:val="-2"/>
              </w:rPr>
              <w:t xml:space="preserve">N </w:t>
            </w:r>
            <w:r w:rsidRPr="000E6A4D">
              <w:rPr>
                <w:spacing w:val="-2"/>
              </w:rPr>
              <w:t xml:space="preserve">denotes a normal distribution. </w:t>
            </w:r>
            <w:r w:rsidRPr="000E6A4D">
              <w:rPr>
                <w:i/>
                <w:spacing w:val="-2"/>
              </w:rPr>
              <w:t>IG</w:t>
            </w:r>
            <w:r w:rsidRPr="000E6A4D">
              <w:rPr>
                <w:spacing w:val="-2"/>
              </w:rPr>
              <w:t xml:space="preserve"> denotes an inverse gamma distribution. </w:t>
            </w:r>
            <w:proofErr w:type="spellStart"/>
            <w:r w:rsidRPr="00B94DE4">
              <w:rPr>
                <w:spacing w:val="-2"/>
              </w:rPr>
              <w:t>LKJ</w:t>
            </w:r>
            <w:proofErr w:type="spellEnd"/>
            <w:r w:rsidRPr="00B94DE4">
              <w:rPr>
                <w:spacing w:val="-2"/>
              </w:rPr>
              <w:t xml:space="preserve"> </w:t>
            </w:r>
            <w:r w:rsidRPr="000E6A4D">
              <w:rPr>
                <w:spacing w:val="-2"/>
              </w:rPr>
              <w:t xml:space="preserve">denotes the </w:t>
            </w:r>
            <w:proofErr w:type="spellStart"/>
            <w:r w:rsidRPr="000E6A4D">
              <w:rPr>
                <w:spacing w:val="-2"/>
              </w:rPr>
              <w:t>LKJ</w:t>
            </w:r>
            <w:proofErr w:type="spellEnd"/>
            <w:r w:rsidRPr="000E6A4D">
              <w:rPr>
                <w:spacing w:val="-2"/>
              </w:rPr>
              <w:t xml:space="preserve"> distribution.</w:t>
            </w:r>
          </w:p>
        </w:tc>
      </w:tr>
      <w:tr w:rsidR="0011262F" w14:paraId="1B90BD14" w14:textId="77777777" w:rsidTr="00B54007">
        <w:tc>
          <w:tcPr>
            <w:tcW w:w="5000" w:type="pct"/>
            <w:tcBorders>
              <w:top w:val="nil"/>
              <w:left w:val="nil"/>
              <w:bottom w:val="single" w:sz="6" w:space="0" w:color="78A22F"/>
              <w:right w:val="nil"/>
            </w:tcBorders>
            <w:shd w:val="clear" w:color="auto" w:fill="auto"/>
          </w:tcPr>
          <w:p w14:paraId="7F55D9C8" w14:textId="77777777" w:rsidR="0011262F" w:rsidRDefault="0011262F" w:rsidP="00B54007">
            <w:pPr>
              <w:pStyle w:val="Box"/>
              <w:spacing w:before="0" w:line="120" w:lineRule="exact"/>
            </w:pPr>
          </w:p>
        </w:tc>
      </w:tr>
      <w:tr w:rsidR="0011262F" w:rsidRPr="000863A5" w14:paraId="480BD2F8" w14:textId="77777777" w:rsidTr="00B54007">
        <w:tc>
          <w:tcPr>
            <w:tcW w:w="5000" w:type="pct"/>
            <w:tcBorders>
              <w:top w:val="single" w:sz="6" w:space="0" w:color="78A22F"/>
              <w:left w:val="nil"/>
              <w:bottom w:val="nil"/>
              <w:right w:val="nil"/>
            </w:tcBorders>
          </w:tcPr>
          <w:p w14:paraId="1AB25FA4" w14:textId="77777777" w:rsidR="0011262F" w:rsidRPr="00626D32" w:rsidRDefault="0011262F" w:rsidP="00B54007">
            <w:pPr>
              <w:pStyle w:val="BoxSpaceBelow"/>
            </w:pPr>
          </w:p>
        </w:tc>
      </w:tr>
    </w:tbl>
    <w:p w14:paraId="08A95D5F" w14:textId="77777777" w:rsidR="0011262F" w:rsidRPr="008E0D49" w:rsidRDefault="0011262F" w:rsidP="0011262F">
      <w:pPr>
        <w:pStyle w:val="Heading4"/>
      </w:pPr>
      <w:r w:rsidRPr="008E0D49">
        <w:t>Different imputation thresholds for expenses</w:t>
      </w:r>
    </w:p>
    <w:p w14:paraId="646FC0DA" w14:textId="77777777" w:rsidR="0011262F" w:rsidRDefault="0011262F" w:rsidP="0011262F">
      <w:pPr>
        <w:pStyle w:val="BodyText"/>
      </w:pPr>
      <w:r>
        <w:t>In the Commission’s preferred specification, only zero investment and administration expenses are imputed but, as previously noted, the data are likely to exhibit substantial underreporting of expenses. It therefore made sense to test the impact of treating assumed under</w:t>
      </w:r>
      <w:r>
        <w:noBreakHyphen/>
        <w:t xml:space="preserve">reported expenses as missing and imputing those too. </w:t>
      </w:r>
    </w:p>
    <w:p w14:paraId="2E466601" w14:textId="77777777" w:rsidR="0011262F" w:rsidRDefault="0011262F" w:rsidP="0011262F">
      <w:pPr>
        <w:pStyle w:val="BodyText"/>
      </w:pPr>
      <w:r>
        <w:t>The Commission estimated a model where average administration expenses of less than 10 basis points and average investment expenses of less than 25 basis points were considered implausible and imputed</w:t>
      </w:r>
      <w:r w:rsidRPr="006007B3">
        <w:rPr>
          <w:rStyle w:val="FootnoteReference"/>
        </w:rPr>
        <w:footnoteReference w:id="33"/>
      </w:r>
      <w:r>
        <w:t>. This model was also estimated using weighted fees and with identified fee outliers removed. Relative to the model with only changes in weighted fees and identified fee outliers, the estimated coefficients resulted in less economies of scale in administration and corporate, industry and retail funds exhibiting weak diseconomies of scale on average in investment (power coefficients just above 1). Imputations avoid throwing away important information for estimating costs, but are not a panacea for poor quality data on the expenses</w:t>
      </w:r>
      <w:r>
        <w:noBreakHyphen/>
        <w:t xml:space="preserve">size relationship. Imputing more expenses effectively means that less data are used to estimate the size and expense coefficients, much of which are from smaller funds. This may lead the model to underestimate the extent of economies of scale. On balance from consultations, the Commission considers these estimates to be less plausible than those in the preferred specification. </w:t>
      </w:r>
    </w:p>
    <w:p w14:paraId="5DC40309" w14:textId="77777777" w:rsidR="0011262F" w:rsidRDefault="0011262F" w:rsidP="0011262F">
      <w:pPr>
        <w:pStyle w:val="Heading4"/>
      </w:pPr>
      <w:r>
        <w:t xml:space="preserve">Different asset allocation specification </w:t>
      </w:r>
    </w:p>
    <w:p w14:paraId="43B565D5" w14:textId="77777777" w:rsidR="0011262F" w:rsidRDefault="0011262F" w:rsidP="0011262F">
      <w:pPr>
        <w:pStyle w:val="BodyText"/>
      </w:pPr>
      <w:r>
        <w:t xml:space="preserve">In the Commission’s preferred specification multiple asset allocation categories are allowed for in the investment expense model. These include cash, Australian fixed income, </w:t>
      </w:r>
      <w:r>
        <w:lastRenderedPageBreak/>
        <w:t>international fixed income, listed Australian equities, listed international equities, listed property, unlisted property and ‘other’ assets. Some participants in the technical workshop suggested that, for parsimony, these could be aggregated into categories because the unit costs of subsets of these asset classes do not differ significantly.</w:t>
      </w:r>
    </w:p>
    <w:p w14:paraId="211075FF" w14:textId="77777777" w:rsidR="0011262F" w:rsidRDefault="0011262F" w:rsidP="0011262F">
      <w:pPr>
        <w:pStyle w:val="BodyText"/>
      </w:pPr>
      <w:r>
        <w:t xml:space="preserve">The Commission considered a specification of the investment expense model with only cash, fixed income, listed equities, listed property and other asset classes, as before the model was also estimated using weighted fees and with identified fee outliers removed. Relative to the model with only changes in weighted fees and identified fee outliers, the model appears sensitive to the choice of asset allocation categories, with many of the asset allocation coefficients changing significantly under the simpler specification. However, the estimated coefficients associated with total assets and number of member accounts are stable. </w:t>
      </w:r>
    </w:p>
    <w:p w14:paraId="0F8B7468" w14:textId="77777777" w:rsidR="0011262F" w:rsidRDefault="0011262F" w:rsidP="0011262F">
      <w:pPr>
        <w:pStyle w:val="BodyText"/>
      </w:pPr>
      <w:r>
        <w:t xml:space="preserve">The relative merit of this specification is unclear. It is not clear that unit costs of the aggregated asset classes are all that similar. While ETFs are not easy to compare, </w:t>
      </w:r>
      <w:proofErr w:type="spellStart"/>
      <w:r>
        <w:t>Stockspot</w:t>
      </w:r>
      <w:proofErr w:type="spellEnd"/>
      <w:r>
        <w:t xml:space="preserve"> </w:t>
      </w:r>
      <w:r w:rsidRPr="00404216">
        <w:t>(2018)</w:t>
      </w:r>
      <w:r>
        <w:t xml:space="preserve"> shows significant variation in listed Australian equity ETFs and listed international equity ETFs. A similar result can be seen in the Commission’s analysis of funds survey data in its supplementary paper on investment performance.</w:t>
      </w:r>
    </w:p>
    <w:p w14:paraId="73FD792B" w14:textId="77777777" w:rsidR="0011262F" w:rsidRPr="00AC15BD" w:rsidRDefault="0011262F" w:rsidP="0011262F">
      <w:pPr>
        <w:pStyle w:val="BodyText"/>
      </w:pPr>
      <w:r>
        <w:br w:type="page"/>
      </w:r>
    </w:p>
    <w:p w14:paraId="5E1E5A16" w14:textId="77777777" w:rsidR="0011262F" w:rsidRDefault="0011262F" w:rsidP="0011262F">
      <w:pPr>
        <w:pStyle w:val="Heading2"/>
      </w:pPr>
      <w:bookmarkStart w:id="70" w:name="_Toc532997278"/>
      <w:bookmarkStart w:id="71" w:name="_Toc534642297"/>
      <w:r w:rsidRPr="00AB4553">
        <w:lastRenderedPageBreak/>
        <w:t>A</w:t>
      </w:r>
      <w:r>
        <w:t>nnex</w:t>
      </w:r>
      <w:r w:rsidRPr="00AB4553">
        <w:t xml:space="preserve"> </w:t>
      </w:r>
      <w:r w:rsidRPr="00AB4553" w:rsidDel="00E33AC6">
        <w:t>D</w:t>
      </w:r>
      <w:r>
        <w:t>:</w:t>
      </w:r>
      <w:r>
        <w:tab/>
        <w:t>Preferred model fit</w:t>
      </w:r>
      <w:bookmarkEnd w:id="70"/>
      <w:bookmarkEnd w:id="71"/>
    </w:p>
    <w:p w14:paraId="4D72D462" w14:textId="77777777" w:rsidR="0011262F" w:rsidRDefault="0011262F" w:rsidP="0011262F">
      <w:pPr>
        <w:pStyle w:val="BodyText"/>
      </w:pPr>
      <w:r>
        <w:t xml:space="preserve">This annex presents histograms of estimation errors when median estimates are used. Two panels are presented in each case so that different bin sizes can be used (figure </w:t>
      </w:r>
      <w:proofErr w:type="spellStart"/>
      <w:r>
        <w:t>D.1</w:t>
      </w:r>
      <w:proofErr w:type="spellEnd"/>
      <w:r>
        <w:t xml:space="preserve"> and </w:t>
      </w:r>
      <w:proofErr w:type="spellStart"/>
      <w:r>
        <w:t>D.2</w:t>
      </w:r>
      <w:proofErr w:type="spellEnd"/>
      <w:r>
        <w:t xml:space="preserve">). </w:t>
      </w:r>
    </w:p>
    <w:p w14:paraId="494A9E00" w14:textId="77777777" w:rsidR="0011262F" w:rsidRDefault="0011262F" w:rsidP="0011262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1262F" w14:paraId="5AE2716F" w14:textId="77777777" w:rsidTr="00B54007">
        <w:trPr>
          <w:tblHeader/>
        </w:trPr>
        <w:tc>
          <w:tcPr>
            <w:tcW w:w="5000" w:type="pct"/>
            <w:tcBorders>
              <w:top w:val="single" w:sz="6" w:space="0" w:color="78A22F"/>
              <w:left w:val="nil"/>
              <w:bottom w:val="nil"/>
              <w:right w:val="nil"/>
            </w:tcBorders>
            <w:shd w:val="clear" w:color="auto" w:fill="auto"/>
          </w:tcPr>
          <w:p w14:paraId="4E9C3D24" w14:textId="77777777" w:rsidR="0011262F" w:rsidRPr="00176D3F" w:rsidRDefault="0011262F" w:rsidP="00B54007">
            <w:pPr>
              <w:pStyle w:val="FigureTitle"/>
            </w:pPr>
            <w:r w:rsidRPr="00784A05">
              <w:rPr>
                <w:b w:val="0"/>
              </w:rPr>
              <w:t xml:space="preserve">Figure </w:t>
            </w:r>
            <w:proofErr w:type="spellStart"/>
            <w:r>
              <w:rPr>
                <w:b w:val="0"/>
              </w:rPr>
              <w:t>D.1</w:t>
            </w:r>
            <w:proofErr w:type="spellEnd"/>
            <w:r>
              <w:tab/>
              <w:t xml:space="preserve">Prediction errors for administration expenses </w:t>
            </w:r>
          </w:p>
        </w:tc>
      </w:tr>
      <w:tr w:rsidR="0011262F" w14:paraId="2FA58A6B" w14:textId="77777777" w:rsidTr="00B5400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11262F" w:rsidRPr="00B1465D" w14:paraId="2C942B80" w14:textId="77777777" w:rsidTr="00B54007">
              <w:trPr>
                <w:tblHeader/>
                <w:jc w:val="center"/>
              </w:trPr>
              <w:tc>
                <w:tcPr>
                  <w:tcW w:w="5000" w:type="pct"/>
                  <w:tcBorders>
                    <w:top w:val="nil"/>
                    <w:bottom w:val="nil"/>
                  </w:tcBorders>
                </w:tcPr>
                <w:p w14:paraId="3C26839E" w14:textId="77777777" w:rsidR="0011262F" w:rsidRPr="00B1465D" w:rsidRDefault="0011262F" w:rsidP="00B54007">
                  <w:pPr>
                    <w:pStyle w:val="Figure"/>
                    <w:spacing w:before="60" w:after="60"/>
                    <w:rPr>
                      <w:rFonts w:ascii="Arial" w:hAnsi="Arial" w:cs="Arial"/>
                      <w:sz w:val="18"/>
                      <w:szCs w:val="18"/>
                    </w:rPr>
                  </w:pPr>
                  <w:r w:rsidRPr="00C12C4C">
                    <w:rPr>
                      <w:rFonts w:ascii="Arial" w:hAnsi="Arial" w:cs="Arial"/>
                      <w:noProof/>
                      <w:sz w:val="18"/>
                      <w:szCs w:val="18"/>
                    </w:rPr>
                    <w:drawing>
                      <wp:inline distT="0" distB="0" distL="0" distR="0" wp14:anchorId="1A21C617" wp14:editId="1CB9146F">
                        <wp:extent cx="5457330" cy="5367866"/>
                        <wp:effectExtent l="0" t="0" r="0" b="0"/>
                        <wp:docPr id="80" name="Picture 80" descr="Histograms showing the difference between the administration expense estimated by the model and the actual data on a year by year basis. Most of the difference are close to zero, suggesting that the model predictions are va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60366" cy="5370852"/>
                                </a:xfrm>
                                <a:prstGeom prst="rect">
                                  <a:avLst/>
                                </a:prstGeom>
                                <a:noFill/>
                                <a:ln>
                                  <a:noFill/>
                                </a:ln>
                              </pic:spPr>
                            </pic:pic>
                          </a:graphicData>
                        </a:graphic>
                      </wp:inline>
                    </w:drawing>
                  </w:r>
                </w:p>
              </w:tc>
            </w:tr>
          </w:tbl>
          <w:p w14:paraId="4B55A4F1" w14:textId="77777777" w:rsidR="0011262F" w:rsidRDefault="0011262F" w:rsidP="00B54007">
            <w:pPr>
              <w:pStyle w:val="Figure"/>
            </w:pPr>
          </w:p>
        </w:tc>
      </w:tr>
      <w:tr w:rsidR="0011262F" w:rsidRPr="00176D3F" w14:paraId="50C071CF" w14:textId="77777777" w:rsidTr="00B54007">
        <w:tc>
          <w:tcPr>
            <w:tcW w:w="5000" w:type="pct"/>
            <w:tcBorders>
              <w:top w:val="nil"/>
              <w:left w:val="nil"/>
              <w:bottom w:val="nil"/>
              <w:right w:val="nil"/>
            </w:tcBorders>
            <w:shd w:val="clear" w:color="auto" w:fill="auto"/>
          </w:tcPr>
          <w:p w14:paraId="7CBBEEAE" w14:textId="77777777" w:rsidR="0011262F" w:rsidRPr="00176D3F" w:rsidRDefault="0011262F" w:rsidP="00B54007">
            <w:pPr>
              <w:pStyle w:val="Source"/>
            </w:pPr>
            <w:r w:rsidRPr="00F76FED">
              <w:rPr>
                <w:i/>
              </w:rPr>
              <w:t>S</w:t>
            </w:r>
            <w:r w:rsidRPr="00AC15BD">
              <w:rPr>
                <w:i/>
              </w:rPr>
              <w:t>ource</w:t>
            </w:r>
            <w:r w:rsidRPr="00AC15BD">
              <w:t>:</w:t>
            </w:r>
            <w:r w:rsidRPr="00176D3F">
              <w:t xml:space="preserve"> </w:t>
            </w:r>
            <w:r>
              <w:rPr>
                <w:rFonts w:eastAsia="+mn-ea" w:cs="Arial"/>
                <w:color w:val="000000" w:themeColor="text1"/>
                <w:kern w:val="24"/>
                <w:szCs w:val="18"/>
              </w:rPr>
              <w:t>PC analysis of unpublished APRA data</w:t>
            </w:r>
            <w:r w:rsidRPr="0018371D">
              <w:rPr>
                <w:rFonts w:eastAsia="+mn-ea" w:cs="Arial"/>
                <w:color w:val="000000" w:themeColor="text1"/>
                <w:kern w:val="24"/>
                <w:szCs w:val="18"/>
              </w:rPr>
              <w:t>.</w:t>
            </w:r>
          </w:p>
        </w:tc>
      </w:tr>
      <w:tr w:rsidR="0011262F" w14:paraId="49E5678B" w14:textId="77777777" w:rsidTr="00B54007">
        <w:tc>
          <w:tcPr>
            <w:tcW w:w="5000" w:type="pct"/>
            <w:tcBorders>
              <w:top w:val="nil"/>
              <w:left w:val="nil"/>
              <w:bottom w:val="single" w:sz="6" w:space="0" w:color="78A22F"/>
              <w:right w:val="nil"/>
            </w:tcBorders>
            <w:shd w:val="clear" w:color="auto" w:fill="auto"/>
          </w:tcPr>
          <w:p w14:paraId="01DB01EC" w14:textId="77777777" w:rsidR="0011262F" w:rsidRDefault="0011262F" w:rsidP="00B54007">
            <w:pPr>
              <w:pStyle w:val="Figurespace"/>
            </w:pPr>
          </w:p>
        </w:tc>
      </w:tr>
      <w:tr w:rsidR="0011262F" w:rsidRPr="000863A5" w14:paraId="2F253A02" w14:textId="77777777" w:rsidTr="00B54007">
        <w:tc>
          <w:tcPr>
            <w:tcW w:w="5000" w:type="pct"/>
            <w:tcBorders>
              <w:top w:val="single" w:sz="6" w:space="0" w:color="78A22F"/>
              <w:left w:val="nil"/>
              <w:bottom w:val="nil"/>
              <w:right w:val="nil"/>
            </w:tcBorders>
          </w:tcPr>
          <w:p w14:paraId="00C20ACE" w14:textId="77777777" w:rsidR="0011262F" w:rsidRPr="00626D32" w:rsidRDefault="0011262F" w:rsidP="00B54007">
            <w:pPr>
              <w:pStyle w:val="BoxSpaceBelow"/>
            </w:pPr>
          </w:p>
        </w:tc>
      </w:tr>
    </w:tbl>
    <w:p w14:paraId="422F28E8" w14:textId="77777777" w:rsidR="0011262F" w:rsidRDefault="0011262F" w:rsidP="0011262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1262F" w14:paraId="2D16CCC3" w14:textId="77777777" w:rsidTr="00B54007">
        <w:trPr>
          <w:tblHeader/>
        </w:trPr>
        <w:tc>
          <w:tcPr>
            <w:tcW w:w="5000" w:type="pct"/>
            <w:tcBorders>
              <w:top w:val="single" w:sz="6" w:space="0" w:color="78A22F"/>
              <w:left w:val="nil"/>
              <w:bottom w:val="nil"/>
              <w:right w:val="nil"/>
            </w:tcBorders>
            <w:shd w:val="clear" w:color="auto" w:fill="auto"/>
          </w:tcPr>
          <w:p w14:paraId="26412AE1" w14:textId="77777777" w:rsidR="0011262F" w:rsidRPr="00176D3F" w:rsidRDefault="0011262F" w:rsidP="00B54007">
            <w:pPr>
              <w:pStyle w:val="FigureTitle"/>
            </w:pPr>
            <w:r w:rsidRPr="00784A05">
              <w:rPr>
                <w:b w:val="0"/>
              </w:rPr>
              <w:t xml:space="preserve">Figure </w:t>
            </w:r>
            <w:proofErr w:type="spellStart"/>
            <w:r>
              <w:rPr>
                <w:b w:val="0"/>
              </w:rPr>
              <w:t>D.2</w:t>
            </w:r>
            <w:proofErr w:type="spellEnd"/>
            <w:r>
              <w:tab/>
              <w:t>Prediction errors for investment expenses</w:t>
            </w:r>
          </w:p>
        </w:tc>
      </w:tr>
      <w:tr w:rsidR="0011262F" w14:paraId="606B07F2" w14:textId="77777777" w:rsidTr="00B5400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1262F" w:rsidRPr="00B1465D" w14:paraId="23594C07" w14:textId="77777777" w:rsidTr="00B54007">
              <w:trPr>
                <w:tblHeader/>
                <w:jc w:val="center"/>
              </w:trPr>
              <w:tc>
                <w:tcPr>
                  <w:tcW w:w="5000" w:type="pct"/>
                  <w:tcBorders>
                    <w:top w:val="nil"/>
                    <w:bottom w:val="nil"/>
                  </w:tcBorders>
                </w:tcPr>
                <w:p w14:paraId="5EBA1234" w14:textId="77777777" w:rsidR="0011262F" w:rsidRPr="00B1465D" w:rsidRDefault="0011262F" w:rsidP="00B54007">
                  <w:pPr>
                    <w:pStyle w:val="Figure"/>
                    <w:spacing w:before="60" w:after="60"/>
                    <w:rPr>
                      <w:rFonts w:ascii="Arial" w:hAnsi="Arial" w:cs="Arial"/>
                      <w:sz w:val="18"/>
                      <w:szCs w:val="18"/>
                    </w:rPr>
                  </w:pPr>
                  <w:r w:rsidRPr="00C12C4C">
                    <w:rPr>
                      <w:rFonts w:ascii="Arial" w:hAnsi="Arial" w:cs="Arial"/>
                      <w:noProof/>
                      <w:sz w:val="18"/>
                      <w:szCs w:val="18"/>
                    </w:rPr>
                    <w:drawing>
                      <wp:inline distT="0" distB="0" distL="0" distR="0" wp14:anchorId="0351A305" wp14:editId="6DE7AF3C">
                        <wp:extent cx="5400398" cy="5334000"/>
                        <wp:effectExtent l="0" t="0" r="0" b="0"/>
                        <wp:docPr id="81" name="Picture 81" descr="Histograms showing the difference between the investment expense estimated by the model and the actual data on a year by year basis. Most of the differences are close to zero, suggesting that the model predictions are va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1601" cy="5335188"/>
                                </a:xfrm>
                                <a:prstGeom prst="rect">
                                  <a:avLst/>
                                </a:prstGeom>
                                <a:noFill/>
                                <a:ln>
                                  <a:noFill/>
                                </a:ln>
                              </pic:spPr>
                            </pic:pic>
                          </a:graphicData>
                        </a:graphic>
                      </wp:inline>
                    </w:drawing>
                  </w:r>
                </w:p>
              </w:tc>
            </w:tr>
          </w:tbl>
          <w:p w14:paraId="33C67B0A" w14:textId="77777777" w:rsidR="0011262F" w:rsidRDefault="0011262F" w:rsidP="00B54007">
            <w:pPr>
              <w:pStyle w:val="Figure"/>
            </w:pPr>
          </w:p>
        </w:tc>
      </w:tr>
      <w:tr w:rsidR="0011262F" w:rsidRPr="00176D3F" w14:paraId="3A79A3A5" w14:textId="77777777" w:rsidTr="00B54007">
        <w:tc>
          <w:tcPr>
            <w:tcW w:w="5000" w:type="pct"/>
            <w:tcBorders>
              <w:top w:val="nil"/>
              <w:left w:val="nil"/>
              <w:bottom w:val="nil"/>
              <w:right w:val="nil"/>
            </w:tcBorders>
            <w:shd w:val="clear" w:color="auto" w:fill="auto"/>
          </w:tcPr>
          <w:p w14:paraId="051CBC8A" w14:textId="77777777" w:rsidR="0011262F" w:rsidRPr="00176D3F" w:rsidRDefault="0011262F" w:rsidP="00B54007">
            <w:pPr>
              <w:pStyle w:val="Source"/>
            </w:pPr>
            <w:r w:rsidRPr="00F76FED">
              <w:rPr>
                <w:i/>
              </w:rPr>
              <w:t>S</w:t>
            </w:r>
            <w:r w:rsidRPr="00AC15BD">
              <w:rPr>
                <w:i/>
              </w:rPr>
              <w:t>ource</w:t>
            </w:r>
            <w:r w:rsidRPr="00AC15BD">
              <w:t>:</w:t>
            </w:r>
            <w:r w:rsidRPr="00176D3F">
              <w:t xml:space="preserve"> </w:t>
            </w:r>
            <w:r>
              <w:rPr>
                <w:rFonts w:eastAsia="+mn-ea" w:cs="Arial"/>
                <w:color w:val="000000" w:themeColor="text1"/>
                <w:kern w:val="24"/>
                <w:szCs w:val="18"/>
              </w:rPr>
              <w:t>PC analysis of unpublished APRA data</w:t>
            </w:r>
            <w:r w:rsidRPr="0018371D">
              <w:rPr>
                <w:rFonts w:eastAsia="+mn-ea" w:cs="Arial"/>
                <w:color w:val="000000" w:themeColor="text1"/>
                <w:kern w:val="24"/>
                <w:szCs w:val="18"/>
              </w:rPr>
              <w:t>.</w:t>
            </w:r>
          </w:p>
        </w:tc>
      </w:tr>
      <w:tr w:rsidR="0011262F" w14:paraId="5D5904E6" w14:textId="77777777" w:rsidTr="00B54007">
        <w:tc>
          <w:tcPr>
            <w:tcW w:w="5000" w:type="pct"/>
            <w:tcBorders>
              <w:top w:val="nil"/>
              <w:left w:val="nil"/>
              <w:bottom w:val="single" w:sz="6" w:space="0" w:color="78A22F"/>
              <w:right w:val="nil"/>
            </w:tcBorders>
            <w:shd w:val="clear" w:color="auto" w:fill="auto"/>
          </w:tcPr>
          <w:p w14:paraId="6787BC8B" w14:textId="77777777" w:rsidR="0011262F" w:rsidRDefault="0011262F" w:rsidP="00B54007">
            <w:pPr>
              <w:pStyle w:val="Figurespace"/>
            </w:pPr>
          </w:p>
        </w:tc>
      </w:tr>
      <w:tr w:rsidR="0011262F" w:rsidRPr="000863A5" w14:paraId="0274EAFC" w14:textId="77777777" w:rsidTr="00B54007">
        <w:tc>
          <w:tcPr>
            <w:tcW w:w="5000" w:type="pct"/>
            <w:tcBorders>
              <w:top w:val="single" w:sz="6" w:space="0" w:color="78A22F"/>
              <w:left w:val="nil"/>
              <w:bottom w:val="nil"/>
              <w:right w:val="nil"/>
            </w:tcBorders>
          </w:tcPr>
          <w:p w14:paraId="3B1DD4AE" w14:textId="77777777" w:rsidR="0011262F" w:rsidRPr="00626D32" w:rsidRDefault="0011262F" w:rsidP="00B54007">
            <w:pPr>
              <w:pStyle w:val="BoxSpaceBelow"/>
            </w:pPr>
          </w:p>
        </w:tc>
      </w:tr>
    </w:tbl>
    <w:p w14:paraId="5A677BDE" w14:textId="77777777" w:rsidR="0011262F" w:rsidRDefault="0011262F" w:rsidP="0011262F">
      <w:pPr>
        <w:pStyle w:val="BodyText"/>
      </w:pPr>
      <w:r>
        <w:t>One concern may be that the errors may compound over time which may be problematic given that some analysis is at the fund level. The following histograms show this is unlikely to be the case for the vast majority of funds (figures </w:t>
      </w:r>
      <w:proofErr w:type="spellStart"/>
      <w:r>
        <w:t>D.3</w:t>
      </w:r>
      <w:proofErr w:type="spellEnd"/>
      <w:r>
        <w:t xml:space="preserve"> and </w:t>
      </w:r>
      <w:proofErr w:type="spellStart"/>
      <w:r>
        <w:t>D.4</w:t>
      </w:r>
      <w:proofErr w:type="spellEnd"/>
      <w:r>
        <w:t xml:space="preserve">). </w:t>
      </w:r>
    </w:p>
    <w:p w14:paraId="4F07E7F0" w14:textId="77777777" w:rsidR="0011262F" w:rsidRDefault="0011262F" w:rsidP="0011262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1262F" w14:paraId="7977A8B7" w14:textId="77777777" w:rsidTr="00B54007">
        <w:trPr>
          <w:tblHeader/>
        </w:trPr>
        <w:tc>
          <w:tcPr>
            <w:tcW w:w="5000" w:type="pct"/>
            <w:tcBorders>
              <w:top w:val="single" w:sz="6" w:space="0" w:color="78A22F"/>
              <w:left w:val="nil"/>
              <w:bottom w:val="nil"/>
              <w:right w:val="nil"/>
            </w:tcBorders>
            <w:shd w:val="clear" w:color="auto" w:fill="auto"/>
          </w:tcPr>
          <w:p w14:paraId="7D59CF6E" w14:textId="77777777" w:rsidR="0011262F" w:rsidRPr="00176D3F" w:rsidRDefault="0011262F" w:rsidP="00B54007">
            <w:pPr>
              <w:pStyle w:val="FigureTitle"/>
            </w:pPr>
            <w:r w:rsidRPr="00784A05">
              <w:rPr>
                <w:b w:val="0"/>
              </w:rPr>
              <w:t xml:space="preserve">Figure </w:t>
            </w:r>
            <w:proofErr w:type="spellStart"/>
            <w:r>
              <w:rPr>
                <w:b w:val="0"/>
              </w:rPr>
              <w:t>D.3</w:t>
            </w:r>
            <w:proofErr w:type="spellEnd"/>
            <w:r>
              <w:tab/>
              <w:t>Prediction errors for changes in administration expenses over a fund’s lifetime</w:t>
            </w:r>
          </w:p>
        </w:tc>
      </w:tr>
      <w:tr w:rsidR="0011262F" w14:paraId="14517638" w14:textId="77777777" w:rsidTr="00B5400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11262F" w:rsidRPr="00B1465D" w14:paraId="07D06434" w14:textId="77777777" w:rsidTr="00B54007">
              <w:trPr>
                <w:tblHeader/>
                <w:jc w:val="center"/>
              </w:trPr>
              <w:tc>
                <w:tcPr>
                  <w:tcW w:w="5000" w:type="pct"/>
                  <w:tcBorders>
                    <w:top w:val="nil"/>
                    <w:bottom w:val="nil"/>
                  </w:tcBorders>
                </w:tcPr>
                <w:p w14:paraId="7E907B20" w14:textId="77777777" w:rsidR="0011262F" w:rsidRPr="00B1465D" w:rsidRDefault="0011262F" w:rsidP="00B54007">
                  <w:pPr>
                    <w:pStyle w:val="Figure"/>
                    <w:spacing w:before="60" w:after="60"/>
                    <w:rPr>
                      <w:rFonts w:ascii="Arial" w:hAnsi="Arial" w:cs="Arial"/>
                      <w:sz w:val="18"/>
                      <w:szCs w:val="18"/>
                    </w:rPr>
                  </w:pPr>
                  <w:r w:rsidRPr="00C12C4C">
                    <w:rPr>
                      <w:rFonts w:ascii="Arial" w:hAnsi="Arial" w:cs="Arial"/>
                      <w:noProof/>
                      <w:sz w:val="18"/>
                      <w:szCs w:val="18"/>
                    </w:rPr>
                    <w:drawing>
                      <wp:inline distT="0" distB="0" distL="0" distR="0" wp14:anchorId="6C3A8862" wp14:editId="1C8F04A0">
                        <wp:extent cx="5453331" cy="6637866"/>
                        <wp:effectExtent l="0" t="0" r="0" b="0"/>
                        <wp:docPr id="82" name="Picture 82" descr="Histograms showing the difference between the administration expense estimated by the model and the actual data over the lifetime of the fund. Most of the differences are close to zero, suggesting that the model predictions are va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55081" cy="6639996"/>
                                </a:xfrm>
                                <a:prstGeom prst="rect">
                                  <a:avLst/>
                                </a:prstGeom>
                                <a:noFill/>
                                <a:ln>
                                  <a:noFill/>
                                </a:ln>
                              </pic:spPr>
                            </pic:pic>
                          </a:graphicData>
                        </a:graphic>
                      </wp:inline>
                    </w:drawing>
                  </w:r>
                </w:p>
              </w:tc>
            </w:tr>
          </w:tbl>
          <w:p w14:paraId="60A0CFD1" w14:textId="77777777" w:rsidR="0011262F" w:rsidRDefault="0011262F" w:rsidP="00B54007">
            <w:pPr>
              <w:pStyle w:val="Figure"/>
            </w:pPr>
          </w:p>
        </w:tc>
      </w:tr>
      <w:tr w:rsidR="0011262F" w:rsidRPr="00176D3F" w14:paraId="3902208B" w14:textId="77777777" w:rsidTr="00B54007">
        <w:tc>
          <w:tcPr>
            <w:tcW w:w="5000" w:type="pct"/>
            <w:tcBorders>
              <w:top w:val="nil"/>
              <w:left w:val="nil"/>
              <w:bottom w:val="nil"/>
              <w:right w:val="nil"/>
            </w:tcBorders>
            <w:shd w:val="clear" w:color="auto" w:fill="auto"/>
          </w:tcPr>
          <w:p w14:paraId="14310E66" w14:textId="77777777" w:rsidR="0011262F" w:rsidRPr="00982299" w:rsidRDefault="0011262F" w:rsidP="00B54007">
            <w:pPr>
              <w:pStyle w:val="Source"/>
            </w:pPr>
            <w:r w:rsidRPr="00982299">
              <w:rPr>
                <w:i/>
              </w:rPr>
              <w:t>Source</w:t>
            </w:r>
            <w:r w:rsidRPr="00982299">
              <w:t xml:space="preserve">: </w:t>
            </w:r>
            <w:r>
              <w:rPr>
                <w:rFonts w:eastAsia="+mn-ea" w:cs="Arial"/>
                <w:color w:val="000000" w:themeColor="text1"/>
                <w:kern w:val="24"/>
                <w:szCs w:val="18"/>
              </w:rPr>
              <w:t>PC analysis of unpublished APRA data</w:t>
            </w:r>
            <w:r w:rsidRPr="0018371D">
              <w:rPr>
                <w:rFonts w:eastAsia="+mn-ea" w:cs="Arial"/>
                <w:color w:val="000000" w:themeColor="text1"/>
                <w:kern w:val="24"/>
                <w:szCs w:val="18"/>
              </w:rPr>
              <w:t>.</w:t>
            </w:r>
          </w:p>
        </w:tc>
      </w:tr>
      <w:tr w:rsidR="0011262F" w14:paraId="290ADB36" w14:textId="77777777" w:rsidTr="00B54007">
        <w:tc>
          <w:tcPr>
            <w:tcW w:w="5000" w:type="pct"/>
            <w:tcBorders>
              <w:top w:val="nil"/>
              <w:left w:val="nil"/>
              <w:bottom w:val="single" w:sz="6" w:space="0" w:color="78A22F"/>
              <w:right w:val="nil"/>
            </w:tcBorders>
            <w:shd w:val="clear" w:color="auto" w:fill="auto"/>
          </w:tcPr>
          <w:p w14:paraId="21A744E5" w14:textId="77777777" w:rsidR="0011262F" w:rsidRDefault="0011262F" w:rsidP="00B54007">
            <w:pPr>
              <w:pStyle w:val="Figurespace"/>
            </w:pPr>
          </w:p>
        </w:tc>
      </w:tr>
      <w:tr w:rsidR="0011262F" w:rsidRPr="000863A5" w14:paraId="2CF779BC" w14:textId="77777777" w:rsidTr="00B54007">
        <w:tc>
          <w:tcPr>
            <w:tcW w:w="5000" w:type="pct"/>
            <w:tcBorders>
              <w:top w:val="single" w:sz="6" w:space="0" w:color="78A22F"/>
              <w:left w:val="nil"/>
              <w:bottom w:val="nil"/>
              <w:right w:val="nil"/>
            </w:tcBorders>
          </w:tcPr>
          <w:p w14:paraId="20886E2D" w14:textId="77777777" w:rsidR="0011262F" w:rsidRPr="00626D32" w:rsidRDefault="0011262F" w:rsidP="00B54007">
            <w:pPr>
              <w:pStyle w:val="BoxSpaceBelow"/>
            </w:pPr>
          </w:p>
        </w:tc>
      </w:tr>
    </w:tbl>
    <w:p w14:paraId="2D05DC6B" w14:textId="77777777" w:rsidR="0011262F" w:rsidRDefault="0011262F" w:rsidP="0011262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1262F" w14:paraId="0B46FB30" w14:textId="77777777" w:rsidTr="00B54007">
        <w:trPr>
          <w:tblHeader/>
        </w:trPr>
        <w:tc>
          <w:tcPr>
            <w:tcW w:w="5000" w:type="pct"/>
            <w:tcBorders>
              <w:top w:val="single" w:sz="6" w:space="0" w:color="78A22F"/>
              <w:left w:val="nil"/>
              <w:bottom w:val="nil"/>
              <w:right w:val="nil"/>
            </w:tcBorders>
            <w:shd w:val="clear" w:color="auto" w:fill="auto"/>
          </w:tcPr>
          <w:p w14:paraId="54E5B469" w14:textId="77777777" w:rsidR="0011262F" w:rsidRPr="00176D3F" w:rsidRDefault="0011262F" w:rsidP="00B54007">
            <w:pPr>
              <w:pStyle w:val="FigureTitle"/>
            </w:pPr>
            <w:r w:rsidRPr="00784A05">
              <w:rPr>
                <w:b w:val="0"/>
              </w:rPr>
              <w:t xml:space="preserve">Figure </w:t>
            </w:r>
            <w:proofErr w:type="spellStart"/>
            <w:r>
              <w:rPr>
                <w:b w:val="0"/>
              </w:rPr>
              <w:t>D.4</w:t>
            </w:r>
            <w:proofErr w:type="spellEnd"/>
            <w:r>
              <w:tab/>
              <w:t>Prediction errors for changes in investment expenses over a fund’s lifetime</w:t>
            </w:r>
          </w:p>
        </w:tc>
      </w:tr>
      <w:tr w:rsidR="0011262F" w14:paraId="2B683F56" w14:textId="77777777" w:rsidTr="00B5400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11262F" w:rsidRPr="00B1465D" w14:paraId="6A887DFB" w14:textId="77777777" w:rsidTr="00B54007">
              <w:trPr>
                <w:tblHeader/>
                <w:jc w:val="center"/>
              </w:trPr>
              <w:tc>
                <w:tcPr>
                  <w:tcW w:w="5000" w:type="pct"/>
                  <w:tcBorders>
                    <w:top w:val="nil"/>
                    <w:bottom w:val="nil"/>
                  </w:tcBorders>
                </w:tcPr>
                <w:p w14:paraId="3D1F0826" w14:textId="77777777" w:rsidR="0011262F" w:rsidRPr="00B1465D" w:rsidRDefault="0011262F" w:rsidP="00B54007">
                  <w:pPr>
                    <w:pStyle w:val="Figure"/>
                    <w:spacing w:before="60" w:after="60"/>
                    <w:rPr>
                      <w:rFonts w:ascii="Arial" w:hAnsi="Arial" w:cs="Arial"/>
                      <w:sz w:val="18"/>
                      <w:szCs w:val="18"/>
                    </w:rPr>
                  </w:pPr>
                  <w:r w:rsidRPr="00C12C4C">
                    <w:rPr>
                      <w:rFonts w:ascii="Arial" w:hAnsi="Arial" w:cs="Arial"/>
                      <w:noProof/>
                      <w:sz w:val="18"/>
                      <w:szCs w:val="18"/>
                    </w:rPr>
                    <w:drawing>
                      <wp:inline distT="0" distB="0" distL="0" distR="0" wp14:anchorId="35B12CB1" wp14:editId="690C4F7A">
                        <wp:extent cx="5438568" cy="6612466"/>
                        <wp:effectExtent l="0" t="0" r="0" b="0"/>
                        <wp:docPr id="83" name="Picture 83" descr="Histograms showing the difference between the investment expense estimated by the model and the actual data over the lifetime of the fund. Most of the differences are close to zero, suggesting that the model predictions are va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40102" cy="6614331"/>
                                </a:xfrm>
                                <a:prstGeom prst="rect">
                                  <a:avLst/>
                                </a:prstGeom>
                                <a:noFill/>
                                <a:ln>
                                  <a:noFill/>
                                </a:ln>
                              </pic:spPr>
                            </pic:pic>
                          </a:graphicData>
                        </a:graphic>
                      </wp:inline>
                    </w:drawing>
                  </w:r>
                </w:p>
              </w:tc>
            </w:tr>
          </w:tbl>
          <w:p w14:paraId="115600C5" w14:textId="77777777" w:rsidR="0011262F" w:rsidRDefault="0011262F" w:rsidP="00B54007">
            <w:pPr>
              <w:pStyle w:val="Figure"/>
            </w:pPr>
          </w:p>
        </w:tc>
      </w:tr>
      <w:tr w:rsidR="0011262F" w:rsidRPr="00176D3F" w14:paraId="52163453" w14:textId="77777777" w:rsidTr="00B54007">
        <w:tc>
          <w:tcPr>
            <w:tcW w:w="5000" w:type="pct"/>
            <w:tcBorders>
              <w:top w:val="nil"/>
              <w:left w:val="nil"/>
              <w:bottom w:val="nil"/>
              <w:right w:val="nil"/>
            </w:tcBorders>
            <w:shd w:val="clear" w:color="auto" w:fill="auto"/>
          </w:tcPr>
          <w:p w14:paraId="5952A1CE" w14:textId="77777777" w:rsidR="0011262F" w:rsidRPr="00F76FED" w:rsidRDefault="0011262F" w:rsidP="00B54007">
            <w:pPr>
              <w:pStyle w:val="Source"/>
            </w:pPr>
            <w:r w:rsidRPr="00F76FED">
              <w:rPr>
                <w:i/>
              </w:rPr>
              <w:t>Source</w:t>
            </w:r>
            <w:r w:rsidRPr="00F76FED">
              <w:t xml:space="preserve">: </w:t>
            </w:r>
            <w:r>
              <w:rPr>
                <w:rFonts w:eastAsia="+mn-ea" w:cs="Arial"/>
                <w:color w:val="000000" w:themeColor="text1"/>
                <w:kern w:val="24"/>
                <w:szCs w:val="18"/>
              </w:rPr>
              <w:t>PC analysis of unpublished APRA data</w:t>
            </w:r>
            <w:r w:rsidRPr="0018371D">
              <w:rPr>
                <w:rFonts w:eastAsia="+mn-ea" w:cs="Arial"/>
                <w:color w:val="000000" w:themeColor="text1"/>
                <w:kern w:val="24"/>
                <w:szCs w:val="18"/>
              </w:rPr>
              <w:t>.</w:t>
            </w:r>
          </w:p>
        </w:tc>
      </w:tr>
      <w:tr w:rsidR="0011262F" w14:paraId="5B04F8AC" w14:textId="77777777" w:rsidTr="00B54007">
        <w:tc>
          <w:tcPr>
            <w:tcW w:w="5000" w:type="pct"/>
            <w:tcBorders>
              <w:top w:val="nil"/>
              <w:left w:val="nil"/>
              <w:bottom w:val="single" w:sz="6" w:space="0" w:color="78A22F"/>
              <w:right w:val="nil"/>
            </w:tcBorders>
            <w:shd w:val="clear" w:color="auto" w:fill="auto"/>
          </w:tcPr>
          <w:p w14:paraId="38E241D9" w14:textId="77777777" w:rsidR="0011262F" w:rsidRDefault="0011262F" w:rsidP="00B54007">
            <w:pPr>
              <w:pStyle w:val="Figurespace"/>
            </w:pPr>
          </w:p>
        </w:tc>
      </w:tr>
      <w:tr w:rsidR="0011262F" w:rsidRPr="000863A5" w14:paraId="60DF974B" w14:textId="77777777" w:rsidTr="00B54007">
        <w:tc>
          <w:tcPr>
            <w:tcW w:w="5000" w:type="pct"/>
            <w:tcBorders>
              <w:top w:val="single" w:sz="6" w:space="0" w:color="78A22F"/>
              <w:left w:val="nil"/>
              <w:bottom w:val="nil"/>
              <w:right w:val="nil"/>
            </w:tcBorders>
          </w:tcPr>
          <w:p w14:paraId="68C4CC54" w14:textId="77777777" w:rsidR="0011262F" w:rsidRPr="00626D32" w:rsidRDefault="0011262F" w:rsidP="00B54007">
            <w:pPr>
              <w:pStyle w:val="BoxSpaceBelow"/>
            </w:pPr>
          </w:p>
        </w:tc>
      </w:tr>
    </w:tbl>
    <w:p w14:paraId="7CBBFDD8" w14:textId="77777777" w:rsidR="0011262F" w:rsidRPr="00F76FED" w:rsidRDefault="0011262F" w:rsidP="0011262F">
      <w:pPr>
        <w:pStyle w:val="BodyText"/>
      </w:pPr>
      <w:r>
        <w:br w:type="page"/>
      </w:r>
    </w:p>
    <w:p w14:paraId="5306535C" w14:textId="77777777" w:rsidR="0011262F" w:rsidRDefault="0011262F" w:rsidP="0011262F">
      <w:pPr>
        <w:pStyle w:val="Heading2"/>
      </w:pPr>
      <w:bookmarkStart w:id="72" w:name="_Toc532997279"/>
      <w:bookmarkStart w:id="73" w:name="_Toc534642298"/>
      <w:r w:rsidRPr="00AB4553">
        <w:lastRenderedPageBreak/>
        <w:t>A</w:t>
      </w:r>
      <w:r>
        <w:t>nnex</w:t>
      </w:r>
      <w:r w:rsidRPr="00AB4553">
        <w:t xml:space="preserve"> </w:t>
      </w:r>
      <w:r w:rsidRPr="00AB4553" w:rsidDel="00E33AC6">
        <w:t>E</w:t>
      </w:r>
      <w:r w:rsidRPr="00AB4553">
        <w:t>: Selection and cost model parameter estimates</w:t>
      </w:r>
      <w:bookmarkEnd w:id="72"/>
      <w:bookmarkEnd w:id="73"/>
    </w:p>
    <w:p w14:paraId="34B8CF0F" w14:textId="77777777" w:rsidR="0011262F" w:rsidRDefault="0011262F" w:rsidP="0011262F">
      <w:pPr>
        <w:pStyle w:val="BodyText"/>
      </w:pPr>
      <w:r>
        <w:t>This annex presents parameter estimates for the following models:</w:t>
      </w:r>
    </w:p>
    <w:p w14:paraId="30EC35BC" w14:textId="77777777" w:rsidR="0011262F" w:rsidRDefault="0011262F" w:rsidP="0011262F">
      <w:pPr>
        <w:pStyle w:val="ListBullet"/>
      </w:pPr>
      <w:r>
        <w:t>the primary joint module (cost function and pass</w:t>
      </w:r>
      <w:r>
        <w:noBreakHyphen/>
        <w:t>through) with unweighted fees and the identified outlier cases of products reporting zero fees for both administration and investment (table </w:t>
      </w:r>
      <w:proofErr w:type="spellStart"/>
      <w:r>
        <w:t>E.1</w:t>
      </w:r>
      <w:proofErr w:type="spellEnd"/>
      <w:r>
        <w:t>)</w:t>
      </w:r>
    </w:p>
    <w:p w14:paraId="70D64B7B" w14:textId="77777777" w:rsidR="0011262F" w:rsidRDefault="0011262F" w:rsidP="0011262F">
      <w:pPr>
        <w:pStyle w:val="ListBullet"/>
      </w:pPr>
      <w:r>
        <w:t>a joint model (table </w:t>
      </w:r>
      <w:proofErr w:type="spellStart"/>
      <w:r>
        <w:t>E.2</w:t>
      </w:r>
      <w:proofErr w:type="spellEnd"/>
      <w:r>
        <w:t xml:space="preserve">) with weighted fees and the identified outlier cases removed. </w:t>
      </w:r>
    </w:p>
    <w:p w14:paraId="681A93E2" w14:textId="77777777" w:rsidR="0011262F" w:rsidRDefault="0011262F" w:rsidP="0011262F">
      <w:pPr>
        <w:pStyle w:val="Heading3"/>
      </w:pPr>
      <w:r>
        <w:t>How should parameter estimates be interpreted?</w:t>
      </w:r>
    </w:p>
    <w:p w14:paraId="5EA83C03" w14:textId="77777777" w:rsidR="0011262F" w:rsidRDefault="0011262F" w:rsidP="0011262F">
      <w:pPr>
        <w:pStyle w:val="BodyText"/>
      </w:pPr>
      <w:r>
        <w:t>The posterior distributions that flow out from a Bayesian</w:t>
      </w:r>
      <w:r>
        <w:noBreakHyphen/>
        <w:t>estimated model are often simplified for presentation using summary statistics. In this supplement, medians of the parameter posterior distributions are presented to give an indication of an average effect. The uncertainty associated with parameter values is reported using the 2.5 and 97.5 percentiles of the posterior distribution — sometimes as a shaded area, sometimes as lines that indicate ranges. This can be interpreted as saying ‘</w:t>
      </w:r>
      <w:r w:rsidRPr="00967ACA">
        <w:rPr>
          <w:i/>
        </w:rPr>
        <w:t>there is a 95 per</w:t>
      </w:r>
      <w:r>
        <w:rPr>
          <w:i/>
        </w:rPr>
        <w:t> </w:t>
      </w:r>
      <w:r w:rsidRPr="00967ACA">
        <w:rPr>
          <w:i/>
        </w:rPr>
        <w:t>cent chance that the true parameter value lies in this range</w:t>
      </w:r>
      <w:r>
        <w:rPr>
          <w:i/>
        </w:rPr>
        <w:t>’</w:t>
      </w:r>
      <w:r w:rsidRPr="00AF1534">
        <w:t>.</w:t>
      </w:r>
    </w:p>
    <w:p w14:paraId="7713230B" w14:textId="77777777" w:rsidR="0011262F" w:rsidRDefault="0011262F" w:rsidP="0011262F">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1262F" w14:paraId="53EEAD0E" w14:textId="77777777" w:rsidTr="00B54007">
        <w:trPr>
          <w:tblHeader/>
        </w:trPr>
        <w:tc>
          <w:tcPr>
            <w:tcW w:w="5000" w:type="pct"/>
            <w:tcBorders>
              <w:top w:val="single" w:sz="6" w:space="0" w:color="78A22F"/>
              <w:left w:val="nil"/>
              <w:bottom w:val="nil"/>
              <w:right w:val="nil"/>
            </w:tcBorders>
            <w:shd w:val="clear" w:color="auto" w:fill="auto"/>
          </w:tcPr>
          <w:p w14:paraId="343442AD" w14:textId="77777777" w:rsidR="0011262F" w:rsidRPr="00784A05" w:rsidRDefault="0011262F" w:rsidP="00B54007">
            <w:pPr>
              <w:pStyle w:val="TableTitle"/>
            </w:pPr>
            <w:r>
              <w:rPr>
                <w:b w:val="0"/>
              </w:rPr>
              <w:t xml:space="preserve">Table </w:t>
            </w:r>
            <w:proofErr w:type="spellStart"/>
            <w:r>
              <w:rPr>
                <w:b w:val="0"/>
              </w:rPr>
              <w:t>E.1</w:t>
            </w:r>
            <w:proofErr w:type="spellEnd"/>
            <w:r>
              <w:tab/>
              <w:t>Parameter estimates</w:t>
            </w:r>
          </w:p>
        </w:tc>
      </w:tr>
      <w:tr w:rsidR="0011262F" w14:paraId="0411FB90" w14:textId="77777777" w:rsidTr="00B54007">
        <w:tc>
          <w:tcPr>
            <w:tcW w:w="5000" w:type="pct"/>
            <w:tcBorders>
              <w:top w:val="nil"/>
              <w:left w:val="nil"/>
              <w:bottom w:val="nil"/>
              <w:right w:val="nil"/>
            </w:tcBorders>
            <w:shd w:val="clear" w:color="auto" w:fill="auto"/>
          </w:tcPr>
          <w:tbl>
            <w:tblPr>
              <w:tblW w:w="8527" w:type="dxa"/>
              <w:tblCellMar>
                <w:top w:w="28" w:type="dxa"/>
                <w:left w:w="0" w:type="dxa"/>
                <w:right w:w="0" w:type="dxa"/>
              </w:tblCellMar>
              <w:tblLook w:val="0000" w:firstRow="0" w:lastRow="0" w:firstColumn="0" w:lastColumn="0" w:noHBand="0" w:noVBand="0"/>
            </w:tblPr>
            <w:tblGrid>
              <w:gridCol w:w="3141"/>
              <w:gridCol w:w="1078"/>
              <w:gridCol w:w="1078"/>
              <w:gridCol w:w="1078"/>
              <w:gridCol w:w="1078"/>
              <w:gridCol w:w="1074"/>
            </w:tblGrid>
            <w:tr w:rsidR="0011262F" w14:paraId="1FF15211" w14:textId="77777777" w:rsidTr="00B54007">
              <w:trPr>
                <w:tblHeader/>
              </w:trPr>
              <w:tc>
                <w:tcPr>
                  <w:tcW w:w="1842" w:type="pct"/>
                  <w:tcBorders>
                    <w:top w:val="single" w:sz="4" w:space="0" w:color="BFBFBF"/>
                    <w:bottom w:val="single" w:sz="6" w:space="0" w:color="BFBFBF"/>
                  </w:tcBorders>
                  <w:shd w:val="clear" w:color="auto" w:fill="auto"/>
                  <w:tcMar>
                    <w:top w:w="28" w:type="dxa"/>
                  </w:tcMar>
                  <w:vAlign w:val="bottom"/>
                </w:tcPr>
                <w:p w14:paraId="0671D37F" w14:textId="77777777" w:rsidR="0011262F" w:rsidRDefault="0011262F" w:rsidP="00B54007">
                  <w:pPr>
                    <w:pStyle w:val="TableColumnHeading"/>
                    <w:jc w:val="left"/>
                  </w:pPr>
                  <w:r>
                    <w:t>Parameter</w:t>
                  </w:r>
                </w:p>
              </w:tc>
              <w:tc>
                <w:tcPr>
                  <w:tcW w:w="632" w:type="pct"/>
                  <w:tcBorders>
                    <w:top w:val="single" w:sz="4" w:space="0" w:color="BFBFBF"/>
                    <w:bottom w:val="single" w:sz="6" w:space="0" w:color="BFBFBF"/>
                  </w:tcBorders>
                  <w:vAlign w:val="bottom"/>
                </w:tcPr>
                <w:p w14:paraId="57CB67B5" w14:textId="77777777" w:rsidR="0011262F" w:rsidRDefault="0011262F" w:rsidP="00B54007">
                  <w:pPr>
                    <w:pStyle w:val="TableColumnHeading"/>
                  </w:pPr>
                  <w:r>
                    <w:t>Mean</w:t>
                  </w:r>
                </w:p>
              </w:tc>
              <w:tc>
                <w:tcPr>
                  <w:tcW w:w="632" w:type="pct"/>
                  <w:tcBorders>
                    <w:top w:val="single" w:sz="4" w:space="0" w:color="BFBFBF"/>
                    <w:bottom w:val="single" w:sz="6" w:space="0" w:color="BFBFBF"/>
                  </w:tcBorders>
                  <w:shd w:val="clear" w:color="auto" w:fill="auto"/>
                  <w:tcMar>
                    <w:top w:w="28" w:type="dxa"/>
                  </w:tcMar>
                  <w:vAlign w:val="bottom"/>
                </w:tcPr>
                <w:p w14:paraId="315669EA" w14:textId="77777777" w:rsidR="0011262F" w:rsidRDefault="0011262F" w:rsidP="00B54007">
                  <w:pPr>
                    <w:pStyle w:val="TableColumnHeading"/>
                  </w:pPr>
                  <w:r>
                    <w:t>Standard deviation</w:t>
                  </w:r>
                </w:p>
              </w:tc>
              <w:tc>
                <w:tcPr>
                  <w:tcW w:w="632" w:type="pct"/>
                  <w:tcBorders>
                    <w:top w:val="single" w:sz="4" w:space="0" w:color="BFBFBF"/>
                    <w:bottom w:val="single" w:sz="6" w:space="0" w:color="BFBFBF"/>
                  </w:tcBorders>
                  <w:shd w:val="clear" w:color="auto" w:fill="auto"/>
                  <w:tcMar>
                    <w:top w:w="28" w:type="dxa"/>
                  </w:tcMar>
                  <w:vAlign w:val="bottom"/>
                </w:tcPr>
                <w:p w14:paraId="5B2A03B5" w14:textId="77777777" w:rsidR="0011262F" w:rsidRDefault="0011262F" w:rsidP="00B54007">
                  <w:pPr>
                    <w:pStyle w:val="TableColumnHeading"/>
                    <w:ind w:right="28"/>
                  </w:pPr>
                  <w:r>
                    <w:t>2.5 percentile</w:t>
                  </w:r>
                </w:p>
              </w:tc>
              <w:tc>
                <w:tcPr>
                  <w:tcW w:w="632" w:type="pct"/>
                  <w:tcBorders>
                    <w:top w:val="single" w:sz="4" w:space="0" w:color="BFBFBF"/>
                    <w:bottom w:val="single" w:sz="6" w:space="0" w:color="BFBFBF"/>
                  </w:tcBorders>
                  <w:vAlign w:val="bottom"/>
                </w:tcPr>
                <w:p w14:paraId="75DD1E74" w14:textId="77777777" w:rsidR="0011262F" w:rsidRDefault="0011262F" w:rsidP="00B54007">
                  <w:pPr>
                    <w:pStyle w:val="TableColumnHeading"/>
                    <w:ind w:right="28"/>
                  </w:pPr>
                  <w:r>
                    <w:t>Median</w:t>
                  </w:r>
                </w:p>
              </w:tc>
              <w:tc>
                <w:tcPr>
                  <w:tcW w:w="630" w:type="pct"/>
                  <w:tcBorders>
                    <w:top w:val="single" w:sz="4" w:space="0" w:color="BFBFBF"/>
                    <w:bottom w:val="single" w:sz="6" w:space="0" w:color="BFBFBF"/>
                  </w:tcBorders>
                  <w:vAlign w:val="bottom"/>
                </w:tcPr>
                <w:p w14:paraId="3EE630F7" w14:textId="77777777" w:rsidR="0011262F" w:rsidRDefault="0011262F" w:rsidP="00B54007">
                  <w:pPr>
                    <w:pStyle w:val="TableColumnHeading"/>
                  </w:pPr>
                  <w:r>
                    <w:t>97.5 percentile</w:t>
                  </w:r>
                </w:p>
              </w:tc>
            </w:tr>
            <w:tr w:rsidR="0011262F" w14:paraId="32581FC5" w14:textId="77777777" w:rsidTr="00B54007">
              <w:tc>
                <w:tcPr>
                  <w:tcW w:w="1842" w:type="pct"/>
                  <w:tcBorders>
                    <w:top w:val="single" w:sz="6" w:space="0" w:color="BFBFBF"/>
                  </w:tcBorders>
                  <w:shd w:val="clear" w:color="auto" w:fill="BFBFBF" w:themeFill="background1" w:themeFillShade="BF"/>
                </w:tcPr>
                <w:p w14:paraId="07E623F5" w14:textId="77777777" w:rsidR="0011262F" w:rsidRPr="00992D7E" w:rsidRDefault="0011262F" w:rsidP="00B54007">
                  <w:pPr>
                    <w:pStyle w:val="TableBodyText"/>
                    <w:jc w:val="left"/>
                    <w:rPr>
                      <w:b/>
                    </w:rPr>
                  </w:pPr>
                  <w:r>
                    <w:rPr>
                      <w:b/>
                    </w:rPr>
                    <w:t>Likelihood</w:t>
                  </w:r>
                </w:p>
              </w:tc>
              <w:tc>
                <w:tcPr>
                  <w:tcW w:w="632" w:type="pct"/>
                  <w:tcBorders>
                    <w:top w:val="single" w:sz="6" w:space="0" w:color="BFBFBF"/>
                  </w:tcBorders>
                  <w:shd w:val="clear" w:color="auto" w:fill="BFBFBF" w:themeFill="background1" w:themeFillShade="BF"/>
                </w:tcPr>
                <w:p w14:paraId="22FE0FF3" w14:textId="77777777" w:rsidR="0011262F" w:rsidRDefault="0011262F" w:rsidP="00B54007">
                  <w:pPr>
                    <w:pStyle w:val="TableBodyText"/>
                    <w:ind w:right="28"/>
                  </w:pPr>
                </w:p>
              </w:tc>
              <w:tc>
                <w:tcPr>
                  <w:tcW w:w="632" w:type="pct"/>
                  <w:tcBorders>
                    <w:top w:val="single" w:sz="6" w:space="0" w:color="BFBFBF"/>
                  </w:tcBorders>
                  <w:shd w:val="clear" w:color="auto" w:fill="BFBFBF" w:themeFill="background1" w:themeFillShade="BF"/>
                </w:tcPr>
                <w:p w14:paraId="07B69B9F" w14:textId="77777777" w:rsidR="0011262F" w:rsidRDefault="0011262F" w:rsidP="00B54007">
                  <w:pPr>
                    <w:pStyle w:val="TableBodyText"/>
                    <w:ind w:right="28"/>
                  </w:pPr>
                </w:p>
              </w:tc>
              <w:tc>
                <w:tcPr>
                  <w:tcW w:w="632" w:type="pct"/>
                  <w:tcBorders>
                    <w:top w:val="single" w:sz="6" w:space="0" w:color="BFBFBF"/>
                  </w:tcBorders>
                  <w:shd w:val="clear" w:color="auto" w:fill="BFBFBF" w:themeFill="background1" w:themeFillShade="BF"/>
                </w:tcPr>
                <w:p w14:paraId="037CDB09" w14:textId="77777777" w:rsidR="0011262F" w:rsidRDefault="0011262F" w:rsidP="00B54007">
                  <w:pPr>
                    <w:pStyle w:val="TableBodyText"/>
                    <w:ind w:right="28"/>
                  </w:pPr>
                </w:p>
              </w:tc>
              <w:tc>
                <w:tcPr>
                  <w:tcW w:w="632" w:type="pct"/>
                  <w:tcBorders>
                    <w:top w:val="single" w:sz="6" w:space="0" w:color="BFBFBF"/>
                  </w:tcBorders>
                  <w:shd w:val="clear" w:color="auto" w:fill="BFBFBF" w:themeFill="background1" w:themeFillShade="BF"/>
                </w:tcPr>
                <w:p w14:paraId="67EBAB8E" w14:textId="77777777" w:rsidR="0011262F" w:rsidRDefault="0011262F" w:rsidP="00B54007">
                  <w:pPr>
                    <w:pStyle w:val="TableBodyText"/>
                    <w:ind w:right="28"/>
                  </w:pPr>
                </w:p>
              </w:tc>
              <w:tc>
                <w:tcPr>
                  <w:tcW w:w="630" w:type="pct"/>
                  <w:tcBorders>
                    <w:top w:val="single" w:sz="6" w:space="0" w:color="BFBFBF"/>
                  </w:tcBorders>
                  <w:shd w:val="clear" w:color="auto" w:fill="BFBFBF" w:themeFill="background1" w:themeFillShade="BF"/>
                </w:tcPr>
                <w:p w14:paraId="572144C5" w14:textId="77777777" w:rsidR="0011262F" w:rsidRDefault="0011262F" w:rsidP="00B54007">
                  <w:pPr>
                    <w:pStyle w:val="TableBodyText"/>
                  </w:pPr>
                </w:p>
              </w:tc>
            </w:tr>
            <w:tr w:rsidR="0011262F" w14:paraId="76CF5030" w14:textId="77777777" w:rsidTr="00B54007">
              <w:tc>
                <w:tcPr>
                  <w:tcW w:w="1842" w:type="pct"/>
                  <w:vAlign w:val="bottom"/>
                </w:tcPr>
                <w:p w14:paraId="79C7991C" w14:textId="77777777" w:rsidR="0011262F" w:rsidRPr="00C358C1" w:rsidRDefault="0011262F" w:rsidP="00B54007">
                  <w:pPr>
                    <w:pStyle w:val="TableBodyText"/>
                    <w:jc w:val="left"/>
                  </w:pPr>
                  <w:r w:rsidRPr="00C358C1">
                    <w:t>S</w:t>
                  </w:r>
                  <w:r>
                    <w:t>D</w:t>
                  </w:r>
                  <w:r w:rsidRPr="00C358C1">
                    <w:t xml:space="preserve"> of admin expenses</w:t>
                  </w:r>
                </w:p>
              </w:tc>
              <w:tc>
                <w:tcPr>
                  <w:tcW w:w="632" w:type="pct"/>
                  <w:vAlign w:val="bottom"/>
                </w:tcPr>
                <w:p w14:paraId="7949D17D" w14:textId="77777777" w:rsidR="0011262F" w:rsidRPr="00C358C1" w:rsidRDefault="0011262F" w:rsidP="00B54007">
                  <w:pPr>
                    <w:pStyle w:val="TableBodyText"/>
                    <w:ind w:right="28"/>
                  </w:pPr>
                  <w:r w:rsidRPr="00C358C1">
                    <w:t>0.175</w:t>
                  </w:r>
                </w:p>
              </w:tc>
              <w:tc>
                <w:tcPr>
                  <w:tcW w:w="632" w:type="pct"/>
                  <w:vAlign w:val="bottom"/>
                </w:tcPr>
                <w:p w14:paraId="1FF68E3D" w14:textId="77777777" w:rsidR="0011262F" w:rsidRPr="00C358C1" w:rsidRDefault="0011262F" w:rsidP="00B54007">
                  <w:pPr>
                    <w:pStyle w:val="TableBodyText"/>
                    <w:ind w:right="28"/>
                  </w:pPr>
                  <w:r w:rsidRPr="00C358C1">
                    <w:t>0.003</w:t>
                  </w:r>
                </w:p>
              </w:tc>
              <w:tc>
                <w:tcPr>
                  <w:tcW w:w="632" w:type="pct"/>
                  <w:vAlign w:val="bottom"/>
                </w:tcPr>
                <w:p w14:paraId="50BB8E4E" w14:textId="77777777" w:rsidR="0011262F" w:rsidRPr="00C358C1" w:rsidRDefault="0011262F" w:rsidP="00B54007">
                  <w:pPr>
                    <w:pStyle w:val="TableBodyText"/>
                    <w:ind w:right="28"/>
                  </w:pPr>
                  <w:r w:rsidRPr="00C358C1">
                    <w:t>0.170</w:t>
                  </w:r>
                </w:p>
              </w:tc>
              <w:tc>
                <w:tcPr>
                  <w:tcW w:w="632" w:type="pct"/>
                  <w:vAlign w:val="bottom"/>
                </w:tcPr>
                <w:p w14:paraId="464F1F80" w14:textId="77777777" w:rsidR="0011262F" w:rsidRPr="00C358C1" w:rsidRDefault="0011262F" w:rsidP="00B54007">
                  <w:pPr>
                    <w:pStyle w:val="TableBodyText"/>
                    <w:ind w:right="28"/>
                  </w:pPr>
                  <w:r w:rsidRPr="00C358C1">
                    <w:t>0.175</w:t>
                  </w:r>
                </w:p>
              </w:tc>
              <w:tc>
                <w:tcPr>
                  <w:tcW w:w="630" w:type="pct"/>
                  <w:vAlign w:val="bottom"/>
                </w:tcPr>
                <w:p w14:paraId="6478512E" w14:textId="77777777" w:rsidR="0011262F" w:rsidRPr="00C358C1" w:rsidRDefault="0011262F" w:rsidP="00B54007">
                  <w:pPr>
                    <w:pStyle w:val="TableBodyText"/>
                  </w:pPr>
                  <w:r w:rsidRPr="00C358C1">
                    <w:t>0.181</w:t>
                  </w:r>
                </w:p>
              </w:tc>
            </w:tr>
            <w:tr w:rsidR="0011262F" w14:paraId="12CF8130" w14:textId="77777777" w:rsidTr="00B54007">
              <w:tc>
                <w:tcPr>
                  <w:tcW w:w="1842" w:type="pct"/>
                  <w:shd w:val="clear" w:color="auto" w:fill="F2F2F2" w:themeFill="background1" w:themeFillShade="F2"/>
                  <w:vAlign w:val="bottom"/>
                </w:tcPr>
                <w:p w14:paraId="0A4432A8" w14:textId="77777777" w:rsidR="0011262F" w:rsidRPr="00C358C1" w:rsidRDefault="0011262F" w:rsidP="00B54007">
                  <w:pPr>
                    <w:pStyle w:val="TableBodyText"/>
                    <w:jc w:val="left"/>
                  </w:pPr>
                  <w:r w:rsidRPr="00C358C1">
                    <w:t>SD of investment expenses</w:t>
                  </w:r>
                </w:p>
              </w:tc>
              <w:tc>
                <w:tcPr>
                  <w:tcW w:w="632" w:type="pct"/>
                  <w:shd w:val="clear" w:color="auto" w:fill="F2F2F2" w:themeFill="background1" w:themeFillShade="F2"/>
                  <w:vAlign w:val="bottom"/>
                </w:tcPr>
                <w:p w14:paraId="75581C30" w14:textId="77777777" w:rsidR="0011262F" w:rsidRPr="00C358C1" w:rsidRDefault="0011262F" w:rsidP="00B54007">
                  <w:pPr>
                    <w:pStyle w:val="TableBodyText"/>
                    <w:ind w:right="28"/>
                  </w:pPr>
                  <w:r w:rsidRPr="00C358C1">
                    <w:t>0.308</w:t>
                  </w:r>
                </w:p>
              </w:tc>
              <w:tc>
                <w:tcPr>
                  <w:tcW w:w="632" w:type="pct"/>
                  <w:shd w:val="clear" w:color="auto" w:fill="F2F2F2" w:themeFill="background1" w:themeFillShade="F2"/>
                  <w:vAlign w:val="bottom"/>
                </w:tcPr>
                <w:p w14:paraId="503E5060" w14:textId="77777777" w:rsidR="0011262F" w:rsidRPr="00C358C1" w:rsidRDefault="0011262F" w:rsidP="00B54007">
                  <w:pPr>
                    <w:pStyle w:val="TableBodyText"/>
                    <w:ind w:right="28"/>
                  </w:pPr>
                  <w:r w:rsidRPr="00C358C1">
                    <w:t>0.005</w:t>
                  </w:r>
                </w:p>
              </w:tc>
              <w:tc>
                <w:tcPr>
                  <w:tcW w:w="632" w:type="pct"/>
                  <w:shd w:val="clear" w:color="auto" w:fill="F2F2F2" w:themeFill="background1" w:themeFillShade="F2"/>
                  <w:vAlign w:val="bottom"/>
                </w:tcPr>
                <w:p w14:paraId="019E654B" w14:textId="77777777" w:rsidR="0011262F" w:rsidRPr="00C358C1" w:rsidRDefault="0011262F" w:rsidP="00B54007">
                  <w:pPr>
                    <w:pStyle w:val="TableBodyText"/>
                    <w:ind w:right="28"/>
                  </w:pPr>
                  <w:r w:rsidRPr="00C358C1">
                    <w:t>0.298</w:t>
                  </w:r>
                </w:p>
              </w:tc>
              <w:tc>
                <w:tcPr>
                  <w:tcW w:w="632" w:type="pct"/>
                  <w:shd w:val="clear" w:color="auto" w:fill="F2F2F2" w:themeFill="background1" w:themeFillShade="F2"/>
                  <w:vAlign w:val="bottom"/>
                </w:tcPr>
                <w:p w14:paraId="34A0AFBC" w14:textId="77777777" w:rsidR="0011262F" w:rsidRPr="00C358C1" w:rsidRDefault="0011262F" w:rsidP="00B54007">
                  <w:pPr>
                    <w:pStyle w:val="TableBodyText"/>
                    <w:ind w:right="28"/>
                  </w:pPr>
                  <w:r w:rsidRPr="00C358C1">
                    <w:t>0.308</w:t>
                  </w:r>
                </w:p>
              </w:tc>
              <w:tc>
                <w:tcPr>
                  <w:tcW w:w="630" w:type="pct"/>
                  <w:shd w:val="clear" w:color="auto" w:fill="F2F2F2" w:themeFill="background1" w:themeFillShade="F2"/>
                  <w:vAlign w:val="bottom"/>
                </w:tcPr>
                <w:p w14:paraId="13828FB3" w14:textId="77777777" w:rsidR="0011262F" w:rsidRPr="00C358C1" w:rsidRDefault="0011262F" w:rsidP="00B54007">
                  <w:pPr>
                    <w:pStyle w:val="TableBodyText"/>
                  </w:pPr>
                  <w:r w:rsidRPr="00C358C1">
                    <w:t>0.317</w:t>
                  </w:r>
                </w:p>
              </w:tc>
            </w:tr>
            <w:tr w:rsidR="0011262F" w14:paraId="1F6A44EC" w14:textId="77777777" w:rsidTr="00B54007">
              <w:tc>
                <w:tcPr>
                  <w:tcW w:w="1842" w:type="pct"/>
                  <w:vAlign w:val="bottom"/>
                </w:tcPr>
                <w:p w14:paraId="3D9BBE48" w14:textId="77777777" w:rsidR="0011262F" w:rsidRPr="00C358C1" w:rsidRDefault="0011262F" w:rsidP="00B54007">
                  <w:pPr>
                    <w:pStyle w:val="TableBodyText"/>
                    <w:jc w:val="left"/>
                  </w:pPr>
                </w:p>
              </w:tc>
              <w:tc>
                <w:tcPr>
                  <w:tcW w:w="632" w:type="pct"/>
                  <w:vAlign w:val="bottom"/>
                </w:tcPr>
                <w:p w14:paraId="1ADF95F4" w14:textId="77777777" w:rsidR="0011262F" w:rsidRPr="00C358C1" w:rsidRDefault="0011262F" w:rsidP="00B54007">
                  <w:pPr>
                    <w:pStyle w:val="TableBodyText"/>
                    <w:ind w:right="28"/>
                  </w:pPr>
                </w:p>
              </w:tc>
              <w:tc>
                <w:tcPr>
                  <w:tcW w:w="632" w:type="pct"/>
                  <w:vAlign w:val="bottom"/>
                </w:tcPr>
                <w:p w14:paraId="0E887FDE" w14:textId="77777777" w:rsidR="0011262F" w:rsidRPr="00C358C1" w:rsidRDefault="0011262F" w:rsidP="00B54007">
                  <w:pPr>
                    <w:pStyle w:val="TableBodyText"/>
                    <w:ind w:right="28"/>
                  </w:pPr>
                </w:p>
              </w:tc>
              <w:tc>
                <w:tcPr>
                  <w:tcW w:w="632" w:type="pct"/>
                  <w:vAlign w:val="bottom"/>
                </w:tcPr>
                <w:p w14:paraId="259E3367" w14:textId="77777777" w:rsidR="0011262F" w:rsidRPr="00C358C1" w:rsidRDefault="0011262F" w:rsidP="00B54007">
                  <w:pPr>
                    <w:pStyle w:val="TableBodyText"/>
                    <w:ind w:right="28"/>
                  </w:pPr>
                </w:p>
              </w:tc>
              <w:tc>
                <w:tcPr>
                  <w:tcW w:w="632" w:type="pct"/>
                  <w:vAlign w:val="bottom"/>
                </w:tcPr>
                <w:p w14:paraId="4126C265" w14:textId="77777777" w:rsidR="0011262F" w:rsidRPr="00C358C1" w:rsidRDefault="0011262F" w:rsidP="00B54007">
                  <w:pPr>
                    <w:pStyle w:val="TableBodyText"/>
                    <w:ind w:right="28"/>
                  </w:pPr>
                </w:p>
              </w:tc>
              <w:tc>
                <w:tcPr>
                  <w:tcW w:w="630" w:type="pct"/>
                  <w:vAlign w:val="bottom"/>
                </w:tcPr>
                <w:p w14:paraId="06FC7D94" w14:textId="77777777" w:rsidR="0011262F" w:rsidRPr="00C358C1" w:rsidRDefault="0011262F" w:rsidP="00B54007">
                  <w:pPr>
                    <w:pStyle w:val="TableBodyText"/>
                  </w:pPr>
                </w:p>
              </w:tc>
            </w:tr>
            <w:tr w:rsidR="0011262F" w14:paraId="7984C127" w14:textId="77777777" w:rsidTr="00B54007">
              <w:tc>
                <w:tcPr>
                  <w:tcW w:w="1842" w:type="pct"/>
                  <w:shd w:val="clear" w:color="auto" w:fill="BFBFBF" w:themeFill="background1" w:themeFillShade="BF"/>
                  <w:vAlign w:val="bottom"/>
                </w:tcPr>
                <w:p w14:paraId="4AE2E761" w14:textId="77777777" w:rsidR="0011262F" w:rsidRPr="00C358C1" w:rsidRDefault="0011262F" w:rsidP="00B54007">
                  <w:pPr>
                    <w:pStyle w:val="TableBodyText"/>
                    <w:jc w:val="left"/>
                    <w:rPr>
                      <w:b/>
                    </w:rPr>
                  </w:pPr>
                  <w:r w:rsidRPr="00C358C1">
                    <w:rPr>
                      <w:b/>
                    </w:rPr>
                    <w:t>Admin</w:t>
                  </w:r>
                </w:p>
              </w:tc>
              <w:tc>
                <w:tcPr>
                  <w:tcW w:w="632" w:type="pct"/>
                  <w:shd w:val="clear" w:color="auto" w:fill="BFBFBF" w:themeFill="background1" w:themeFillShade="BF"/>
                  <w:vAlign w:val="bottom"/>
                </w:tcPr>
                <w:p w14:paraId="7DD33F50" w14:textId="77777777" w:rsidR="0011262F" w:rsidRPr="00C358C1" w:rsidRDefault="0011262F" w:rsidP="00B54007">
                  <w:pPr>
                    <w:pStyle w:val="TableBodyText"/>
                    <w:ind w:right="28"/>
                  </w:pPr>
                </w:p>
              </w:tc>
              <w:tc>
                <w:tcPr>
                  <w:tcW w:w="632" w:type="pct"/>
                  <w:shd w:val="clear" w:color="auto" w:fill="BFBFBF" w:themeFill="background1" w:themeFillShade="BF"/>
                  <w:vAlign w:val="bottom"/>
                </w:tcPr>
                <w:p w14:paraId="2C30E06B" w14:textId="77777777" w:rsidR="0011262F" w:rsidRPr="00C358C1" w:rsidRDefault="0011262F" w:rsidP="00B54007">
                  <w:pPr>
                    <w:pStyle w:val="TableBodyText"/>
                    <w:ind w:right="28"/>
                  </w:pPr>
                </w:p>
              </w:tc>
              <w:tc>
                <w:tcPr>
                  <w:tcW w:w="632" w:type="pct"/>
                  <w:shd w:val="clear" w:color="auto" w:fill="BFBFBF" w:themeFill="background1" w:themeFillShade="BF"/>
                  <w:vAlign w:val="bottom"/>
                </w:tcPr>
                <w:p w14:paraId="6A1E2230" w14:textId="77777777" w:rsidR="0011262F" w:rsidRPr="00C358C1" w:rsidRDefault="0011262F" w:rsidP="00B54007">
                  <w:pPr>
                    <w:pStyle w:val="TableBodyText"/>
                    <w:ind w:right="28"/>
                  </w:pPr>
                </w:p>
              </w:tc>
              <w:tc>
                <w:tcPr>
                  <w:tcW w:w="632" w:type="pct"/>
                  <w:shd w:val="clear" w:color="auto" w:fill="BFBFBF" w:themeFill="background1" w:themeFillShade="BF"/>
                  <w:vAlign w:val="bottom"/>
                </w:tcPr>
                <w:p w14:paraId="211289EB" w14:textId="77777777" w:rsidR="0011262F" w:rsidRPr="00C358C1" w:rsidRDefault="0011262F" w:rsidP="00B54007">
                  <w:pPr>
                    <w:pStyle w:val="TableBodyText"/>
                    <w:ind w:right="28"/>
                  </w:pPr>
                </w:p>
              </w:tc>
              <w:tc>
                <w:tcPr>
                  <w:tcW w:w="630" w:type="pct"/>
                  <w:shd w:val="clear" w:color="auto" w:fill="BFBFBF" w:themeFill="background1" w:themeFillShade="BF"/>
                  <w:vAlign w:val="bottom"/>
                </w:tcPr>
                <w:p w14:paraId="5F41C739" w14:textId="77777777" w:rsidR="0011262F" w:rsidRPr="00C358C1" w:rsidRDefault="0011262F" w:rsidP="00B54007">
                  <w:pPr>
                    <w:pStyle w:val="TableBodyText"/>
                  </w:pPr>
                </w:p>
              </w:tc>
            </w:tr>
            <w:tr w:rsidR="0011262F" w14:paraId="2C699F19" w14:textId="77777777" w:rsidTr="00B54007">
              <w:tc>
                <w:tcPr>
                  <w:tcW w:w="1842" w:type="pct"/>
                  <w:vAlign w:val="bottom"/>
                </w:tcPr>
                <w:p w14:paraId="74F2E123" w14:textId="77777777" w:rsidR="0011262F" w:rsidRDefault="0011262F" w:rsidP="00B54007">
                  <w:pPr>
                    <w:pStyle w:val="TableBodyText"/>
                    <w:jc w:val="left"/>
                  </w:pPr>
                  <w:r w:rsidRPr="00C358C1">
                    <w:t>Assets</w:t>
                  </w:r>
                </w:p>
              </w:tc>
              <w:tc>
                <w:tcPr>
                  <w:tcW w:w="632" w:type="pct"/>
                  <w:vAlign w:val="bottom"/>
                </w:tcPr>
                <w:p w14:paraId="24B3F22E" w14:textId="77777777" w:rsidR="0011262F" w:rsidRDefault="0011262F" w:rsidP="00B54007">
                  <w:pPr>
                    <w:pStyle w:val="TableBodyText"/>
                    <w:ind w:right="28"/>
                  </w:pPr>
                  <w:r w:rsidRPr="00C358C1">
                    <w:t>0.511</w:t>
                  </w:r>
                </w:p>
              </w:tc>
              <w:tc>
                <w:tcPr>
                  <w:tcW w:w="632" w:type="pct"/>
                  <w:vAlign w:val="bottom"/>
                </w:tcPr>
                <w:p w14:paraId="265E88EF" w14:textId="77777777" w:rsidR="0011262F" w:rsidRDefault="0011262F" w:rsidP="00B54007">
                  <w:pPr>
                    <w:pStyle w:val="TableBodyText"/>
                    <w:ind w:right="28"/>
                  </w:pPr>
                  <w:r w:rsidRPr="00C358C1">
                    <w:t>0.044</w:t>
                  </w:r>
                </w:p>
              </w:tc>
              <w:tc>
                <w:tcPr>
                  <w:tcW w:w="632" w:type="pct"/>
                  <w:vAlign w:val="bottom"/>
                </w:tcPr>
                <w:p w14:paraId="13B7F179" w14:textId="77777777" w:rsidR="0011262F" w:rsidRDefault="0011262F" w:rsidP="00B54007">
                  <w:pPr>
                    <w:pStyle w:val="TableBodyText"/>
                    <w:ind w:right="28"/>
                  </w:pPr>
                  <w:r w:rsidRPr="00C358C1">
                    <w:t>0.432</w:t>
                  </w:r>
                </w:p>
              </w:tc>
              <w:tc>
                <w:tcPr>
                  <w:tcW w:w="632" w:type="pct"/>
                  <w:vAlign w:val="bottom"/>
                </w:tcPr>
                <w:p w14:paraId="12B76EB9" w14:textId="77777777" w:rsidR="0011262F" w:rsidRPr="00C358C1" w:rsidRDefault="0011262F" w:rsidP="00B54007">
                  <w:pPr>
                    <w:pStyle w:val="TableBodyText"/>
                    <w:ind w:right="28"/>
                  </w:pPr>
                  <w:r w:rsidRPr="00C358C1">
                    <w:t>0.510</w:t>
                  </w:r>
                </w:p>
              </w:tc>
              <w:tc>
                <w:tcPr>
                  <w:tcW w:w="630" w:type="pct"/>
                  <w:vAlign w:val="bottom"/>
                </w:tcPr>
                <w:p w14:paraId="221F78CA" w14:textId="77777777" w:rsidR="0011262F" w:rsidRPr="00C358C1" w:rsidRDefault="0011262F" w:rsidP="00B54007">
                  <w:pPr>
                    <w:pStyle w:val="TableBodyText"/>
                  </w:pPr>
                  <w:r w:rsidRPr="00C358C1">
                    <w:t>0.597</w:t>
                  </w:r>
                </w:p>
              </w:tc>
            </w:tr>
            <w:tr w:rsidR="0011262F" w14:paraId="78930227" w14:textId="77777777" w:rsidTr="00B54007">
              <w:tc>
                <w:tcPr>
                  <w:tcW w:w="1842" w:type="pct"/>
                  <w:shd w:val="clear" w:color="auto" w:fill="F2F2F2" w:themeFill="background1" w:themeFillShade="F2"/>
                  <w:vAlign w:val="bottom"/>
                </w:tcPr>
                <w:p w14:paraId="6B094105" w14:textId="77777777" w:rsidR="0011262F" w:rsidRDefault="0011262F" w:rsidP="00B54007">
                  <w:pPr>
                    <w:pStyle w:val="TableBodyText"/>
                    <w:jc w:val="left"/>
                  </w:pPr>
                  <w:r w:rsidRPr="00C358C1">
                    <w:t>Member accounts</w:t>
                  </w:r>
                </w:p>
              </w:tc>
              <w:tc>
                <w:tcPr>
                  <w:tcW w:w="632" w:type="pct"/>
                  <w:shd w:val="clear" w:color="auto" w:fill="F2F2F2" w:themeFill="background1" w:themeFillShade="F2"/>
                  <w:vAlign w:val="bottom"/>
                </w:tcPr>
                <w:p w14:paraId="5D104CD5" w14:textId="77777777" w:rsidR="0011262F" w:rsidRDefault="0011262F" w:rsidP="00B54007">
                  <w:pPr>
                    <w:pStyle w:val="TableBodyText"/>
                    <w:ind w:right="28"/>
                  </w:pPr>
                  <w:r w:rsidRPr="00C358C1">
                    <w:t>0.445</w:t>
                  </w:r>
                </w:p>
              </w:tc>
              <w:tc>
                <w:tcPr>
                  <w:tcW w:w="632" w:type="pct"/>
                  <w:shd w:val="clear" w:color="auto" w:fill="F2F2F2" w:themeFill="background1" w:themeFillShade="F2"/>
                  <w:vAlign w:val="bottom"/>
                </w:tcPr>
                <w:p w14:paraId="5560767F" w14:textId="77777777" w:rsidR="0011262F" w:rsidRDefault="0011262F" w:rsidP="00B54007">
                  <w:pPr>
                    <w:pStyle w:val="TableBodyText"/>
                    <w:ind w:right="28"/>
                  </w:pPr>
                  <w:r w:rsidRPr="00C358C1">
                    <w:t>0.053</w:t>
                  </w:r>
                </w:p>
              </w:tc>
              <w:tc>
                <w:tcPr>
                  <w:tcW w:w="632" w:type="pct"/>
                  <w:shd w:val="clear" w:color="auto" w:fill="F2F2F2" w:themeFill="background1" w:themeFillShade="F2"/>
                  <w:vAlign w:val="bottom"/>
                </w:tcPr>
                <w:p w14:paraId="70AECE49" w14:textId="77777777" w:rsidR="0011262F" w:rsidRDefault="0011262F" w:rsidP="00B54007">
                  <w:pPr>
                    <w:pStyle w:val="TableBodyText"/>
                    <w:ind w:right="28"/>
                  </w:pPr>
                  <w:r w:rsidRPr="00C358C1">
                    <w:t>0.341</w:t>
                  </w:r>
                </w:p>
              </w:tc>
              <w:tc>
                <w:tcPr>
                  <w:tcW w:w="632" w:type="pct"/>
                  <w:shd w:val="clear" w:color="auto" w:fill="F2F2F2" w:themeFill="background1" w:themeFillShade="F2"/>
                  <w:vAlign w:val="bottom"/>
                </w:tcPr>
                <w:p w14:paraId="7D2CB2CA" w14:textId="77777777" w:rsidR="0011262F" w:rsidRPr="00C358C1" w:rsidRDefault="0011262F" w:rsidP="00B54007">
                  <w:pPr>
                    <w:pStyle w:val="TableBodyText"/>
                    <w:ind w:right="28"/>
                  </w:pPr>
                  <w:r w:rsidRPr="00C358C1">
                    <w:t>0.445</w:t>
                  </w:r>
                </w:p>
              </w:tc>
              <w:tc>
                <w:tcPr>
                  <w:tcW w:w="630" w:type="pct"/>
                  <w:shd w:val="clear" w:color="auto" w:fill="F2F2F2" w:themeFill="background1" w:themeFillShade="F2"/>
                  <w:vAlign w:val="bottom"/>
                </w:tcPr>
                <w:p w14:paraId="36D3DB5B" w14:textId="77777777" w:rsidR="0011262F" w:rsidRPr="00C358C1" w:rsidRDefault="0011262F" w:rsidP="00B54007">
                  <w:pPr>
                    <w:pStyle w:val="TableBodyText"/>
                  </w:pPr>
                  <w:r w:rsidRPr="00C358C1">
                    <w:t>0.544</w:t>
                  </w:r>
                </w:p>
              </w:tc>
            </w:tr>
            <w:tr w:rsidR="0011262F" w14:paraId="3E955B91" w14:textId="77777777" w:rsidTr="00B54007">
              <w:tc>
                <w:tcPr>
                  <w:tcW w:w="1842" w:type="pct"/>
                  <w:shd w:val="clear" w:color="auto" w:fill="auto"/>
                  <w:vAlign w:val="bottom"/>
                </w:tcPr>
                <w:p w14:paraId="3AC6990A" w14:textId="77777777" w:rsidR="0011262F" w:rsidRDefault="0011262F" w:rsidP="00B54007">
                  <w:pPr>
                    <w:pStyle w:val="TableBodyText"/>
                    <w:jc w:val="left"/>
                  </w:pPr>
                  <w:r w:rsidRPr="00C358C1">
                    <w:t>Number of investment options</w:t>
                  </w:r>
                </w:p>
              </w:tc>
              <w:tc>
                <w:tcPr>
                  <w:tcW w:w="632" w:type="pct"/>
                  <w:vAlign w:val="bottom"/>
                </w:tcPr>
                <w:p w14:paraId="6FE9ECAC" w14:textId="77777777" w:rsidR="0011262F" w:rsidRDefault="0011262F" w:rsidP="00B54007">
                  <w:pPr>
                    <w:pStyle w:val="TableBodyText"/>
                    <w:ind w:right="28"/>
                  </w:pPr>
                  <w:r w:rsidRPr="00C358C1">
                    <w:t>0.059</w:t>
                  </w:r>
                </w:p>
              </w:tc>
              <w:tc>
                <w:tcPr>
                  <w:tcW w:w="632" w:type="pct"/>
                  <w:shd w:val="clear" w:color="auto" w:fill="auto"/>
                  <w:vAlign w:val="bottom"/>
                </w:tcPr>
                <w:p w14:paraId="7C296CBB" w14:textId="77777777" w:rsidR="0011262F" w:rsidRDefault="0011262F" w:rsidP="00B54007">
                  <w:pPr>
                    <w:pStyle w:val="TableBodyText"/>
                    <w:ind w:right="28"/>
                  </w:pPr>
                  <w:r w:rsidRPr="00C358C1">
                    <w:t>0.011</w:t>
                  </w:r>
                </w:p>
              </w:tc>
              <w:tc>
                <w:tcPr>
                  <w:tcW w:w="632" w:type="pct"/>
                  <w:shd w:val="clear" w:color="auto" w:fill="auto"/>
                  <w:vAlign w:val="bottom"/>
                </w:tcPr>
                <w:p w14:paraId="5C3D31A6" w14:textId="77777777" w:rsidR="0011262F" w:rsidRDefault="0011262F" w:rsidP="00B54007">
                  <w:pPr>
                    <w:pStyle w:val="TableBodyText"/>
                    <w:ind w:right="28"/>
                  </w:pPr>
                  <w:r w:rsidRPr="00C358C1">
                    <w:t>0.035</w:t>
                  </w:r>
                </w:p>
              </w:tc>
              <w:tc>
                <w:tcPr>
                  <w:tcW w:w="632" w:type="pct"/>
                  <w:vAlign w:val="bottom"/>
                </w:tcPr>
                <w:p w14:paraId="32A6A6EA" w14:textId="77777777" w:rsidR="0011262F" w:rsidRDefault="0011262F" w:rsidP="00B54007">
                  <w:pPr>
                    <w:pStyle w:val="TableBodyText"/>
                    <w:ind w:right="28"/>
                  </w:pPr>
                  <w:r w:rsidRPr="00C358C1">
                    <w:t>0.060</w:t>
                  </w:r>
                </w:p>
              </w:tc>
              <w:tc>
                <w:tcPr>
                  <w:tcW w:w="630" w:type="pct"/>
                  <w:vAlign w:val="bottom"/>
                </w:tcPr>
                <w:p w14:paraId="3E5E3148" w14:textId="77777777" w:rsidR="0011262F" w:rsidRDefault="0011262F" w:rsidP="00B54007">
                  <w:pPr>
                    <w:pStyle w:val="TableBodyText"/>
                  </w:pPr>
                  <w:r w:rsidRPr="00C358C1">
                    <w:t>0.082</w:t>
                  </w:r>
                </w:p>
              </w:tc>
            </w:tr>
            <w:tr w:rsidR="0011262F" w14:paraId="09950171" w14:textId="77777777" w:rsidTr="00B54007">
              <w:tc>
                <w:tcPr>
                  <w:tcW w:w="1842" w:type="pct"/>
                  <w:shd w:val="clear" w:color="auto" w:fill="F2F2F2" w:themeFill="background1" w:themeFillShade="F2"/>
                  <w:vAlign w:val="bottom"/>
                </w:tcPr>
                <w:p w14:paraId="02E69D4D" w14:textId="77777777" w:rsidR="0011262F" w:rsidRDefault="0011262F" w:rsidP="00B54007">
                  <w:pPr>
                    <w:pStyle w:val="TableBodyText"/>
                    <w:jc w:val="left"/>
                  </w:pPr>
                  <w:r w:rsidRPr="00C358C1">
                    <w:t>Net contributions</w:t>
                  </w:r>
                </w:p>
              </w:tc>
              <w:tc>
                <w:tcPr>
                  <w:tcW w:w="632" w:type="pct"/>
                  <w:shd w:val="clear" w:color="auto" w:fill="F2F2F2" w:themeFill="background1" w:themeFillShade="F2"/>
                  <w:vAlign w:val="bottom"/>
                </w:tcPr>
                <w:p w14:paraId="642D3B5B" w14:textId="77777777" w:rsidR="0011262F" w:rsidRDefault="0011262F" w:rsidP="00B54007">
                  <w:pPr>
                    <w:pStyle w:val="TableBodyText"/>
                    <w:ind w:right="28"/>
                  </w:pPr>
                  <w:r w:rsidRPr="00C358C1">
                    <w:t>0.006</w:t>
                  </w:r>
                </w:p>
              </w:tc>
              <w:tc>
                <w:tcPr>
                  <w:tcW w:w="632" w:type="pct"/>
                  <w:shd w:val="clear" w:color="auto" w:fill="F2F2F2" w:themeFill="background1" w:themeFillShade="F2"/>
                  <w:vAlign w:val="bottom"/>
                </w:tcPr>
                <w:p w14:paraId="364B0E98" w14:textId="77777777" w:rsidR="0011262F" w:rsidRDefault="0011262F" w:rsidP="00B54007">
                  <w:pPr>
                    <w:pStyle w:val="TableBodyText"/>
                    <w:ind w:right="28"/>
                  </w:pPr>
                  <w:r w:rsidRPr="00C358C1">
                    <w:t>0.007</w:t>
                  </w:r>
                </w:p>
              </w:tc>
              <w:tc>
                <w:tcPr>
                  <w:tcW w:w="632" w:type="pct"/>
                  <w:shd w:val="clear" w:color="auto" w:fill="F2F2F2" w:themeFill="background1" w:themeFillShade="F2"/>
                  <w:vAlign w:val="bottom"/>
                </w:tcPr>
                <w:p w14:paraId="787BA359" w14:textId="77777777" w:rsidR="0011262F" w:rsidRDefault="0011262F" w:rsidP="00B54007">
                  <w:pPr>
                    <w:pStyle w:val="TableBodyText"/>
                    <w:ind w:right="28"/>
                  </w:pPr>
                  <w:r w:rsidRPr="00C358C1">
                    <w:t>-0.008</w:t>
                  </w:r>
                </w:p>
              </w:tc>
              <w:tc>
                <w:tcPr>
                  <w:tcW w:w="632" w:type="pct"/>
                  <w:shd w:val="clear" w:color="auto" w:fill="F2F2F2" w:themeFill="background1" w:themeFillShade="F2"/>
                  <w:vAlign w:val="bottom"/>
                </w:tcPr>
                <w:p w14:paraId="3A368E22" w14:textId="77777777" w:rsidR="0011262F" w:rsidRDefault="0011262F" w:rsidP="00B54007">
                  <w:pPr>
                    <w:pStyle w:val="TableBodyText"/>
                    <w:ind w:right="28"/>
                  </w:pPr>
                  <w:r w:rsidRPr="00C358C1">
                    <w:t>0.006</w:t>
                  </w:r>
                </w:p>
              </w:tc>
              <w:tc>
                <w:tcPr>
                  <w:tcW w:w="630" w:type="pct"/>
                  <w:shd w:val="clear" w:color="auto" w:fill="F2F2F2" w:themeFill="background1" w:themeFillShade="F2"/>
                  <w:vAlign w:val="bottom"/>
                </w:tcPr>
                <w:p w14:paraId="59F7917B" w14:textId="77777777" w:rsidR="0011262F" w:rsidRDefault="0011262F" w:rsidP="00B54007">
                  <w:pPr>
                    <w:pStyle w:val="TableBodyText"/>
                  </w:pPr>
                  <w:r w:rsidRPr="00C358C1">
                    <w:t>0.019</w:t>
                  </w:r>
                </w:p>
              </w:tc>
            </w:tr>
            <w:tr w:rsidR="0011262F" w14:paraId="72A9122B" w14:textId="77777777" w:rsidTr="00B54007">
              <w:tc>
                <w:tcPr>
                  <w:tcW w:w="1842" w:type="pct"/>
                  <w:shd w:val="clear" w:color="auto" w:fill="auto"/>
                  <w:vAlign w:val="bottom"/>
                </w:tcPr>
                <w:p w14:paraId="3464F2CA" w14:textId="77777777" w:rsidR="0011262F" w:rsidRDefault="0011262F" w:rsidP="00B54007">
                  <w:pPr>
                    <w:pStyle w:val="TableBodyText"/>
                    <w:jc w:val="left"/>
                  </w:pPr>
                  <w:r w:rsidRPr="00C358C1">
                    <w:t>Net rollovers</w:t>
                  </w:r>
                </w:p>
              </w:tc>
              <w:tc>
                <w:tcPr>
                  <w:tcW w:w="632" w:type="pct"/>
                  <w:vAlign w:val="bottom"/>
                </w:tcPr>
                <w:p w14:paraId="1FC305B4" w14:textId="77777777" w:rsidR="0011262F" w:rsidRDefault="0011262F" w:rsidP="00B54007">
                  <w:pPr>
                    <w:pStyle w:val="TableBodyText"/>
                    <w:ind w:right="28"/>
                  </w:pPr>
                  <w:r w:rsidRPr="00C358C1">
                    <w:t>-0.010</w:t>
                  </w:r>
                </w:p>
              </w:tc>
              <w:tc>
                <w:tcPr>
                  <w:tcW w:w="632" w:type="pct"/>
                  <w:shd w:val="clear" w:color="auto" w:fill="auto"/>
                  <w:vAlign w:val="bottom"/>
                </w:tcPr>
                <w:p w14:paraId="17BE8776" w14:textId="77777777" w:rsidR="0011262F" w:rsidRDefault="0011262F" w:rsidP="00B54007">
                  <w:pPr>
                    <w:pStyle w:val="TableBodyText"/>
                    <w:ind w:right="28"/>
                  </w:pPr>
                  <w:r w:rsidRPr="00C358C1">
                    <w:t>0.004</w:t>
                  </w:r>
                </w:p>
              </w:tc>
              <w:tc>
                <w:tcPr>
                  <w:tcW w:w="632" w:type="pct"/>
                  <w:shd w:val="clear" w:color="auto" w:fill="auto"/>
                  <w:vAlign w:val="bottom"/>
                </w:tcPr>
                <w:p w14:paraId="035F6EC5" w14:textId="77777777" w:rsidR="0011262F" w:rsidRDefault="0011262F" w:rsidP="00B54007">
                  <w:pPr>
                    <w:pStyle w:val="TableBodyText"/>
                    <w:ind w:right="28"/>
                  </w:pPr>
                  <w:r w:rsidRPr="00C358C1">
                    <w:t>-0.018</w:t>
                  </w:r>
                </w:p>
              </w:tc>
              <w:tc>
                <w:tcPr>
                  <w:tcW w:w="632" w:type="pct"/>
                  <w:vAlign w:val="bottom"/>
                </w:tcPr>
                <w:p w14:paraId="7F29382E" w14:textId="77777777" w:rsidR="0011262F" w:rsidRDefault="0011262F" w:rsidP="00B54007">
                  <w:pPr>
                    <w:pStyle w:val="TableBodyText"/>
                    <w:ind w:right="28"/>
                  </w:pPr>
                  <w:r w:rsidRPr="00C358C1">
                    <w:t>-0.010</w:t>
                  </w:r>
                </w:p>
              </w:tc>
              <w:tc>
                <w:tcPr>
                  <w:tcW w:w="630" w:type="pct"/>
                  <w:vAlign w:val="bottom"/>
                </w:tcPr>
                <w:p w14:paraId="6B5D3AE3" w14:textId="77777777" w:rsidR="0011262F" w:rsidRDefault="0011262F" w:rsidP="00B54007">
                  <w:pPr>
                    <w:pStyle w:val="TableBodyText"/>
                  </w:pPr>
                  <w:r w:rsidRPr="00C358C1">
                    <w:t>-0.004</w:t>
                  </w:r>
                </w:p>
              </w:tc>
            </w:tr>
            <w:tr w:rsidR="0011262F" w14:paraId="541C4A1B" w14:textId="77777777" w:rsidTr="00B54007">
              <w:tc>
                <w:tcPr>
                  <w:tcW w:w="1842" w:type="pct"/>
                  <w:shd w:val="clear" w:color="auto" w:fill="F2F2F2" w:themeFill="background1" w:themeFillShade="F2"/>
                  <w:vAlign w:val="bottom"/>
                </w:tcPr>
                <w:p w14:paraId="5B2AF7A0" w14:textId="77777777" w:rsidR="0011262F" w:rsidRDefault="0011262F" w:rsidP="00B54007">
                  <w:pPr>
                    <w:pStyle w:val="TableBodyText"/>
                    <w:jc w:val="left"/>
                  </w:pPr>
                  <w:r w:rsidRPr="00C358C1">
                    <w:t>Net insurance flows</w:t>
                  </w:r>
                </w:p>
              </w:tc>
              <w:tc>
                <w:tcPr>
                  <w:tcW w:w="632" w:type="pct"/>
                  <w:shd w:val="clear" w:color="auto" w:fill="F2F2F2" w:themeFill="background1" w:themeFillShade="F2"/>
                  <w:vAlign w:val="bottom"/>
                </w:tcPr>
                <w:p w14:paraId="1A6AA6A5" w14:textId="77777777" w:rsidR="0011262F" w:rsidRDefault="0011262F" w:rsidP="00B54007">
                  <w:pPr>
                    <w:pStyle w:val="TableBodyText"/>
                    <w:ind w:right="28"/>
                  </w:pPr>
                  <w:r w:rsidRPr="00C358C1">
                    <w:t>-0.009</w:t>
                  </w:r>
                </w:p>
              </w:tc>
              <w:tc>
                <w:tcPr>
                  <w:tcW w:w="632" w:type="pct"/>
                  <w:shd w:val="clear" w:color="auto" w:fill="F2F2F2" w:themeFill="background1" w:themeFillShade="F2"/>
                  <w:vAlign w:val="bottom"/>
                </w:tcPr>
                <w:p w14:paraId="0887C28A" w14:textId="77777777" w:rsidR="0011262F" w:rsidRDefault="0011262F" w:rsidP="00B54007">
                  <w:pPr>
                    <w:pStyle w:val="TableBodyText"/>
                    <w:ind w:right="28"/>
                  </w:pPr>
                  <w:r w:rsidRPr="00C358C1">
                    <w:t>0.006</w:t>
                  </w:r>
                </w:p>
              </w:tc>
              <w:tc>
                <w:tcPr>
                  <w:tcW w:w="632" w:type="pct"/>
                  <w:shd w:val="clear" w:color="auto" w:fill="F2F2F2" w:themeFill="background1" w:themeFillShade="F2"/>
                  <w:vAlign w:val="bottom"/>
                </w:tcPr>
                <w:p w14:paraId="5B3EDD41" w14:textId="77777777" w:rsidR="0011262F" w:rsidRDefault="0011262F" w:rsidP="00B54007">
                  <w:pPr>
                    <w:pStyle w:val="TableBodyText"/>
                    <w:ind w:right="28"/>
                  </w:pPr>
                  <w:r w:rsidRPr="00C358C1">
                    <w:t>-0.021</w:t>
                  </w:r>
                </w:p>
              </w:tc>
              <w:tc>
                <w:tcPr>
                  <w:tcW w:w="632" w:type="pct"/>
                  <w:shd w:val="clear" w:color="auto" w:fill="F2F2F2" w:themeFill="background1" w:themeFillShade="F2"/>
                  <w:vAlign w:val="bottom"/>
                </w:tcPr>
                <w:p w14:paraId="15BAFE80" w14:textId="77777777" w:rsidR="0011262F" w:rsidRDefault="0011262F" w:rsidP="00B54007">
                  <w:pPr>
                    <w:pStyle w:val="TableBodyText"/>
                    <w:ind w:right="28"/>
                  </w:pPr>
                  <w:r w:rsidRPr="00C358C1">
                    <w:t>-0.009</w:t>
                  </w:r>
                </w:p>
              </w:tc>
              <w:tc>
                <w:tcPr>
                  <w:tcW w:w="630" w:type="pct"/>
                  <w:shd w:val="clear" w:color="auto" w:fill="F2F2F2" w:themeFill="background1" w:themeFillShade="F2"/>
                  <w:vAlign w:val="bottom"/>
                </w:tcPr>
                <w:p w14:paraId="41C23FF4" w14:textId="77777777" w:rsidR="0011262F" w:rsidRDefault="0011262F" w:rsidP="00B54007">
                  <w:pPr>
                    <w:pStyle w:val="TableBodyText"/>
                  </w:pPr>
                  <w:r w:rsidRPr="00C358C1">
                    <w:t>0.004</w:t>
                  </w:r>
                </w:p>
              </w:tc>
            </w:tr>
            <w:tr w:rsidR="0011262F" w14:paraId="3AECF7D4" w14:textId="77777777" w:rsidTr="00B54007">
              <w:tc>
                <w:tcPr>
                  <w:tcW w:w="1842" w:type="pct"/>
                  <w:shd w:val="clear" w:color="auto" w:fill="auto"/>
                  <w:vAlign w:val="bottom"/>
                </w:tcPr>
                <w:p w14:paraId="5C53DF2C" w14:textId="77777777" w:rsidR="0011262F" w:rsidRDefault="0011262F" w:rsidP="00B54007">
                  <w:pPr>
                    <w:pStyle w:val="TableBodyText"/>
                    <w:jc w:val="left"/>
                  </w:pPr>
                  <w:r w:rsidRPr="00C358C1">
                    <w:t>Stronger super</w:t>
                  </w:r>
                </w:p>
              </w:tc>
              <w:tc>
                <w:tcPr>
                  <w:tcW w:w="632" w:type="pct"/>
                  <w:vAlign w:val="bottom"/>
                </w:tcPr>
                <w:p w14:paraId="18A5945F" w14:textId="77777777" w:rsidR="0011262F" w:rsidRDefault="0011262F" w:rsidP="00B54007">
                  <w:pPr>
                    <w:pStyle w:val="TableBodyText"/>
                    <w:ind w:right="28"/>
                  </w:pPr>
                  <w:r w:rsidRPr="00C358C1">
                    <w:t>0.035</w:t>
                  </w:r>
                </w:p>
              </w:tc>
              <w:tc>
                <w:tcPr>
                  <w:tcW w:w="632" w:type="pct"/>
                  <w:shd w:val="clear" w:color="auto" w:fill="auto"/>
                  <w:vAlign w:val="bottom"/>
                </w:tcPr>
                <w:p w14:paraId="2339BDE1" w14:textId="77777777" w:rsidR="0011262F" w:rsidRDefault="0011262F" w:rsidP="00B54007">
                  <w:pPr>
                    <w:pStyle w:val="TableBodyText"/>
                    <w:ind w:right="28"/>
                  </w:pPr>
                  <w:r w:rsidRPr="00C358C1">
                    <w:t>0.013</w:t>
                  </w:r>
                </w:p>
              </w:tc>
              <w:tc>
                <w:tcPr>
                  <w:tcW w:w="632" w:type="pct"/>
                  <w:shd w:val="clear" w:color="auto" w:fill="auto"/>
                  <w:vAlign w:val="bottom"/>
                </w:tcPr>
                <w:p w14:paraId="79363182" w14:textId="77777777" w:rsidR="0011262F" w:rsidRDefault="0011262F" w:rsidP="00B54007">
                  <w:pPr>
                    <w:pStyle w:val="TableBodyText"/>
                    <w:ind w:right="28"/>
                  </w:pPr>
                  <w:r w:rsidRPr="00C358C1">
                    <w:t>0.010</w:t>
                  </w:r>
                </w:p>
              </w:tc>
              <w:tc>
                <w:tcPr>
                  <w:tcW w:w="632" w:type="pct"/>
                  <w:vAlign w:val="bottom"/>
                </w:tcPr>
                <w:p w14:paraId="2F164116" w14:textId="77777777" w:rsidR="0011262F" w:rsidRDefault="0011262F" w:rsidP="00B54007">
                  <w:pPr>
                    <w:pStyle w:val="TableBodyText"/>
                    <w:ind w:right="28"/>
                  </w:pPr>
                  <w:r w:rsidRPr="00C358C1">
                    <w:t>0.035</w:t>
                  </w:r>
                </w:p>
              </w:tc>
              <w:tc>
                <w:tcPr>
                  <w:tcW w:w="630" w:type="pct"/>
                  <w:vAlign w:val="bottom"/>
                </w:tcPr>
                <w:p w14:paraId="03CBC263" w14:textId="77777777" w:rsidR="0011262F" w:rsidRDefault="0011262F" w:rsidP="00B54007">
                  <w:pPr>
                    <w:pStyle w:val="TableBodyText"/>
                  </w:pPr>
                  <w:r w:rsidRPr="00C358C1">
                    <w:t>0.060</w:t>
                  </w:r>
                </w:p>
              </w:tc>
            </w:tr>
            <w:tr w:rsidR="0011262F" w14:paraId="3273A198" w14:textId="77777777" w:rsidTr="00B54007">
              <w:tc>
                <w:tcPr>
                  <w:tcW w:w="1842" w:type="pct"/>
                  <w:shd w:val="clear" w:color="auto" w:fill="F2F2F2" w:themeFill="background1" w:themeFillShade="F2"/>
                  <w:vAlign w:val="bottom"/>
                </w:tcPr>
                <w:p w14:paraId="2FEC4BC5" w14:textId="77777777" w:rsidR="0011262F" w:rsidRDefault="0011262F" w:rsidP="00B54007">
                  <w:pPr>
                    <w:pStyle w:val="TableBodyText"/>
                    <w:jc w:val="left"/>
                  </w:pPr>
                  <w:r w:rsidRPr="00C358C1">
                    <w:t>Post reporting change (</w:t>
                  </w:r>
                  <w:r>
                    <w:t>PRC</w:t>
                  </w:r>
                  <w:r w:rsidRPr="00C358C1">
                    <w:t>)</w:t>
                  </w:r>
                </w:p>
              </w:tc>
              <w:tc>
                <w:tcPr>
                  <w:tcW w:w="632" w:type="pct"/>
                  <w:shd w:val="clear" w:color="auto" w:fill="F2F2F2" w:themeFill="background1" w:themeFillShade="F2"/>
                  <w:vAlign w:val="bottom"/>
                </w:tcPr>
                <w:p w14:paraId="1723908C" w14:textId="77777777" w:rsidR="0011262F" w:rsidRDefault="0011262F" w:rsidP="00B54007">
                  <w:pPr>
                    <w:pStyle w:val="TableBodyText"/>
                    <w:ind w:right="28"/>
                  </w:pPr>
                  <w:r w:rsidRPr="00C358C1">
                    <w:t>-0.037</w:t>
                  </w:r>
                </w:p>
              </w:tc>
              <w:tc>
                <w:tcPr>
                  <w:tcW w:w="632" w:type="pct"/>
                  <w:shd w:val="clear" w:color="auto" w:fill="F2F2F2" w:themeFill="background1" w:themeFillShade="F2"/>
                  <w:vAlign w:val="bottom"/>
                </w:tcPr>
                <w:p w14:paraId="4A6D0561" w14:textId="77777777" w:rsidR="0011262F" w:rsidRDefault="0011262F" w:rsidP="00B54007">
                  <w:pPr>
                    <w:pStyle w:val="TableBodyText"/>
                    <w:ind w:right="28"/>
                  </w:pPr>
                  <w:r w:rsidRPr="00C358C1">
                    <w:t>0.015</w:t>
                  </w:r>
                </w:p>
              </w:tc>
              <w:tc>
                <w:tcPr>
                  <w:tcW w:w="632" w:type="pct"/>
                  <w:shd w:val="clear" w:color="auto" w:fill="F2F2F2" w:themeFill="background1" w:themeFillShade="F2"/>
                  <w:vAlign w:val="bottom"/>
                </w:tcPr>
                <w:p w14:paraId="53742EC2" w14:textId="77777777" w:rsidR="0011262F" w:rsidRDefault="0011262F" w:rsidP="00B54007">
                  <w:pPr>
                    <w:pStyle w:val="TableBodyText"/>
                    <w:ind w:right="28"/>
                  </w:pPr>
                  <w:r w:rsidRPr="00C358C1">
                    <w:t>-0.067</w:t>
                  </w:r>
                </w:p>
              </w:tc>
              <w:tc>
                <w:tcPr>
                  <w:tcW w:w="632" w:type="pct"/>
                  <w:shd w:val="clear" w:color="auto" w:fill="F2F2F2" w:themeFill="background1" w:themeFillShade="F2"/>
                  <w:vAlign w:val="bottom"/>
                </w:tcPr>
                <w:p w14:paraId="2B329E1F" w14:textId="77777777" w:rsidR="0011262F" w:rsidRDefault="0011262F" w:rsidP="00B54007">
                  <w:pPr>
                    <w:pStyle w:val="TableBodyText"/>
                    <w:ind w:right="28"/>
                  </w:pPr>
                  <w:r w:rsidRPr="00C358C1">
                    <w:t>-0.037</w:t>
                  </w:r>
                </w:p>
              </w:tc>
              <w:tc>
                <w:tcPr>
                  <w:tcW w:w="630" w:type="pct"/>
                  <w:shd w:val="clear" w:color="auto" w:fill="F2F2F2" w:themeFill="background1" w:themeFillShade="F2"/>
                  <w:vAlign w:val="bottom"/>
                </w:tcPr>
                <w:p w14:paraId="4FE8D657" w14:textId="77777777" w:rsidR="0011262F" w:rsidRDefault="0011262F" w:rsidP="00B54007">
                  <w:pPr>
                    <w:pStyle w:val="TableBodyText"/>
                  </w:pPr>
                  <w:r w:rsidRPr="00C358C1">
                    <w:t>-0.008</w:t>
                  </w:r>
                </w:p>
              </w:tc>
            </w:tr>
            <w:tr w:rsidR="0011262F" w14:paraId="3D5DF39B" w14:textId="77777777" w:rsidTr="00B54007">
              <w:tc>
                <w:tcPr>
                  <w:tcW w:w="1842" w:type="pct"/>
                  <w:shd w:val="clear" w:color="auto" w:fill="auto"/>
                  <w:vAlign w:val="bottom"/>
                </w:tcPr>
                <w:p w14:paraId="190B23D4" w14:textId="77777777" w:rsidR="0011262F" w:rsidRDefault="0011262F" w:rsidP="00B54007">
                  <w:pPr>
                    <w:pStyle w:val="TableBodyText"/>
                    <w:jc w:val="left"/>
                  </w:pPr>
                  <w:r w:rsidRPr="00C358C1">
                    <w:t>Industry</w:t>
                  </w:r>
                </w:p>
              </w:tc>
              <w:tc>
                <w:tcPr>
                  <w:tcW w:w="632" w:type="pct"/>
                  <w:vAlign w:val="bottom"/>
                </w:tcPr>
                <w:p w14:paraId="5B6A4D29" w14:textId="77777777" w:rsidR="0011262F" w:rsidRDefault="0011262F" w:rsidP="00B54007">
                  <w:pPr>
                    <w:pStyle w:val="TableBodyText"/>
                    <w:ind w:right="28"/>
                  </w:pPr>
                  <w:r w:rsidRPr="00C358C1">
                    <w:t>-0.389</w:t>
                  </w:r>
                </w:p>
              </w:tc>
              <w:tc>
                <w:tcPr>
                  <w:tcW w:w="632" w:type="pct"/>
                  <w:shd w:val="clear" w:color="auto" w:fill="auto"/>
                  <w:vAlign w:val="bottom"/>
                </w:tcPr>
                <w:p w14:paraId="181F133C" w14:textId="77777777" w:rsidR="0011262F" w:rsidRDefault="0011262F" w:rsidP="00B54007">
                  <w:pPr>
                    <w:pStyle w:val="TableBodyText"/>
                    <w:ind w:right="28"/>
                  </w:pPr>
                  <w:r w:rsidRPr="00C358C1">
                    <w:t>0.243</w:t>
                  </w:r>
                </w:p>
              </w:tc>
              <w:tc>
                <w:tcPr>
                  <w:tcW w:w="632" w:type="pct"/>
                  <w:shd w:val="clear" w:color="auto" w:fill="auto"/>
                  <w:vAlign w:val="bottom"/>
                </w:tcPr>
                <w:p w14:paraId="7B31A981" w14:textId="77777777" w:rsidR="0011262F" w:rsidRDefault="0011262F" w:rsidP="00B54007">
                  <w:pPr>
                    <w:pStyle w:val="TableBodyText"/>
                    <w:ind w:right="28"/>
                  </w:pPr>
                  <w:r w:rsidRPr="00C358C1">
                    <w:t>-0.914</w:t>
                  </w:r>
                </w:p>
              </w:tc>
              <w:tc>
                <w:tcPr>
                  <w:tcW w:w="632" w:type="pct"/>
                  <w:vAlign w:val="bottom"/>
                </w:tcPr>
                <w:p w14:paraId="3B40A95B" w14:textId="77777777" w:rsidR="0011262F" w:rsidRDefault="0011262F" w:rsidP="00B54007">
                  <w:pPr>
                    <w:pStyle w:val="TableBodyText"/>
                    <w:ind w:right="28"/>
                  </w:pPr>
                  <w:r w:rsidRPr="00C358C1">
                    <w:t>-0.384</w:t>
                  </w:r>
                </w:p>
              </w:tc>
              <w:tc>
                <w:tcPr>
                  <w:tcW w:w="630" w:type="pct"/>
                  <w:vAlign w:val="bottom"/>
                </w:tcPr>
                <w:p w14:paraId="3AADECB0" w14:textId="77777777" w:rsidR="0011262F" w:rsidRDefault="0011262F" w:rsidP="00B54007">
                  <w:pPr>
                    <w:pStyle w:val="TableBodyText"/>
                  </w:pPr>
                  <w:r w:rsidRPr="00C358C1">
                    <w:t>0.056</w:t>
                  </w:r>
                </w:p>
              </w:tc>
            </w:tr>
            <w:tr w:rsidR="0011262F" w14:paraId="7FC3FCBD" w14:textId="77777777" w:rsidTr="00B54007">
              <w:tc>
                <w:tcPr>
                  <w:tcW w:w="1842" w:type="pct"/>
                  <w:shd w:val="clear" w:color="auto" w:fill="F2F2F2" w:themeFill="background1" w:themeFillShade="F2"/>
                  <w:vAlign w:val="bottom"/>
                </w:tcPr>
                <w:p w14:paraId="585748B7" w14:textId="77777777" w:rsidR="0011262F" w:rsidRDefault="0011262F" w:rsidP="00B54007">
                  <w:pPr>
                    <w:pStyle w:val="TableBodyText"/>
                    <w:jc w:val="left"/>
                  </w:pPr>
                  <w:r w:rsidRPr="00C358C1">
                    <w:t>Public</w:t>
                  </w:r>
                </w:p>
              </w:tc>
              <w:tc>
                <w:tcPr>
                  <w:tcW w:w="632" w:type="pct"/>
                  <w:shd w:val="clear" w:color="auto" w:fill="F2F2F2" w:themeFill="background1" w:themeFillShade="F2"/>
                  <w:vAlign w:val="bottom"/>
                </w:tcPr>
                <w:p w14:paraId="278D724B" w14:textId="77777777" w:rsidR="0011262F" w:rsidRDefault="0011262F" w:rsidP="00B54007">
                  <w:pPr>
                    <w:pStyle w:val="TableBodyText"/>
                    <w:ind w:right="28"/>
                  </w:pPr>
                  <w:r w:rsidRPr="00C358C1">
                    <w:t>0.044</w:t>
                  </w:r>
                </w:p>
              </w:tc>
              <w:tc>
                <w:tcPr>
                  <w:tcW w:w="632" w:type="pct"/>
                  <w:shd w:val="clear" w:color="auto" w:fill="F2F2F2" w:themeFill="background1" w:themeFillShade="F2"/>
                  <w:vAlign w:val="bottom"/>
                </w:tcPr>
                <w:p w14:paraId="78666A9A" w14:textId="77777777" w:rsidR="0011262F" w:rsidRDefault="0011262F" w:rsidP="00B54007">
                  <w:pPr>
                    <w:pStyle w:val="TableBodyText"/>
                    <w:ind w:right="28"/>
                  </w:pPr>
                  <w:r w:rsidRPr="00C358C1">
                    <w:t>0.368</w:t>
                  </w:r>
                </w:p>
              </w:tc>
              <w:tc>
                <w:tcPr>
                  <w:tcW w:w="632" w:type="pct"/>
                  <w:shd w:val="clear" w:color="auto" w:fill="F2F2F2" w:themeFill="background1" w:themeFillShade="F2"/>
                  <w:vAlign w:val="bottom"/>
                </w:tcPr>
                <w:p w14:paraId="0C14A177" w14:textId="77777777" w:rsidR="0011262F" w:rsidRDefault="0011262F" w:rsidP="00B54007">
                  <w:pPr>
                    <w:pStyle w:val="TableBodyText"/>
                    <w:ind w:right="28"/>
                  </w:pPr>
                  <w:r w:rsidRPr="00C358C1">
                    <w:t>-0.673</w:t>
                  </w:r>
                </w:p>
              </w:tc>
              <w:tc>
                <w:tcPr>
                  <w:tcW w:w="632" w:type="pct"/>
                  <w:shd w:val="clear" w:color="auto" w:fill="F2F2F2" w:themeFill="background1" w:themeFillShade="F2"/>
                  <w:vAlign w:val="bottom"/>
                </w:tcPr>
                <w:p w14:paraId="0E830E1A" w14:textId="77777777" w:rsidR="0011262F" w:rsidRDefault="0011262F" w:rsidP="00B54007">
                  <w:pPr>
                    <w:pStyle w:val="TableBodyText"/>
                    <w:ind w:right="28"/>
                  </w:pPr>
                  <w:r w:rsidRPr="00C358C1">
                    <w:t>0.041</w:t>
                  </w:r>
                </w:p>
              </w:tc>
              <w:tc>
                <w:tcPr>
                  <w:tcW w:w="630" w:type="pct"/>
                  <w:shd w:val="clear" w:color="auto" w:fill="F2F2F2" w:themeFill="background1" w:themeFillShade="F2"/>
                  <w:vAlign w:val="bottom"/>
                </w:tcPr>
                <w:p w14:paraId="54C0B3F1" w14:textId="77777777" w:rsidR="0011262F" w:rsidRDefault="0011262F" w:rsidP="00B54007">
                  <w:pPr>
                    <w:pStyle w:val="TableBodyText"/>
                  </w:pPr>
                  <w:r w:rsidRPr="00C358C1">
                    <w:t>0.725</w:t>
                  </w:r>
                </w:p>
              </w:tc>
            </w:tr>
            <w:tr w:rsidR="0011262F" w14:paraId="132C0B4E" w14:textId="77777777" w:rsidTr="00B54007">
              <w:tc>
                <w:tcPr>
                  <w:tcW w:w="1842" w:type="pct"/>
                  <w:shd w:val="clear" w:color="auto" w:fill="auto"/>
                  <w:vAlign w:val="bottom"/>
                </w:tcPr>
                <w:p w14:paraId="1CC3D6D9" w14:textId="77777777" w:rsidR="0011262F" w:rsidRDefault="0011262F" w:rsidP="00B54007">
                  <w:pPr>
                    <w:pStyle w:val="TableBodyText"/>
                    <w:jc w:val="left"/>
                  </w:pPr>
                  <w:r w:rsidRPr="00C358C1">
                    <w:t>Retail</w:t>
                  </w:r>
                </w:p>
              </w:tc>
              <w:tc>
                <w:tcPr>
                  <w:tcW w:w="632" w:type="pct"/>
                  <w:vAlign w:val="bottom"/>
                </w:tcPr>
                <w:p w14:paraId="201603CC" w14:textId="77777777" w:rsidR="0011262F" w:rsidRDefault="0011262F" w:rsidP="00B54007">
                  <w:pPr>
                    <w:pStyle w:val="TableBodyText"/>
                    <w:ind w:right="28"/>
                  </w:pPr>
                  <w:r w:rsidRPr="00C358C1">
                    <w:t>-0.322</w:t>
                  </w:r>
                </w:p>
              </w:tc>
              <w:tc>
                <w:tcPr>
                  <w:tcW w:w="632" w:type="pct"/>
                  <w:shd w:val="clear" w:color="auto" w:fill="auto"/>
                  <w:vAlign w:val="bottom"/>
                </w:tcPr>
                <w:p w14:paraId="079C6F19" w14:textId="77777777" w:rsidR="0011262F" w:rsidRDefault="0011262F" w:rsidP="00B54007">
                  <w:pPr>
                    <w:pStyle w:val="TableBodyText"/>
                    <w:ind w:right="28"/>
                  </w:pPr>
                  <w:r w:rsidRPr="00C358C1">
                    <w:t>0.132</w:t>
                  </w:r>
                </w:p>
              </w:tc>
              <w:tc>
                <w:tcPr>
                  <w:tcW w:w="632" w:type="pct"/>
                  <w:shd w:val="clear" w:color="auto" w:fill="auto"/>
                  <w:vAlign w:val="bottom"/>
                </w:tcPr>
                <w:p w14:paraId="175EB839" w14:textId="77777777" w:rsidR="0011262F" w:rsidRDefault="0011262F" w:rsidP="00B54007">
                  <w:pPr>
                    <w:pStyle w:val="TableBodyText"/>
                    <w:ind w:right="28"/>
                  </w:pPr>
                  <w:r w:rsidRPr="00C358C1">
                    <w:t>-0.592</w:t>
                  </w:r>
                </w:p>
              </w:tc>
              <w:tc>
                <w:tcPr>
                  <w:tcW w:w="632" w:type="pct"/>
                  <w:vAlign w:val="bottom"/>
                </w:tcPr>
                <w:p w14:paraId="27CE27A5" w14:textId="77777777" w:rsidR="0011262F" w:rsidRDefault="0011262F" w:rsidP="00B54007">
                  <w:pPr>
                    <w:pStyle w:val="TableBodyText"/>
                    <w:ind w:right="28"/>
                  </w:pPr>
                  <w:r w:rsidRPr="00C358C1">
                    <w:t>-0.316</w:t>
                  </w:r>
                </w:p>
              </w:tc>
              <w:tc>
                <w:tcPr>
                  <w:tcW w:w="630" w:type="pct"/>
                  <w:vAlign w:val="bottom"/>
                </w:tcPr>
                <w:p w14:paraId="2AD39C9D" w14:textId="77777777" w:rsidR="0011262F" w:rsidRDefault="0011262F" w:rsidP="00B54007">
                  <w:pPr>
                    <w:pStyle w:val="TableBodyText"/>
                  </w:pPr>
                  <w:r w:rsidRPr="00C358C1">
                    <w:t>-0.077</w:t>
                  </w:r>
                </w:p>
              </w:tc>
            </w:tr>
            <w:tr w:rsidR="0011262F" w14:paraId="08CA0BAF" w14:textId="77777777" w:rsidTr="00B54007">
              <w:tc>
                <w:tcPr>
                  <w:tcW w:w="1842" w:type="pct"/>
                  <w:shd w:val="clear" w:color="auto" w:fill="F2F2F2" w:themeFill="background1" w:themeFillShade="F2"/>
                  <w:vAlign w:val="bottom"/>
                </w:tcPr>
                <w:p w14:paraId="1BBA61C4" w14:textId="77777777" w:rsidR="0011262F" w:rsidRDefault="0011262F" w:rsidP="00B54007">
                  <w:pPr>
                    <w:pStyle w:val="TableBodyText"/>
                    <w:jc w:val="left"/>
                  </w:pPr>
                  <w:r w:rsidRPr="00C358C1">
                    <w:t>Industry x Assets</w:t>
                  </w:r>
                </w:p>
              </w:tc>
              <w:tc>
                <w:tcPr>
                  <w:tcW w:w="632" w:type="pct"/>
                  <w:shd w:val="clear" w:color="auto" w:fill="F2F2F2" w:themeFill="background1" w:themeFillShade="F2"/>
                  <w:vAlign w:val="bottom"/>
                </w:tcPr>
                <w:p w14:paraId="5845590B" w14:textId="77777777" w:rsidR="0011262F" w:rsidRDefault="0011262F" w:rsidP="00B54007">
                  <w:pPr>
                    <w:pStyle w:val="TableBodyText"/>
                    <w:ind w:right="28"/>
                  </w:pPr>
                  <w:r w:rsidRPr="00C358C1">
                    <w:t>0.161</w:t>
                  </w:r>
                </w:p>
              </w:tc>
              <w:tc>
                <w:tcPr>
                  <w:tcW w:w="632" w:type="pct"/>
                  <w:shd w:val="clear" w:color="auto" w:fill="F2F2F2" w:themeFill="background1" w:themeFillShade="F2"/>
                  <w:vAlign w:val="bottom"/>
                </w:tcPr>
                <w:p w14:paraId="7775E7B7" w14:textId="77777777" w:rsidR="0011262F" w:rsidRDefault="0011262F" w:rsidP="00B54007">
                  <w:pPr>
                    <w:pStyle w:val="TableBodyText"/>
                    <w:ind w:right="28"/>
                  </w:pPr>
                  <w:r w:rsidRPr="00C358C1">
                    <w:t>0.063</w:t>
                  </w:r>
                </w:p>
              </w:tc>
              <w:tc>
                <w:tcPr>
                  <w:tcW w:w="632" w:type="pct"/>
                  <w:shd w:val="clear" w:color="auto" w:fill="F2F2F2" w:themeFill="background1" w:themeFillShade="F2"/>
                  <w:vAlign w:val="bottom"/>
                </w:tcPr>
                <w:p w14:paraId="014746D4" w14:textId="77777777" w:rsidR="0011262F" w:rsidRDefault="0011262F" w:rsidP="00B54007">
                  <w:pPr>
                    <w:pStyle w:val="TableBodyText"/>
                    <w:ind w:right="28"/>
                  </w:pPr>
                  <w:r w:rsidRPr="00C358C1">
                    <w:t>0.045</w:t>
                  </w:r>
                </w:p>
              </w:tc>
              <w:tc>
                <w:tcPr>
                  <w:tcW w:w="632" w:type="pct"/>
                  <w:shd w:val="clear" w:color="auto" w:fill="F2F2F2" w:themeFill="background1" w:themeFillShade="F2"/>
                  <w:vAlign w:val="bottom"/>
                </w:tcPr>
                <w:p w14:paraId="2674E37F" w14:textId="77777777" w:rsidR="0011262F" w:rsidRDefault="0011262F" w:rsidP="00B54007">
                  <w:pPr>
                    <w:pStyle w:val="TableBodyText"/>
                    <w:ind w:right="28"/>
                  </w:pPr>
                  <w:r w:rsidRPr="00C358C1">
                    <w:t>0.160</w:t>
                  </w:r>
                </w:p>
              </w:tc>
              <w:tc>
                <w:tcPr>
                  <w:tcW w:w="630" w:type="pct"/>
                  <w:shd w:val="clear" w:color="auto" w:fill="F2F2F2" w:themeFill="background1" w:themeFillShade="F2"/>
                  <w:vAlign w:val="bottom"/>
                </w:tcPr>
                <w:p w14:paraId="6D48469E" w14:textId="77777777" w:rsidR="0011262F" w:rsidRDefault="0011262F" w:rsidP="00B54007">
                  <w:pPr>
                    <w:pStyle w:val="TableBodyText"/>
                  </w:pPr>
                  <w:r w:rsidRPr="00C358C1">
                    <w:t>0.289</w:t>
                  </w:r>
                </w:p>
              </w:tc>
            </w:tr>
            <w:tr w:rsidR="0011262F" w14:paraId="12250D1D" w14:textId="77777777" w:rsidTr="00B54007">
              <w:tc>
                <w:tcPr>
                  <w:tcW w:w="1842" w:type="pct"/>
                  <w:shd w:val="clear" w:color="auto" w:fill="auto"/>
                  <w:vAlign w:val="bottom"/>
                </w:tcPr>
                <w:p w14:paraId="4A2EE036" w14:textId="77777777" w:rsidR="0011262F" w:rsidRDefault="0011262F" w:rsidP="00B54007">
                  <w:pPr>
                    <w:pStyle w:val="TableBodyText"/>
                    <w:jc w:val="left"/>
                  </w:pPr>
                  <w:r w:rsidRPr="00C358C1">
                    <w:t>Public x Assets</w:t>
                  </w:r>
                </w:p>
              </w:tc>
              <w:tc>
                <w:tcPr>
                  <w:tcW w:w="632" w:type="pct"/>
                  <w:vAlign w:val="bottom"/>
                </w:tcPr>
                <w:p w14:paraId="035C54D5" w14:textId="77777777" w:rsidR="0011262F" w:rsidRDefault="0011262F" w:rsidP="00B54007">
                  <w:pPr>
                    <w:pStyle w:val="TableBodyText"/>
                    <w:ind w:right="28"/>
                  </w:pPr>
                  <w:r w:rsidRPr="00C358C1">
                    <w:t>0.076</w:t>
                  </w:r>
                </w:p>
              </w:tc>
              <w:tc>
                <w:tcPr>
                  <w:tcW w:w="632" w:type="pct"/>
                  <w:shd w:val="clear" w:color="auto" w:fill="auto"/>
                  <w:vAlign w:val="bottom"/>
                </w:tcPr>
                <w:p w14:paraId="082F215C" w14:textId="77777777" w:rsidR="0011262F" w:rsidRDefault="0011262F" w:rsidP="00B54007">
                  <w:pPr>
                    <w:pStyle w:val="TableBodyText"/>
                    <w:ind w:right="28"/>
                  </w:pPr>
                  <w:r w:rsidRPr="00C358C1">
                    <w:t>0.102</w:t>
                  </w:r>
                </w:p>
              </w:tc>
              <w:tc>
                <w:tcPr>
                  <w:tcW w:w="632" w:type="pct"/>
                  <w:shd w:val="clear" w:color="auto" w:fill="auto"/>
                  <w:vAlign w:val="bottom"/>
                </w:tcPr>
                <w:p w14:paraId="131F7FD2" w14:textId="77777777" w:rsidR="0011262F" w:rsidRDefault="0011262F" w:rsidP="00B54007">
                  <w:pPr>
                    <w:pStyle w:val="TableBodyText"/>
                    <w:ind w:right="28"/>
                  </w:pPr>
                  <w:r w:rsidRPr="00C358C1">
                    <w:t>-0.132</w:t>
                  </w:r>
                </w:p>
              </w:tc>
              <w:tc>
                <w:tcPr>
                  <w:tcW w:w="632" w:type="pct"/>
                  <w:vAlign w:val="bottom"/>
                </w:tcPr>
                <w:p w14:paraId="3A775403" w14:textId="77777777" w:rsidR="0011262F" w:rsidRDefault="0011262F" w:rsidP="00B54007">
                  <w:pPr>
                    <w:pStyle w:val="TableBodyText"/>
                    <w:ind w:right="28"/>
                  </w:pPr>
                  <w:r w:rsidRPr="00C358C1">
                    <w:t>0.074</w:t>
                  </w:r>
                </w:p>
              </w:tc>
              <w:tc>
                <w:tcPr>
                  <w:tcW w:w="630" w:type="pct"/>
                  <w:vAlign w:val="bottom"/>
                </w:tcPr>
                <w:p w14:paraId="0EDEBDD3" w14:textId="77777777" w:rsidR="0011262F" w:rsidRDefault="0011262F" w:rsidP="00B54007">
                  <w:pPr>
                    <w:pStyle w:val="TableBodyText"/>
                  </w:pPr>
                  <w:r w:rsidRPr="00C358C1">
                    <w:t>0.274</w:t>
                  </w:r>
                </w:p>
              </w:tc>
            </w:tr>
            <w:tr w:rsidR="0011262F" w14:paraId="78AA13A8" w14:textId="77777777" w:rsidTr="00B54007">
              <w:tc>
                <w:tcPr>
                  <w:tcW w:w="1842" w:type="pct"/>
                  <w:shd w:val="clear" w:color="auto" w:fill="F2F2F2" w:themeFill="background1" w:themeFillShade="F2"/>
                  <w:vAlign w:val="bottom"/>
                </w:tcPr>
                <w:p w14:paraId="3274D3A0" w14:textId="77777777" w:rsidR="0011262F" w:rsidRDefault="0011262F" w:rsidP="00B54007">
                  <w:pPr>
                    <w:pStyle w:val="TableBodyText"/>
                    <w:jc w:val="left"/>
                  </w:pPr>
                  <w:r w:rsidRPr="00C358C1">
                    <w:t>Retail x Assets</w:t>
                  </w:r>
                </w:p>
              </w:tc>
              <w:tc>
                <w:tcPr>
                  <w:tcW w:w="632" w:type="pct"/>
                  <w:shd w:val="clear" w:color="auto" w:fill="F2F2F2" w:themeFill="background1" w:themeFillShade="F2"/>
                  <w:vAlign w:val="bottom"/>
                </w:tcPr>
                <w:p w14:paraId="46E75C8B" w14:textId="77777777" w:rsidR="0011262F" w:rsidRDefault="0011262F" w:rsidP="00B54007">
                  <w:pPr>
                    <w:pStyle w:val="TableBodyText"/>
                    <w:ind w:right="28"/>
                  </w:pPr>
                  <w:r w:rsidRPr="00C358C1">
                    <w:t>0.228</w:t>
                  </w:r>
                </w:p>
              </w:tc>
              <w:tc>
                <w:tcPr>
                  <w:tcW w:w="632" w:type="pct"/>
                  <w:shd w:val="clear" w:color="auto" w:fill="F2F2F2" w:themeFill="background1" w:themeFillShade="F2"/>
                  <w:vAlign w:val="bottom"/>
                </w:tcPr>
                <w:p w14:paraId="34D61BE9" w14:textId="77777777" w:rsidR="0011262F" w:rsidRDefault="0011262F" w:rsidP="00B54007">
                  <w:pPr>
                    <w:pStyle w:val="TableBodyText"/>
                    <w:ind w:right="28"/>
                  </w:pPr>
                  <w:r w:rsidRPr="00C358C1">
                    <w:t>0.048</w:t>
                  </w:r>
                </w:p>
              </w:tc>
              <w:tc>
                <w:tcPr>
                  <w:tcW w:w="632" w:type="pct"/>
                  <w:shd w:val="clear" w:color="auto" w:fill="F2F2F2" w:themeFill="background1" w:themeFillShade="F2"/>
                  <w:vAlign w:val="bottom"/>
                </w:tcPr>
                <w:p w14:paraId="14F98433" w14:textId="77777777" w:rsidR="0011262F" w:rsidRDefault="0011262F" w:rsidP="00B54007">
                  <w:pPr>
                    <w:pStyle w:val="TableBodyText"/>
                    <w:ind w:right="28"/>
                  </w:pPr>
                  <w:r w:rsidRPr="00C358C1">
                    <w:t>0.136</w:t>
                  </w:r>
                </w:p>
              </w:tc>
              <w:tc>
                <w:tcPr>
                  <w:tcW w:w="632" w:type="pct"/>
                  <w:shd w:val="clear" w:color="auto" w:fill="F2F2F2" w:themeFill="background1" w:themeFillShade="F2"/>
                  <w:vAlign w:val="bottom"/>
                </w:tcPr>
                <w:p w14:paraId="4351681A" w14:textId="77777777" w:rsidR="0011262F" w:rsidRDefault="0011262F" w:rsidP="00B54007">
                  <w:pPr>
                    <w:pStyle w:val="TableBodyText"/>
                    <w:ind w:right="28"/>
                  </w:pPr>
                  <w:r w:rsidRPr="00C358C1">
                    <w:t>0.228</w:t>
                  </w:r>
                </w:p>
              </w:tc>
              <w:tc>
                <w:tcPr>
                  <w:tcW w:w="630" w:type="pct"/>
                  <w:shd w:val="clear" w:color="auto" w:fill="F2F2F2" w:themeFill="background1" w:themeFillShade="F2"/>
                  <w:vAlign w:val="bottom"/>
                </w:tcPr>
                <w:p w14:paraId="2513838A" w14:textId="77777777" w:rsidR="0011262F" w:rsidRDefault="0011262F" w:rsidP="00B54007">
                  <w:pPr>
                    <w:pStyle w:val="TableBodyText"/>
                  </w:pPr>
                  <w:r w:rsidRPr="00C358C1">
                    <w:t>0.325</w:t>
                  </w:r>
                </w:p>
              </w:tc>
            </w:tr>
            <w:tr w:rsidR="0011262F" w14:paraId="1F1AD25A" w14:textId="77777777" w:rsidTr="00B54007">
              <w:tc>
                <w:tcPr>
                  <w:tcW w:w="1842" w:type="pct"/>
                  <w:shd w:val="clear" w:color="auto" w:fill="auto"/>
                  <w:vAlign w:val="bottom"/>
                </w:tcPr>
                <w:p w14:paraId="2FC0FBA9" w14:textId="77777777" w:rsidR="0011262F" w:rsidRDefault="0011262F" w:rsidP="00B54007">
                  <w:pPr>
                    <w:pStyle w:val="TableBodyText"/>
                    <w:jc w:val="left"/>
                  </w:pPr>
                  <w:r w:rsidRPr="00C358C1">
                    <w:t>Industry x Member accounts</w:t>
                  </w:r>
                </w:p>
              </w:tc>
              <w:tc>
                <w:tcPr>
                  <w:tcW w:w="632" w:type="pct"/>
                  <w:vAlign w:val="bottom"/>
                </w:tcPr>
                <w:p w14:paraId="19833DF7" w14:textId="77777777" w:rsidR="0011262F" w:rsidRDefault="0011262F" w:rsidP="00B54007">
                  <w:pPr>
                    <w:pStyle w:val="TableBodyText"/>
                    <w:ind w:right="28"/>
                  </w:pPr>
                  <w:r w:rsidRPr="00C358C1">
                    <w:t>-0.150</w:t>
                  </w:r>
                </w:p>
              </w:tc>
              <w:tc>
                <w:tcPr>
                  <w:tcW w:w="632" w:type="pct"/>
                  <w:shd w:val="clear" w:color="auto" w:fill="auto"/>
                  <w:vAlign w:val="bottom"/>
                </w:tcPr>
                <w:p w14:paraId="5AECEFB7" w14:textId="77777777" w:rsidR="0011262F" w:rsidRDefault="0011262F" w:rsidP="00B54007">
                  <w:pPr>
                    <w:pStyle w:val="TableBodyText"/>
                    <w:ind w:right="28"/>
                  </w:pPr>
                  <w:r w:rsidRPr="00C358C1">
                    <w:t>0.093</w:t>
                  </w:r>
                </w:p>
              </w:tc>
              <w:tc>
                <w:tcPr>
                  <w:tcW w:w="632" w:type="pct"/>
                  <w:shd w:val="clear" w:color="auto" w:fill="auto"/>
                  <w:vAlign w:val="bottom"/>
                </w:tcPr>
                <w:p w14:paraId="4EB52828" w14:textId="77777777" w:rsidR="0011262F" w:rsidRDefault="0011262F" w:rsidP="00B54007">
                  <w:pPr>
                    <w:pStyle w:val="TableBodyText"/>
                    <w:ind w:right="28"/>
                  </w:pPr>
                  <w:r w:rsidRPr="00C358C1">
                    <w:t>-0.343</w:t>
                  </w:r>
                </w:p>
              </w:tc>
              <w:tc>
                <w:tcPr>
                  <w:tcW w:w="632" w:type="pct"/>
                  <w:vAlign w:val="bottom"/>
                </w:tcPr>
                <w:p w14:paraId="16D256DB" w14:textId="77777777" w:rsidR="0011262F" w:rsidRDefault="0011262F" w:rsidP="00B54007">
                  <w:pPr>
                    <w:pStyle w:val="TableBodyText"/>
                    <w:ind w:right="28"/>
                  </w:pPr>
                  <w:r w:rsidRPr="00C358C1">
                    <w:t>-0.147</w:t>
                  </w:r>
                </w:p>
              </w:tc>
              <w:tc>
                <w:tcPr>
                  <w:tcW w:w="630" w:type="pct"/>
                  <w:vAlign w:val="bottom"/>
                </w:tcPr>
                <w:p w14:paraId="1E5ADE9C" w14:textId="77777777" w:rsidR="0011262F" w:rsidRDefault="0011262F" w:rsidP="00B54007">
                  <w:pPr>
                    <w:pStyle w:val="TableBodyText"/>
                  </w:pPr>
                  <w:r w:rsidRPr="00C358C1">
                    <w:t>0.027</w:t>
                  </w:r>
                </w:p>
              </w:tc>
            </w:tr>
            <w:tr w:rsidR="0011262F" w14:paraId="045A5AB0" w14:textId="77777777" w:rsidTr="00B54007">
              <w:tc>
                <w:tcPr>
                  <w:tcW w:w="1842" w:type="pct"/>
                  <w:shd w:val="clear" w:color="auto" w:fill="F2F2F2" w:themeFill="background1" w:themeFillShade="F2"/>
                  <w:vAlign w:val="bottom"/>
                </w:tcPr>
                <w:p w14:paraId="63048BB4" w14:textId="77777777" w:rsidR="0011262F" w:rsidRDefault="0011262F" w:rsidP="00B54007">
                  <w:pPr>
                    <w:pStyle w:val="TableBodyText"/>
                    <w:jc w:val="left"/>
                  </w:pPr>
                  <w:r w:rsidRPr="00C358C1">
                    <w:t>Public x Member accounts</w:t>
                  </w:r>
                </w:p>
              </w:tc>
              <w:tc>
                <w:tcPr>
                  <w:tcW w:w="632" w:type="pct"/>
                  <w:shd w:val="clear" w:color="auto" w:fill="F2F2F2" w:themeFill="background1" w:themeFillShade="F2"/>
                  <w:vAlign w:val="bottom"/>
                </w:tcPr>
                <w:p w14:paraId="40705D65" w14:textId="77777777" w:rsidR="0011262F" w:rsidRDefault="0011262F" w:rsidP="00B54007">
                  <w:pPr>
                    <w:pStyle w:val="TableBodyText"/>
                    <w:ind w:right="28"/>
                  </w:pPr>
                  <w:r w:rsidRPr="00C358C1">
                    <w:t>-0.179</w:t>
                  </w:r>
                </w:p>
              </w:tc>
              <w:tc>
                <w:tcPr>
                  <w:tcW w:w="632" w:type="pct"/>
                  <w:shd w:val="clear" w:color="auto" w:fill="F2F2F2" w:themeFill="background1" w:themeFillShade="F2"/>
                  <w:vAlign w:val="bottom"/>
                </w:tcPr>
                <w:p w14:paraId="31BBBFD6" w14:textId="77777777" w:rsidR="0011262F" w:rsidRDefault="0011262F" w:rsidP="00B54007">
                  <w:pPr>
                    <w:pStyle w:val="TableBodyText"/>
                    <w:ind w:right="28"/>
                  </w:pPr>
                  <w:r w:rsidRPr="00C358C1">
                    <w:t>0.155</w:t>
                  </w:r>
                </w:p>
              </w:tc>
              <w:tc>
                <w:tcPr>
                  <w:tcW w:w="632" w:type="pct"/>
                  <w:shd w:val="clear" w:color="auto" w:fill="F2F2F2" w:themeFill="background1" w:themeFillShade="F2"/>
                  <w:vAlign w:val="bottom"/>
                </w:tcPr>
                <w:p w14:paraId="0ABB4DE9" w14:textId="77777777" w:rsidR="0011262F" w:rsidRDefault="0011262F" w:rsidP="00B54007">
                  <w:pPr>
                    <w:pStyle w:val="TableBodyText"/>
                    <w:ind w:right="28"/>
                  </w:pPr>
                  <w:r w:rsidRPr="00C358C1">
                    <w:t>-0.462</w:t>
                  </w:r>
                </w:p>
              </w:tc>
              <w:tc>
                <w:tcPr>
                  <w:tcW w:w="632" w:type="pct"/>
                  <w:shd w:val="clear" w:color="auto" w:fill="F2F2F2" w:themeFill="background1" w:themeFillShade="F2"/>
                  <w:vAlign w:val="bottom"/>
                </w:tcPr>
                <w:p w14:paraId="4EA89CF7" w14:textId="77777777" w:rsidR="0011262F" w:rsidRDefault="0011262F" w:rsidP="00B54007">
                  <w:pPr>
                    <w:pStyle w:val="TableBodyText"/>
                    <w:ind w:right="28"/>
                  </w:pPr>
                  <w:r w:rsidRPr="00C358C1">
                    <w:t>-0.185</w:t>
                  </w:r>
                </w:p>
              </w:tc>
              <w:tc>
                <w:tcPr>
                  <w:tcW w:w="630" w:type="pct"/>
                  <w:shd w:val="clear" w:color="auto" w:fill="F2F2F2" w:themeFill="background1" w:themeFillShade="F2"/>
                  <w:vAlign w:val="bottom"/>
                </w:tcPr>
                <w:p w14:paraId="359A87D9" w14:textId="77777777" w:rsidR="0011262F" w:rsidRDefault="0011262F" w:rsidP="00B54007">
                  <w:pPr>
                    <w:pStyle w:val="TableBodyText"/>
                  </w:pPr>
                  <w:r w:rsidRPr="00C358C1">
                    <w:t>0.132</w:t>
                  </w:r>
                </w:p>
              </w:tc>
            </w:tr>
            <w:tr w:rsidR="0011262F" w14:paraId="59B7D3E5" w14:textId="77777777" w:rsidTr="00B54007">
              <w:tc>
                <w:tcPr>
                  <w:tcW w:w="1842" w:type="pct"/>
                  <w:shd w:val="clear" w:color="auto" w:fill="auto"/>
                  <w:vAlign w:val="bottom"/>
                </w:tcPr>
                <w:p w14:paraId="1955D706" w14:textId="77777777" w:rsidR="0011262F" w:rsidRDefault="0011262F" w:rsidP="00B54007">
                  <w:pPr>
                    <w:pStyle w:val="TableBodyText"/>
                    <w:jc w:val="left"/>
                  </w:pPr>
                  <w:r w:rsidRPr="00C358C1">
                    <w:t>Retail x Member accounts</w:t>
                  </w:r>
                </w:p>
              </w:tc>
              <w:tc>
                <w:tcPr>
                  <w:tcW w:w="632" w:type="pct"/>
                  <w:vAlign w:val="bottom"/>
                </w:tcPr>
                <w:p w14:paraId="0D26C6CB" w14:textId="77777777" w:rsidR="0011262F" w:rsidRDefault="0011262F" w:rsidP="00B54007">
                  <w:pPr>
                    <w:pStyle w:val="TableBodyText"/>
                    <w:ind w:right="28"/>
                  </w:pPr>
                  <w:r w:rsidRPr="00C358C1">
                    <w:t>-0.286</w:t>
                  </w:r>
                </w:p>
              </w:tc>
              <w:tc>
                <w:tcPr>
                  <w:tcW w:w="632" w:type="pct"/>
                  <w:shd w:val="clear" w:color="auto" w:fill="auto"/>
                  <w:vAlign w:val="bottom"/>
                </w:tcPr>
                <w:p w14:paraId="23A50369" w14:textId="77777777" w:rsidR="0011262F" w:rsidRDefault="0011262F" w:rsidP="00B54007">
                  <w:pPr>
                    <w:pStyle w:val="TableBodyText"/>
                    <w:ind w:right="28"/>
                  </w:pPr>
                  <w:r w:rsidRPr="00C358C1">
                    <w:t>0.049</w:t>
                  </w:r>
                </w:p>
              </w:tc>
              <w:tc>
                <w:tcPr>
                  <w:tcW w:w="632" w:type="pct"/>
                  <w:shd w:val="clear" w:color="auto" w:fill="auto"/>
                  <w:vAlign w:val="bottom"/>
                </w:tcPr>
                <w:p w14:paraId="0C808653" w14:textId="77777777" w:rsidR="0011262F" w:rsidRDefault="0011262F" w:rsidP="00B54007">
                  <w:pPr>
                    <w:pStyle w:val="TableBodyText"/>
                    <w:ind w:right="28"/>
                  </w:pPr>
                  <w:r w:rsidRPr="00C358C1">
                    <w:t>-0.380</w:t>
                  </w:r>
                </w:p>
              </w:tc>
              <w:tc>
                <w:tcPr>
                  <w:tcW w:w="632" w:type="pct"/>
                  <w:vAlign w:val="bottom"/>
                </w:tcPr>
                <w:p w14:paraId="39ADD3F4" w14:textId="77777777" w:rsidR="0011262F" w:rsidRDefault="0011262F" w:rsidP="00B54007">
                  <w:pPr>
                    <w:pStyle w:val="TableBodyText"/>
                    <w:ind w:right="28"/>
                  </w:pPr>
                  <w:r w:rsidRPr="00C358C1">
                    <w:t>-0.285</w:t>
                  </w:r>
                </w:p>
              </w:tc>
              <w:tc>
                <w:tcPr>
                  <w:tcW w:w="630" w:type="pct"/>
                  <w:vAlign w:val="bottom"/>
                </w:tcPr>
                <w:p w14:paraId="5CA8FB26" w14:textId="77777777" w:rsidR="0011262F" w:rsidRDefault="0011262F" w:rsidP="00B54007">
                  <w:pPr>
                    <w:pStyle w:val="TableBodyText"/>
                  </w:pPr>
                  <w:r w:rsidRPr="00C358C1">
                    <w:t>-0.193</w:t>
                  </w:r>
                </w:p>
              </w:tc>
            </w:tr>
            <w:tr w:rsidR="0011262F" w14:paraId="04FFB9C5" w14:textId="77777777" w:rsidTr="00B54007">
              <w:tc>
                <w:tcPr>
                  <w:tcW w:w="1842" w:type="pct"/>
                  <w:shd w:val="clear" w:color="auto" w:fill="F2F2F2" w:themeFill="background1" w:themeFillShade="F2"/>
                  <w:vAlign w:val="bottom"/>
                </w:tcPr>
                <w:p w14:paraId="7C48D207" w14:textId="77777777" w:rsidR="0011262F" w:rsidRDefault="0011262F" w:rsidP="00B54007">
                  <w:pPr>
                    <w:pStyle w:val="TableBodyText"/>
                    <w:jc w:val="left"/>
                  </w:pPr>
                  <w:r w:rsidRPr="00C358C1">
                    <w:t>Intercept</w:t>
                  </w:r>
                </w:p>
              </w:tc>
              <w:tc>
                <w:tcPr>
                  <w:tcW w:w="632" w:type="pct"/>
                  <w:shd w:val="clear" w:color="auto" w:fill="F2F2F2" w:themeFill="background1" w:themeFillShade="F2"/>
                  <w:vAlign w:val="bottom"/>
                </w:tcPr>
                <w:p w14:paraId="10AE4E95" w14:textId="77777777" w:rsidR="0011262F" w:rsidRDefault="0011262F" w:rsidP="00B54007">
                  <w:pPr>
                    <w:pStyle w:val="TableBodyText"/>
                    <w:ind w:right="28"/>
                  </w:pPr>
                  <w:r w:rsidRPr="00C358C1">
                    <w:t>-0.876</w:t>
                  </w:r>
                </w:p>
              </w:tc>
              <w:tc>
                <w:tcPr>
                  <w:tcW w:w="632" w:type="pct"/>
                  <w:shd w:val="clear" w:color="auto" w:fill="F2F2F2" w:themeFill="background1" w:themeFillShade="F2"/>
                  <w:vAlign w:val="bottom"/>
                </w:tcPr>
                <w:p w14:paraId="0A095D4F" w14:textId="77777777" w:rsidR="0011262F" w:rsidRDefault="0011262F" w:rsidP="00B54007">
                  <w:pPr>
                    <w:pStyle w:val="TableBodyText"/>
                    <w:ind w:right="28"/>
                  </w:pPr>
                  <w:r w:rsidRPr="00C358C1">
                    <w:t>0.127</w:t>
                  </w:r>
                </w:p>
              </w:tc>
              <w:tc>
                <w:tcPr>
                  <w:tcW w:w="632" w:type="pct"/>
                  <w:shd w:val="clear" w:color="auto" w:fill="F2F2F2" w:themeFill="background1" w:themeFillShade="F2"/>
                  <w:vAlign w:val="bottom"/>
                </w:tcPr>
                <w:p w14:paraId="244D5580" w14:textId="77777777" w:rsidR="0011262F" w:rsidRDefault="0011262F" w:rsidP="00B54007">
                  <w:pPr>
                    <w:pStyle w:val="TableBodyText"/>
                    <w:ind w:right="28"/>
                  </w:pPr>
                  <w:r w:rsidRPr="00C358C1">
                    <w:t>-1.115</w:t>
                  </w:r>
                </w:p>
              </w:tc>
              <w:tc>
                <w:tcPr>
                  <w:tcW w:w="632" w:type="pct"/>
                  <w:shd w:val="clear" w:color="auto" w:fill="F2F2F2" w:themeFill="background1" w:themeFillShade="F2"/>
                  <w:vAlign w:val="bottom"/>
                </w:tcPr>
                <w:p w14:paraId="45D5D303" w14:textId="77777777" w:rsidR="0011262F" w:rsidRDefault="0011262F" w:rsidP="00B54007">
                  <w:pPr>
                    <w:pStyle w:val="TableBodyText"/>
                    <w:ind w:right="28"/>
                  </w:pPr>
                  <w:r w:rsidRPr="00C358C1">
                    <w:t>-0.876</w:t>
                  </w:r>
                </w:p>
              </w:tc>
              <w:tc>
                <w:tcPr>
                  <w:tcW w:w="630" w:type="pct"/>
                  <w:shd w:val="clear" w:color="auto" w:fill="F2F2F2" w:themeFill="background1" w:themeFillShade="F2"/>
                  <w:vAlign w:val="bottom"/>
                </w:tcPr>
                <w:p w14:paraId="370CE6D1" w14:textId="77777777" w:rsidR="0011262F" w:rsidRDefault="0011262F" w:rsidP="00B54007">
                  <w:pPr>
                    <w:pStyle w:val="TableBodyText"/>
                  </w:pPr>
                  <w:r w:rsidRPr="00C358C1">
                    <w:t>-0.628</w:t>
                  </w:r>
                </w:p>
              </w:tc>
            </w:tr>
            <w:tr w:rsidR="0011262F" w14:paraId="733DE67B" w14:textId="77777777" w:rsidTr="00B54007">
              <w:tc>
                <w:tcPr>
                  <w:tcW w:w="1842" w:type="pct"/>
                  <w:shd w:val="clear" w:color="auto" w:fill="auto"/>
                  <w:vAlign w:val="bottom"/>
                </w:tcPr>
                <w:p w14:paraId="618665E0" w14:textId="77777777" w:rsidR="0011262F" w:rsidRDefault="0011262F" w:rsidP="00B54007">
                  <w:pPr>
                    <w:pStyle w:val="TableBodyText"/>
                    <w:jc w:val="left"/>
                  </w:pPr>
                  <w:r w:rsidRPr="00C358C1">
                    <w:t>SD of varying Intercept</w:t>
                  </w:r>
                </w:p>
              </w:tc>
              <w:tc>
                <w:tcPr>
                  <w:tcW w:w="632" w:type="pct"/>
                  <w:vAlign w:val="bottom"/>
                </w:tcPr>
                <w:p w14:paraId="7BFF1BC3" w14:textId="77777777" w:rsidR="0011262F" w:rsidRDefault="0011262F" w:rsidP="00B54007">
                  <w:pPr>
                    <w:pStyle w:val="TableBodyText"/>
                    <w:ind w:right="28"/>
                  </w:pPr>
                  <w:r w:rsidRPr="00C358C1">
                    <w:t>0.979</w:t>
                  </w:r>
                </w:p>
              </w:tc>
              <w:tc>
                <w:tcPr>
                  <w:tcW w:w="632" w:type="pct"/>
                  <w:shd w:val="clear" w:color="auto" w:fill="auto"/>
                  <w:vAlign w:val="bottom"/>
                </w:tcPr>
                <w:p w14:paraId="04D8FC6F" w14:textId="77777777" w:rsidR="0011262F" w:rsidRDefault="0011262F" w:rsidP="00B54007">
                  <w:pPr>
                    <w:pStyle w:val="TableBodyText"/>
                    <w:ind w:right="28"/>
                  </w:pPr>
                  <w:r w:rsidRPr="00C358C1">
                    <w:t>0.132</w:t>
                  </w:r>
                </w:p>
              </w:tc>
              <w:tc>
                <w:tcPr>
                  <w:tcW w:w="632" w:type="pct"/>
                  <w:shd w:val="clear" w:color="auto" w:fill="auto"/>
                  <w:vAlign w:val="bottom"/>
                </w:tcPr>
                <w:p w14:paraId="1358D3B7" w14:textId="77777777" w:rsidR="0011262F" w:rsidRDefault="0011262F" w:rsidP="00B54007">
                  <w:pPr>
                    <w:pStyle w:val="TableBodyText"/>
                    <w:ind w:right="28"/>
                  </w:pPr>
                  <w:r w:rsidRPr="00C358C1">
                    <w:t>0.735</w:t>
                  </w:r>
                </w:p>
              </w:tc>
              <w:tc>
                <w:tcPr>
                  <w:tcW w:w="632" w:type="pct"/>
                  <w:vAlign w:val="bottom"/>
                </w:tcPr>
                <w:p w14:paraId="51BEDF75" w14:textId="77777777" w:rsidR="0011262F" w:rsidRDefault="0011262F" w:rsidP="00B54007">
                  <w:pPr>
                    <w:pStyle w:val="TableBodyText"/>
                    <w:ind w:right="28"/>
                  </w:pPr>
                  <w:r w:rsidRPr="00C358C1">
                    <w:t>0.976</w:t>
                  </w:r>
                </w:p>
              </w:tc>
              <w:tc>
                <w:tcPr>
                  <w:tcW w:w="630" w:type="pct"/>
                  <w:vAlign w:val="bottom"/>
                </w:tcPr>
                <w:p w14:paraId="228F6C63" w14:textId="77777777" w:rsidR="0011262F" w:rsidRDefault="0011262F" w:rsidP="00B54007">
                  <w:pPr>
                    <w:pStyle w:val="TableBodyText"/>
                  </w:pPr>
                  <w:r w:rsidRPr="00C358C1">
                    <w:t>1.243</w:t>
                  </w:r>
                </w:p>
              </w:tc>
            </w:tr>
            <w:tr w:rsidR="0011262F" w14:paraId="45D664AC" w14:textId="77777777" w:rsidTr="00B54007">
              <w:tc>
                <w:tcPr>
                  <w:tcW w:w="1842" w:type="pct"/>
                  <w:shd w:val="clear" w:color="auto" w:fill="F2F2F2" w:themeFill="background1" w:themeFillShade="F2"/>
                  <w:vAlign w:val="bottom"/>
                </w:tcPr>
                <w:p w14:paraId="28BFF8B1" w14:textId="77777777" w:rsidR="0011262F" w:rsidRDefault="0011262F" w:rsidP="00B54007">
                  <w:pPr>
                    <w:pStyle w:val="TableBodyText"/>
                    <w:jc w:val="left"/>
                  </w:pPr>
                  <w:r w:rsidRPr="00C358C1">
                    <w:t xml:space="preserve">SD of varying </w:t>
                  </w:r>
                  <w:r>
                    <w:t xml:space="preserve">slope: </w:t>
                  </w:r>
                  <w:r w:rsidRPr="00C358C1">
                    <w:t>Assets</w:t>
                  </w:r>
                </w:p>
              </w:tc>
              <w:tc>
                <w:tcPr>
                  <w:tcW w:w="632" w:type="pct"/>
                  <w:shd w:val="clear" w:color="auto" w:fill="F2F2F2" w:themeFill="background1" w:themeFillShade="F2"/>
                  <w:vAlign w:val="bottom"/>
                </w:tcPr>
                <w:p w14:paraId="67B46974" w14:textId="77777777" w:rsidR="0011262F" w:rsidRDefault="0011262F" w:rsidP="00B54007">
                  <w:pPr>
                    <w:pStyle w:val="TableBodyText"/>
                    <w:ind w:right="28"/>
                  </w:pPr>
                  <w:r w:rsidRPr="00C358C1">
                    <w:t>0.208</w:t>
                  </w:r>
                </w:p>
              </w:tc>
              <w:tc>
                <w:tcPr>
                  <w:tcW w:w="632" w:type="pct"/>
                  <w:shd w:val="clear" w:color="auto" w:fill="F2F2F2" w:themeFill="background1" w:themeFillShade="F2"/>
                  <w:vAlign w:val="bottom"/>
                </w:tcPr>
                <w:p w14:paraId="0F3E681A" w14:textId="77777777" w:rsidR="0011262F" w:rsidRDefault="0011262F" w:rsidP="00B54007">
                  <w:pPr>
                    <w:pStyle w:val="TableBodyText"/>
                    <w:ind w:right="28"/>
                  </w:pPr>
                  <w:r w:rsidRPr="00C358C1">
                    <w:t>0.036</w:t>
                  </w:r>
                </w:p>
              </w:tc>
              <w:tc>
                <w:tcPr>
                  <w:tcW w:w="632" w:type="pct"/>
                  <w:shd w:val="clear" w:color="auto" w:fill="F2F2F2" w:themeFill="background1" w:themeFillShade="F2"/>
                  <w:vAlign w:val="bottom"/>
                </w:tcPr>
                <w:p w14:paraId="682C6291" w14:textId="77777777" w:rsidR="0011262F" w:rsidRDefault="0011262F" w:rsidP="00B54007">
                  <w:pPr>
                    <w:pStyle w:val="TableBodyText"/>
                    <w:ind w:right="28"/>
                  </w:pPr>
                  <w:r w:rsidRPr="00C358C1">
                    <w:t>0.142</w:t>
                  </w:r>
                </w:p>
              </w:tc>
              <w:tc>
                <w:tcPr>
                  <w:tcW w:w="632" w:type="pct"/>
                  <w:shd w:val="clear" w:color="auto" w:fill="F2F2F2" w:themeFill="background1" w:themeFillShade="F2"/>
                  <w:vAlign w:val="bottom"/>
                </w:tcPr>
                <w:p w14:paraId="09CE4C91" w14:textId="77777777" w:rsidR="0011262F" w:rsidRDefault="0011262F" w:rsidP="00B54007">
                  <w:pPr>
                    <w:pStyle w:val="TableBodyText"/>
                    <w:ind w:right="28"/>
                  </w:pPr>
                  <w:r w:rsidRPr="00C358C1">
                    <w:t>0.207</w:t>
                  </w:r>
                </w:p>
              </w:tc>
              <w:tc>
                <w:tcPr>
                  <w:tcW w:w="630" w:type="pct"/>
                  <w:shd w:val="clear" w:color="auto" w:fill="F2F2F2" w:themeFill="background1" w:themeFillShade="F2"/>
                  <w:vAlign w:val="bottom"/>
                </w:tcPr>
                <w:p w14:paraId="4A5BFBC4" w14:textId="77777777" w:rsidR="0011262F" w:rsidRDefault="0011262F" w:rsidP="00B54007">
                  <w:pPr>
                    <w:pStyle w:val="TableBodyText"/>
                  </w:pPr>
                  <w:r w:rsidRPr="00C358C1">
                    <w:t>0.277</w:t>
                  </w:r>
                </w:p>
              </w:tc>
            </w:tr>
            <w:tr w:rsidR="0011262F" w14:paraId="58AD05F8" w14:textId="77777777" w:rsidTr="00B54007">
              <w:tc>
                <w:tcPr>
                  <w:tcW w:w="1842" w:type="pct"/>
                  <w:tcBorders>
                    <w:bottom w:val="single" w:sz="6" w:space="0" w:color="BFBFBF" w:themeColor="background1" w:themeShade="BF"/>
                  </w:tcBorders>
                  <w:shd w:val="clear" w:color="auto" w:fill="auto"/>
                  <w:vAlign w:val="bottom"/>
                </w:tcPr>
                <w:p w14:paraId="4CE0E57D" w14:textId="77777777" w:rsidR="0011262F" w:rsidRDefault="0011262F" w:rsidP="00B54007">
                  <w:pPr>
                    <w:pStyle w:val="TableBodyText"/>
                    <w:jc w:val="left"/>
                  </w:pPr>
                  <w:r w:rsidRPr="00C358C1">
                    <w:t xml:space="preserve">SD of varying </w:t>
                  </w:r>
                  <w:r>
                    <w:t xml:space="preserve">slope: </w:t>
                  </w:r>
                  <w:r w:rsidRPr="00C358C1">
                    <w:t xml:space="preserve">Member </w:t>
                  </w:r>
                  <w:r>
                    <w:t>accounts</w:t>
                  </w:r>
                </w:p>
              </w:tc>
              <w:tc>
                <w:tcPr>
                  <w:tcW w:w="632" w:type="pct"/>
                  <w:tcBorders>
                    <w:bottom w:val="single" w:sz="6" w:space="0" w:color="BFBFBF" w:themeColor="background1" w:themeShade="BF"/>
                  </w:tcBorders>
                  <w:vAlign w:val="bottom"/>
                </w:tcPr>
                <w:p w14:paraId="6AD0BF6E" w14:textId="77777777" w:rsidR="0011262F" w:rsidRDefault="0011262F" w:rsidP="00B54007">
                  <w:pPr>
                    <w:pStyle w:val="TableBodyText"/>
                    <w:ind w:right="28"/>
                  </w:pPr>
                  <w:r w:rsidRPr="00C358C1">
                    <w:t>0.205</w:t>
                  </w:r>
                </w:p>
              </w:tc>
              <w:tc>
                <w:tcPr>
                  <w:tcW w:w="632" w:type="pct"/>
                  <w:tcBorders>
                    <w:bottom w:val="single" w:sz="6" w:space="0" w:color="BFBFBF" w:themeColor="background1" w:themeShade="BF"/>
                  </w:tcBorders>
                  <w:shd w:val="clear" w:color="auto" w:fill="auto"/>
                  <w:vAlign w:val="bottom"/>
                </w:tcPr>
                <w:p w14:paraId="654CC2B0" w14:textId="77777777" w:rsidR="0011262F" w:rsidRDefault="0011262F" w:rsidP="00B54007">
                  <w:pPr>
                    <w:pStyle w:val="TableBodyText"/>
                    <w:ind w:right="28"/>
                  </w:pPr>
                  <w:r w:rsidRPr="00C358C1">
                    <w:t>0.031</w:t>
                  </w:r>
                </w:p>
              </w:tc>
              <w:tc>
                <w:tcPr>
                  <w:tcW w:w="632" w:type="pct"/>
                  <w:tcBorders>
                    <w:bottom w:val="single" w:sz="6" w:space="0" w:color="BFBFBF" w:themeColor="background1" w:themeShade="BF"/>
                  </w:tcBorders>
                  <w:shd w:val="clear" w:color="auto" w:fill="auto"/>
                  <w:vAlign w:val="bottom"/>
                </w:tcPr>
                <w:p w14:paraId="4CD5D126" w14:textId="77777777" w:rsidR="0011262F" w:rsidRDefault="0011262F" w:rsidP="00B54007">
                  <w:pPr>
                    <w:pStyle w:val="TableBodyText"/>
                    <w:ind w:right="28"/>
                  </w:pPr>
                  <w:r w:rsidRPr="00C358C1">
                    <w:t>0.151</w:t>
                  </w:r>
                </w:p>
              </w:tc>
              <w:tc>
                <w:tcPr>
                  <w:tcW w:w="632" w:type="pct"/>
                  <w:tcBorders>
                    <w:bottom w:val="single" w:sz="6" w:space="0" w:color="BFBFBF" w:themeColor="background1" w:themeShade="BF"/>
                  </w:tcBorders>
                  <w:vAlign w:val="bottom"/>
                </w:tcPr>
                <w:p w14:paraId="41C57845" w14:textId="77777777" w:rsidR="0011262F" w:rsidRDefault="0011262F" w:rsidP="00B54007">
                  <w:pPr>
                    <w:pStyle w:val="TableBodyText"/>
                    <w:ind w:right="28"/>
                  </w:pPr>
                  <w:r w:rsidRPr="00C358C1">
                    <w:t>0.202</w:t>
                  </w:r>
                </w:p>
              </w:tc>
              <w:tc>
                <w:tcPr>
                  <w:tcW w:w="630" w:type="pct"/>
                  <w:tcBorders>
                    <w:bottom w:val="single" w:sz="6" w:space="0" w:color="BFBFBF" w:themeColor="background1" w:themeShade="BF"/>
                  </w:tcBorders>
                  <w:vAlign w:val="bottom"/>
                </w:tcPr>
                <w:p w14:paraId="4FA3C442" w14:textId="77777777" w:rsidR="0011262F" w:rsidRDefault="0011262F" w:rsidP="00B54007">
                  <w:pPr>
                    <w:pStyle w:val="TableBodyText"/>
                  </w:pPr>
                  <w:r w:rsidRPr="00C358C1">
                    <w:t>0.272</w:t>
                  </w:r>
                </w:p>
              </w:tc>
            </w:tr>
          </w:tbl>
          <w:p w14:paraId="00CAEDD0" w14:textId="77777777" w:rsidR="0011262F" w:rsidRDefault="0011262F" w:rsidP="00B54007">
            <w:pPr>
              <w:pStyle w:val="Box"/>
            </w:pPr>
          </w:p>
        </w:tc>
      </w:tr>
      <w:tr w:rsidR="0011262F" w14:paraId="4C732B15" w14:textId="77777777" w:rsidTr="00B54007">
        <w:tc>
          <w:tcPr>
            <w:tcW w:w="5000" w:type="pct"/>
            <w:tcBorders>
              <w:top w:val="nil"/>
              <w:left w:val="nil"/>
              <w:bottom w:val="nil"/>
              <w:right w:val="nil"/>
            </w:tcBorders>
            <w:shd w:val="clear" w:color="auto" w:fill="auto"/>
          </w:tcPr>
          <w:p w14:paraId="40EC833A" w14:textId="77777777" w:rsidR="0011262F" w:rsidRDefault="0011262F" w:rsidP="00B54007">
            <w:pPr>
              <w:pStyle w:val="Continued"/>
            </w:pPr>
            <w:r w:rsidRPr="004C4BB2">
              <w:t>(continued next page)</w:t>
            </w:r>
          </w:p>
        </w:tc>
      </w:tr>
      <w:tr w:rsidR="0011262F" w14:paraId="73E85CC3" w14:textId="77777777" w:rsidTr="00B54007">
        <w:tc>
          <w:tcPr>
            <w:tcW w:w="5000" w:type="pct"/>
            <w:tcBorders>
              <w:top w:val="nil"/>
              <w:left w:val="nil"/>
              <w:bottom w:val="single" w:sz="6" w:space="0" w:color="78A22F"/>
              <w:right w:val="nil"/>
            </w:tcBorders>
            <w:shd w:val="clear" w:color="auto" w:fill="auto"/>
          </w:tcPr>
          <w:p w14:paraId="7948AB81" w14:textId="77777777" w:rsidR="0011262F" w:rsidRDefault="0011262F" w:rsidP="00B54007">
            <w:pPr>
              <w:pStyle w:val="Box"/>
              <w:spacing w:before="0" w:line="120" w:lineRule="exact"/>
            </w:pPr>
          </w:p>
        </w:tc>
      </w:tr>
      <w:tr w:rsidR="0011262F" w:rsidRPr="000863A5" w14:paraId="6B2C974C" w14:textId="77777777" w:rsidTr="00B54007">
        <w:tc>
          <w:tcPr>
            <w:tcW w:w="5000" w:type="pct"/>
            <w:tcBorders>
              <w:top w:val="single" w:sz="6" w:space="0" w:color="78A22F"/>
              <w:left w:val="nil"/>
              <w:bottom w:val="nil"/>
              <w:right w:val="nil"/>
            </w:tcBorders>
          </w:tcPr>
          <w:p w14:paraId="343B8A12" w14:textId="77777777" w:rsidR="0011262F" w:rsidRPr="00626D32" w:rsidRDefault="0011262F" w:rsidP="00B54007">
            <w:pPr>
              <w:pStyle w:val="BoxSpaceBelow"/>
            </w:pPr>
          </w:p>
        </w:tc>
      </w:tr>
    </w:tbl>
    <w:p w14:paraId="28B538BF" w14:textId="77777777" w:rsidR="0011262F" w:rsidRDefault="0011262F" w:rsidP="0011262F">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1262F" w14:paraId="2470ACC9" w14:textId="77777777" w:rsidTr="00B54007">
        <w:trPr>
          <w:tblHeader/>
        </w:trPr>
        <w:tc>
          <w:tcPr>
            <w:tcW w:w="5000" w:type="pct"/>
            <w:tcBorders>
              <w:top w:val="single" w:sz="6" w:space="0" w:color="78A22F"/>
              <w:left w:val="nil"/>
              <w:bottom w:val="nil"/>
              <w:right w:val="nil"/>
            </w:tcBorders>
            <w:shd w:val="clear" w:color="auto" w:fill="auto"/>
          </w:tcPr>
          <w:p w14:paraId="4B4EADDC" w14:textId="77777777" w:rsidR="0011262F" w:rsidRPr="00784A05" w:rsidRDefault="0011262F" w:rsidP="00B54007">
            <w:pPr>
              <w:pStyle w:val="TableTitle"/>
            </w:pPr>
            <w:r>
              <w:rPr>
                <w:b w:val="0"/>
              </w:rPr>
              <w:t xml:space="preserve">Table </w:t>
            </w:r>
            <w:proofErr w:type="spellStart"/>
            <w:r>
              <w:rPr>
                <w:b w:val="0"/>
              </w:rPr>
              <w:t>E.1</w:t>
            </w:r>
            <w:proofErr w:type="spellEnd"/>
            <w:r>
              <w:tab/>
            </w:r>
            <w:r w:rsidRPr="004C4BB2">
              <w:rPr>
                <w:b w:val="0"/>
                <w:sz w:val="18"/>
                <w:szCs w:val="18"/>
              </w:rPr>
              <w:t>(continued)</w:t>
            </w:r>
          </w:p>
        </w:tc>
      </w:tr>
      <w:tr w:rsidR="0011262F" w14:paraId="2CDA304A" w14:textId="77777777" w:rsidTr="00B54007">
        <w:tc>
          <w:tcPr>
            <w:tcW w:w="5000" w:type="pct"/>
            <w:tcBorders>
              <w:top w:val="nil"/>
              <w:left w:val="nil"/>
              <w:bottom w:val="nil"/>
              <w:right w:val="nil"/>
            </w:tcBorders>
            <w:shd w:val="clear" w:color="auto" w:fill="auto"/>
          </w:tcPr>
          <w:tbl>
            <w:tblPr>
              <w:tblW w:w="8527" w:type="dxa"/>
              <w:tblCellMar>
                <w:top w:w="28" w:type="dxa"/>
                <w:left w:w="0" w:type="dxa"/>
                <w:right w:w="0" w:type="dxa"/>
              </w:tblCellMar>
              <w:tblLook w:val="0000" w:firstRow="0" w:lastRow="0" w:firstColumn="0" w:lastColumn="0" w:noHBand="0" w:noVBand="0"/>
            </w:tblPr>
            <w:tblGrid>
              <w:gridCol w:w="3141"/>
              <w:gridCol w:w="1078"/>
              <w:gridCol w:w="1078"/>
              <w:gridCol w:w="1078"/>
              <w:gridCol w:w="1078"/>
              <w:gridCol w:w="1074"/>
            </w:tblGrid>
            <w:tr w:rsidR="0011262F" w14:paraId="2653E988" w14:textId="77777777" w:rsidTr="00B54007">
              <w:tc>
                <w:tcPr>
                  <w:tcW w:w="1842" w:type="pct"/>
                  <w:tcBorders>
                    <w:top w:val="single" w:sz="4" w:space="0" w:color="BFBFBF"/>
                    <w:bottom w:val="single" w:sz="6" w:space="0" w:color="BFBFBF" w:themeColor="background1" w:themeShade="BF"/>
                  </w:tcBorders>
                  <w:shd w:val="clear" w:color="auto" w:fill="auto"/>
                  <w:vAlign w:val="bottom"/>
                </w:tcPr>
                <w:p w14:paraId="11A16906" w14:textId="77777777" w:rsidR="0011262F" w:rsidRDefault="0011262F" w:rsidP="00B54007">
                  <w:pPr>
                    <w:pStyle w:val="TableColumnHeading"/>
                    <w:jc w:val="left"/>
                    <w:rPr>
                      <w:b/>
                    </w:rPr>
                  </w:pPr>
                  <w:r>
                    <w:t>Parameter</w:t>
                  </w:r>
                </w:p>
              </w:tc>
              <w:tc>
                <w:tcPr>
                  <w:tcW w:w="632" w:type="pct"/>
                  <w:tcBorders>
                    <w:top w:val="single" w:sz="4" w:space="0" w:color="BFBFBF"/>
                    <w:bottom w:val="single" w:sz="6" w:space="0" w:color="BFBFBF" w:themeColor="background1" w:themeShade="BF"/>
                  </w:tcBorders>
                  <w:vAlign w:val="bottom"/>
                </w:tcPr>
                <w:p w14:paraId="7846C206" w14:textId="77777777" w:rsidR="0011262F" w:rsidRDefault="0011262F" w:rsidP="00B54007">
                  <w:pPr>
                    <w:pStyle w:val="TableColumnHeading"/>
                  </w:pPr>
                  <w:r>
                    <w:t>Mean</w:t>
                  </w:r>
                </w:p>
              </w:tc>
              <w:tc>
                <w:tcPr>
                  <w:tcW w:w="632" w:type="pct"/>
                  <w:tcBorders>
                    <w:top w:val="single" w:sz="4" w:space="0" w:color="BFBFBF"/>
                    <w:bottom w:val="single" w:sz="6" w:space="0" w:color="BFBFBF" w:themeColor="background1" w:themeShade="BF"/>
                  </w:tcBorders>
                  <w:shd w:val="clear" w:color="auto" w:fill="auto"/>
                  <w:vAlign w:val="bottom"/>
                </w:tcPr>
                <w:p w14:paraId="4D8E5EE2" w14:textId="77777777" w:rsidR="0011262F" w:rsidRDefault="0011262F" w:rsidP="00B54007">
                  <w:pPr>
                    <w:pStyle w:val="TableColumnHeading"/>
                  </w:pPr>
                  <w:r>
                    <w:t>Standard deviation</w:t>
                  </w:r>
                </w:p>
              </w:tc>
              <w:tc>
                <w:tcPr>
                  <w:tcW w:w="632" w:type="pct"/>
                  <w:tcBorders>
                    <w:top w:val="single" w:sz="4" w:space="0" w:color="BFBFBF"/>
                    <w:bottom w:val="single" w:sz="6" w:space="0" w:color="BFBFBF" w:themeColor="background1" w:themeShade="BF"/>
                  </w:tcBorders>
                  <w:shd w:val="clear" w:color="auto" w:fill="auto"/>
                  <w:vAlign w:val="bottom"/>
                </w:tcPr>
                <w:p w14:paraId="69DAE3EF" w14:textId="77777777" w:rsidR="0011262F" w:rsidRDefault="0011262F" w:rsidP="00B54007">
                  <w:pPr>
                    <w:pStyle w:val="TableColumnHeading"/>
                  </w:pPr>
                  <w:r>
                    <w:t>2.5 percentile</w:t>
                  </w:r>
                </w:p>
              </w:tc>
              <w:tc>
                <w:tcPr>
                  <w:tcW w:w="632" w:type="pct"/>
                  <w:tcBorders>
                    <w:top w:val="single" w:sz="4" w:space="0" w:color="BFBFBF"/>
                    <w:bottom w:val="single" w:sz="6" w:space="0" w:color="BFBFBF" w:themeColor="background1" w:themeShade="BF"/>
                  </w:tcBorders>
                  <w:vAlign w:val="bottom"/>
                </w:tcPr>
                <w:p w14:paraId="0D672DE1" w14:textId="77777777" w:rsidR="0011262F" w:rsidRDefault="0011262F" w:rsidP="00B54007">
                  <w:pPr>
                    <w:pStyle w:val="TableColumnHeading"/>
                  </w:pPr>
                  <w:r>
                    <w:t>Median</w:t>
                  </w:r>
                </w:p>
              </w:tc>
              <w:tc>
                <w:tcPr>
                  <w:tcW w:w="632" w:type="pct"/>
                  <w:tcBorders>
                    <w:top w:val="single" w:sz="4" w:space="0" w:color="BFBFBF"/>
                    <w:bottom w:val="single" w:sz="6" w:space="0" w:color="BFBFBF" w:themeColor="background1" w:themeShade="BF"/>
                  </w:tcBorders>
                  <w:vAlign w:val="bottom"/>
                </w:tcPr>
                <w:p w14:paraId="4A57D359" w14:textId="77777777" w:rsidR="0011262F" w:rsidRDefault="0011262F" w:rsidP="00B54007">
                  <w:pPr>
                    <w:pStyle w:val="TableColumnHeading"/>
                  </w:pPr>
                  <w:r>
                    <w:t>97.5 percentile</w:t>
                  </w:r>
                </w:p>
              </w:tc>
            </w:tr>
            <w:tr w:rsidR="0011262F" w14:paraId="637994E9" w14:textId="77777777" w:rsidTr="00B54007">
              <w:tc>
                <w:tcPr>
                  <w:tcW w:w="1842" w:type="pct"/>
                  <w:tcBorders>
                    <w:top w:val="single" w:sz="6" w:space="0" w:color="BFBFBF" w:themeColor="background1" w:themeShade="BF"/>
                  </w:tcBorders>
                  <w:shd w:val="clear" w:color="auto" w:fill="BFBFBF" w:themeFill="background1" w:themeFillShade="BF"/>
                </w:tcPr>
                <w:p w14:paraId="7C32C4F8" w14:textId="77777777" w:rsidR="0011262F" w:rsidRPr="0099011F" w:rsidRDefault="0011262F" w:rsidP="00B54007">
                  <w:pPr>
                    <w:pStyle w:val="TableBodyText"/>
                    <w:jc w:val="left"/>
                    <w:rPr>
                      <w:b/>
                    </w:rPr>
                  </w:pPr>
                  <w:r w:rsidRPr="0099011F">
                    <w:rPr>
                      <w:b/>
                    </w:rPr>
                    <w:t>Investment</w:t>
                  </w:r>
                </w:p>
              </w:tc>
              <w:tc>
                <w:tcPr>
                  <w:tcW w:w="632" w:type="pct"/>
                  <w:tcBorders>
                    <w:top w:val="single" w:sz="6" w:space="0" w:color="BFBFBF" w:themeColor="background1" w:themeShade="BF"/>
                  </w:tcBorders>
                  <w:shd w:val="clear" w:color="auto" w:fill="BFBFBF" w:themeFill="background1" w:themeFillShade="BF"/>
                </w:tcPr>
                <w:p w14:paraId="42BB51A2" w14:textId="77777777" w:rsidR="0011262F" w:rsidRDefault="0011262F" w:rsidP="00B54007">
                  <w:pPr>
                    <w:pStyle w:val="TableBodyText"/>
                  </w:pPr>
                </w:p>
              </w:tc>
              <w:tc>
                <w:tcPr>
                  <w:tcW w:w="632" w:type="pct"/>
                  <w:tcBorders>
                    <w:top w:val="single" w:sz="6" w:space="0" w:color="BFBFBF" w:themeColor="background1" w:themeShade="BF"/>
                  </w:tcBorders>
                  <w:shd w:val="clear" w:color="auto" w:fill="BFBFBF" w:themeFill="background1" w:themeFillShade="BF"/>
                </w:tcPr>
                <w:p w14:paraId="2737914A" w14:textId="77777777" w:rsidR="0011262F" w:rsidRDefault="0011262F" w:rsidP="00B54007">
                  <w:pPr>
                    <w:pStyle w:val="TableBodyText"/>
                  </w:pPr>
                </w:p>
              </w:tc>
              <w:tc>
                <w:tcPr>
                  <w:tcW w:w="632" w:type="pct"/>
                  <w:tcBorders>
                    <w:top w:val="single" w:sz="6" w:space="0" w:color="BFBFBF" w:themeColor="background1" w:themeShade="BF"/>
                  </w:tcBorders>
                  <w:shd w:val="clear" w:color="auto" w:fill="BFBFBF" w:themeFill="background1" w:themeFillShade="BF"/>
                </w:tcPr>
                <w:p w14:paraId="19CD8AC5" w14:textId="77777777" w:rsidR="0011262F" w:rsidRDefault="0011262F" w:rsidP="00B54007">
                  <w:pPr>
                    <w:pStyle w:val="TableBodyText"/>
                    <w:ind w:right="28"/>
                  </w:pPr>
                </w:p>
              </w:tc>
              <w:tc>
                <w:tcPr>
                  <w:tcW w:w="632" w:type="pct"/>
                  <w:tcBorders>
                    <w:top w:val="single" w:sz="6" w:space="0" w:color="BFBFBF" w:themeColor="background1" w:themeShade="BF"/>
                  </w:tcBorders>
                  <w:shd w:val="clear" w:color="auto" w:fill="BFBFBF" w:themeFill="background1" w:themeFillShade="BF"/>
                </w:tcPr>
                <w:p w14:paraId="7D515498" w14:textId="77777777" w:rsidR="0011262F" w:rsidRDefault="0011262F" w:rsidP="00B54007">
                  <w:pPr>
                    <w:pStyle w:val="TableBodyText"/>
                    <w:ind w:right="28"/>
                  </w:pPr>
                </w:p>
              </w:tc>
              <w:tc>
                <w:tcPr>
                  <w:tcW w:w="632" w:type="pct"/>
                  <w:tcBorders>
                    <w:top w:val="single" w:sz="6" w:space="0" w:color="BFBFBF" w:themeColor="background1" w:themeShade="BF"/>
                  </w:tcBorders>
                  <w:shd w:val="clear" w:color="auto" w:fill="BFBFBF" w:themeFill="background1" w:themeFillShade="BF"/>
                </w:tcPr>
                <w:p w14:paraId="342751CA" w14:textId="77777777" w:rsidR="0011262F" w:rsidRDefault="0011262F" w:rsidP="00B54007">
                  <w:pPr>
                    <w:pStyle w:val="TableBodyText"/>
                  </w:pPr>
                </w:p>
              </w:tc>
            </w:tr>
            <w:tr w:rsidR="0011262F" w14:paraId="340F0A0E" w14:textId="77777777" w:rsidTr="00B54007">
              <w:tc>
                <w:tcPr>
                  <w:tcW w:w="1842" w:type="pct"/>
                  <w:shd w:val="clear" w:color="auto" w:fill="auto"/>
                  <w:vAlign w:val="bottom"/>
                </w:tcPr>
                <w:p w14:paraId="4A52A960" w14:textId="77777777" w:rsidR="0011262F" w:rsidRDefault="0011262F" w:rsidP="00B54007">
                  <w:pPr>
                    <w:pStyle w:val="TableBodyText"/>
                    <w:jc w:val="left"/>
                  </w:pPr>
                  <w:r w:rsidRPr="00C358C1">
                    <w:t>Assets</w:t>
                  </w:r>
                </w:p>
              </w:tc>
              <w:tc>
                <w:tcPr>
                  <w:tcW w:w="632" w:type="pct"/>
                  <w:vAlign w:val="bottom"/>
                </w:tcPr>
                <w:p w14:paraId="6038B5F1" w14:textId="77777777" w:rsidR="0011262F" w:rsidRDefault="0011262F" w:rsidP="00B54007">
                  <w:pPr>
                    <w:pStyle w:val="TableBodyText"/>
                    <w:ind w:right="28"/>
                  </w:pPr>
                  <w:r w:rsidRPr="00C358C1">
                    <w:t>0.667</w:t>
                  </w:r>
                </w:p>
              </w:tc>
              <w:tc>
                <w:tcPr>
                  <w:tcW w:w="632" w:type="pct"/>
                  <w:shd w:val="clear" w:color="auto" w:fill="auto"/>
                  <w:vAlign w:val="bottom"/>
                </w:tcPr>
                <w:p w14:paraId="7AA8D83B" w14:textId="77777777" w:rsidR="0011262F" w:rsidRDefault="0011262F" w:rsidP="00B54007">
                  <w:pPr>
                    <w:pStyle w:val="TableBodyText"/>
                    <w:ind w:right="28"/>
                  </w:pPr>
                  <w:r w:rsidRPr="00C358C1">
                    <w:t>0.045</w:t>
                  </w:r>
                </w:p>
              </w:tc>
              <w:tc>
                <w:tcPr>
                  <w:tcW w:w="632" w:type="pct"/>
                  <w:shd w:val="clear" w:color="auto" w:fill="auto"/>
                  <w:vAlign w:val="bottom"/>
                </w:tcPr>
                <w:p w14:paraId="3A7C4F0A" w14:textId="77777777" w:rsidR="0011262F" w:rsidRDefault="0011262F" w:rsidP="00B54007">
                  <w:pPr>
                    <w:pStyle w:val="TableBodyText"/>
                    <w:ind w:right="28"/>
                  </w:pPr>
                  <w:r w:rsidRPr="00C358C1">
                    <w:t>0.584</w:t>
                  </w:r>
                </w:p>
              </w:tc>
              <w:tc>
                <w:tcPr>
                  <w:tcW w:w="632" w:type="pct"/>
                  <w:vAlign w:val="bottom"/>
                </w:tcPr>
                <w:p w14:paraId="4DF0F2FF" w14:textId="77777777" w:rsidR="0011262F" w:rsidRDefault="0011262F" w:rsidP="00B54007">
                  <w:pPr>
                    <w:pStyle w:val="TableBodyText"/>
                    <w:ind w:right="28"/>
                  </w:pPr>
                  <w:r w:rsidRPr="00C358C1">
                    <w:t>0.665</w:t>
                  </w:r>
                </w:p>
              </w:tc>
              <w:tc>
                <w:tcPr>
                  <w:tcW w:w="632" w:type="pct"/>
                  <w:vAlign w:val="bottom"/>
                </w:tcPr>
                <w:p w14:paraId="2FA6FB9A" w14:textId="77777777" w:rsidR="0011262F" w:rsidRDefault="0011262F" w:rsidP="00B54007">
                  <w:pPr>
                    <w:pStyle w:val="TableBodyText"/>
                  </w:pPr>
                  <w:r w:rsidRPr="00C358C1">
                    <w:t>0.758</w:t>
                  </w:r>
                </w:p>
              </w:tc>
            </w:tr>
            <w:tr w:rsidR="0011262F" w14:paraId="1140B21F" w14:textId="77777777" w:rsidTr="00B54007">
              <w:tc>
                <w:tcPr>
                  <w:tcW w:w="1842" w:type="pct"/>
                  <w:shd w:val="clear" w:color="auto" w:fill="F2F2F2" w:themeFill="background1" w:themeFillShade="F2"/>
                  <w:vAlign w:val="bottom"/>
                </w:tcPr>
                <w:p w14:paraId="40017D06" w14:textId="77777777" w:rsidR="0011262F" w:rsidRDefault="0011262F" w:rsidP="00B54007">
                  <w:pPr>
                    <w:pStyle w:val="TableBodyText"/>
                    <w:jc w:val="left"/>
                  </w:pPr>
                  <w:r w:rsidRPr="00C358C1">
                    <w:t>Number of investment options</w:t>
                  </w:r>
                </w:p>
              </w:tc>
              <w:tc>
                <w:tcPr>
                  <w:tcW w:w="632" w:type="pct"/>
                  <w:shd w:val="clear" w:color="auto" w:fill="F2F2F2" w:themeFill="background1" w:themeFillShade="F2"/>
                  <w:vAlign w:val="bottom"/>
                </w:tcPr>
                <w:p w14:paraId="14262307" w14:textId="77777777" w:rsidR="0011262F" w:rsidRDefault="0011262F" w:rsidP="00B54007">
                  <w:pPr>
                    <w:pStyle w:val="TableBodyText"/>
                    <w:ind w:right="28"/>
                  </w:pPr>
                  <w:r w:rsidRPr="00C358C1">
                    <w:t>-0.014</w:t>
                  </w:r>
                </w:p>
              </w:tc>
              <w:tc>
                <w:tcPr>
                  <w:tcW w:w="632" w:type="pct"/>
                  <w:shd w:val="clear" w:color="auto" w:fill="F2F2F2" w:themeFill="background1" w:themeFillShade="F2"/>
                  <w:vAlign w:val="bottom"/>
                </w:tcPr>
                <w:p w14:paraId="161A80D6" w14:textId="77777777" w:rsidR="0011262F" w:rsidRDefault="0011262F" w:rsidP="00B54007">
                  <w:pPr>
                    <w:pStyle w:val="TableBodyText"/>
                    <w:ind w:right="28"/>
                  </w:pPr>
                  <w:r w:rsidRPr="00C358C1">
                    <w:t>0.020</w:t>
                  </w:r>
                </w:p>
              </w:tc>
              <w:tc>
                <w:tcPr>
                  <w:tcW w:w="632" w:type="pct"/>
                  <w:shd w:val="clear" w:color="auto" w:fill="F2F2F2" w:themeFill="background1" w:themeFillShade="F2"/>
                  <w:vAlign w:val="bottom"/>
                </w:tcPr>
                <w:p w14:paraId="11CD5B8D" w14:textId="77777777" w:rsidR="0011262F" w:rsidRDefault="0011262F" w:rsidP="00B54007">
                  <w:pPr>
                    <w:pStyle w:val="TableBodyText"/>
                    <w:ind w:right="28"/>
                  </w:pPr>
                  <w:r w:rsidRPr="00C358C1">
                    <w:t>-0.052</w:t>
                  </w:r>
                </w:p>
              </w:tc>
              <w:tc>
                <w:tcPr>
                  <w:tcW w:w="632" w:type="pct"/>
                  <w:shd w:val="clear" w:color="auto" w:fill="F2F2F2" w:themeFill="background1" w:themeFillShade="F2"/>
                  <w:vAlign w:val="bottom"/>
                </w:tcPr>
                <w:p w14:paraId="0E3DE07B" w14:textId="77777777" w:rsidR="0011262F" w:rsidRDefault="0011262F" w:rsidP="00B54007">
                  <w:pPr>
                    <w:pStyle w:val="TableBodyText"/>
                    <w:ind w:right="28"/>
                  </w:pPr>
                  <w:r w:rsidRPr="00C358C1">
                    <w:t>-0.014</w:t>
                  </w:r>
                </w:p>
              </w:tc>
              <w:tc>
                <w:tcPr>
                  <w:tcW w:w="632" w:type="pct"/>
                  <w:shd w:val="clear" w:color="auto" w:fill="F2F2F2" w:themeFill="background1" w:themeFillShade="F2"/>
                  <w:vAlign w:val="bottom"/>
                </w:tcPr>
                <w:p w14:paraId="76D98142" w14:textId="77777777" w:rsidR="0011262F" w:rsidRDefault="0011262F" w:rsidP="00B54007">
                  <w:pPr>
                    <w:pStyle w:val="TableBodyText"/>
                  </w:pPr>
                  <w:r w:rsidRPr="00C358C1">
                    <w:t>0.024</w:t>
                  </w:r>
                </w:p>
              </w:tc>
            </w:tr>
            <w:tr w:rsidR="0011262F" w14:paraId="48F9A1AF" w14:textId="77777777" w:rsidTr="00B54007">
              <w:tc>
                <w:tcPr>
                  <w:tcW w:w="1842" w:type="pct"/>
                  <w:shd w:val="clear" w:color="auto" w:fill="auto"/>
                  <w:vAlign w:val="bottom"/>
                </w:tcPr>
                <w:p w14:paraId="79FE0D86" w14:textId="77777777" w:rsidR="0011262F" w:rsidRDefault="0011262F" w:rsidP="00B54007">
                  <w:pPr>
                    <w:pStyle w:val="TableBodyText"/>
                    <w:jc w:val="left"/>
                  </w:pPr>
                  <w:r w:rsidRPr="00C358C1">
                    <w:t>Net contributions</w:t>
                  </w:r>
                </w:p>
              </w:tc>
              <w:tc>
                <w:tcPr>
                  <w:tcW w:w="632" w:type="pct"/>
                  <w:vAlign w:val="bottom"/>
                </w:tcPr>
                <w:p w14:paraId="2259CBB6" w14:textId="77777777" w:rsidR="0011262F" w:rsidRDefault="0011262F" w:rsidP="00B54007">
                  <w:pPr>
                    <w:pStyle w:val="TableBodyText"/>
                    <w:ind w:right="28"/>
                  </w:pPr>
                  <w:r w:rsidRPr="00C358C1">
                    <w:t>-0.009</w:t>
                  </w:r>
                </w:p>
              </w:tc>
              <w:tc>
                <w:tcPr>
                  <w:tcW w:w="632" w:type="pct"/>
                  <w:shd w:val="clear" w:color="auto" w:fill="auto"/>
                  <w:vAlign w:val="bottom"/>
                </w:tcPr>
                <w:p w14:paraId="69E8CCAC" w14:textId="77777777" w:rsidR="0011262F" w:rsidRDefault="0011262F" w:rsidP="00B54007">
                  <w:pPr>
                    <w:pStyle w:val="TableBodyText"/>
                    <w:ind w:right="28"/>
                  </w:pPr>
                  <w:r w:rsidRPr="00C358C1">
                    <w:t>0.014</w:t>
                  </w:r>
                </w:p>
              </w:tc>
              <w:tc>
                <w:tcPr>
                  <w:tcW w:w="632" w:type="pct"/>
                  <w:shd w:val="clear" w:color="auto" w:fill="auto"/>
                  <w:vAlign w:val="bottom"/>
                </w:tcPr>
                <w:p w14:paraId="2300CE3C" w14:textId="77777777" w:rsidR="0011262F" w:rsidRDefault="0011262F" w:rsidP="00B54007">
                  <w:pPr>
                    <w:pStyle w:val="TableBodyText"/>
                    <w:ind w:right="28"/>
                  </w:pPr>
                  <w:r w:rsidRPr="00C358C1">
                    <w:t>-0.038</w:t>
                  </w:r>
                </w:p>
              </w:tc>
              <w:tc>
                <w:tcPr>
                  <w:tcW w:w="632" w:type="pct"/>
                  <w:vAlign w:val="bottom"/>
                </w:tcPr>
                <w:p w14:paraId="70F48EEA" w14:textId="77777777" w:rsidR="0011262F" w:rsidRDefault="0011262F" w:rsidP="00B54007">
                  <w:pPr>
                    <w:pStyle w:val="TableBodyText"/>
                    <w:ind w:right="28"/>
                  </w:pPr>
                  <w:r w:rsidRPr="00C358C1">
                    <w:t>-0.008</w:t>
                  </w:r>
                </w:p>
              </w:tc>
              <w:tc>
                <w:tcPr>
                  <w:tcW w:w="632" w:type="pct"/>
                  <w:vAlign w:val="bottom"/>
                </w:tcPr>
                <w:p w14:paraId="711B8CE8" w14:textId="77777777" w:rsidR="0011262F" w:rsidRDefault="0011262F" w:rsidP="00B54007">
                  <w:pPr>
                    <w:pStyle w:val="TableBodyText"/>
                  </w:pPr>
                  <w:r w:rsidRPr="00C358C1">
                    <w:t>0.019</w:t>
                  </w:r>
                </w:p>
              </w:tc>
            </w:tr>
            <w:tr w:rsidR="0011262F" w14:paraId="2BC1D2E0" w14:textId="77777777" w:rsidTr="00B54007">
              <w:tc>
                <w:tcPr>
                  <w:tcW w:w="1842" w:type="pct"/>
                  <w:shd w:val="clear" w:color="auto" w:fill="F2F2F2" w:themeFill="background1" w:themeFillShade="F2"/>
                  <w:vAlign w:val="bottom"/>
                </w:tcPr>
                <w:p w14:paraId="2BBC84BA" w14:textId="77777777" w:rsidR="0011262F" w:rsidRDefault="0011262F" w:rsidP="00B54007">
                  <w:pPr>
                    <w:pStyle w:val="TableBodyText"/>
                    <w:jc w:val="left"/>
                  </w:pPr>
                  <w:r w:rsidRPr="00C358C1">
                    <w:t>Net rollovers</w:t>
                  </w:r>
                </w:p>
              </w:tc>
              <w:tc>
                <w:tcPr>
                  <w:tcW w:w="632" w:type="pct"/>
                  <w:shd w:val="clear" w:color="auto" w:fill="F2F2F2" w:themeFill="background1" w:themeFillShade="F2"/>
                  <w:vAlign w:val="bottom"/>
                </w:tcPr>
                <w:p w14:paraId="7A3C985A" w14:textId="77777777" w:rsidR="0011262F" w:rsidRDefault="0011262F" w:rsidP="00B54007">
                  <w:pPr>
                    <w:pStyle w:val="TableBodyText"/>
                    <w:ind w:right="28"/>
                  </w:pPr>
                  <w:r w:rsidRPr="00C358C1">
                    <w:t>-0.013</w:t>
                  </w:r>
                </w:p>
              </w:tc>
              <w:tc>
                <w:tcPr>
                  <w:tcW w:w="632" w:type="pct"/>
                  <w:shd w:val="clear" w:color="auto" w:fill="F2F2F2" w:themeFill="background1" w:themeFillShade="F2"/>
                  <w:vAlign w:val="bottom"/>
                </w:tcPr>
                <w:p w14:paraId="01ADAB29" w14:textId="77777777" w:rsidR="0011262F" w:rsidRDefault="0011262F" w:rsidP="00B54007">
                  <w:pPr>
                    <w:pStyle w:val="TableBodyText"/>
                    <w:ind w:right="28"/>
                  </w:pPr>
                  <w:r w:rsidRPr="00C358C1">
                    <w:t>0.009</w:t>
                  </w:r>
                </w:p>
              </w:tc>
              <w:tc>
                <w:tcPr>
                  <w:tcW w:w="632" w:type="pct"/>
                  <w:shd w:val="clear" w:color="auto" w:fill="F2F2F2" w:themeFill="background1" w:themeFillShade="F2"/>
                  <w:vAlign w:val="bottom"/>
                </w:tcPr>
                <w:p w14:paraId="7E8BFE1C" w14:textId="77777777" w:rsidR="0011262F" w:rsidRDefault="0011262F" w:rsidP="00B54007">
                  <w:pPr>
                    <w:pStyle w:val="TableBodyText"/>
                    <w:ind w:right="28"/>
                  </w:pPr>
                  <w:r w:rsidRPr="00C358C1">
                    <w:t>-0.031</w:t>
                  </w:r>
                </w:p>
              </w:tc>
              <w:tc>
                <w:tcPr>
                  <w:tcW w:w="632" w:type="pct"/>
                  <w:shd w:val="clear" w:color="auto" w:fill="F2F2F2" w:themeFill="background1" w:themeFillShade="F2"/>
                  <w:vAlign w:val="bottom"/>
                </w:tcPr>
                <w:p w14:paraId="5BA07D8C" w14:textId="77777777" w:rsidR="0011262F" w:rsidRDefault="0011262F" w:rsidP="00B54007">
                  <w:pPr>
                    <w:pStyle w:val="TableBodyText"/>
                    <w:ind w:right="28"/>
                  </w:pPr>
                  <w:r w:rsidRPr="00C358C1">
                    <w:t>-0.013</w:t>
                  </w:r>
                </w:p>
              </w:tc>
              <w:tc>
                <w:tcPr>
                  <w:tcW w:w="632" w:type="pct"/>
                  <w:shd w:val="clear" w:color="auto" w:fill="F2F2F2" w:themeFill="background1" w:themeFillShade="F2"/>
                  <w:vAlign w:val="bottom"/>
                </w:tcPr>
                <w:p w14:paraId="36FD3AB4" w14:textId="77777777" w:rsidR="0011262F" w:rsidRDefault="0011262F" w:rsidP="00B54007">
                  <w:pPr>
                    <w:pStyle w:val="TableBodyText"/>
                  </w:pPr>
                  <w:r w:rsidRPr="00C358C1">
                    <w:t>0.004</w:t>
                  </w:r>
                </w:p>
              </w:tc>
            </w:tr>
            <w:tr w:rsidR="0011262F" w14:paraId="0461024B" w14:textId="77777777" w:rsidTr="00B54007">
              <w:tc>
                <w:tcPr>
                  <w:tcW w:w="1842" w:type="pct"/>
                  <w:shd w:val="clear" w:color="auto" w:fill="auto"/>
                  <w:vAlign w:val="bottom"/>
                </w:tcPr>
                <w:p w14:paraId="45C399CA" w14:textId="77777777" w:rsidR="0011262F" w:rsidRDefault="0011262F" w:rsidP="00B54007">
                  <w:pPr>
                    <w:pStyle w:val="TableBodyText"/>
                    <w:jc w:val="left"/>
                  </w:pPr>
                  <w:r w:rsidRPr="00C358C1">
                    <w:t>Industry</w:t>
                  </w:r>
                </w:p>
              </w:tc>
              <w:tc>
                <w:tcPr>
                  <w:tcW w:w="632" w:type="pct"/>
                  <w:vAlign w:val="bottom"/>
                </w:tcPr>
                <w:p w14:paraId="7BEFBFFB" w14:textId="77777777" w:rsidR="0011262F" w:rsidRDefault="0011262F" w:rsidP="00B54007">
                  <w:pPr>
                    <w:pStyle w:val="TableBodyText"/>
                    <w:ind w:right="28"/>
                  </w:pPr>
                  <w:r w:rsidRPr="00C358C1">
                    <w:t>-0.333</w:t>
                  </w:r>
                </w:p>
              </w:tc>
              <w:tc>
                <w:tcPr>
                  <w:tcW w:w="632" w:type="pct"/>
                  <w:shd w:val="clear" w:color="auto" w:fill="auto"/>
                  <w:vAlign w:val="bottom"/>
                </w:tcPr>
                <w:p w14:paraId="37A50C13" w14:textId="77777777" w:rsidR="0011262F" w:rsidRDefault="0011262F" w:rsidP="00B54007">
                  <w:pPr>
                    <w:pStyle w:val="TableBodyText"/>
                    <w:ind w:right="28"/>
                  </w:pPr>
                  <w:r w:rsidRPr="00C358C1">
                    <w:t>0.324</w:t>
                  </w:r>
                </w:p>
              </w:tc>
              <w:tc>
                <w:tcPr>
                  <w:tcW w:w="632" w:type="pct"/>
                  <w:shd w:val="clear" w:color="auto" w:fill="auto"/>
                  <w:vAlign w:val="bottom"/>
                </w:tcPr>
                <w:p w14:paraId="51CD1389" w14:textId="77777777" w:rsidR="0011262F" w:rsidRDefault="0011262F" w:rsidP="00B54007">
                  <w:pPr>
                    <w:pStyle w:val="TableBodyText"/>
                    <w:ind w:right="28"/>
                  </w:pPr>
                  <w:r w:rsidRPr="00C358C1">
                    <w:t>-0.977</w:t>
                  </w:r>
                </w:p>
              </w:tc>
              <w:tc>
                <w:tcPr>
                  <w:tcW w:w="632" w:type="pct"/>
                  <w:vAlign w:val="bottom"/>
                </w:tcPr>
                <w:p w14:paraId="4373586B" w14:textId="77777777" w:rsidR="0011262F" w:rsidRDefault="0011262F" w:rsidP="00B54007">
                  <w:pPr>
                    <w:pStyle w:val="TableBodyText"/>
                    <w:ind w:right="28"/>
                  </w:pPr>
                  <w:r w:rsidRPr="00C358C1">
                    <w:t>-0.321</w:t>
                  </w:r>
                </w:p>
              </w:tc>
              <w:tc>
                <w:tcPr>
                  <w:tcW w:w="632" w:type="pct"/>
                  <w:vAlign w:val="bottom"/>
                </w:tcPr>
                <w:p w14:paraId="3B13DF0E" w14:textId="77777777" w:rsidR="0011262F" w:rsidRDefault="0011262F" w:rsidP="00B54007">
                  <w:pPr>
                    <w:pStyle w:val="TableBodyText"/>
                  </w:pPr>
                  <w:r w:rsidRPr="00C358C1">
                    <w:t>0.299</w:t>
                  </w:r>
                </w:p>
              </w:tc>
            </w:tr>
            <w:tr w:rsidR="0011262F" w14:paraId="6E62F128" w14:textId="77777777" w:rsidTr="00B54007">
              <w:tc>
                <w:tcPr>
                  <w:tcW w:w="1842" w:type="pct"/>
                  <w:shd w:val="clear" w:color="auto" w:fill="F2F2F2" w:themeFill="background1" w:themeFillShade="F2"/>
                  <w:vAlign w:val="bottom"/>
                </w:tcPr>
                <w:p w14:paraId="18A1A16F" w14:textId="77777777" w:rsidR="0011262F" w:rsidRDefault="0011262F" w:rsidP="00B54007">
                  <w:pPr>
                    <w:pStyle w:val="TableBodyText"/>
                    <w:jc w:val="left"/>
                  </w:pPr>
                  <w:r w:rsidRPr="00C358C1">
                    <w:t>Public</w:t>
                  </w:r>
                </w:p>
              </w:tc>
              <w:tc>
                <w:tcPr>
                  <w:tcW w:w="632" w:type="pct"/>
                  <w:shd w:val="clear" w:color="auto" w:fill="F2F2F2" w:themeFill="background1" w:themeFillShade="F2"/>
                  <w:vAlign w:val="bottom"/>
                </w:tcPr>
                <w:p w14:paraId="0BBADCEB" w14:textId="77777777" w:rsidR="0011262F" w:rsidRDefault="0011262F" w:rsidP="00B54007">
                  <w:pPr>
                    <w:pStyle w:val="TableBodyText"/>
                    <w:ind w:right="28"/>
                  </w:pPr>
                  <w:r w:rsidRPr="00C358C1">
                    <w:t>1.401</w:t>
                  </w:r>
                </w:p>
              </w:tc>
              <w:tc>
                <w:tcPr>
                  <w:tcW w:w="632" w:type="pct"/>
                  <w:shd w:val="clear" w:color="auto" w:fill="F2F2F2" w:themeFill="background1" w:themeFillShade="F2"/>
                  <w:vAlign w:val="bottom"/>
                </w:tcPr>
                <w:p w14:paraId="1AB9E2B0" w14:textId="77777777" w:rsidR="0011262F" w:rsidRDefault="0011262F" w:rsidP="00B54007">
                  <w:pPr>
                    <w:pStyle w:val="TableBodyText"/>
                    <w:ind w:right="28"/>
                  </w:pPr>
                  <w:r w:rsidRPr="00C358C1">
                    <w:t>0.421</w:t>
                  </w:r>
                </w:p>
              </w:tc>
              <w:tc>
                <w:tcPr>
                  <w:tcW w:w="632" w:type="pct"/>
                  <w:shd w:val="clear" w:color="auto" w:fill="F2F2F2" w:themeFill="background1" w:themeFillShade="F2"/>
                  <w:vAlign w:val="bottom"/>
                </w:tcPr>
                <w:p w14:paraId="683A4011" w14:textId="77777777" w:rsidR="0011262F" w:rsidRDefault="0011262F" w:rsidP="00B54007">
                  <w:pPr>
                    <w:pStyle w:val="TableBodyText"/>
                    <w:ind w:right="28"/>
                  </w:pPr>
                  <w:r w:rsidRPr="00C358C1">
                    <w:t>0.537</w:t>
                  </w:r>
                </w:p>
              </w:tc>
              <w:tc>
                <w:tcPr>
                  <w:tcW w:w="632" w:type="pct"/>
                  <w:shd w:val="clear" w:color="auto" w:fill="F2F2F2" w:themeFill="background1" w:themeFillShade="F2"/>
                  <w:vAlign w:val="bottom"/>
                </w:tcPr>
                <w:p w14:paraId="1DB8CCFB" w14:textId="77777777" w:rsidR="0011262F" w:rsidRDefault="0011262F" w:rsidP="00B54007">
                  <w:pPr>
                    <w:pStyle w:val="TableBodyText"/>
                    <w:ind w:right="28"/>
                  </w:pPr>
                  <w:r w:rsidRPr="00C358C1">
                    <w:t>1.413</w:t>
                  </w:r>
                </w:p>
              </w:tc>
              <w:tc>
                <w:tcPr>
                  <w:tcW w:w="632" w:type="pct"/>
                  <w:shd w:val="clear" w:color="auto" w:fill="F2F2F2" w:themeFill="background1" w:themeFillShade="F2"/>
                  <w:vAlign w:val="bottom"/>
                </w:tcPr>
                <w:p w14:paraId="559C75E0" w14:textId="77777777" w:rsidR="0011262F" w:rsidRDefault="0011262F" w:rsidP="00B54007">
                  <w:pPr>
                    <w:pStyle w:val="TableBodyText"/>
                  </w:pPr>
                  <w:r w:rsidRPr="00C358C1">
                    <w:t>2.202</w:t>
                  </w:r>
                </w:p>
              </w:tc>
            </w:tr>
            <w:tr w:rsidR="0011262F" w14:paraId="337D1BD8" w14:textId="77777777" w:rsidTr="00B54007">
              <w:tc>
                <w:tcPr>
                  <w:tcW w:w="1842" w:type="pct"/>
                  <w:shd w:val="clear" w:color="auto" w:fill="auto"/>
                  <w:vAlign w:val="bottom"/>
                </w:tcPr>
                <w:p w14:paraId="64CA831D" w14:textId="77777777" w:rsidR="0011262F" w:rsidRDefault="0011262F" w:rsidP="00B54007">
                  <w:pPr>
                    <w:pStyle w:val="TableBodyText"/>
                    <w:jc w:val="left"/>
                  </w:pPr>
                  <w:r w:rsidRPr="00C358C1">
                    <w:t>Retail</w:t>
                  </w:r>
                </w:p>
              </w:tc>
              <w:tc>
                <w:tcPr>
                  <w:tcW w:w="632" w:type="pct"/>
                  <w:vAlign w:val="bottom"/>
                </w:tcPr>
                <w:p w14:paraId="4814EBD7" w14:textId="77777777" w:rsidR="0011262F" w:rsidRDefault="0011262F" w:rsidP="00B54007">
                  <w:pPr>
                    <w:pStyle w:val="TableBodyText"/>
                    <w:ind w:right="28"/>
                  </w:pPr>
                  <w:r w:rsidRPr="00C358C1">
                    <w:t>0.427</w:t>
                  </w:r>
                </w:p>
              </w:tc>
              <w:tc>
                <w:tcPr>
                  <w:tcW w:w="632" w:type="pct"/>
                  <w:shd w:val="clear" w:color="auto" w:fill="auto"/>
                  <w:vAlign w:val="bottom"/>
                </w:tcPr>
                <w:p w14:paraId="65A87E0E" w14:textId="77777777" w:rsidR="0011262F" w:rsidRDefault="0011262F" w:rsidP="00B54007">
                  <w:pPr>
                    <w:pStyle w:val="TableBodyText"/>
                    <w:ind w:right="28"/>
                  </w:pPr>
                  <w:r w:rsidRPr="00C358C1">
                    <w:t>0.214</w:t>
                  </w:r>
                </w:p>
              </w:tc>
              <w:tc>
                <w:tcPr>
                  <w:tcW w:w="632" w:type="pct"/>
                  <w:shd w:val="clear" w:color="auto" w:fill="auto"/>
                  <w:vAlign w:val="bottom"/>
                </w:tcPr>
                <w:p w14:paraId="0BF8CEF5" w14:textId="77777777" w:rsidR="0011262F" w:rsidRDefault="0011262F" w:rsidP="00B54007">
                  <w:pPr>
                    <w:pStyle w:val="TableBodyText"/>
                    <w:ind w:right="28"/>
                  </w:pPr>
                  <w:r w:rsidRPr="00C358C1">
                    <w:t>0.005</w:t>
                  </w:r>
                </w:p>
              </w:tc>
              <w:tc>
                <w:tcPr>
                  <w:tcW w:w="632" w:type="pct"/>
                  <w:vAlign w:val="bottom"/>
                </w:tcPr>
                <w:p w14:paraId="632847BF" w14:textId="77777777" w:rsidR="0011262F" w:rsidRDefault="0011262F" w:rsidP="00B54007">
                  <w:pPr>
                    <w:pStyle w:val="TableBodyText"/>
                    <w:ind w:right="28"/>
                  </w:pPr>
                  <w:r w:rsidRPr="00C358C1">
                    <w:t>0.426</w:t>
                  </w:r>
                </w:p>
              </w:tc>
              <w:tc>
                <w:tcPr>
                  <w:tcW w:w="632" w:type="pct"/>
                  <w:vAlign w:val="bottom"/>
                </w:tcPr>
                <w:p w14:paraId="1B5553D0" w14:textId="77777777" w:rsidR="0011262F" w:rsidRDefault="0011262F" w:rsidP="00B54007">
                  <w:pPr>
                    <w:pStyle w:val="TableBodyText"/>
                  </w:pPr>
                  <w:r w:rsidRPr="00C358C1">
                    <w:t>0.872</w:t>
                  </w:r>
                </w:p>
              </w:tc>
            </w:tr>
            <w:tr w:rsidR="0011262F" w14:paraId="19E052DA" w14:textId="77777777" w:rsidTr="00B54007">
              <w:tc>
                <w:tcPr>
                  <w:tcW w:w="1842" w:type="pct"/>
                  <w:shd w:val="clear" w:color="auto" w:fill="F2F2F2" w:themeFill="background1" w:themeFillShade="F2"/>
                  <w:vAlign w:val="bottom"/>
                </w:tcPr>
                <w:p w14:paraId="61A1F9AB" w14:textId="77777777" w:rsidR="0011262F" w:rsidRDefault="0011262F" w:rsidP="00B54007">
                  <w:pPr>
                    <w:pStyle w:val="TableBodyText"/>
                    <w:jc w:val="left"/>
                  </w:pPr>
                  <w:proofErr w:type="spellStart"/>
                  <w:r w:rsidRPr="00C358C1">
                    <w:t>Aus</w:t>
                  </w:r>
                  <w:proofErr w:type="spellEnd"/>
                  <w:r w:rsidRPr="00C358C1">
                    <w:t xml:space="preserve"> fixed in</w:t>
                  </w:r>
                  <w:r>
                    <w:t>come</w:t>
                  </w:r>
                </w:p>
              </w:tc>
              <w:tc>
                <w:tcPr>
                  <w:tcW w:w="632" w:type="pct"/>
                  <w:shd w:val="clear" w:color="auto" w:fill="F2F2F2" w:themeFill="background1" w:themeFillShade="F2"/>
                  <w:vAlign w:val="bottom"/>
                </w:tcPr>
                <w:p w14:paraId="1DF40AE9" w14:textId="77777777" w:rsidR="0011262F" w:rsidRDefault="0011262F" w:rsidP="00B54007">
                  <w:pPr>
                    <w:pStyle w:val="TableBodyText"/>
                    <w:ind w:right="28"/>
                  </w:pPr>
                  <w:r w:rsidRPr="00C358C1">
                    <w:t>-0.017</w:t>
                  </w:r>
                </w:p>
              </w:tc>
              <w:tc>
                <w:tcPr>
                  <w:tcW w:w="632" w:type="pct"/>
                  <w:shd w:val="clear" w:color="auto" w:fill="F2F2F2" w:themeFill="background1" w:themeFillShade="F2"/>
                  <w:vAlign w:val="bottom"/>
                </w:tcPr>
                <w:p w14:paraId="365354CD" w14:textId="77777777" w:rsidR="0011262F" w:rsidRDefault="0011262F" w:rsidP="00B54007">
                  <w:pPr>
                    <w:pStyle w:val="TableBodyText"/>
                    <w:ind w:right="28"/>
                  </w:pPr>
                  <w:r w:rsidRPr="00C358C1">
                    <w:t>0.012</w:t>
                  </w:r>
                </w:p>
              </w:tc>
              <w:tc>
                <w:tcPr>
                  <w:tcW w:w="632" w:type="pct"/>
                  <w:shd w:val="clear" w:color="auto" w:fill="F2F2F2" w:themeFill="background1" w:themeFillShade="F2"/>
                  <w:vAlign w:val="bottom"/>
                </w:tcPr>
                <w:p w14:paraId="35E9133E" w14:textId="77777777" w:rsidR="0011262F" w:rsidRDefault="0011262F" w:rsidP="00B54007">
                  <w:pPr>
                    <w:pStyle w:val="TableBodyText"/>
                    <w:ind w:right="28"/>
                  </w:pPr>
                  <w:r w:rsidRPr="00C358C1">
                    <w:t>-0.039</w:t>
                  </w:r>
                </w:p>
              </w:tc>
              <w:tc>
                <w:tcPr>
                  <w:tcW w:w="632" w:type="pct"/>
                  <w:shd w:val="clear" w:color="auto" w:fill="F2F2F2" w:themeFill="background1" w:themeFillShade="F2"/>
                  <w:vAlign w:val="bottom"/>
                </w:tcPr>
                <w:p w14:paraId="4993F209" w14:textId="77777777" w:rsidR="0011262F" w:rsidRDefault="0011262F" w:rsidP="00B54007">
                  <w:pPr>
                    <w:pStyle w:val="TableBodyText"/>
                    <w:ind w:right="28"/>
                  </w:pPr>
                  <w:r w:rsidRPr="00C358C1">
                    <w:t>-0.017</w:t>
                  </w:r>
                </w:p>
              </w:tc>
              <w:tc>
                <w:tcPr>
                  <w:tcW w:w="632" w:type="pct"/>
                  <w:shd w:val="clear" w:color="auto" w:fill="F2F2F2" w:themeFill="background1" w:themeFillShade="F2"/>
                  <w:vAlign w:val="bottom"/>
                </w:tcPr>
                <w:p w14:paraId="4BB92C2B" w14:textId="77777777" w:rsidR="0011262F" w:rsidRDefault="0011262F" w:rsidP="00B54007">
                  <w:pPr>
                    <w:pStyle w:val="TableBodyText"/>
                  </w:pPr>
                  <w:r w:rsidRPr="00C358C1">
                    <w:t>0.007</w:t>
                  </w:r>
                </w:p>
              </w:tc>
            </w:tr>
            <w:tr w:rsidR="0011262F" w14:paraId="4FF88A4A" w14:textId="77777777" w:rsidTr="00B54007">
              <w:tc>
                <w:tcPr>
                  <w:tcW w:w="1842" w:type="pct"/>
                  <w:shd w:val="clear" w:color="auto" w:fill="auto"/>
                  <w:vAlign w:val="bottom"/>
                </w:tcPr>
                <w:p w14:paraId="4DD737E2" w14:textId="77777777" w:rsidR="0011262F" w:rsidRDefault="0011262F" w:rsidP="00B54007">
                  <w:pPr>
                    <w:pStyle w:val="TableBodyText"/>
                    <w:jc w:val="left"/>
                  </w:pPr>
                  <w:r w:rsidRPr="00C358C1">
                    <w:t>International fixed in</w:t>
                  </w:r>
                  <w:r>
                    <w:t>come</w:t>
                  </w:r>
                </w:p>
              </w:tc>
              <w:tc>
                <w:tcPr>
                  <w:tcW w:w="632" w:type="pct"/>
                  <w:vAlign w:val="bottom"/>
                </w:tcPr>
                <w:p w14:paraId="5487A5E7" w14:textId="77777777" w:rsidR="0011262F" w:rsidRDefault="0011262F" w:rsidP="00B54007">
                  <w:pPr>
                    <w:pStyle w:val="TableBodyText"/>
                    <w:ind w:right="28"/>
                  </w:pPr>
                  <w:r w:rsidRPr="00C358C1">
                    <w:t>-0.005</w:t>
                  </w:r>
                </w:p>
              </w:tc>
              <w:tc>
                <w:tcPr>
                  <w:tcW w:w="632" w:type="pct"/>
                  <w:shd w:val="clear" w:color="auto" w:fill="auto"/>
                  <w:vAlign w:val="bottom"/>
                </w:tcPr>
                <w:p w14:paraId="72F46FB9" w14:textId="77777777" w:rsidR="0011262F" w:rsidRDefault="0011262F" w:rsidP="00B54007">
                  <w:pPr>
                    <w:pStyle w:val="TableBodyText"/>
                    <w:ind w:right="28"/>
                  </w:pPr>
                  <w:r w:rsidRPr="00C358C1">
                    <w:t>0.010</w:t>
                  </w:r>
                </w:p>
              </w:tc>
              <w:tc>
                <w:tcPr>
                  <w:tcW w:w="632" w:type="pct"/>
                  <w:shd w:val="clear" w:color="auto" w:fill="auto"/>
                  <w:vAlign w:val="bottom"/>
                </w:tcPr>
                <w:p w14:paraId="266F001F" w14:textId="77777777" w:rsidR="0011262F" w:rsidRDefault="0011262F" w:rsidP="00B54007">
                  <w:pPr>
                    <w:pStyle w:val="TableBodyText"/>
                    <w:ind w:right="28"/>
                  </w:pPr>
                  <w:r w:rsidRPr="00C358C1">
                    <w:t>-0.024</w:t>
                  </w:r>
                </w:p>
              </w:tc>
              <w:tc>
                <w:tcPr>
                  <w:tcW w:w="632" w:type="pct"/>
                  <w:vAlign w:val="bottom"/>
                </w:tcPr>
                <w:p w14:paraId="0B647F1B" w14:textId="77777777" w:rsidR="0011262F" w:rsidRDefault="0011262F" w:rsidP="00B54007">
                  <w:pPr>
                    <w:pStyle w:val="TableBodyText"/>
                    <w:ind w:right="28"/>
                  </w:pPr>
                  <w:r w:rsidRPr="00C358C1">
                    <w:t>-0.005</w:t>
                  </w:r>
                </w:p>
              </w:tc>
              <w:tc>
                <w:tcPr>
                  <w:tcW w:w="632" w:type="pct"/>
                  <w:vAlign w:val="bottom"/>
                </w:tcPr>
                <w:p w14:paraId="296CDA1E" w14:textId="77777777" w:rsidR="0011262F" w:rsidRDefault="0011262F" w:rsidP="00B54007">
                  <w:pPr>
                    <w:pStyle w:val="TableBodyText"/>
                  </w:pPr>
                  <w:r w:rsidRPr="00C358C1">
                    <w:t>0.015</w:t>
                  </w:r>
                </w:p>
              </w:tc>
            </w:tr>
            <w:tr w:rsidR="0011262F" w14:paraId="7D45D45E" w14:textId="77777777" w:rsidTr="00B54007">
              <w:tc>
                <w:tcPr>
                  <w:tcW w:w="1842" w:type="pct"/>
                  <w:shd w:val="clear" w:color="auto" w:fill="F2F2F2" w:themeFill="background1" w:themeFillShade="F2"/>
                  <w:vAlign w:val="bottom"/>
                </w:tcPr>
                <w:p w14:paraId="0CDE071D" w14:textId="77777777" w:rsidR="0011262F" w:rsidRDefault="0011262F" w:rsidP="00B54007">
                  <w:pPr>
                    <w:pStyle w:val="TableBodyText"/>
                    <w:jc w:val="left"/>
                  </w:pPr>
                  <w:proofErr w:type="spellStart"/>
                  <w:r w:rsidRPr="00C358C1">
                    <w:t>Aus</w:t>
                  </w:r>
                  <w:proofErr w:type="spellEnd"/>
                  <w:r w:rsidRPr="00C358C1">
                    <w:t xml:space="preserve"> equity</w:t>
                  </w:r>
                </w:p>
              </w:tc>
              <w:tc>
                <w:tcPr>
                  <w:tcW w:w="632" w:type="pct"/>
                  <w:shd w:val="clear" w:color="auto" w:fill="F2F2F2" w:themeFill="background1" w:themeFillShade="F2"/>
                  <w:vAlign w:val="bottom"/>
                </w:tcPr>
                <w:p w14:paraId="3CC388ED" w14:textId="77777777" w:rsidR="0011262F" w:rsidRDefault="0011262F" w:rsidP="00B54007">
                  <w:pPr>
                    <w:pStyle w:val="TableBodyText"/>
                    <w:ind w:right="28"/>
                  </w:pPr>
                  <w:r w:rsidRPr="00C358C1">
                    <w:t>0.009</w:t>
                  </w:r>
                </w:p>
              </w:tc>
              <w:tc>
                <w:tcPr>
                  <w:tcW w:w="632" w:type="pct"/>
                  <w:shd w:val="clear" w:color="auto" w:fill="F2F2F2" w:themeFill="background1" w:themeFillShade="F2"/>
                  <w:vAlign w:val="bottom"/>
                </w:tcPr>
                <w:p w14:paraId="3468B813" w14:textId="77777777" w:rsidR="0011262F" w:rsidRDefault="0011262F" w:rsidP="00B54007">
                  <w:pPr>
                    <w:pStyle w:val="TableBodyText"/>
                    <w:ind w:right="28"/>
                  </w:pPr>
                  <w:r w:rsidRPr="00C358C1">
                    <w:t>0.013</w:t>
                  </w:r>
                </w:p>
              </w:tc>
              <w:tc>
                <w:tcPr>
                  <w:tcW w:w="632" w:type="pct"/>
                  <w:shd w:val="clear" w:color="auto" w:fill="F2F2F2" w:themeFill="background1" w:themeFillShade="F2"/>
                  <w:vAlign w:val="bottom"/>
                </w:tcPr>
                <w:p w14:paraId="306A91C9" w14:textId="77777777" w:rsidR="0011262F" w:rsidRDefault="0011262F" w:rsidP="00B54007">
                  <w:pPr>
                    <w:pStyle w:val="TableBodyText"/>
                    <w:ind w:right="28"/>
                  </w:pPr>
                  <w:r w:rsidRPr="00C358C1">
                    <w:t>-0.018</w:t>
                  </w:r>
                </w:p>
              </w:tc>
              <w:tc>
                <w:tcPr>
                  <w:tcW w:w="632" w:type="pct"/>
                  <w:shd w:val="clear" w:color="auto" w:fill="F2F2F2" w:themeFill="background1" w:themeFillShade="F2"/>
                  <w:vAlign w:val="bottom"/>
                </w:tcPr>
                <w:p w14:paraId="0367A08B" w14:textId="77777777" w:rsidR="0011262F" w:rsidRDefault="0011262F" w:rsidP="00B54007">
                  <w:pPr>
                    <w:pStyle w:val="TableBodyText"/>
                    <w:ind w:right="28"/>
                  </w:pPr>
                  <w:r w:rsidRPr="00C358C1">
                    <w:t>0.009</w:t>
                  </w:r>
                </w:p>
              </w:tc>
              <w:tc>
                <w:tcPr>
                  <w:tcW w:w="632" w:type="pct"/>
                  <w:shd w:val="clear" w:color="auto" w:fill="F2F2F2" w:themeFill="background1" w:themeFillShade="F2"/>
                  <w:vAlign w:val="bottom"/>
                </w:tcPr>
                <w:p w14:paraId="3986A3C7" w14:textId="77777777" w:rsidR="0011262F" w:rsidRDefault="0011262F" w:rsidP="00B54007">
                  <w:pPr>
                    <w:pStyle w:val="TableBodyText"/>
                  </w:pPr>
                  <w:r w:rsidRPr="00C358C1">
                    <w:t>0.033</w:t>
                  </w:r>
                </w:p>
              </w:tc>
            </w:tr>
            <w:tr w:rsidR="0011262F" w14:paraId="40BD357D" w14:textId="77777777" w:rsidTr="00B54007">
              <w:tc>
                <w:tcPr>
                  <w:tcW w:w="1842" w:type="pct"/>
                  <w:shd w:val="clear" w:color="auto" w:fill="auto"/>
                  <w:vAlign w:val="bottom"/>
                </w:tcPr>
                <w:p w14:paraId="7AF11A7F" w14:textId="77777777" w:rsidR="0011262F" w:rsidRDefault="0011262F" w:rsidP="00B54007">
                  <w:pPr>
                    <w:pStyle w:val="TableBodyText"/>
                    <w:jc w:val="left"/>
                  </w:pPr>
                  <w:r w:rsidRPr="00C358C1">
                    <w:t>International equity</w:t>
                  </w:r>
                </w:p>
              </w:tc>
              <w:tc>
                <w:tcPr>
                  <w:tcW w:w="632" w:type="pct"/>
                  <w:vAlign w:val="bottom"/>
                </w:tcPr>
                <w:p w14:paraId="0E928030" w14:textId="77777777" w:rsidR="0011262F" w:rsidRDefault="0011262F" w:rsidP="00B54007">
                  <w:pPr>
                    <w:pStyle w:val="TableBodyText"/>
                    <w:ind w:right="28"/>
                  </w:pPr>
                  <w:r w:rsidRPr="00C358C1">
                    <w:t>-0.012</w:t>
                  </w:r>
                </w:p>
              </w:tc>
              <w:tc>
                <w:tcPr>
                  <w:tcW w:w="632" w:type="pct"/>
                  <w:shd w:val="clear" w:color="auto" w:fill="auto"/>
                  <w:vAlign w:val="bottom"/>
                </w:tcPr>
                <w:p w14:paraId="254C6344" w14:textId="77777777" w:rsidR="0011262F" w:rsidRDefault="0011262F" w:rsidP="00B54007">
                  <w:pPr>
                    <w:pStyle w:val="TableBodyText"/>
                    <w:ind w:right="28"/>
                  </w:pPr>
                  <w:r w:rsidRPr="00C358C1">
                    <w:t>0.016</w:t>
                  </w:r>
                </w:p>
              </w:tc>
              <w:tc>
                <w:tcPr>
                  <w:tcW w:w="632" w:type="pct"/>
                  <w:shd w:val="clear" w:color="auto" w:fill="auto"/>
                  <w:vAlign w:val="bottom"/>
                </w:tcPr>
                <w:p w14:paraId="7E88F985" w14:textId="77777777" w:rsidR="0011262F" w:rsidRDefault="0011262F" w:rsidP="00B54007">
                  <w:pPr>
                    <w:pStyle w:val="TableBodyText"/>
                    <w:ind w:right="28"/>
                  </w:pPr>
                  <w:r w:rsidRPr="00C358C1">
                    <w:t>-0.041</w:t>
                  </w:r>
                </w:p>
              </w:tc>
              <w:tc>
                <w:tcPr>
                  <w:tcW w:w="632" w:type="pct"/>
                  <w:vAlign w:val="bottom"/>
                </w:tcPr>
                <w:p w14:paraId="67D97101" w14:textId="77777777" w:rsidR="0011262F" w:rsidRDefault="0011262F" w:rsidP="00B54007">
                  <w:pPr>
                    <w:pStyle w:val="TableBodyText"/>
                    <w:ind w:right="28"/>
                  </w:pPr>
                  <w:r w:rsidRPr="00C358C1">
                    <w:t>-0.012</w:t>
                  </w:r>
                </w:p>
              </w:tc>
              <w:tc>
                <w:tcPr>
                  <w:tcW w:w="632" w:type="pct"/>
                  <w:vAlign w:val="bottom"/>
                </w:tcPr>
                <w:p w14:paraId="1BD11FC9" w14:textId="77777777" w:rsidR="0011262F" w:rsidRDefault="0011262F" w:rsidP="00B54007">
                  <w:pPr>
                    <w:pStyle w:val="TableBodyText"/>
                  </w:pPr>
                  <w:r w:rsidRPr="00C358C1">
                    <w:t>0.019</w:t>
                  </w:r>
                </w:p>
              </w:tc>
            </w:tr>
            <w:tr w:rsidR="0011262F" w14:paraId="294A43A5" w14:textId="77777777" w:rsidTr="00B54007">
              <w:tc>
                <w:tcPr>
                  <w:tcW w:w="1842" w:type="pct"/>
                  <w:shd w:val="clear" w:color="auto" w:fill="F2F2F2" w:themeFill="background1" w:themeFillShade="F2"/>
                  <w:vAlign w:val="bottom"/>
                </w:tcPr>
                <w:p w14:paraId="35B9E396" w14:textId="77777777" w:rsidR="0011262F" w:rsidRDefault="0011262F" w:rsidP="00B54007">
                  <w:pPr>
                    <w:pStyle w:val="TableBodyText"/>
                    <w:jc w:val="left"/>
                  </w:pPr>
                  <w:r w:rsidRPr="00C358C1">
                    <w:t>Listed Property</w:t>
                  </w:r>
                </w:p>
              </w:tc>
              <w:tc>
                <w:tcPr>
                  <w:tcW w:w="632" w:type="pct"/>
                  <w:shd w:val="clear" w:color="auto" w:fill="F2F2F2" w:themeFill="background1" w:themeFillShade="F2"/>
                  <w:vAlign w:val="bottom"/>
                </w:tcPr>
                <w:p w14:paraId="375CCFE7" w14:textId="77777777" w:rsidR="0011262F" w:rsidRDefault="0011262F" w:rsidP="00B54007">
                  <w:pPr>
                    <w:pStyle w:val="TableBodyText"/>
                    <w:ind w:right="28"/>
                  </w:pPr>
                  <w:r w:rsidRPr="00C358C1">
                    <w:t>0.013</w:t>
                  </w:r>
                </w:p>
              </w:tc>
              <w:tc>
                <w:tcPr>
                  <w:tcW w:w="632" w:type="pct"/>
                  <w:shd w:val="clear" w:color="auto" w:fill="F2F2F2" w:themeFill="background1" w:themeFillShade="F2"/>
                  <w:vAlign w:val="bottom"/>
                </w:tcPr>
                <w:p w14:paraId="7EA0A5A9" w14:textId="77777777" w:rsidR="0011262F" w:rsidRDefault="0011262F" w:rsidP="00B54007">
                  <w:pPr>
                    <w:pStyle w:val="TableBodyText"/>
                    <w:ind w:right="28"/>
                  </w:pPr>
                  <w:r w:rsidRPr="00C358C1">
                    <w:t>0.008</w:t>
                  </w:r>
                </w:p>
              </w:tc>
              <w:tc>
                <w:tcPr>
                  <w:tcW w:w="632" w:type="pct"/>
                  <w:shd w:val="clear" w:color="auto" w:fill="F2F2F2" w:themeFill="background1" w:themeFillShade="F2"/>
                  <w:vAlign w:val="bottom"/>
                </w:tcPr>
                <w:p w14:paraId="74002EF1" w14:textId="77777777" w:rsidR="0011262F" w:rsidRDefault="0011262F" w:rsidP="00B54007">
                  <w:pPr>
                    <w:pStyle w:val="TableBodyText"/>
                    <w:ind w:right="28"/>
                  </w:pPr>
                  <w:r w:rsidRPr="00C358C1">
                    <w:t>-0.002</w:t>
                  </w:r>
                </w:p>
              </w:tc>
              <w:tc>
                <w:tcPr>
                  <w:tcW w:w="632" w:type="pct"/>
                  <w:shd w:val="clear" w:color="auto" w:fill="F2F2F2" w:themeFill="background1" w:themeFillShade="F2"/>
                  <w:vAlign w:val="bottom"/>
                </w:tcPr>
                <w:p w14:paraId="4615B8C7" w14:textId="77777777" w:rsidR="0011262F" w:rsidRDefault="0011262F" w:rsidP="00B54007">
                  <w:pPr>
                    <w:pStyle w:val="TableBodyText"/>
                    <w:ind w:right="28"/>
                  </w:pPr>
                  <w:r w:rsidRPr="00C358C1">
                    <w:t>0.013</w:t>
                  </w:r>
                </w:p>
              </w:tc>
              <w:tc>
                <w:tcPr>
                  <w:tcW w:w="632" w:type="pct"/>
                  <w:shd w:val="clear" w:color="auto" w:fill="F2F2F2" w:themeFill="background1" w:themeFillShade="F2"/>
                  <w:vAlign w:val="bottom"/>
                </w:tcPr>
                <w:p w14:paraId="4A5E936B" w14:textId="77777777" w:rsidR="0011262F" w:rsidRDefault="0011262F" w:rsidP="00B54007">
                  <w:pPr>
                    <w:pStyle w:val="TableBodyText"/>
                  </w:pPr>
                  <w:r w:rsidRPr="00C358C1">
                    <w:t>0.029</w:t>
                  </w:r>
                </w:p>
              </w:tc>
            </w:tr>
            <w:tr w:rsidR="0011262F" w14:paraId="475E8058" w14:textId="77777777" w:rsidTr="00B54007">
              <w:tc>
                <w:tcPr>
                  <w:tcW w:w="1842" w:type="pct"/>
                  <w:shd w:val="clear" w:color="auto" w:fill="auto"/>
                  <w:vAlign w:val="bottom"/>
                </w:tcPr>
                <w:p w14:paraId="2111C744" w14:textId="77777777" w:rsidR="0011262F" w:rsidRDefault="0011262F" w:rsidP="00B54007">
                  <w:pPr>
                    <w:pStyle w:val="TableBodyText"/>
                    <w:jc w:val="left"/>
                  </w:pPr>
                  <w:r w:rsidRPr="00C358C1">
                    <w:t>Unlisted property</w:t>
                  </w:r>
                </w:p>
              </w:tc>
              <w:tc>
                <w:tcPr>
                  <w:tcW w:w="632" w:type="pct"/>
                  <w:vAlign w:val="bottom"/>
                </w:tcPr>
                <w:p w14:paraId="421649A1" w14:textId="77777777" w:rsidR="0011262F" w:rsidRDefault="0011262F" w:rsidP="00B54007">
                  <w:pPr>
                    <w:pStyle w:val="TableBodyText"/>
                    <w:ind w:right="28"/>
                  </w:pPr>
                  <w:r w:rsidRPr="00C358C1">
                    <w:t>0.054</w:t>
                  </w:r>
                </w:p>
              </w:tc>
              <w:tc>
                <w:tcPr>
                  <w:tcW w:w="632" w:type="pct"/>
                  <w:shd w:val="clear" w:color="auto" w:fill="auto"/>
                  <w:vAlign w:val="bottom"/>
                </w:tcPr>
                <w:p w14:paraId="6C137BBA" w14:textId="77777777" w:rsidR="0011262F" w:rsidRDefault="0011262F" w:rsidP="00B54007">
                  <w:pPr>
                    <w:pStyle w:val="TableBodyText"/>
                    <w:ind w:right="28"/>
                  </w:pPr>
                  <w:r w:rsidRPr="00C358C1">
                    <w:t>0.013</w:t>
                  </w:r>
                </w:p>
              </w:tc>
              <w:tc>
                <w:tcPr>
                  <w:tcW w:w="632" w:type="pct"/>
                  <w:shd w:val="clear" w:color="auto" w:fill="auto"/>
                  <w:vAlign w:val="bottom"/>
                </w:tcPr>
                <w:p w14:paraId="427E9165" w14:textId="77777777" w:rsidR="0011262F" w:rsidRDefault="0011262F" w:rsidP="00B54007">
                  <w:pPr>
                    <w:pStyle w:val="TableBodyText"/>
                    <w:ind w:right="28"/>
                  </w:pPr>
                  <w:r w:rsidRPr="00C358C1">
                    <w:t>0.029</w:t>
                  </w:r>
                </w:p>
              </w:tc>
              <w:tc>
                <w:tcPr>
                  <w:tcW w:w="632" w:type="pct"/>
                  <w:vAlign w:val="bottom"/>
                </w:tcPr>
                <w:p w14:paraId="0C9CAF3A" w14:textId="77777777" w:rsidR="0011262F" w:rsidRDefault="0011262F" w:rsidP="00B54007">
                  <w:pPr>
                    <w:pStyle w:val="TableBodyText"/>
                    <w:ind w:right="28"/>
                  </w:pPr>
                  <w:r w:rsidRPr="00C358C1">
                    <w:t>0.054</w:t>
                  </w:r>
                </w:p>
              </w:tc>
              <w:tc>
                <w:tcPr>
                  <w:tcW w:w="632" w:type="pct"/>
                  <w:vAlign w:val="bottom"/>
                </w:tcPr>
                <w:p w14:paraId="71FB0E3F" w14:textId="77777777" w:rsidR="0011262F" w:rsidRDefault="0011262F" w:rsidP="00B54007">
                  <w:pPr>
                    <w:pStyle w:val="TableBodyText"/>
                  </w:pPr>
                  <w:r w:rsidRPr="00C358C1">
                    <w:t>0.080</w:t>
                  </w:r>
                </w:p>
              </w:tc>
            </w:tr>
            <w:tr w:rsidR="0011262F" w14:paraId="3273505E" w14:textId="77777777" w:rsidTr="00B54007">
              <w:tc>
                <w:tcPr>
                  <w:tcW w:w="1842" w:type="pct"/>
                  <w:shd w:val="clear" w:color="auto" w:fill="F2F2F2" w:themeFill="background1" w:themeFillShade="F2"/>
                  <w:vAlign w:val="bottom"/>
                </w:tcPr>
                <w:p w14:paraId="0F6E9ABF" w14:textId="77777777" w:rsidR="0011262F" w:rsidRDefault="0011262F" w:rsidP="00B54007">
                  <w:pPr>
                    <w:pStyle w:val="TableBodyText"/>
                    <w:jc w:val="left"/>
                  </w:pPr>
                  <w:r w:rsidRPr="00C358C1">
                    <w:t>Other</w:t>
                  </w:r>
                </w:p>
              </w:tc>
              <w:tc>
                <w:tcPr>
                  <w:tcW w:w="632" w:type="pct"/>
                  <w:shd w:val="clear" w:color="auto" w:fill="F2F2F2" w:themeFill="background1" w:themeFillShade="F2"/>
                  <w:vAlign w:val="bottom"/>
                </w:tcPr>
                <w:p w14:paraId="21333EA5" w14:textId="77777777" w:rsidR="0011262F" w:rsidRDefault="0011262F" w:rsidP="00B54007">
                  <w:pPr>
                    <w:pStyle w:val="TableBodyText"/>
                    <w:ind w:right="28"/>
                  </w:pPr>
                  <w:r w:rsidRPr="00C358C1">
                    <w:t>-0.067</w:t>
                  </w:r>
                </w:p>
              </w:tc>
              <w:tc>
                <w:tcPr>
                  <w:tcW w:w="632" w:type="pct"/>
                  <w:shd w:val="clear" w:color="auto" w:fill="F2F2F2" w:themeFill="background1" w:themeFillShade="F2"/>
                  <w:vAlign w:val="bottom"/>
                </w:tcPr>
                <w:p w14:paraId="45F70EB1" w14:textId="77777777" w:rsidR="0011262F" w:rsidRDefault="0011262F" w:rsidP="00B54007">
                  <w:pPr>
                    <w:pStyle w:val="TableBodyText"/>
                    <w:ind w:right="28"/>
                  </w:pPr>
                  <w:r w:rsidRPr="00C358C1">
                    <w:t>0.090</w:t>
                  </w:r>
                </w:p>
              </w:tc>
              <w:tc>
                <w:tcPr>
                  <w:tcW w:w="632" w:type="pct"/>
                  <w:shd w:val="clear" w:color="auto" w:fill="F2F2F2" w:themeFill="background1" w:themeFillShade="F2"/>
                  <w:vAlign w:val="bottom"/>
                </w:tcPr>
                <w:p w14:paraId="31FB7278" w14:textId="77777777" w:rsidR="0011262F" w:rsidRDefault="0011262F" w:rsidP="00B54007">
                  <w:pPr>
                    <w:pStyle w:val="TableBodyText"/>
                    <w:ind w:right="28"/>
                  </w:pPr>
                  <w:r w:rsidRPr="00C358C1">
                    <w:t>-0.240</w:t>
                  </w:r>
                </w:p>
              </w:tc>
              <w:tc>
                <w:tcPr>
                  <w:tcW w:w="632" w:type="pct"/>
                  <w:shd w:val="clear" w:color="auto" w:fill="F2F2F2" w:themeFill="background1" w:themeFillShade="F2"/>
                  <w:vAlign w:val="bottom"/>
                </w:tcPr>
                <w:p w14:paraId="16633B17" w14:textId="77777777" w:rsidR="0011262F" w:rsidRDefault="0011262F" w:rsidP="00B54007">
                  <w:pPr>
                    <w:pStyle w:val="TableBodyText"/>
                    <w:ind w:right="28"/>
                  </w:pPr>
                  <w:r w:rsidRPr="00C358C1">
                    <w:t>-0.069</w:t>
                  </w:r>
                </w:p>
              </w:tc>
              <w:tc>
                <w:tcPr>
                  <w:tcW w:w="632" w:type="pct"/>
                  <w:shd w:val="clear" w:color="auto" w:fill="F2F2F2" w:themeFill="background1" w:themeFillShade="F2"/>
                  <w:vAlign w:val="bottom"/>
                </w:tcPr>
                <w:p w14:paraId="77DE9E7E" w14:textId="77777777" w:rsidR="0011262F" w:rsidRDefault="0011262F" w:rsidP="00B54007">
                  <w:pPr>
                    <w:pStyle w:val="TableBodyText"/>
                  </w:pPr>
                  <w:r w:rsidRPr="00C358C1">
                    <w:t>0.116</w:t>
                  </w:r>
                </w:p>
              </w:tc>
            </w:tr>
            <w:tr w:rsidR="0011262F" w14:paraId="698BA274" w14:textId="77777777" w:rsidTr="00B54007">
              <w:tc>
                <w:tcPr>
                  <w:tcW w:w="1842" w:type="pct"/>
                  <w:shd w:val="clear" w:color="auto" w:fill="auto"/>
                  <w:vAlign w:val="bottom"/>
                </w:tcPr>
                <w:p w14:paraId="0CDF0516" w14:textId="77777777" w:rsidR="0011262F" w:rsidRDefault="0011262F" w:rsidP="00B54007">
                  <w:pPr>
                    <w:pStyle w:val="TableBodyText"/>
                    <w:jc w:val="left"/>
                  </w:pPr>
                  <w:r w:rsidRPr="00C358C1">
                    <w:t>Post reporting change (</w:t>
                  </w:r>
                  <w:r>
                    <w:t>PRC</w:t>
                  </w:r>
                  <w:r w:rsidRPr="00C358C1">
                    <w:t>)</w:t>
                  </w:r>
                </w:p>
              </w:tc>
              <w:tc>
                <w:tcPr>
                  <w:tcW w:w="632" w:type="pct"/>
                  <w:vAlign w:val="bottom"/>
                </w:tcPr>
                <w:p w14:paraId="62D2D5C9" w14:textId="77777777" w:rsidR="0011262F" w:rsidRDefault="0011262F" w:rsidP="00B54007">
                  <w:pPr>
                    <w:pStyle w:val="TableBodyText"/>
                    <w:ind w:right="28"/>
                  </w:pPr>
                  <w:r w:rsidRPr="00C358C1">
                    <w:t>0.295</w:t>
                  </w:r>
                </w:p>
              </w:tc>
              <w:tc>
                <w:tcPr>
                  <w:tcW w:w="632" w:type="pct"/>
                  <w:shd w:val="clear" w:color="auto" w:fill="auto"/>
                  <w:vAlign w:val="bottom"/>
                </w:tcPr>
                <w:p w14:paraId="4D607415" w14:textId="77777777" w:rsidR="0011262F" w:rsidRDefault="0011262F" w:rsidP="00B54007">
                  <w:pPr>
                    <w:pStyle w:val="TableBodyText"/>
                    <w:ind w:right="28"/>
                  </w:pPr>
                  <w:r w:rsidRPr="00C358C1">
                    <w:t>0.156</w:t>
                  </w:r>
                </w:p>
              </w:tc>
              <w:tc>
                <w:tcPr>
                  <w:tcW w:w="632" w:type="pct"/>
                  <w:shd w:val="clear" w:color="auto" w:fill="auto"/>
                  <w:vAlign w:val="bottom"/>
                </w:tcPr>
                <w:p w14:paraId="08523155" w14:textId="77777777" w:rsidR="0011262F" w:rsidRDefault="0011262F" w:rsidP="00B54007">
                  <w:pPr>
                    <w:pStyle w:val="TableBodyText"/>
                    <w:ind w:right="28"/>
                  </w:pPr>
                  <w:r w:rsidRPr="00C358C1">
                    <w:t>-0.023</w:t>
                  </w:r>
                </w:p>
              </w:tc>
              <w:tc>
                <w:tcPr>
                  <w:tcW w:w="632" w:type="pct"/>
                  <w:vAlign w:val="bottom"/>
                </w:tcPr>
                <w:p w14:paraId="543B4C57" w14:textId="77777777" w:rsidR="0011262F" w:rsidRDefault="0011262F" w:rsidP="00B54007">
                  <w:pPr>
                    <w:pStyle w:val="TableBodyText"/>
                    <w:ind w:right="28"/>
                  </w:pPr>
                  <w:r w:rsidRPr="00C358C1">
                    <w:t>0.302</w:t>
                  </w:r>
                </w:p>
              </w:tc>
              <w:tc>
                <w:tcPr>
                  <w:tcW w:w="632" w:type="pct"/>
                  <w:vAlign w:val="bottom"/>
                </w:tcPr>
                <w:p w14:paraId="01EC83DF" w14:textId="77777777" w:rsidR="0011262F" w:rsidRDefault="0011262F" w:rsidP="00B54007">
                  <w:pPr>
                    <w:pStyle w:val="TableBodyText"/>
                  </w:pPr>
                  <w:r w:rsidRPr="00C358C1">
                    <w:t>0.581</w:t>
                  </w:r>
                </w:p>
              </w:tc>
            </w:tr>
            <w:tr w:rsidR="0011262F" w14:paraId="3BFC4D78" w14:textId="77777777" w:rsidTr="00B54007">
              <w:tc>
                <w:tcPr>
                  <w:tcW w:w="1842" w:type="pct"/>
                  <w:shd w:val="clear" w:color="auto" w:fill="F2F2F2" w:themeFill="background1" w:themeFillShade="F2"/>
                  <w:vAlign w:val="bottom"/>
                </w:tcPr>
                <w:p w14:paraId="2CE42EEF" w14:textId="77777777" w:rsidR="0011262F" w:rsidRDefault="0011262F" w:rsidP="00B54007">
                  <w:pPr>
                    <w:pStyle w:val="TableBodyText"/>
                    <w:jc w:val="left"/>
                  </w:pPr>
                  <w:r w:rsidRPr="00C358C1">
                    <w:t>Industry x Assets</w:t>
                  </w:r>
                </w:p>
              </w:tc>
              <w:tc>
                <w:tcPr>
                  <w:tcW w:w="632" w:type="pct"/>
                  <w:shd w:val="clear" w:color="auto" w:fill="F2F2F2" w:themeFill="background1" w:themeFillShade="F2"/>
                  <w:vAlign w:val="bottom"/>
                </w:tcPr>
                <w:p w14:paraId="48E95BCB" w14:textId="77777777" w:rsidR="0011262F" w:rsidRDefault="0011262F" w:rsidP="00B54007">
                  <w:pPr>
                    <w:pStyle w:val="TableBodyText"/>
                    <w:ind w:right="28"/>
                  </w:pPr>
                  <w:r w:rsidRPr="00C358C1">
                    <w:t>0.110</w:t>
                  </w:r>
                </w:p>
              </w:tc>
              <w:tc>
                <w:tcPr>
                  <w:tcW w:w="632" w:type="pct"/>
                  <w:shd w:val="clear" w:color="auto" w:fill="F2F2F2" w:themeFill="background1" w:themeFillShade="F2"/>
                  <w:vAlign w:val="bottom"/>
                </w:tcPr>
                <w:p w14:paraId="3B7353D6" w14:textId="77777777" w:rsidR="0011262F" w:rsidRDefault="0011262F" w:rsidP="00B54007">
                  <w:pPr>
                    <w:pStyle w:val="TableBodyText"/>
                    <w:ind w:right="28"/>
                  </w:pPr>
                  <w:r w:rsidRPr="00C358C1">
                    <w:t>0.066</w:t>
                  </w:r>
                </w:p>
              </w:tc>
              <w:tc>
                <w:tcPr>
                  <w:tcW w:w="632" w:type="pct"/>
                  <w:shd w:val="clear" w:color="auto" w:fill="F2F2F2" w:themeFill="background1" w:themeFillShade="F2"/>
                  <w:vAlign w:val="bottom"/>
                </w:tcPr>
                <w:p w14:paraId="52641175" w14:textId="77777777" w:rsidR="0011262F" w:rsidRDefault="0011262F" w:rsidP="00B54007">
                  <w:pPr>
                    <w:pStyle w:val="TableBodyText"/>
                    <w:ind w:right="28"/>
                  </w:pPr>
                  <w:r w:rsidRPr="00C358C1">
                    <w:t>-0.012</w:t>
                  </w:r>
                </w:p>
              </w:tc>
              <w:tc>
                <w:tcPr>
                  <w:tcW w:w="632" w:type="pct"/>
                  <w:shd w:val="clear" w:color="auto" w:fill="F2F2F2" w:themeFill="background1" w:themeFillShade="F2"/>
                  <w:vAlign w:val="bottom"/>
                </w:tcPr>
                <w:p w14:paraId="63FE91BD" w14:textId="77777777" w:rsidR="0011262F" w:rsidRDefault="0011262F" w:rsidP="00B54007">
                  <w:pPr>
                    <w:pStyle w:val="TableBodyText"/>
                    <w:ind w:right="28"/>
                  </w:pPr>
                  <w:r w:rsidRPr="00C358C1">
                    <w:t>0.108</w:t>
                  </w:r>
                </w:p>
              </w:tc>
              <w:tc>
                <w:tcPr>
                  <w:tcW w:w="632" w:type="pct"/>
                  <w:shd w:val="clear" w:color="auto" w:fill="F2F2F2" w:themeFill="background1" w:themeFillShade="F2"/>
                  <w:vAlign w:val="bottom"/>
                </w:tcPr>
                <w:p w14:paraId="3829F081" w14:textId="77777777" w:rsidR="0011262F" w:rsidRDefault="0011262F" w:rsidP="00B54007">
                  <w:pPr>
                    <w:pStyle w:val="TableBodyText"/>
                  </w:pPr>
                  <w:r w:rsidRPr="00C358C1">
                    <w:t>0.243</w:t>
                  </w:r>
                </w:p>
              </w:tc>
            </w:tr>
            <w:tr w:rsidR="0011262F" w14:paraId="64C821DB" w14:textId="77777777" w:rsidTr="00B54007">
              <w:tc>
                <w:tcPr>
                  <w:tcW w:w="1842" w:type="pct"/>
                  <w:shd w:val="clear" w:color="auto" w:fill="auto"/>
                  <w:vAlign w:val="bottom"/>
                </w:tcPr>
                <w:p w14:paraId="5934CECE" w14:textId="77777777" w:rsidR="0011262F" w:rsidRDefault="0011262F" w:rsidP="00B54007">
                  <w:pPr>
                    <w:pStyle w:val="TableBodyText"/>
                    <w:jc w:val="left"/>
                  </w:pPr>
                  <w:r w:rsidRPr="00C358C1">
                    <w:t>Public x Assets</w:t>
                  </w:r>
                </w:p>
              </w:tc>
              <w:tc>
                <w:tcPr>
                  <w:tcW w:w="632" w:type="pct"/>
                  <w:vAlign w:val="bottom"/>
                </w:tcPr>
                <w:p w14:paraId="59EEA959" w14:textId="77777777" w:rsidR="0011262F" w:rsidRDefault="0011262F" w:rsidP="00B54007">
                  <w:pPr>
                    <w:pStyle w:val="TableBodyText"/>
                    <w:ind w:right="28"/>
                  </w:pPr>
                  <w:r w:rsidRPr="00C358C1">
                    <w:t>-0.208</w:t>
                  </w:r>
                </w:p>
              </w:tc>
              <w:tc>
                <w:tcPr>
                  <w:tcW w:w="632" w:type="pct"/>
                  <w:shd w:val="clear" w:color="auto" w:fill="auto"/>
                  <w:vAlign w:val="bottom"/>
                </w:tcPr>
                <w:p w14:paraId="33E3A67B" w14:textId="77777777" w:rsidR="0011262F" w:rsidRDefault="0011262F" w:rsidP="00B54007">
                  <w:pPr>
                    <w:pStyle w:val="TableBodyText"/>
                    <w:ind w:right="28"/>
                  </w:pPr>
                  <w:r w:rsidRPr="00C358C1">
                    <w:t>0.076</w:t>
                  </w:r>
                </w:p>
              </w:tc>
              <w:tc>
                <w:tcPr>
                  <w:tcW w:w="632" w:type="pct"/>
                  <w:shd w:val="clear" w:color="auto" w:fill="auto"/>
                  <w:vAlign w:val="bottom"/>
                </w:tcPr>
                <w:p w14:paraId="3F768CC8" w14:textId="77777777" w:rsidR="0011262F" w:rsidRDefault="0011262F" w:rsidP="00B54007">
                  <w:pPr>
                    <w:pStyle w:val="TableBodyText"/>
                    <w:ind w:right="28"/>
                  </w:pPr>
                  <w:r w:rsidRPr="00C358C1">
                    <w:t>-0.352</w:t>
                  </w:r>
                </w:p>
              </w:tc>
              <w:tc>
                <w:tcPr>
                  <w:tcW w:w="632" w:type="pct"/>
                  <w:vAlign w:val="bottom"/>
                </w:tcPr>
                <w:p w14:paraId="4203B52A" w14:textId="77777777" w:rsidR="0011262F" w:rsidRDefault="0011262F" w:rsidP="00B54007">
                  <w:pPr>
                    <w:pStyle w:val="TableBodyText"/>
                    <w:ind w:right="28"/>
                  </w:pPr>
                  <w:r w:rsidRPr="00C358C1">
                    <w:t>-0.211</w:t>
                  </w:r>
                </w:p>
              </w:tc>
              <w:tc>
                <w:tcPr>
                  <w:tcW w:w="632" w:type="pct"/>
                  <w:vAlign w:val="bottom"/>
                </w:tcPr>
                <w:p w14:paraId="2349E44D" w14:textId="77777777" w:rsidR="0011262F" w:rsidRDefault="0011262F" w:rsidP="00B54007">
                  <w:pPr>
                    <w:pStyle w:val="TableBodyText"/>
                  </w:pPr>
                  <w:r w:rsidRPr="00C358C1">
                    <w:t>-0.052</w:t>
                  </w:r>
                </w:p>
              </w:tc>
            </w:tr>
            <w:tr w:rsidR="0011262F" w14:paraId="36A50700" w14:textId="77777777" w:rsidTr="00B54007">
              <w:tc>
                <w:tcPr>
                  <w:tcW w:w="1842" w:type="pct"/>
                  <w:shd w:val="clear" w:color="auto" w:fill="F2F2F2" w:themeFill="background1" w:themeFillShade="F2"/>
                  <w:vAlign w:val="bottom"/>
                </w:tcPr>
                <w:p w14:paraId="6CC7BE20" w14:textId="77777777" w:rsidR="0011262F" w:rsidRDefault="0011262F" w:rsidP="00B54007">
                  <w:pPr>
                    <w:pStyle w:val="TableBodyText"/>
                    <w:jc w:val="left"/>
                  </w:pPr>
                  <w:r w:rsidRPr="00C358C1">
                    <w:t>Retail x Assets</w:t>
                  </w:r>
                </w:p>
              </w:tc>
              <w:tc>
                <w:tcPr>
                  <w:tcW w:w="632" w:type="pct"/>
                  <w:shd w:val="clear" w:color="auto" w:fill="F2F2F2" w:themeFill="background1" w:themeFillShade="F2"/>
                  <w:vAlign w:val="bottom"/>
                </w:tcPr>
                <w:p w14:paraId="45D5BD39" w14:textId="77777777" w:rsidR="0011262F" w:rsidRDefault="0011262F" w:rsidP="00B54007">
                  <w:pPr>
                    <w:pStyle w:val="TableBodyText"/>
                    <w:ind w:right="28"/>
                  </w:pPr>
                  <w:r w:rsidRPr="00C358C1">
                    <w:t>-0.151</w:t>
                  </w:r>
                </w:p>
              </w:tc>
              <w:tc>
                <w:tcPr>
                  <w:tcW w:w="632" w:type="pct"/>
                  <w:shd w:val="clear" w:color="auto" w:fill="F2F2F2" w:themeFill="background1" w:themeFillShade="F2"/>
                  <w:vAlign w:val="bottom"/>
                </w:tcPr>
                <w:p w14:paraId="33C90741" w14:textId="77777777" w:rsidR="0011262F" w:rsidRDefault="0011262F" w:rsidP="00B54007">
                  <w:pPr>
                    <w:pStyle w:val="TableBodyText"/>
                    <w:ind w:right="28"/>
                  </w:pPr>
                  <w:r w:rsidRPr="00C358C1">
                    <w:t>0.048</w:t>
                  </w:r>
                </w:p>
              </w:tc>
              <w:tc>
                <w:tcPr>
                  <w:tcW w:w="632" w:type="pct"/>
                  <w:shd w:val="clear" w:color="auto" w:fill="F2F2F2" w:themeFill="background1" w:themeFillShade="F2"/>
                  <w:vAlign w:val="bottom"/>
                </w:tcPr>
                <w:p w14:paraId="42281065" w14:textId="77777777" w:rsidR="0011262F" w:rsidRDefault="0011262F" w:rsidP="00B54007">
                  <w:pPr>
                    <w:pStyle w:val="TableBodyText"/>
                    <w:ind w:right="28"/>
                  </w:pPr>
                  <w:r w:rsidRPr="00C358C1">
                    <w:t>-0.246</w:t>
                  </w:r>
                </w:p>
              </w:tc>
              <w:tc>
                <w:tcPr>
                  <w:tcW w:w="632" w:type="pct"/>
                  <w:shd w:val="clear" w:color="auto" w:fill="F2F2F2" w:themeFill="background1" w:themeFillShade="F2"/>
                  <w:vAlign w:val="bottom"/>
                </w:tcPr>
                <w:p w14:paraId="1609CCFC" w14:textId="77777777" w:rsidR="0011262F" w:rsidRDefault="0011262F" w:rsidP="00B54007">
                  <w:pPr>
                    <w:pStyle w:val="TableBodyText"/>
                    <w:ind w:right="28"/>
                  </w:pPr>
                  <w:r w:rsidRPr="00C358C1">
                    <w:t>-0.152</w:t>
                  </w:r>
                </w:p>
              </w:tc>
              <w:tc>
                <w:tcPr>
                  <w:tcW w:w="632" w:type="pct"/>
                  <w:shd w:val="clear" w:color="auto" w:fill="F2F2F2" w:themeFill="background1" w:themeFillShade="F2"/>
                  <w:vAlign w:val="bottom"/>
                </w:tcPr>
                <w:p w14:paraId="11098E4E" w14:textId="77777777" w:rsidR="0011262F" w:rsidRDefault="0011262F" w:rsidP="00B54007">
                  <w:pPr>
                    <w:pStyle w:val="TableBodyText"/>
                  </w:pPr>
                  <w:r w:rsidRPr="00C358C1">
                    <w:t>-0.055</w:t>
                  </w:r>
                </w:p>
              </w:tc>
            </w:tr>
            <w:tr w:rsidR="0011262F" w14:paraId="17F79575" w14:textId="77777777" w:rsidTr="00B54007">
              <w:tc>
                <w:tcPr>
                  <w:tcW w:w="1842" w:type="pct"/>
                  <w:shd w:val="clear" w:color="auto" w:fill="auto"/>
                  <w:vAlign w:val="bottom"/>
                </w:tcPr>
                <w:p w14:paraId="740A5B78" w14:textId="77777777" w:rsidR="0011262F" w:rsidRDefault="0011262F" w:rsidP="00B54007">
                  <w:pPr>
                    <w:pStyle w:val="TableBodyText"/>
                    <w:jc w:val="left"/>
                  </w:pPr>
                  <w:r w:rsidRPr="00C358C1">
                    <w:t>Industry x Other</w:t>
                  </w:r>
                </w:p>
              </w:tc>
              <w:tc>
                <w:tcPr>
                  <w:tcW w:w="632" w:type="pct"/>
                  <w:vAlign w:val="bottom"/>
                </w:tcPr>
                <w:p w14:paraId="4C640DF1" w14:textId="77777777" w:rsidR="0011262F" w:rsidRDefault="0011262F" w:rsidP="00B54007">
                  <w:pPr>
                    <w:pStyle w:val="TableBodyText"/>
                    <w:ind w:right="28"/>
                  </w:pPr>
                  <w:r w:rsidRPr="00C358C1">
                    <w:t>0.079</w:t>
                  </w:r>
                </w:p>
              </w:tc>
              <w:tc>
                <w:tcPr>
                  <w:tcW w:w="632" w:type="pct"/>
                  <w:shd w:val="clear" w:color="auto" w:fill="auto"/>
                  <w:vAlign w:val="bottom"/>
                </w:tcPr>
                <w:p w14:paraId="3577C06D" w14:textId="77777777" w:rsidR="0011262F" w:rsidRDefault="0011262F" w:rsidP="00B54007">
                  <w:pPr>
                    <w:pStyle w:val="TableBodyText"/>
                    <w:ind w:right="28"/>
                  </w:pPr>
                  <w:r w:rsidRPr="00C358C1">
                    <w:t>0.108</w:t>
                  </w:r>
                </w:p>
              </w:tc>
              <w:tc>
                <w:tcPr>
                  <w:tcW w:w="632" w:type="pct"/>
                  <w:shd w:val="clear" w:color="auto" w:fill="auto"/>
                  <w:vAlign w:val="bottom"/>
                </w:tcPr>
                <w:p w14:paraId="4E1DE253" w14:textId="77777777" w:rsidR="0011262F" w:rsidRDefault="0011262F" w:rsidP="00B54007">
                  <w:pPr>
                    <w:pStyle w:val="TableBodyText"/>
                    <w:ind w:right="28"/>
                  </w:pPr>
                  <w:r w:rsidRPr="00C358C1">
                    <w:t>-0.133</w:t>
                  </w:r>
                </w:p>
              </w:tc>
              <w:tc>
                <w:tcPr>
                  <w:tcW w:w="632" w:type="pct"/>
                  <w:vAlign w:val="bottom"/>
                </w:tcPr>
                <w:p w14:paraId="6B8063FD" w14:textId="77777777" w:rsidR="0011262F" w:rsidRDefault="0011262F" w:rsidP="00B54007">
                  <w:pPr>
                    <w:pStyle w:val="TableBodyText"/>
                    <w:ind w:right="28"/>
                  </w:pPr>
                  <w:r w:rsidRPr="00C358C1">
                    <w:t>0.080</w:t>
                  </w:r>
                </w:p>
              </w:tc>
              <w:tc>
                <w:tcPr>
                  <w:tcW w:w="632" w:type="pct"/>
                  <w:vAlign w:val="bottom"/>
                </w:tcPr>
                <w:p w14:paraId="3788D8F2" w14:textId="77777777" w:rsidR="0011262F" w:rsidRDefault="0011262F" w:rsidP="00B54007">
                  <w:pPr>
                    <w:pStyle w:val="TableBodyText"/>
                  </w:pPr>
                  <w:r w:rsidRPr="00C358C1">
                    <w:t>0.282</w:t>
                  </w:r>
                </w:p>
              </w:tc>
            </w:tr>
            <w:tr w:rsidR="0011262F" w14:paraId="55B7518B" w14:textId="77777777" w:rsidTr="00B54007">
              <w:tc>
                <w:tcPr>
                  <w:tcW w:w="1842" w:type="pct"/>
                  <w:shd w:val="clear" w:color="auto" w:fill="F2F2F2" w:themeFill="background1" w:themeFillShade="F2"/>
                  <w:vAlign w:val="bottom"/>
                </w:tcPr>
                <w:p w14:paraId="102D5F4E" w14:textId="77777777" w:rsidR="0011262F" w:rsidRDefault="0011262F" w:rsidP="00B54007">
                  <w:pPr>
                    <w:pStyle w:val="TableBodyText"/>
                    <w:jc w:val="left"/>
                  </w:pPr>
                  <w:r w:rsidRPr="00C358C1">
                    <w:t>Public x Other</w:t>
                  </w:r>
                </w:p>
              </w:tc>
              <w:tc>
                <w:tcPr>
                  <w:tcW w:w="632" w:type="pct"/>
                  <w:shd w:val="clear" w:color="auto" w:fill="F2F2F2" w:themeFill="background1" w:themeFillShade="F2"/>
                  <w:vAlign w:val="bottom"/>
                </w:tcPr>
                <w:p w14:paraId="37ADF6D9" w14:textId="77777777" w:rsidR="0011262F" w:rsidRDefault="0011262F" w:rsidP="00B54007">
                  <w:pPr>
                    <w:pStyle w:val="TableBodyText"/>
                    <w:ind w:right="28"/>
                  </w:pPr>
                  <w:r w:rsidRPr="00C358C1">
                    <w:t>-0.069</w:t>
                  </w:r>
                </w:p>
              </w:tc>
              <w:tc>
                <w:tcPr>
                  <w:tcW w:w="632" w:type="pct"/>
                  <w:shd w:val="clear" w:color="auto" w:fill="F2F2F2" w:themeFill="background1" w:themeFillShade="F2"/>
                  <w:vAlign w:val="bottom"/>
                </w:tcPr>
                <w:p w14:paraId="27E3AF8F" w14:textId="77777777" w:rsidR="0011262F" w:rsidRDefault="0011262F" w:rsidP="00B54007">
                  <w:pPr>
                    <w:pStyle w:val="TableBodyText"/>
                    <w:ind w:right="28"/>
                  </w:pPr>
                  <w:r w:rsidRPr="00C358C1">
                    <w:t>0.138</w:t>
                  </w:r>
                </w:p>
              </w:tc>
              <w:tc>
                <w:tcPr>
                  <w:tcW w:w="632" w:type="pct"/>
                  <w:shd w:val="clear" w:color="auto" w:fill="F2F2F2" w:themeFill="background1" w:themeFillShade="F2"/>
                  <w:vAlign w:val="bottom"/>
                </w:tcPr>
                <w:p w14:paraId="64D2DAC9" w14:textId="77777777" w:rsidR="0011262F" w:rsidRDefault="0011262F" w:rsidP="00B54007">
                  <w:pPr>
                    <w:pStyle w:val="TableBodyText"/>
                    <w:ind w:right="28"/>
                  </w:pPr>
                  <w:r w:rsidRPr="00C358C1">
                    <w:t>-0.355</w:t>
                  </w:r>
                </w:p>
              </w:tc>
              <w:tc>
                <w:tcPr>
                  <w:tcW w:w="632" w:type="pct"/>
                  <w:shd w:val="clear" w:color="auto" w:fill="F2F2F2" w:themeFill="background1" w:themeFillShade="F2"/>
                  <w:vAlign w:val="bottom"/>
                </w:tcPr>
                <w:p w14:paraId="0820490F" w14:textId="77777777" w:rsidR="0011262F" w:rsidRDefault="0011262F" w:rsidP="00B54007">
                  <w:pPr>
                    <w:pStyle w:val="TableBodyText"/>
                    <w:ind w:right="28"/>
                  </w:pPr>
                  <w:r w:rsidRPr="00C358C1">
                    <w:t>-0.071</w:t>
                  </w:r>
                </w:p>
              </w:tc>
              <w:tc>
                <w:tcPr>
                  <w:tcW w:w="632" w:type="pct"/>
                  <w:shd w:val="clear" w:color="auto" w:fill="F2F2F2" w:themeFill="background1" w:themeFillShade="F2"/>
                  <w:vAlign w:val="bottom"/>
                </w:tcPr>
                <w:p w14:paraId="599F7779" w14:textId="77777777" w:rsidR="0011262F" w:rsidRDefault="0011262F" w:rsidP="00B54007">
                  <w:pPr>
                    <w:pStyle w:val="TableBodyText"/>
                  </w:pPr>
                  <w:r w:rsidRPr="00C358C1">
                    <w:t>0.210</w:t>
                  </w:r>
                </w:p>
              </w:tc>
            </w:tr>
            <w:tr w:rsidR="0011262F" w14:paraId="148E2815" w14:textId="77777777" w:rsidTr="00B54007">
              <w:tc>
                <w:tcPr>
                  <w:tcW w:w="1842" w:type="pct"/>
                  <w:shd w:val="clear" w:color="auto" w:fill="auto"/>
                  <w:vAlign w:val="bottom"/>
                </w:tcPr>
                <w:p w14:paraId="74C0339C" w14:textId="77777777" w:rsidR="0011262F" w:rsidRDefault="0011262F" w:rsidP="00B54007">
                  <w:pPr>
                    <w:pStyle w:val="TableBodyText"/>
                    <w:jc w:val="left"/>
                  </w:pPr>
                  <w:r w:rsidRPr="00C358C1">
                    <w:t>Retail x Other</w:t>
                  </w:r>
                </w:p>
              </w:tc>
              <w:tc>
                <w:tcPr>
                  <w:tcW w:w="632" w:type="pct"/>
                  <w:vAlign w:val="bottom"/>
                </w:tcPr>
                <w:p w14:paraId="0C88DA04" w14:textId="77777777" w:rsidR="0011262F" w:rsidRDefault="0011262F" w:rsidP="00B54007">
                  <w:pPr>
                    <w:pStyle w:val="TableBodyText"/>
                    <w:ind w:right="28"/>
                  </w:pPr>
                  <w:r w:rsidRPr="00C358C1">
                    <w:t>0.106</w:t>
                  </w:r>
                </w:p>
              </w:tc>
              <w:tc>
                <w:tcPr>
                  <w:tcW w:w="632" w:type="pct"/>
                  <w:shd w:val="clear" w:color="auto" w:fill="auto"/>
                  <w:vAlign w:val="bottom"/>
                </w:tcPr>
                <w:p w14:paraId="7920861E" w14:textId="77777777" w:rsidR="0011262F" w:rsidRDefault="0011262F" w:rsidP="00B54007">
                  <w:pPr>
                    <w:pStyle w:val="TableBodyText"/>
                    <w:ind w:right="28"/>
                  </w:pPr>
                  <w:r w:rsidRPr="00C358C1">
                    <w:t>0.105</w:t>
                  </w:r>
                </w:p>
              </w:tc>
              <w:tc>
                <w:tcPr>
                  <w:tcW w:w="632" w:type="pct"/>
                  <w:shd w:val="clear" w:color="auto" w:fill="auto"/>
                  <w:vAlign w:val="bottom"/>
                </w:tcPr>
                <w:p w14:paraId="6FC635B7" w14:textId="77777777" w:rsidR="0011262F" w:rsidRDefault="0011262F" w:rsidP="00B54007">
                  <w:pPr>
                    <w:pStyle w:val="TableBodyText"/>
                    <w:ind w:right="28"/>
                  </w:pPr>
                  <w:r w:rsidRPr="00C358C1">
                    <w:t>-0.092</w:t>
                  </w:r>
                </w:p>
              </w:tc>
              <w:tc>
                <w:tcPr>
                  <w:tcW w:w="632" w:type="pct"/>
                  <w:vAlign w:val="bottom"/>
                </w:tcPr>
                <w:p w14:paraId="2207A166" w14:textId="77777777" w:rsidR="0011262F" w:rsidRDefault="0011262F" w:rsidP="00B54007">
                  <w:pPr>
                    <w:pStyle w:val="TableBodyText"/>
                    <w:ind w:right="28"/>
                  </w:pPr>
                  <w:r w:rsidRPr="00C358C1">
                    <w:t>0.107</w:t>
                  </w:r>
                </w:p>
              </w:tc>
              <w:tc>
                <w:tcPr>
                  <w:tcW w:w="632" w:type="pct"/>
                  <w:vAlign w:val="bottom"/>
                </w:tcPr>
                <w:p w14:paraId="19C77988" w14:textId="77777777" w:rsidR="0011262F" w:rsidRDefault="0011262F" w:rsidP="00B54007">
                  <w:pPr>
                    <w:pStyle w:val="TableBodyText"/>
                  </w:pPr>
                  <w:r w:rsidRPr="00C358C1">
                    <w:t>0.310</w:t>
                  </w:r>
                </w:p>
              </w:tc>
            </w:tr>
            <w:tr w:rsidR="0011262F" w14:paraId="2B50F2F5" w14:textId="77777777" w:rsidTr="00B54007">
              <w:tc>
                <w:tcPr>
                  <w:tcW w:w="1842" w:type="pct"/>
                  <w:shd w:val="clear" w:color="auto" w:fill="F2F2F2" w:themeFill="background1" w:themeFillShade="F2"/>
                  <w:vAlign w:val="bottom"/>
                </w:tcPr>
                <w:p w14:paraId="2CA460A8" w14:textId="77777777" w:rsidR="0011262F" w:rsidRDefault="0011262F" w:rsidP="00B54007">
                  <w:pPr>
                    <w:pStyle w:val="TableBodyText"/>
                    <w:jc w:val="left"/>
                  </w:pPr>
                  <w:r w:rsidRPr="00C358C1">
                    <w:t xml:space="preserve">PRC x </w:t>
                  </w:r>
                  <w:proofErr w:type="spellStart"/>
                  <w:r w:rsidRPr="00C358C1">
                    <w:t>Aus</w:t>
                  </w:r>
                  <w:proofErr w:type="spellEnd"/>
                  <w:r w:rsidRPr="00C358C1">
                    <w:t xml:space="preserve"> fixed in</w:t>
                  </w:r>
                  <w:r>
                    <w:t>come</w:t>
                  </w:r>
                </w:p>
              </w:tc>
              <w:tc>
                <w:tcPr>
                  <w:tcW w:w="632" w:type="pct"/>
                  <w:shd w:val="clear" w:color="auto" w:fill="F2F2F2" w:themeFill="background1" w:themeFillShade="F2"/>
                  <w:vAlign w:val="bottom"/>
                </w:tcPr>
                <w:p w14:paraId="391CDB42" w14:textId="77777777" w:rsidR="0011262F" w:rsidRDefault="0011262F" w:rsidP="00B54007">
                  <w:pPr>
                    <w:pStyle w:val="TableBodyText"/>
                    <w:ind w:right="28"/>
                  </w:pPr>
                  <w:r w:rsidRPr="00C358C1">
                    <w:t>-0.065</w:t>
                  </w:r>
                </w:p>
              </w:tc>
              <w:tc>
                <w:tcPr>
                  <w:tcW w:w="632" w:type="pct"/>
                  <w:shd w:val="clear" w:color="auto" w:fill="F2F2F2" w:themeFill="background1" w:themeFillShade="F2"/>
                  <w:vAlign w:val="bottom"/>
                </w:tcPr>
                <w:p w14:paraId="23143EBB" w14:textId="77777777" w:rsidR="0011262F" w:rsidRDefault="0011262F" w:rsidP="00B54007">
                  <w:pPr>
                    <w:pStyle w:val="TableBodyText"/>
                    <w:ind w:right="28"/>
                  </w:pPr>
                  <w:r w:rsidRPr="00C358C1">
                    <w:t>0.040</w:t>
                  </w:r>
                </w:p>
              </w:tc>
              <w:tc>
                <w:tcPr>
                  <w:tcW w:w="632" w:type="pct"/>
                  <w:shd w:val="clear" w:color="auto" w:fill="F2F2F2" w:themeFill="background1" w:themeFillShade="F2"/>
                  <w:vAlign w:val="bottom"/>
                </w:tcPr>
                <w:p w14:paraId="5AB757E9" w14:textId="77777777" w:rsidR="0011262F" w:rsidRDefault="0011262F" w:rsidP="00B54007">
                  <w:pPr>
                    <w:pStyle w:val="TableBodyText"/>
                    <w:ind w:right="28"/>
                  </w:pPr>
                  <w:r w:rsidRPr="00C358C1">
                    <w:t>-0.140</w:t>
                  </w:r>
                </w:p>
              </w:tc>
              <w:tc>
                <w:tcPr>
                  <w:tcW w:w="632" w:type="pct"/>
                  <w:shd w:val="clear" w:color="auto" w:fill="F2F2F2" w:themeFill="background1" w:themeFillShade="F2"/>
                  <w:vAlign w:val="bottom"/>
                </w:tcPr>
                <w:p w14:paraId="46B46687" w14:textId="77777777" w:rsidR="0011262F" w:rsidRDefault="0011262F" w:rsidP="00B54007">
                  <w:pPr>
                    <w:pStyle w:val="TableBodyText"/>
                    <w:ind w:right="28"/>
                  </w:pPr>
                  <w:r w:rsidRPr="00C358C1">
                    <w:t>-0.064</w:t>
                  </w:r>
                </w:p>
              </w:tc>
              <w:tc>
                <w:tcPr>
                  <w:tcW w:w="632" w:type="pct"/>
                  <w:shd w:val="clear" w:color="auto" w:fill="F2F2F2" w:themeFill="background1" w:themeFillShade="F2"/>
                  <w:vAlign w:val="bottom"/>
                </w:tcPr>
                <w:p w14:paraId="11CE1D91" w14:textId="77777777" w:rsidR="0011262F" w:rsidRDefault="0011262F" w:rsidP="00B54007">
                  <w:pPr>
                    <w:pStyle w:val="TableBodyText"/>
                  </w:pPr>
                  <w:r w:rsidRPr="00C358C1">
                    <w:t>0.010</w:t>
                  </w:r>
                </w:p>
              </w:tc>
            </w:tr>
            <w:tr w:rsidR="0011262F" w14:paraId="4AEBA8FC" w14:textId="77777777" w:rsidTr="00B54007">
              <w:tc>
                <w:tcPr>
                  <w:tcW w:w="1842" w:type="pct"/>
                  <w:shd w:val="clear" w:color="auto" w:fill="auto"/>
                  <w:vAlign w:val="bottom"/>
                </w:tcPr>
                <w:p w14:paraId="5B856C15" w14:textId="77777777" w:rsidR="0011262F" w:rsidRDefault="0011262F" w:rsidP="00B54007">
                  <w:pPr>
                    <w:pStyle w:val="TableBodyText"/>
                    <w:jc w:val="left"/>
                  </w:pPr>
                  <w:r w:rsidRPr="00C358C1">
                    <w:t>PRC x International fixed in</w:t>
                  </w:r>
                  <w:r>
                    <w:t>come</w:t>
                  </w:r>
                </w:p>
              </w:tc>
              <w:tc>
                <w:tcPr>
                  <w:tcW w:w="632" w:type="pct"/>
                  <w:vAlign w:val="bottom"/>
                </w:tcPr>
                <w:p w14:paraId="28903B9F" w14:textId="77777777" w:rsidR="0011262F" w:rsidRDefault="0011262F" w:rsidP="00B54007">
                  <w:pPr>
                    <w:pStyle w:val="TableBodyText"/>
                    <w:ind w:right="28"/>
                  </w:pPr>
                  <w:r w:rsidRPr="00C358C1">
                    <w:t>0.073</w:t>
                  </w:r>
                </w:p>
              </w:tc>
              <w:tc>
                <w:tcPr>
                  <w:tcW w:w="632" w:type="pct"/>
                  <w:shd w:val="clear" w:color="auto" w:fill="auto"/>
                  <w:vAlign w:val="bottom"/>
                </w:tcPr>
                <w:p w14:paraId="404BFC02" w14:textId="77777777" w:rsidR="0011262F" w:rsidRDefault="0011262F" w:rsidP="00B54007">
                  <w:pPr>
                    <w:pStyle w:val="TableBodyText"/>
                    <w:ind w:right="28"/>
                  </w:pPr>
                  <w:r w:rsidRPr="00C358C1">
                    <w:t>0.037</w:t>
                  </w:r>
                </w:p>
              </w:tc>
              <w:tc>
                <w:tcPr>
                  <w:tcW w:w="632" w:type="pct"/>
                  <w:shd w:val="clear" w:color="auto" w:fill="auto"/>
                  <w:vAlign w:val="bottom"/>
                </w:tcPr>
                <w:p w14:paraId="3E0FA9E0" w14:textId="77777777" w:rsidR="0011262F" w:rsidRDefault="0011262F" w:rsidP="00B54007">
                  <w:pPr>
                    <w:pStyle w:val="TableBodyText"/>
                    <w:ind w:right="28"/>
                  </w:pPr>
                  <w:r w:rsidRPr="00C358C1">
                    <w:t>-0.003</w:t>
                  </w:r>
                </w:p>
              </w:tc>
              <w:tc>
                <w:tcPr>
                  <w:tcW w:w="632" w:type="pct"/>
                  <w:vAlign w:val="bottom"/>
                </w:tcPr>
                <w:p w14:paraId="79F4C559" w14:textId="77777777" w:rsidR="0011262F" w:rsidRDefault="0011262F" w:rsidP="00B54007">
                  <w:pPr>
                    <w:pStyle w:val="TableBodyText"/>
                    <w:ind w:right="28"/>
                  </w:pPr>
                  <w:r w:rsidRPr="00C358C1">
                    <w:t>0.072</w:t>
                  </w:r>
                </w:p>
              </w:tc>
              <w:tc>
                <w:tcPr>
                  <w:tcW w:w="632" w:type="pct"/>
                  <w:vAlign w:val="bottom"/>
                </w:tcPr>
                <w:p w14:paraId="3E43D268" w14:textId="77777777" w:rsidR="0011262F" w:rsidRDefault="0011262F" w:rsidP="00B54007">
                  <w:pPr>
                    <w:pStyle w:val="TableBodyText"/>
                  </w:pPr>
                  <w:r w:rsidRPr="00C358C1">
                    <w:t>0.148</w:t>
                  </w:r>
                </w:p>
              </w:tc>
            </w:tr>
            <w:tr w:rsidR="0011262F" w14:paraId="6C768384" w14:textId="77777777" w:rsidTr="00B54007">
              <w:tc>
                <w:tcPr>
                  <w:tcW w:w="1842" w:type="pct"/>
                  <w:shd w:val="clear" w:color="auto" w:fill="F2F2F2" w:themeFill="background1" w:themeFillShade="F2"/>
                  <w:vAlign w:val="bottom"/>
                </w:tcPr>
                <w:p w14:paraId="4DBEB725" w14:textId="77777777" w:rsidR="0011262F" w:rsidRDefault="0011262F" w:rsidP="00B54007">
                  <w:pPr>
                    <w:pStyle w:val="TableBodyText"/>
                    <w:jc w:val="left"/>
                  </w:pPr>
                  <w:r w:rsidRPr="00C358C1">
                    <w:t xml:space="preserve">PRC x </w:t>
                  </w:r>
                  <w:proofErr w:type="spellStart"/>
                  <w:r w:rsidRPr="00C358C1">
                    <w:t>Aus</w:t>
                  </w:r>
                  <w:proofErr w:type="spellEnd"/>
                  <w:r w:rsidRPr="00C358C1">
                    <w:t xml:space="preserve"> equity</w:t>
                  </w:r>
                </w:p>
              </w:tc>
              <w:tc>
                <w:tcPr>
                  <w:tcW w:w="632" w:type="pct"/>
                  <w:shd w:val="clear" w:color="auto" w:fill="F2F2F2" w:themeFill="background1" w:themeFillShade="F2"/>
                  <w:vAlign w:val="bottom"/>
                </w:tcPr>
                <w:p w14:paraId="2884D9FD" w14:textId="77777777" w:rsidR="0011262F" w:rsidRDefault="0011262F" w:rsidP="00B54007">
                  <w:pPr>
                    <w:pStyle w:val="TableBodyText"/>
                    <w:ind w:right="28"/>
                  </w:pPr>
                  <w:r w:rsidRPr="00C358C1">
                    <w:t>0.014</w:t>
                  </w:r>
                </w:p>
              </w:tc>
              <w:tc>
                <w:tcPr>
                  <w:tcW w:w="632" w:type="pct"/>
                  <w:shd w:val="clear" w:color="auto" w:fill="F2F2F2" w:themeFill="background1" w:themeFillShade="F2"/>
                  <w:vAlign w:val="bottom"/>
                </w:tcPr>
                <w:p w14:paraId="0BAB86B2" w14:textId="77777777" w:rsidR="0011262F" w:rsidRDefault="0011262F" w:rsidP="00B54007">
                  <w:pPr>
                    <w:pStyle w:val="TableBodyText"/>
                    <w:ind w:right="28"/>
                  </w:pPr>
                  <w:r w:rsidRPr="00C358C1">
                    <w:t>0.037</w:t>
                  </w:r>
                </w:p>
              </w:tc>
              <w:tc>
                <w:tcPr>
                  <w:tcW w:w="632" w:type="pct"/>
                  <w:shd w:val="clear" w:color="auto" w:fill="F2F2F2" w:themeFill="background1" w:themeFillShade="F2"/>
                  <w:vAlign w:val="bottom"/>
                </w:tcPr>
                <w:p w14:paraId="4E5B0E97" w14:textId="77777777" w:rsidR="0011262F" w:rsidRDefault="0011262F" w:rsidP="00B54007">
                  <w:pPr>
                    <w:pStyle w:val="TableBodyText"/>
                    <w:ind w:right="28"/>
                  </w:pPr>
                  <w:r w:rsidRPr="00C358C1">
                    <w:t>-0.057</w:t>
                  </w:r>
                </w:p>
              </w:tc>
              <w:tc>
                <w:tcPr>
                  <w:tcW w:w="632" w:type="pct"/>
                  <w:shd w:val="clear" w:color="auto" w:fill="F2F2F2" w:themeFill="background1" w:themeFillShade="F2"/>
                  <w:vAlign w:val="bottom"/>
                </w:tcPr>
                <w:p w14:paraId="164B8BFA" w14:textId="77777777" w:rsidR="0011262F" w:rsidRDefault="0011262F" w:rsidP="00B54007">
                  <w:pPr>
                    <w:pStyle w:val="TableBodyText"/>
                    <w:ind w:right="28"/>
                  </w:pPr>
                  <w:r w:rsidRPr="00C358C1">
                    <w:t>0.014</w:t>
                  </w:r>
                </w:p>
              </w:tc>
              <w:tc>
                <w:tcPr>
                  <w:tcW w:w="632" w:type="pct"/>
                  <w:shd w:val="clear" w:color="auto" w:fill="F2F2F2" w:themeFill="background1" w:themeFillShade="F2"/>
                  <w:vAlign w:val="bottom"/>
                </w:tcPr>
                <w:p w14:paraId="6B45B67B" w14:textId="77777777" w:rsidR="0011262F" w:rsidRDefault="0011262F" w:rsidP="00B54007">
                  <w:pPr>
                    <w:pStyle w:val="TableBodyText"/>
                  </w:pPr>
                  <w:r w:rsidRPr="00C358C1">
                    <w:t>0.088</w:t>
                  </w:r>
                </w:p>
              </w:tc>
            </w:tr>
            <w:tr w:rsidR="0011262F" w14:paraId="398C1CEE" w14:textId="77777777" w:rsidTr="00B54007">
              <w:tc>
                <w:tcPr>
                  <w:tcW w:w="1842" w:type="pct"/>
                  <w:shd w:val="clear" w:color="auto" w:fill="auto"/>
                  <w:vAlign w:val="bottom"/>
                </w:tcPr>
                <w:p w14:paraId="19A06274" w14:textId="77777777" w:rsidR="0011262F" w:rsidRDefault="0011262F" w:rsidP="00B54007">
                  <w:pPr>
                    <w:pStyle w:val="TableBodyText"/>
                    <w:jc w:val="left"/>
                  </w:pPr>
                  <w:r w:rsidRPr="00C358C1">
                    <w:t>PRC x International equity</w:t>
                  </w:r>
                </w:p>
              </w:tc>
              <w:tc>
                <w:tcPr>
                  <w:tcW w:w="632" w:type="pct"/>
                  <w:vAlign w:val="bottom"/>
                </w:tcPr>
                <w:p w14:paraId="38EDCD97" w14:textId="77777777" w:rsidR="0011262F" w:rsidRDefault="0011262F" w:rsidP="00B54007">
                  <w:pPr>
                    <w:pStyle w:val="TableBodyText"/>
                    <w:ind w:right="28"/>
                  </w:pPr>
                  <w:r w:rsidRPr="00C358C1">
                    <w:t>-0.111</w:t>
                  </w:r>
                </w:p>
              </w:tc>
              <w:tc>
                <w:tcPr>
                  <w:tcW w:w="632" w:type="pct"/>
                  <w:shd w:val="clear" w:color="auto" w:fill="auto"/>
                  <w:vAlign w:val="bottom"/>
                </w:tcPr>
                <w:p w14:paraId="15F4DE58" w14:textId="77777777" w:rsidR="0011262F" w:rsidRDefault="0011262F" w:rsidP="00B54007">
                  <w:pPr>
                    <w:pStyle w:val="TableBodyText"/>
                    <w:ind w:right="28"/>
                  </w:pPr>
                  <w:r w:rsidRPr="00C358C1">
                    <w:t>0.034</w:t>
                  </w:r>
                </w:p>
              </w:tc>
              <w:tc>
                <w:tcPr>
                  <w:tcW w:w="632" w:type="pct"/>
                  <w:shd w:val="clear" w:color="auto" w:fill="auto"/>
                  <w:vAlign w:val="bottom"/>
                </w:tcPr>
                <w:p w14:paraId="6E028A31" w14:textId="77777777" w:rsidR="0011262F" w:rsidRDefault="0011262F" w:rsidP="00B54007">
                  <w:pPr>
                    <w:pStyle w:val="TableBodyText"/>
                    <w:ind w:right="28"/>
                  </w:pPr>
                  <w:r w:rsidRPr="00C358C1">
                    <w:t>-0.181</w:t>
                  </w:r>
                </w:p>
              </w:tc>
              <w:tc>
                <w:tcPr>
                  <w:tcW w:w="632" w:type="pct"/>
                  <w:vAlign w:val="bottom"/>
                </w:tcPr>
                <w:p w14:paraId="727C6ACA" w14:textId="77777777" w:rsidR="0011262F" w:rsidRDefault="0011262F" w:rsidP="00B54007">
                  <w:pPr>
                    <w:pStyle w:val="TableBodyText"/>
                    <w:ind w:right="28"/>
                  </w:pPr>
                  <w:r w:rsidRPr="00C358C1">
                    <w:t>-0.112</w:t>
                  </w:r>
                </w:p>
              </w:tc>
              <w:tc>
                <w:tcPr>
                  <w:tcW w:w="632" w:type="pct"/>
                  <w:vAlign w:val="bottom"/>
                </w:tcPr>
                <w:p w14:paraId="2A19C44A" w14:textId="77777777" w:rsidR="0011262F" w:rsidRDefault="0011262F" w:rsidP="00B54007">
                  <w:pPr>
                    <w:pStyle w:val="TableBodyText"/>
                  </w:pPr>
                  <w:r w:rsidRPr="00C358C1">
                    <w:t>-0.045</w:t>
                  </w:r>
                </w:p>
              </w:tc>
            </w:tr>
            <w:tr w:rsidR="0011262F" w14:paraId="50E60794" w14:textId="77777777" w:rsidTr="00B54007">
              <w:tc>
                <w:tcPr>
                  <w:tcW w:w="1842" w:type="pct"/>
                  <w:shd w:val="clear" w:color="auto" w:fill="F2F2F2" w:themeFill="background1" w:themeFillShade="F2"/>
                  <w:vAlign w:val="bottom"/>
                </w:tcPr>
                <w:p w14:paraId="4F3EAC54" w14:textId="77777777" w:rsidR="0011262F" w:rsidRDefault="0011262F" w:rsidP="00B54007">
                  <w:pPr>
                    <w:pStyle w:val="TableBodyText"/>
                    <w:jc w:val="left"/>
                  </w:pPr>
                  <w:r w:rsidRPr="00C358C1">
                    <w:t>PRC x Listed Property</w:t>
                  </w:r>
                </w:p>
              </w:tc>
              <w:tc>
                <w:tcPr>
                  <w:tcW w:w="632" w:type="pct"/>
                  <w:shd w:val="clear" w:color="auto" w:fill="F2F2F2" w:themeFill="background1" w:themeFillShade="F2"/>
                  <w:vAlign w:val="bottom"/>
                </w:tcPr>
                <w:p w14:paraId="3265F280" w14:textId="77777777" w:rsidR="0011262F" w:rsidRDefault="0011262F" w:rsidP="00B54007">
                  <w:pPr>
                    <w:pStyle w:val="TableBodyText"/>
                    <w:ind w:right="28"/>
                  </w:pPr>
                  <w:r w:rsidRPr="00C358C1">
                    <w:t>0.075</w:t>
                  </w:r>
                </w:p>
              </w:tc>
              <w:tc>
                <w:tcPr>
                  <w:tcW w:w="632" w:type="pct"/>
                  <w:shd w:val="clear" w:color="auto" w:fill="F2F2F2" w:themeFill="background1" w:themeFillShade="F2"/>
                  <w:vAlign w:val="bottom"/>
                </w:tcPr>
                <w:p w14:paraId="0C14E621" w14:textId="77777777" w:rsidR="0011262F" w:rsidRDefault="0011262F" w:rsidP="00B54007">
                  <w:pPr>
                    <w:pStyle w:val="TableBodyText"/>
                    <w:ind w:right="28"/>
                  </w:pPr>
                  <w:r w:rsidRPr="00C358C1">
                    <w:t>0.045</w:t>
                  </w:r>
                </w:p>
              </w:tc>
              <w:tc>
                <w:tcPr>
                  <w:tcW w:w="632" w:type="pct"/>
                  <w:shd w:val="clear" w:color="auto" w:fill="F2F2F2" w:themeFill="background1" w:themeFillShade="F2"/>
                  <w:vAlign w:val="bottom"/>
                </w:tcPr>
                <w:p w14:paraId="18CD3A5C" w14:textId="77777777" w:rsidR="0011262F" w:rsidRDefault="0011262F" w:rsidP="00B54007">
                  <w:pPr>
                    <w:pStyle w:val="TableBodyText"/>
                    <w:ind w:right="28"/>
                  </w:pPr>
                  <w:r w:rsidRPr="00C358C1">
                    <w:t>-0.012</w:t>
                  </w:r>
                </w:p>
              </w:tc>
              <w:tc>
                <w:tcPr>
                  <w:tcW w:w="632" w:type="pct"/>
                  <w:shd w:val="clear" w:color="auto" w:fill="F2F2F2" w:themeFill="background1" w:themeFillShade="F2"/>
                  <w:vAlign w:val="bottom"/>
                </w:tcPr>
                <w:p w14:paraId="1444A202" w14:textId="77777777" w:rsidR="0011262F" w:rsidRDefault="0011262F" w:rsidP="00B54007">
                  <w:pPr>
                    <w:pStyle w:val="TableBodyText"/>
                    <w:ind w:right="28"/>
                  </w:pPr>
                  <w:r w:rsidRPr="00C358C1">
                    <w:t>0.075</w:t>
                  </w:r>
                </w:p>
              </w:tc>
              <w:tc>
                <w:tcPr>
                  <w:tcW w:w="632" w:type="pct"/>
                  <w:shd w:val="clear" w:color="auto" w:fill="F2F2F2" w:themeFill="background1" w:themeFillShade="F2"/>
                  <w:vAlign w:val="bottom"/>
                </w:tcPr>
                <w:p w14:paraId="2807DE40" w14:textId="77777777" w:rsidR="0011262F" w:rsidRDefault="0011262F" w:rsidP="00B54007">
                  <w:pPr>
                    <w:pStyle w:val="TableBodyText"/>
                  </w:pPr>
                  <w:r w:rsidRPr="00C358C1">
                    <w:t>0.163</w:t>
                  </w:r>
                </w:p>
              </w:tc>
            </w:tr>
            <w:tr w:rsidR="0011262F" w14:paraId="06C63816" w14:textId="77777777" w:rsidTr="00B54007">
              <w:tc>
                <w:tcPr>
                  <w:tcW w:w="1842" w:type="pct"/>
                  <w:shd w:val="clear" w:color="auto" w:fill="auto"/>
                  <w:vAlign w:val="bottom"/>
                </w:tcPr>
                <w:p w14:paraId="23BD99CD" w14:textId="77777777" w:rsidR="0011262F" w:rsidRDefault="0011262F" w:rsidP="00B54007">
                  <w:pPr>
                    <w:pStyle w:val="TableBodyText"/>
                    <w:jc w:val="left"/>
                  </w:pPr>
                  <w:r w:rsidRPr="00C358C1">
                    <w:t>PRC x Unlisted property</w:t>
                  </w:r>
                </w:p>
              </w:tc>
              <w:tc>
                <w:tcPr>
                  <w:tcW w:w="632" w:type="pct"/>
                  <w:vAlign w:val="bottom"/>
                </w:tcPr>
                <w:p w14:paraId="3BC20991" w14:textId="77777777" w:rsidR="0011262F" w:rsidRDefault="0011262F" w:rsidP="00B54007">
                  <w:pPr>
                    <w:pStyle w:val="TableBodyText"/>
                    <w:ind w:right="28"/>
                  </w:pPr>
                  <w:r w:rsidRPr="00C358C1">
                    <w:t>-0.120</w:t>
                  </w:r>
                </w:p>
              </w:tc>
              <w:tc>
                <w:tcPr>
                  <w:tcW w:w="632" w:type="pct"/>
                  <w:shd w:val="clear" w:color="auto" w:fill="auto"/>
                  <w:vAlign w:val="bottom"/>
                </w:tcPr>
                <w:p w14:paraId="1DF5CD14" w14:textId="77777777" w:rsidR="0011262F" w:rsidRDefault="0011262F" w:rsidP="00B54007">
                  <w:pPr>
                    <w:pStyle w:val="TableBodyText"/>
                    <w:ind w:right="28"/>
                  </w:pPr>
                  <w:r w:rsidRPr="00C358C1">
                    <w:t>0.040</w:t>
                  </w:r>
                </w:p>
              </w:tc>
              <w:tc>
                <w:tcPr>
                  <w:tcW w:w="632" w:type="pct"/>
                  <w:shd w:val="clear" w:color="auto" w:fill="auto"/>
                  <w:vAlign w:val="bottom"/>
                </w:tcPr>
                <w:p w14:paraId="79C94417" w14:textId="77777777" w:rsidR="0011262F" w:rsidRDefault="0011262F" w:rsidP="00B54007">
                  <w:pPr>
                    <w:pStyle w:val="TableBodyText"/>
                    <w:ind w:right="28"/>
                  </w:pPr>
                  <w:r w:rsidRPr="00C358C1">
                    <w:t>-0.199</w:t>
                  </w:r>
                </w:p>
              </w:tc>
              <w:tc>
                <w:tcPr>
                  <w:tcW w:w="632" w:type="pct"/>
                  <w:vAlign w:val="bottom"/>
                </w:tcPr>
                <w:p w14:paraId="39461FAA" w14:textId="77777777" w:rsidR="0011262F" w:rsidRDefault="0011262F" w:rsidP="00B54007">
                  <w:pPr>
                    <w:pStyle w:val="TableBodyText"/>
                    <w:ind w:right="28"/>
                  </w:pPr>
                  <w:r w:rsidRPr="00C358C1">
                    <w:t>-0.121</w:t>
                  </w:r>
                </w:p>
              </w:tc>
              <w:tc>
                <w:tcPr>
                  <w:tcW w:w="632" w:type="pct"/>
                  <w:vAlign w:val="bottom"/>
                </w:tcPr>
                <w:p w14:paraId="52399998" w14:textId="77777777" w:rsidR="0011262F" w:rsidRDefault="0011262F" w:rsidP="00B54007">
                  <w:pPr>
                    <w:pStyle w:val="TableBodyText"/>
                  </w:pPr>
                  <w:r w:rsidRPr="00C358C1">
                    <w:t>-0.039</w:t>
                  </w:r>
                </w:p>
              </w:tc>
            </w:tr>
            <w:tr w:rsidR="0011262F" w14:paraId="48954E57" w14:textId="77777777" w:rsidTr="00B54007">
              <w:tc>
                <w:tcPr>
                  <w:tcW w:w="1842" w:type="pct"/>
                  <w:shd w:val="clear" w:color="auto" w:fill="F2F2F2" w:themeFill="background1" w:themeFillShade="F2"/>
                  <w:vAlign w:val="bottom"/>
                </w:tcPr>
                <w:p w14:paraId="7D624BA0" w14:textId="77777777" w:rsidR="0011262F" w:rsidRDefault="0011262F" w:rsidP="00B54007">
                  <w:pPr>
                    <w:pStyle w:val="TableBodyText"/>
                    <w:jc w:val="left"/>
                  </w:pPr>
                  <w:r w:rsidRPr="00C358C1">
                    <w:t>PRC x Other</w:t>
                  </w:r>
                </w:p>
              </w:tc>
              <w:tc>
                <w:tcPr>
                  <w:tcW w:w="632" w:type="pct"/>
                  <w:shd w:val="clear" w:color="auto" w:fill="F2F2F2" w:themeFill="background1" w:themeFillShade="F2"/>
                  <w:vAlign w:val="bottom"/>
                </w:tcPr>
                <w:p w14:paraId="3EFC3CB3" w14:textId="77777777" w:rsidR="0011262F" w:rsidRDefault="0011262F" w:rsidP="00B54007">
                  <w:pPr>
                    <w:pStyle w:val="TableBodyText"/>
                    <w:ind w:right="28"/>
                  </w:pPr>
                  <w:r w:rsidRPr="00C358C1">
                    <w:t>-0.033</w:t>
                  </w:r>
                </w:p>
              </w:tc>
              <w:tc>
                <w:tcPr>
                  <w:tcW w:w="632" w:type="pct"/>
                  <w:shd w:val="clear" w:color="auto" w:fill="F2F2F2" w:themeFill="background1" w:themeFillShade="F2"/>
                  <w:vAlign w:val="bottom"/>
                </w:tcPr>
                <w:p w14:paraId="6DB1775E" w14:textId="77777777" w:rsidR="0011262F" w:rsidRDefault="0011262F" w:rsidP="00B54007">
                  <w:pPr>
                    <w:pStyle w:val="TableBodyText"/>
                    <w:ind w:right="28"/>
                  </w:pPr>
                  <w:r w:rsidRPr="00C358C1">
                    <w:t>0.054</w:t>
                  </w:r>
                </w:p>
              </w:tc>
              <w:tc>
                <w:tcPr>
                  <w:tcW w:w="632" w:type="pct"/>
                  <w:shd w:val="clear" w:color="auto" w:fill="F2F2F2" w:themeFill="background1" w:themeFillShade="F2"/>
                  <w:vAlign w:val="bottom"/>
                </w:tcPr>
                <w:p w14:paraId="4C3D30E8" w14:textId="77777777" w:rsidR="0011262F" w:rsidRDefault="0011262F" w:rsidP="00B54007">
                  <w:pPr>
                    <w:pStyle w:val="TableBodyText"/>
                    <w:ind w:right="28"/>
                  </w:pPr>
                  <w:r w:rsidRPr="00C358C1">
                    <w:t>-0.136</w:t>
                  </w:r>
                </w:p>
              </w:tc>
              <w:tc>
                <w:tcPr>
                  <w:tcW w:w="632" w:type="pct"/>
                  <w:shd w:val="clear" w:color="auto" w:fill="F2F2F2" w:themeFill="background1" w:themeFillShade="F2"/>
                  <w:vAlign w:val="bottom"/>
                </w:tcPr>
                <w:p w14:paraId="628A1383" w14:textId="77777777" w:rsidR="0011262F" w:rsidRDefault="0011262F" w:rsidP="00B54007">
                  <w:pPr>
                    <w:pStyle w:val="TableBodyText"/>
                    <w:ind w:right="28"/>
                  </w:pPr>
                  <w:r w:rsidRPr="00C358C1">
                    <w:t>-0.034</w:t>
                  </w:r>
                </w:p>
              </w:tc>
              <w:tc>
                <w:tcPr>
                  <w:tcW w:w="632" w:type="pct"/>
                  <w:shd w:val="clear" w:color="auto" w:fill="F2F2F2" w:themeFill="background1" w:themeFillShade="F2"/>
                  <w:vAlign w:val="bottom"/>
                </w:tcPr>
                <w:p w14:paraId="661B839F" w14:textId="77777777" w:rsidR="0011262F" w:rsidRDefault="0011262F" w:rsidP="00B54007">
                  <w:pPr>
                    <w:pStyle w:val="TableBodyText"/>
                  </w:pPr>
                  <w:r w:rsidRPr="00C358C1">
                    <w:t>0.074</w:t>
                  </w:r>
                </w:p>
              </w:tc>
            </w:tr>
            <w:tr w:rsidR="0011262F" w14:paraId="7350240A" w14:textId="77777777" w:rsidTr="00B54007">
              <w:tc>
                <w:tcPr>
                  <w:tcW w:w="1842" w:type="pct"/>
                  <w:shd w:val="clear" w:color="auto" w:fill="auto"/>
                  <w:vAlign w:val="bottom"/>
                </w:tcPr>
                <w:p w14:paraId="22EB48CF" w14:textId="77777777" w:rsidR="0011262F" w:rsidRDefault="0011262F" w:rsidP="00B54007">
                  <w:pPr>
                    <w:pStyle w:val="TableBodyText"/>
                    <w:jc w:val="left"/>
                  </w:pPr>
                  <w:r w:rsidRPr="00C358C1">
                    <w:t>Intercept</w:t>
                  </w:r>
                </w:p>
              </w:tc>
              <w:tc>
                <w:tcPr>
                  <w:tcW w:w="632" w:type="pct"/>
                  <w:vAlign w:val="bottom"/>
                </w:tcPr>
                <w:p w14:paraId="3754E193" w14:textId="77777777" w:rsidR="0011262F" w:rsidRDefault="0011262F" w:rsidP="00B54007">
                  <w:pPr>
                    <w:pStyle w:val="TableBodyText"/>
                    <w:ind w:right="28"/>
                  </w:pPr>
                  <w:r w:rsidRPr="00C358C1">
                    <w:t>-1.488</w:t>
                  </w:r>
                </w:p>
              </w:tc>
              <w:tc>
                <w:tcPr>
                  <w:tcW w:w="632" w:type="pct"/>
                  <w:shd w:val="clear" w:color="auto" w:fill="auto"/>
                  <w:vAlign w:val="bottom"/>
                </w:tcPr>
                <w:p w14:paraId="4E5E9CF8" w14:textId="77777777" w:rsidR="0011262F" w:rsidRDefault="0011262F" w:rsidP="00B54007">
                  <w:pPr>
                    <w:pStyle w:val="TableBodyText"/>
                    <w:ind w:right="28"/>
                  </w:pPr>
                  <w:r w:rsidRPr="00C358C1">
                    <w:t>0.194</w:t>
                  </w:r>
                </w:p>
              </w:tc>
              <w:tc>
                <w:tcPr>
                  <w:tcW w:w="632" w:type="pct"/>
                  <w:shd w:val="clear" w:color="auto" w:fill="auto"/>
                  <w:vAlign w:val="bottom"/>
                </w:tcPr>
                <w:p w14:paraId="1EB8A465" w14:textId="77777777" w:rsidR="0011262F" w:rsidRDefault="0011262F" w:rsidP="00B54007">
                  <w:pPr>
                    <w:pStyle w:val="TableBodyText"/>
                    <w:ind w:right="28"/>
                  </w:pPr>
                  <w:r w:rsidRPr="00C358C1">
                    <w:t>-1.871</w:t>
                  </w:r>
                </w:p>
              </w:tc>
              <w:tc>
                <w:tcPr>
                  <w:tcW w:w="632" w:type="pct"/>
                  <w:vAlign w:val="bottom"/>
                </w:tcPr>
                <w:p w14:paraId="2C87896A" w14:textId="77777777" w:rsidR="0011262F" w:rsidRDefault="0011262F" w:rsidP="00B54007">
                  <w:pPr>
                    <w:pStyle w:val="TableBodyText"/>
                    <w:ind w:right="28"/>
                  </w:pPr>
                  <w:r w:rsidRPr="00C358C1">
                    <w:t>-1.485</w:t>
                  </w:r>
                </w:p>
              </w:tc>
              <w:tc>
                <w:tcPr>
                  <w:tcW w:w="632" w:type="pct"/>
                  <w:vAlign w:val="bottom"/>
                </w:tcPr>
                <w:p w14:paraId="66AF6F5D" w14:textId="77777777" w:rsidR="0011262F" w:rsidRDefault="0011262F" w:rsidP="00B54007">
                  <w:pPr>
                    <w:pStyle w:val="TableBodyText"/>
                  </w:pPr>
                  <w:r w:rsidRPr="00C358C1">
                    <w:t>-1.128</w:t>
                  </w:r>
                </w:p>
              </w:tc>
            </w:tr>
            <w:tr w:rsidR="0011262F" w14:paraId="47CE08D3" w14:textId="77777777" w:rsidTr="00B54007">
              <w:tc>
                <w:tcPr>
                  <w:tcW w:w="1842" w:type="pct"/>
                  <w:shd w:val="clear" w:color="auto" w:fill="F2F2F2" w:themeFill="background1" w:themeFillShade="F2"/>
                  <w:vAlign w:val="bottom"/>
                </w:tcPr>
                <w:p w14:paraId="64838AFE" w14:textId="77777777" w:rsidR="0011262F" w:rsidRDefault="0011262F" w:rsidP="00B54007">
                  <w:pPr>
                    <w:pStyle w:val="TableBodyText"/>
                    <w:jc w:val="left"/>
                  </w:pPr>
                  <w:r w:rsidRPr="00C358C1">
                    <w:t>SD of varying Intercept</w:t>
                  </w:r>
                </w:p>
              </w:tc>
              <w:tc>
                <w:tcPr>
                  <w:tcW w:w="632" w:type="pct"/>
                  <w:shd w:val="clear" w:color="auto" w:fill="F2F2F2" w:themeFill="background1" w:themeFillShade="F2"/>
                  <w:vAlign w:val="bottom"/>
                </w:tcPr>
                <w:p w14:paraId="257819C0" w14:textId="77777777" w:rsidR="0011262F" w:rsidRDefault="0011262F" w:rsidP="00B54007">
                  <w:pPr>
                    <w:pStyle w:val="TableBodyText"/>
                    <w:ind w:right="28"/>
                  </w:pPr>
                  <w:r w:rsidRPr="00C358C1">
                    <w:t>0.494</w:t>
                  </w:r>
                </w:p>
              </w:tc>
              <w:tc>
                <w:tcPr>
                  <w:tcW w:w="632" w:type="pct"/>
                  <w:shd w:val="clear" w:color="auto" w:fill="F2F2F2" w:themeFill="background1" w:themeFillShade="F2"/>
                  <w:vAlign w:val="bottom"/>
                </w:tcPr>
                <w:p w14:paraId="0B80AEAC" w14:textId="77777777" w:rsidR="0011262F" w:rsidRDefault="0011262F" w:rsidP="00B54007">
                  <w:pPr>
                    <w:pStyle w:val="TableBodyText"/>
                    <w:ind w:right="28"/>
                  </w:pPr>
                  <w:r w:rsidRPr="00C358C1">
                    <w:t>0.073</w:t>
                  </w:r>
                </w:p>
              </w:tc>
              <w:tc>
                <w:tcPr>
                  <w:tcW w:w="632" w:type="pct"/>
                  <w:shd w:val="clear" w:color="auto" w:fill="F2F2F2" w:themeFill="background1" w:themeFillShade="F2"/>
                  <w:vAlign w:val="bottom"/>
                </w:tcPr>
                <w:p w14:paraId="62B9C0BE" w14:textId="77777777" w:rsidR="0011262F" w:rsidRDefault="0011262F" w:rsidP="00B54007">
                  <w:pPr>
                    <w:pStyle w:val="TableBodyText"/>
                    <w:ind w:right="28"/>
                  </w:pPr>
                  <w:r w:rsidRPr="00C358C1">
                    <w:t>0.353</w:t>
                  </w:r>
                </w:p>
              </w:tc>
              <w:tc>
                <w:tcPr>
                  <w:tcW w:w="632" w:type="pct"/>
                  <w:shd w:val="clear" w:color="auto" w:fill="F2F2F2" w:themeFill="background1" w:themeFillShade="F2"/>
                  <w:vAlign w:val="bottom"/>
                </w:tcPr>
                <w:p w14:paraId="0B242513" w14:textId="77777777" w:rsidR="0011262F" w:rsidRDefault="0011262F" w:rsidP="00B54007">
                  <w:pPr>
                    <w:pStyle w:val="TableBodyText"/>
                    <w:ind w:right="28"/>
                  </w:pPr>
                  <w:r w:rsidRPr="00C358C1">
                    <w:t>0.489</w:t>
                  </w:r>
                </w:p>
              </w:tc>
              <w:tc>
                <w:tcPr>
                  <w:tcW w:w="632" w:type="pct"/>
                  <w:shd w:val="clear" w:color="auto" w:fill="F2F2F2" w:themeFill="background1" w:themeFillShade="F2"/>
                  <w:vAlign w:val="bottom"/>
                </w:tcPr>
                <w:p w14:paraId="04AEFA89" w14:textId="77777777" w:rsidR="0011262F" w:rsidRDefault="0011262F" w:rsidP="00B54007">
                  <w:pPr>
                    <w:pStyle w:val="TableBodyText"/>
                  </w:pPr>
                  <w:r w:rsidRPr="00C358C1">
                    <w:t>0.640</w:t>
                  </w:r>
                </w:p>
              </w:tc>
            </w:tr>
            <w:tr w:rsidR="0011262F" w14:paraId="3DD0DA43" w14:textId="77777777" w:rsidTr="00B54007">
              <w:tc>
                <w:tcPr>
                  <w:tcW w:w="1842" w:type="pct"/>
                  <w:shd w:val="clear" w:color="auto" w:fill="auto"/>
                  <w:vAlign w:val="bottom"/>
                </w:tcPr>
                <w:p w14:paraId="46356330" w14:textId="77777777" w:rsidR="0011262F" w:rsidRDefault="0011262F" w:rsidP="00B54007">
                  <w:pPr>
                    <w:pStyle w:val="TableBodyText"/>
                    <w:jc w:val="left"/>
                  </w:pPr>
                  <w:r w:rsidRPr="00C358C1">
                    <w:t xml:space="preserve">SD of varying </w:t>
                  </w:r>
                  <w:r>
                    <w:t xml:space="preserve">slope: </w:t>
                  </w:r>
                  <w:r w:rsidRPr="00C358C1">
                    <w:t>Assets</w:t>
                  </w:r>
                </w:p>
              </w:tc>
              <w:tc>
                <w:tcPr>
                  <w:tcW w:w="632" w:type="pct"/>
                  <w:vAlign w:val="bottom"/>
                </w:tcPr>
                <w:p w14:paraId="092B0ECB" w14:textId="77777777" w:rsidR="0011262F" w:rsidRDefault="0011262F" w:rsidP="00B54007">
                  <w:pPr>
                    <w:pStyle w:val="TableBodyText"/>
                    <w:ind w:right="28"/>
                  </w:pPr>
                  <w:r w:rsidRPr="00C358C1">
                    <w:t>0.115</w:t>
                  </w:r>
                </w:p>
              </w:tc>
              <w:tc>
                <w:tcPr>
                  <w:tcW w:w="632" w:type="pct"/>
                  <w:shd w:val="clear" w:color="auto" w:fill="auto"/>
                  <w:vAlign w:val="bottom"/>
                </w:tcPr>
                <w:p w14:paraId="53E339DE" w14:textId="77777777" w:rsidR="0011262F" w:rsidRDefault="0011262F" w:rsidP="00B54007">
                  <w:pPr>
                    <w:pStyle w:val="TableBodyText"/>
                    <w:ind w:right="28"/>
                  </w:pPr>
                  <w:r w:rsidRPr="00C358C1">
                    <w:t>0.011</w:t>
                  </w:r>
                </w:p>
              </w:tc>
              <w:tc>
                <w:tcPr>
                  <w:tcW w:w="632" w:type="pct"/>
                  <w:shd w:val="clear" w:color="auto" w:fill="auto"/>
                  <w:vAlign w:val="bottom"/>
                </w:tcPr>
                <w:p w14:paraId="4F2FD55C" w14:textId="77777777" w:rsidR="0011262F" w:rsidRDefault="0011262F" w:rsidP="00B54007">
                  <w:pPr>
                    <w:pStyle w:val="TableBodyText"/>
                    <w:ind w:right="28"/>
                  </w:pPr>
                  <w:r w:rsidRPr="00C358C1">
                    <w:t>0.094</w:t>
                  </w:r>
                </w:p>
              </w:tc>
              <w:tc>
                <w:tcPr>
                  <w:tcW w:w="632" w:type="pct"/>
                  <w:vAlign w:val="bottom"/>
                </w:tcPr>
                <w:p w14:paraId="791910D8" w14:textId="77777777" w:rsidR="0011262F" w:rsidRDefault="0011262F" w:rsidP="00B54007">
                  <w:pPr>
                    <w:pStyle w:val="TableBodyText"/>
                    <w:ind w:right="28"/>
                  </w:pPr>
                  <w:r w:rsidRPr="00C358C1">
                    <w:t>0.115</w:t>
                  </w:r>
                </w:p>
              </w:tc>
              <w:tc>
                <w:tcPr>
                  <w:tcW w:w="632" w:type="pct"/>
                  <w:vAlign w:val="bottom"/>
                </w:tcPr>
                <w:p w14:paraId="51A83A49" w14:textId="77777777" w:rsidR="0011262F" w:rsidRDefault="0011262F" w:rsidP="00B54007">
                  <w:pPr>
                    <w:pStyle w:val="TableBodyText"/>
                  </w:pPr>
                  <w:r w:rsidRPr="00C358C1">
                    <w:t>0.140</w:t>
                  </w:r>
                </w:p>
              </w:tc>
            </w:tr>
            <w:tr w:rsidR="0011262F" w14:paraId="145BBB1C" w14:textId="77777777" w:rsidTr="00B54007">
              <w:tc>
                <w:tcPr>
                  <w:tcW w:w="1842" w:type="pct"/>
                  <w:tcBorders>
                    <w:bottom w:val="single" w:sz="6" w:space="0" w:color="BFBFBF" w:themeColor="background1" w:themeShade="BF"/>
                  </w:tcBorders>
                  <w:shd w:val="clear" w:color="auto" w:fill="F2F2F2" w:themeFill="background1" w:themeFillShade="F2"/>
                  <w:vAlign w:val="bottom"/>
                </w:tcPr>
                <w:p w14:paraId="10520AB8" w14:textId="77777777" w:rsidR="0011262F" w:rsidRDefault="0011262F" w:rsidP="00B54007">
                  <w:pPr>
                    <w:pStyle w:val="TableBodyText"/>
                    <w:jc w:val="left"/>
                  </w:pPr>
                  <w:r w:rsidRPr="00C358C1">
                    <w:t xml:space="preserve">SD of varying </w:t>
                  </w:r>
                  <w:r>
                    <w:t xml:space="preserve">slope: </w:t>
                  </w:r>
                  <w:r w:rsidRPr="00C358C1">
                    <w:t>Other</w:t>
                  </w:r>
                </w:p>
              </w:tc>
              <w:tc>
                <w:tcPr>
                  <w:tcW w:w="632" w:type="pct"/>
                  <w:tcBorders>
                    <w:bottom w:val="single" w:sz="6" w:space="0" w:color="BFBFBF" w:themeColor="background1" w:themeShade="BF"/>
                  </w:tcBorders>
                  <w:shd w:val="clear" w:color="auto" w:fill="F2F2F2" w:themeFill="background1" w:themeFillShade="F2"/>
                  <w:vAlign w:val="bottom"/>
                </w:tcPr>
                <w:p w14:paraId="3671E82C" w14:textId="77777777" w:rsidR="0011262F" w:rsidRDefault="0011262F" w:rsidP="00B54007">
                  <w:pPr>
                    <w:pStyle w:val="TableBodyText"/>
                    <w:ind w:right="28"/>
                  </w:pPr>
                  <w:r w:rsidRPr="00C358C1">
                    <w:t>0.430</w:t>
                  </w:r>
                </w:p>
              </w:tc>
              <w:tc>
                <w:tcPr>
                  <w:tcW w:w="632" w:type="pct"/>
                  <w:tcBorders>
                    <w:bottom w:val="single" w:sz="6" w:space="0" w:color="BFBFBF" w:themeColor="background1" w:themeShade="BF"/>
                  </w:tcBorders>
                  <w:shd w:val="clear" w:color="auto" w:fill="F2F2F2" w:themeFill="background1" w:themeFillShade="F2"/>
                  <w:vAlign w:val="bottom"/>
                </w:tcPr>
                <w:p w14:paraId="4AE4A3B8" w14:textId="77777777" w:rsidR="0011262F" w:rsidRDefault="0011262F" w:rsidP="00B54007">
                  <w:pPr>
                    <w:pStyle w:val="TableBodyText"/>
                    <w:ind w:right="28"/>
                  </w:pPr>
                  <w:r w:rsidRPr="00C358C1">
                    <w:t>0.048</w:t>
                  </w:r>
                </w:p>
              </w:tc>
              <w:tc>
                <w:tcPr>
                  <w:tcW w:w="632" w:type="pct"/>
                  <w:tcBorders>
                    <w:bottom w:val="single" w:sz="6" w:space="0" w:color="BFBFBF" w:themeColor="background1" w:themeShade="BF"/>
                  </w:tcBorders>
                  <w:shd w:val="clear" w:color="auto" w:fill="F2F2F2" w:themeFill="background1" w:themeFillShade="F2"/>
                  <w:vAlign w:val="bottom"/>
                </w:tcPr>
                <w:p w14:paraId="4069AB7A" w14:textId="77777777" w:rsidR="0011262F" w:rsidRDefault="0011262F" w:rsidP="00B54007">
                  <w:pPr>
                    <w:pStyle w:val="TableBodyText"/>
                    <w:ind w:right="28"/>
                  </w:pPr>
                  <w:r w:rsidRPr="00C358C1">
                    <w:t>0.341</w:t>
                  </w:r>
                </w:p>
              </w:tc>
              <w:tc>
                <w:tcPr>
                  <w:tcW w:w="632" w:type="pct"/>
                  <w:tcBorders>
                    <w:bottom w:val="single" w:sz="6" w:space="0" w:color="BFBFBF" w:themeColor="background1" w:themeShade="BF"/>
                  </w:tcBorders>
                  <w:shd w:val="clear" w:color="auto" w:fill="F2F2F2" w:themeFill="background1" w:themeFillShade="F2"/>
                  <w:vAlign w:val="bottom"/>
                </w:tcPr>
                <w:p w14:paraId="30E434CC" w14:textId="77777777" w:rsidR="0011262F" w:rsidRDefault="0011262F" w:rsidP="00B54007">
                  <w:pPr>
                    <w:pStyle w:val="TableBodyText"/>
                    <w:ind w:right="28"/>
                  </w:pPr>
                  <w:r w:rsidRPr="00C358C1">
                    <w:t>0.427</w:t>
                  </w:r>
                </w:p>
              </w:tc>
              <w:tc>
                <w:tcPr>
                  <w:tcW w:w="632" w:type="pct"/>
                  <w:tcBorders>
                    <w:bottom w:val="single" w:sz="6" w:space="0" w:color="BFBFBF" w:themeColor="background1" w:themeShade="BF"/>
                  </w:tcBorders>
                  <w:shd w:val="clear" w:color="auto" w:fill="F2F2F2" w:themeFill="background1" w:themeFillShade="F2"/>
                  <w:vAlign w:val="bottom"/>
                </w:tcPr>
                <w:p w14:paraId="3DCA48E8" w14:textId="77777777" w:rsidR="0011262F" w:rsidRDefault="0011262F" w:rsidP="00B54007">
                  <w:pPr>
                    <w:pStyle w:val="TableBodyText"/>
                  </w:pPr>
                  <w:r w:rsidRPr="00C358C1">
                    <w:t>0.530</w:t>
                  </w:r>
                </w:p>
              </w:tc>
            </w:tr>
          </w:tbl>
          <w:p w14:paraId="1E25D7F2" w14:textId="77777777" w:rsidR="0011262F" w:rsidRDefault="0011262F" w:rsidP="00B54007">
            <w:pPr>
              <w:pStyle w:val="Box"/>
            </w:pPr>
          </w:p>
        </w:tc>
      </w:tr>
      <w:tr w:rsidR="0011262F" w14:paraId="18FBDBC4" w14:textId="77777777" w:rsidTr="00B54007">
        <w:tc>
          <w:tcPr>
            <w:tcW w:w="5000" w:type="pct"/>
            <w:tcBorders>
              <w:top w:val="nil"/>
              <w:left w:val="nil"/>
              <w:bottom w:val="nil"/>
              <w:right w:val="nil"/>
            </w:tcBorders>
            <w:shd w:val="clear" w:color="auto" w:fill="auto"/>
          </w:tcPr>
          <w:p w14:paraId="497B4466" w14:textId="77777777" w:rsidR="0011262F" w:rsidRDefault="0011262F" w:rsidP="00B54007">
            <w:pPr>
              <w:pStyle w:val="Continued"/>
            </w:pPr>
            <w:r>
              <w:t>(continued next page)</w:t>
            </w:r>
          </w:p>
        </w:tc>
      </w:tr>
      <w:tr w:rsidR="0011262F" w14:paraId="2EF33A92" w14:textId="77777777" w:rsidTr="00B54007">
        <w:tc>
          <w:tcPr>
            <w:tcW w:w="5000" w:type="pct"/>
            <w:tcBorders>
              <w:top w:val="nil"/>
              <w:left w:val="nil"/>
              <w:bottom w:val="single" w:sz="6" w:space="0" w:color="78A22F"/>
              <w:right w:val="nil"/>
            </w:tcBorders>
            <w:shd w:val="clear" w:color="auto" w:fill="auto"/>
          </w:tcPr>
          <w:p w14:paraId="112AB876" w14:textId="77777777" w:rsidR="0011262F" w:rsidRDefault="0011262F" w:rsidP="00B54007">
            <w:pPr>
              <w:pStyle w:val="Box"/>
              <w:spacing w:before="0" w:line="120" w:lineRule="exact"/>
            </w:pPr>
          </w:p>
        </w:tc>
      </w:tr>
      <w:tr w:rsidR="0011262F" w:rsidRPr="000863A5" w14:paraId="4F5B91A4" w14:textId="77777777" w:rsidTr="00B54007">
        <w:tc>
          <w:tcPr>
            <w:tcW w:w="5000" w:type="pct"/>
            <w:tcBorders>
              <w:top w:val="single" w:sz="6" w:space="0" w:color="78A22F"/>
              <w:left w:val="nil"/>
              <w:bottom w:val="nil"/>
              <w:right w:val="nil"/>
            </w:tcBorders>
          </w:tcPr>
          <w:p w14:paraId="441AB341" w14:textId="77777777" w:rsidR="0011262F" w:rsidRPr="00626D32" w:rsidRDefault="0011262F" w:rsidP="00B54007">
            <w:pPr>
              <w:pStyle w:val="BoxSpaceBelow"/>
            </w:pPr>
          </w:p>
        </w:tc>
      </w:tr>
    </w:tbl>
    <w:p w14:paraId="06EF0FEE" w14:textId="77777777" w:rsidR="0011262F" w:rsidRDefault="0011262F" w:rsidP="0011262F">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1262F" w14:paraId="4C646131" w14:textId="77777777" w:rsidTr="00B54007">
        <w:trPr>
          <w:tblHeader/>
        </w:trPr>
        <w:tc>
          <w:tcPr>
            <w:tcW w:w="5000" w:type="pct"/>
            <w:tcBorders>
              <w:top w:val="single" w:sz="6" w:space="0" w:color="78A22F"/>
              <w:left w:val="nil"/>
              <w:bottom w:val="nil"/>
              <w:right w:val="nil"/>
            </w:tcBorders>
            <w:shd w:val="clear" w:color="auto" w:fill="auto"/>
          </w:tcPr>
          <w:p w14:paraId="1C42DEA7" w14:textId="77777777" w:rsidR="0011262F" w:rsidRPr="00784A05" w:rsidRDefault="0011262F" w:rsidP="00B54007">
            <w:pPr>
              <w:pStyle w:val="TableTitle"/>
            </w:pPr>
            <w:r>
              <w:rPr>
                <w:b w:val="0"/>
              </w:rPr>
              <w:t xml:space="preserve">Table </w:t>
            </w:r>
            <w:proofErr w:type="spellStart"/>
            <w:r>
              <w:rPr>
                <w:b w:val="0"/>
              </w:rPr>
              <w:t>E.1</w:t>
            </w:r>
            <w:proofErr w:type="spellEnd"/>
            <w:r>
              <w:tab/>
            </w:r>
            <w:r w:rsidRPr="004B358B">
              <w:rPr>
                <w:b w:val="0"/>
                <w:sz w:val="18"/>
                <w:szCs w:val="18"/>
              </w:rPr>
              <w:t>(continued)</w:t>
            </w:r>
          </w:p>
        </w:tc>
      </w:tr>
      <w:tr w:rsidR="0011262F" w14:paraId="4C3ADA4B" w14:textId="77777777" w:rsidTr="00B54007">
        <w:tc>
          <w:tcPr>
            <w:tcW w:w="5000" w:type="pct"/>
            <w:tcBorders>
              <w:top w:val="nil"/>
              <w:left w:val="nil"/>
              <w:bottom w:val="nil"/>
              <w:right w:val="nil"/>
            </w:tcBorders>
            <w:shd w:val="clear" w:color="auto" w:fill="auto"/>
          </w:tcPr>
          <w:tbl>
            <w:tblPr>
              <w:tblW w:w="8527" w:type="dxa"/>
              <w:tblCellMar>
                <w:top w:w="28" w:type="dxa"/>
                <w:left w:w="0" w:type="dxa"/>
                <w:right w:w="0" w:type="dxa"/>
              </w:tblCellMar>
              <w:tblLook w:val="0000" w:firstRow="0" w:lastRow="0" w:firstColumn="0" w:lastColumn="0" w:noHBand="0" w:noVBand="0"/>
            </w:tblPr>
            <w:tblGrid>
              <w:gridCol w:w="3141"/>
              <w:gridCol w:w="1078"/>
              <w:gridCol w:w="1078"/>
              <w:gridCol w:w="1078"/>
              <w:gridCol w:w="1078"/>
              <w:gridCol w:w="1074"/>
            </w:tblGrid>
            <w:tr w:rsidR="0011262F" w14:paraId="3232F05E" w14:textId="77777777" w:rsidTr="00B54007">
              <w:tc>
                <w:tcPr>
                  <w:tcW w:w="1842" w:type="pct"/>
                  <w:tcBorders>
                    <w:top w:val="single" w:sz="6" w:space="0" w:color="BFBFBF"/>
                    <w:bottom w:val="single" w:sz="6" w:space="0" w:color="BFBFBF"/>
                  </w:tcBorders>
                  <w:shd w:val="clear" w:color="auto" w:fill="auto"/>
                  <w:vAlign w:val="bottom"/>
                </w:tcPr>
                <w:p w14:paraId="41F17B4E" w14:textId="77777777" w:rsidR="0011262F" w:rsidRDefault="0011262F" w:rsidP="00B54007">
                  <w:pPr>
                    <w:pStyle w:val="TableColumnHeading"/>
                    <w:jc w:val="left"/>
                    <w:rPr>
                      <w:b/>
                    </w:rPr>
                  </w:pPr>
                  <w:r>
                    <w:t>Parameter</w:t>
                  </w:r>
                </w:p>
              </w:tc>
              <w:tc>
                <w:tcPr>
                  <w:tcW w:w="632" w:type="pct"/>
                  <w:tcBorders>
                    <w:top w:val="single" w:sz="6" w:space="0" w:color="BFBFBF"/>
                    <w:bottom w:val="single" w:sz="6" w:space="0" w:color="BFBFBF"/>
                  </w:tcBorders>
                  <w:vAlign w:val="bottom"/>
                </w:tcPr>
                <w:p w14:paraId="68142564" w14:textId="77777777" w:rsidR="0011262F" w:rsidRDefault="0011262F" w:rsidP="00B54007">
                  <w:pPr>
                    <w:pStyle w:val="TableColumnHeading"/>
                  </w:pPr>
                  <w:r>
                    <w:t>Mean</w:t>
                  </w:r>
                </w:p>
              </w:tc>
              <w:tc>
                <w:tcPr>
                  <w:tcW w:w="632" w:type="pct"/>
                  <w:tcBorders>
                    <w:top w:val="single" w:sz="6" w:space="0" w:color="BFBFBF"/>
                    <w:bottom w:val="single" w:sz="6" w:space="0" w:color="BFBFBF"/>
                  </w:tcBorders>
                  <w:shd w:val="clear" w:color="auto" w:fill="auto"/>
                  <w:vAlign w:val="bottom"/>
                </w:tcPr>
                <w:p w14:paraId="67EB6729" w14:textId="77777777" w:rsidR="0011262F" w:rsidRDefault="0011262F" w:rsidP="00B54007">
                  <w:pPr>
                    <w:pStyle w:val="TableColumnHeading"/>
                  </w:pPr>
                  <w:r>
                    <w:t>Standard deviation</w:t>
                  </w:r>
                </w:p>
              </w:tc>
              <w:tc>
                <w:tcPr>
                  <w:tcW w:w="632" w:type="pct"/>
                  <w:tcBorders>
                    <w:top w:val="single" w:sz="6" w:space="0" w:color="BFBFBF"/>
                    <w:bottom w:val="single" w:sz="6" w:space="0" w:color="BFBFBF"/>
                  </w:tcBorders>
                  <w:shd w:val="clear" w:color="auto" w:fill="auto"/>
                  <w:vAlign w:val="bottom"/>
                </w:tcPr>
                <w:p w14:paraId="4CE17712" w14:textId="77777777" w:rsidR="0011262F" w:rsidRDefault="0011262F" w:rsidP="00B54007">
                  <w:pPr>
                    <w:pStyle w:val="TableColumnHeading"/>
                  </w:pPr>
                  <w:r>
                    <w:t>2.5 percentile</w:t>
                  </w:r>
                </w:p>
              </w:tc>
              <w:tc>
                <w:tcPr>
                  <w:tcW w:w="632" w:type="pct"/>
                  <w:tcBorders>
                    <w:top w:val="single" w:sz="6" w:space="0" w:color="BFBFBF"/>
                    <w:bottom w:val="single" w:sz="6" w:space="0" w:color="BFBFBF"/>
                  </w:tcBorders>
                  <w:vAlign w:val="bottom"/>
                </w:tcPr>
                <w:p w14:paraId="00A1CBF4" w14:textId="77777777" w:rsidR="0011262F" w:rsidRDefault="0011262F" w:rsidP="00B54007">
                  <w:pPr>
                    <w:pStyle w:val="TableColumnHeading"/>
                  </w:pPr>
                  <w:r>
                    <w:t>Median</w:t>
                  </w:r>
                </w:p>
              </w:tc>
              <w:tc>
                <w:tcPr>
                  <w:tcW w:w="632" w:type="pct"/>
                  <w:tcBorders>
                    <w:top w:val="single" w:sz="6" w:space="0" w:color="BFBFBF"/>
                    <w:bottom w:val="single" w:sz="6" w:space="0" w:color="BFBFBF"/>
                  </w:tcBorders>
                  <w:vAlign w:val="bottom"/>
                </w:tcPr>
                <w:p w14:paraId="5A19FE05" w14:textId="77777777" w:rsidR="0011262F" w:rsidRDefault="0011262F" w:rsidP="00B54007">
                  <w:pPr>
                    <w:pStyle w:val="TableColumnHeading"/>
                  </w:pPr>
                  <w:r>
                    <w:t>97.5 percentile</w:t>
                  </w:r>
                </w:p>
              </w:tc>
            </w:tr>
            <w:tr w:rsidR="0011262F" w14:paraId="592FD7AB" w14:textId="77777777" w:rsidTr="00B54007">
              <w:tc>
                <w:tcPr>
                  <w:tcW w:w="1842" w:type="pct"/>
                  <w:tcBorders>
                    <w:top w:val="single" w:sz="6" w:space="0" w:color="BFBFBF"/>
                  </w:tcBorders>
                  <w:shd w:val="clear" w:color="auto" w:fill="BFBFBF" w:themeFill="background1" w:themeFillShade="BF"/>
                  <w:vAlign w:val="bottom"/>
                </w:tcPr>
                <w:p w14:paraId="673C1053" w14:textId="77777777" w:rsidR="0011262F" w:rsidRPr="0099011F" w:rsidRDefault="0011262F" w:rsidP="00B54007">
                  <w:pPr>
                    <w:pStyle w:val="TableBodyText"/>
                    <w:jc w:val="left"/>
                    <w:rPr>
                      <w:b/>
                    </w:rPr>
                  </w:pPr>
                  <w:r w:rsidRPr="00C358C1">
                    <w:rPr>
                      <w:b/>
                    </w:rPr>
                    <w:t>Number of investment options</w:t>
                  </w:r>
                </w:p>
              </w:tc>
              <w:tc>
                <w:tcPr>
                  <w:tcW w:w="632" w:type="pct"/>
                  <w:tcBorders>
                    <w:top w:val="single" w:sz="6" w:space="0" w:color="BFBFBF"/>
                  </w:tcBorders>
                  <w:shd w:val="clear" w:color="auto" w:fill="BFBFBF" w:themeFill="background1" w:themeFillShade="BF"/>
                  <w:vAlign w:val="bottom"/>
                </w:tcPr>
                <w:p w14:paraId="064B399D" w14:textId="77777777" w:rsidR="0011262F" w:rsidRDefault="0011262F" w:rsidP="00B54007">
                  <w:pPr>
                    <w:pStyle w:val="TableBodyText"/>
                  </w:pPr>
                </w:p>
              </w:tc>
              <w:tc>
                <w:tcPr>
                  <w:tcW w:w="632" w:type="pct"/>
                  <w:tcBorders>
                    <w:top w:val="single" w:sz="6" w:space="0" w:color="BFBFBF"/>
                  </w:tcBorders>
                  <w:shd w:val="clear" w:color="auto" w:fill="BFBFBF" w:themeFill="background1" w:themeFillShade="BF"/>
                  <w:vAlign w:val="bottom"/>
                </w:tcPr>
                <w:p w14:paraId="0EEE0060" w14:textId="77777777" w:rsidR="0011262F" w:rsidRDefault="0011262F" w:rsidP="00B54007">
                  <w:pPr>
                    <w:pStyle w:val="TableBodyText"/>
                  </w:pPr>
                </w:p>
              </w:tc>
              <w:tc>
                <w:tcPr>
                  <w:tcW w:w="632" w:type="pct"/>
                  <w:tcBorders>
                    <w:top w:val="single" w:sz="6" w:space="0" w:color="BFBFBF"/>
                  </w:tcBorders>
                  <w:shd w:val="clear" w:color="auto" w:fill="BFBFBF" w:themeFill="background1" w:themeFillShade="BF"/>
                  <w:vAlign w:val="bottom"/>
                </w:tcPr>
                <w:p w14:paraId="5B910929" w14:textId="77777777" w:rsidR="0011262F" w:rsidRDefault="0011262F" w:rsidP="00B54007">
                  <w:pPr>
                    <w:pStyle w:val="TableBodyText"/>
                    <w:ind w:right="28"/>
                  </w:pPr>
                </w:p>
              </w:tc>
              <w:tc>
                <w:tcPr>
                  <w:tcW w:w="632" w:type="pct"/>
                  <w:tcBorders>
                    <w:top w:val="single" w:sz="6" w:space="0" w:color="BFBFBF"/>
                  </w:tcBorders>
                  <w:shd w:val="clear" w:color="auto" w:fill="BFBFBF" w:themeFill="background1" w:themeFillShade="BF"/>
                  <w:vAlign w:val="bottom"/>
                </w:tcPr>
                <w:p w14:paraId="66196320" w14:textId="77777777" w:rsidR="0011262F" w:rsidRDefault="0011262F" w:rsidP="00B54007">
                  <w:pPr>
                    <w:pStyle w:val="TableBodyText"/>
                    <w:ind w:right="28"/>
                  </w:pPr>
                </w:p>
              </w:tc>
              <w:tc>
                <w:tcPr>
                  <w:tcW w:w="632" w:type="pct"/>
                  <w:tcBorders>
                    <w:top w:val="single" w:sz="6" w:space="0" w:color="BFBFBF"/>
                  </w:tcBorders>
                  <w:shd w:val="clear" w:color="auto" w:fill="BFBFBF" w:themeFill="background1" w:themeFillShade="BF"/>
                  <w:vAlign w:val="bottom"/>
                </w:tcPr>
                <w:p w14:paraId="76FCBEC7" w14:textId="77777777" w:rsidR="0011262F" w:rsidRDefault="0011262F" w:rsidP="00B54007">
                  <w:pPr>
                    <w:pStyle w:val="TableBodyText"/>
                  </w:pPr>
                </w:p>
              </w:tc>
            </w:tr>
            <w:tr w:rsidR="0011262F" w14:paraId="4ECC02DF" w14:textId="77777777" w:rsidTr="00B54007">
              <w:tc>
                <w:tcPr>
                  <w:tcW w:w="1842" w:type="pct"/>
                  <w:shd w:val="clear" w:color="auto" w:fill="auto"/>
                  <w:vAlign w:val="bottom"/>
                </w:tcPr>
                <w:p w14:paraId="1B71B33C" w14:textId="77777777" w:rsidR="0011262F" w:rsidRDefault="0011262F" w:rsidP="00B54007">
                  <w:pPr>
                    <w:pStyle w:val="TableBodyText"/>
                    <w:jc w:val="left"/>
                  </w:pPr>
                  <w:r w:rsidRPr="00C358C1">
                    <w:t>Assets</w:t>
                  </w:r>
                </w:p>
              </w:tc>
              <w:tc>
                <w:tcPr>
                  <w:tcW w:w="632" w:type="pct"/>
                  <w:vAlign w:val="bottom"/>
                </w:tcPr>
                <w:p w14:paraId="73F5BECA" w14:textId="77777777" w:rsidR="0011262F" w:rsidRDefault="0011262F" w:rsidP="00B54007">
                  <w:pPr>
                    <w:pStyle w:val="TableBodyText"/>
                    <w:ind w:right="28"/>
                  </w:pPr>
                  <w:r w:rsidRPr="00C358C1">
                    <w:t>0.034</w:t>
                  </w:r>
                </w:p>
              </w:tc>
              <w:tc>
                <w:tcPr>
                  <w:tcW w:w="632" w:type="pct"/>
                  <w:shd w:val="clear" w:color="auto" w:fill="auto"/>
                  <w:vAlign w:val="bottom"/>
                </w:tcPr>
                <w:p w14:paraId="35A53BDA" w14:textId="77777777" w:rsidR="0011262F" w:rsidRDefault="0011262F" w:rsidP="00B54007">
                  <w:pPr>
                    <w:pStyle w:val="TableBodyText"/>
                    <w:ind w:right="28"/>
                  </w:pPr>
                  <w:r w:rsidRPr="00C358C1">
                    <w:t>0.084</w:t>
                  </w:r>
                </w:p>
              </w:tc>
              <w:tc>
                <w:tcPr>
                  <w:tcW w:w="632" w:type="pct"/>
                  <w:shd w:val="clear" w:color="auto" w:fill="auto"/>
                  <w:vAlign w:val="bottom"/>
                </w:tcPr>
                <w:p w14:paraId="1EF5E666" w14:textId="77777777" w:rsidR="0011262F" w:rsidRDefault="0011262F" w:rsidP="00B54007">
                  <w:pPr>
                    <w:pStyle w:val="TableBodyText"/>
                    <w:ind w:right="28"/>
                  </w:pPr>
                  <w:r w:rsidRPr="00C358C1">
                    <w:t>-0.127</w:t>
                  </w:r>
                </w:p>
              </w:tc>
              <w:tc>
                <w:tcPr>
                  <w:tcW w:w="632" w:type="pct"/>
                  <w:vAlign w:val="bottom"/>
                </w:tcPr>
                <w:p w14:paraId="5A94A67A" w14:textId="77777777" w:rsidR="0011262F" w:rsidRDefault="0011262F" w:rsidP="00B54007">
                  <w:pPr>
                    <w:pStyle w:val="TableBodyText"/>
                    <w:ind w:right="28"/>
                  </w:pPr>
                  <w:r w:rsidRPr="00C358C1">
                    <w:t>0.036</w:t>
                  </w:r>
                </w:p>
              </w:tc>
              <w:tc>
                <w:tcPr>
                  <w:tcW w:w="632" w:type="pct"/>
                  <w:vAlign w:val="bottom"/>
                </w:tcPr>
                <w:p w14:paraId="13C384D8" w14:textId="77777777" w:rsidR="0011262F" w:rsidRDefault="0011262F" w:rsidP="00B54007">
                  <w:pPr>
                    <w:pStyle w:val="TableBodyText"/>
                  </w:pPr>
                  <w:r w:rsidRPr="00C358C1">
                    <w:t>0.199</w:t>
                  </w:r>
                </w:p>
              </w:tc>
            </w:tr>
            <w:tr w:rsidR="0011262F" w14:paraId="588C7A31" w14:textId="77777777" w:rsidTr="00B54007">
              <w:tc>
                <w:tcPr>
                  <w:tcW w:w="1842" w:type="pct"/>
                  <w:shd w:val="clear" w:color="auto" w:fill="F2F2F2" w:themeFill="background1" w:themeFillShade="F2"/>
                  <w:vAlign w:val="bottom"/>
                </w:tcPr>
                <w:p w14:paraId="03970BE4" w14:textId="77777777" w:rsidR="0011262F" w:rsidRDefault="0011262F" w:rsidP="00B54007">
                  <w:pPr>
                    <w:pStyle w:val="TableBodyText"/>
                    <w:jc w:val="left"/>
                  </w:pPr>
                  <w:r w:rsidRPr="00C358C1">
                    <w:t>Member accounts</w:t>
                  </w:r>
                </w:p>
              </w:tc>
              <w:tc>
                <w:tcPr>
                  <w:tcW w:w="632" w:type="pct"/>
                  <w:shd w:val="clear" w:color="auto" w:fill="F2F2F2" w:themeFill="background1" w:themeFillShade="F2"/>
                  <w:vAlign w:val="bottom"/>
                </w:tcPr>
                <w:p w14:paraId="54AFEC5D" w14:textId="77777777" w:rsidR="0011262F" w:rsidRDefault="0011262F" w:rsidP="00B54007">
                  <w:pPr>
                    <w:pStyle w:val="TableBodyText"/>
                    <w:ind w:right="28"/>
                  </w:pPr>
                  <w:r w:rsidRPr="00C358C1">
                    <w:t>0.277</w:t>
                  </w:r>
                </w:p>
              </w:tc>
              <w:tc>
                <w:tcPr>
                  <w:tcW w:w="632" w:type="pct"/>
                  <w:shd w:val="clear" w:color="auto" w:fill="F2F2F2" w:themeFill="background1" w:themeFillShade="F2"/>
                  <w:vAlign w:val="bottom"/>
                </w:tcPr>
                <w:p w14:paraId="7C0B9103" w14:textId="77777777" w:rsidR="0011262F" w:rsidRDefault="0011262F" w:rsidP="00B54007">
                  <w:pPr>
                    <w:pStyle w:val="TableBodyText"/>
                    <w:ind w:right="28"/>
                  </w:pPr>
                  <w:r w:rsidRPr="00C358C1">
                    <w:t>0.101</w:t>
                  </w:r>
                </w:p>
              </w:tc>
              <w:tc>
                <w:tcPr>
                  <w:tcW w:w="632" w:type="pct"/>
                  <w:shd w:val="clear" w:color="auto" w:fill="F2F2F2" w:themeFill="background1" w:themeFillShade="F2"/>
                  <w:vAlign w:val="bottom"/>
                </w:tcPr>
                <w:p w14:paraId="62C70923" w14:textId="77777777" w:rsidR="0011262F" w:rsidRDefault="0011262F" w:rsidP="00B54007">
                  <w:pPr>
                    <w:pStyle w:val="TableBodyText"/>
                    <w:ind w:right="28"/>
                  </w:pPr>
                  <w:r w:rsidRPr="00C358C1">
                    <w:t>0.073</w:t>
                  </w:r>
                </w:p>
              </w:tc>
              <w:tc>
                <w:tcPr>
                  <w:tcW w:w="632" w:type="pct"/>
                  <w:shd w:val="clear" w:color="auto" w:fill="F2F2F2" w:themeFill="background1" w:themeFillShade="F2"/>
                  <w:vAlign w:val="bottom"/>
                </w:tcPr>
                <w:p w14:paraId="08B67708" w14:textId="77777777" w:rsidR="0011262F" w:rsidRDefault="0011262F" w:rsidP="00B54007">
                  <w:pPr>
                    <w:pStyle w:val="TableBodyText"/>
                    <w:ind w:right="28"/>
                  </w:pPr>
                  <w:r w:rsidRPr="00C358C1">
                    <w:t>0.279</w:t>
                  </w:r>
                </w:p>
              </w:tc>
              <w:tc>
                <w:tcPr>
                  <w:tcW w:w="632" w:type="pct"/>
                  <w:shd w:val="clear" w:color="auto" w:fill="F2F2F2" w:themeFill="background1" w:themeFillShade="F2"/>
                  <w:vAlign w:val="bottom"/>
                </w:tcPr>
                <w:p w14:paraId="5B013649" w14:textId="77777777" w:rsidR="0011262F" w:rsidRDefault="0011262F" w:rsidP="00B54007">
                  <w:pPr>
                    <w:pStyle w:val="TableBodyText"/>
                  </w:pPr>
                  <w:r w:rsidRPr="00C358C1">
                    <w:t>0.474</w:t>
                  </w:r>
                </w:p>
              </w:tc>
            </w:tr>
            <w:tr w:rsidR="0011262F" w14:paraId="243BE4A7" w14:textId="77777777" w:rsidTr="00B54007">
              <w:tc>
                <w:tcPr>
                  <w:tcW w:w="1842" w:type="pct"/>
                  <w:shd w:val="clear" w:color="auto" w:fill="auto"/>
                  <w:vAlign w:val="bottom"/>
                </w:tcPr>
                <w:p w14:paraId="20388451" w14:textId="77777777" w:rsidR="0011262F" w:rsidRDefault="0011262F" w:rsidP="00B54007">
                  <w:pPr>
                    <w:pStyle w:val="TableBodyText"/>
                    <w:jc w:val="left"/>
                  </w:pPr>
                  <w:r w:rsidRPr="00C358C1">
                    <w:t>Net contributions</w:t>
                  </w:r>
                </w:p>
              </w:tc>
              <w:tc>
                <w:tcPr>
                  <w:tcW w:w="632" w:type="pct"/>
                  <w:vAlign w:val="bottom"/>
                </w:tcPr>
                <w:p w14:paraId="3338DB16" w14:textId="77777777" w:rsidR="0011262F" w:rsidRDefault="0011262F" w:rsidP="00B54007">
                  <w:pPr>
                    <w:pStyle w:val="TableBodyText"/>
                    <w:ind w:right="28"/>
                  </w:pPr>
                  <w:r w:rsidRPr="00C358C1">
                    <w:t>0.009</w:t>
                  </w:r>
                </w:p>
              </w:tc>
              <w:tc>
                <w:tcPr>
                  <w:tcW w:w="632" w:type="pct"/>
                  <w:shd w:val="clear" w:color="auto" w:fill="auto"/>
                  <w:vAlign w:val="bottom"/>
                </w:tcPr>
                <w:p w14:paraId="2739B5A8" w14:textId="77777777" w:rsidR="0011262F" w:rsidRDefault="0011262F" w:rsidP="00B54007">
                  <w:pPr>
                    <w:pStyle w:val="TableBodyText"/>
                    <w:ind w:right="28"/>
                  </w:pPr>
                  <w:r w:rsidRPr="00C358C1">
                    <w:t>0.016</w:t>
                  </w:r>
                </w:p>
              </w:tc>
              <w:tc>
                <w:tcPr>
                  <w:tcW w:w="632" w:type="pct"/>
                  <w:shd w:val="clear" w:color="auto" w:fill="auto"/>
                  <w:vAlign w:val="bottom"/>
                </w:tcPr>
                <w:p w14:paraId="6BFABFA0" w14:textId="77777777" w:rsidR="0011262F" w:rsidRDefault="0011262F" w:rsidP="00B54007">
                  <w:pPr>
                    <w:pStyle w:val="TableBodyText"/>
                    <w:ind w:right="28"/>
                  </w:pPr>
                  <w:r w:rsidRPr="00C358C1">
                    <w:t>-0.022</w:t>
                  </w:r>
                </w:p>
              </w:tc>
              <w:tc>
                <w:tcPr>
                  <w:tcW w:w="632" w:type="pct"/>
                  <w:vAlign w:val="bottom"/>
                </w:tcPr>
                <w:p w14:paraId="0D9655EA" w14:textId="77777777" w:rsidR="0011262F" w:rsidRDefault="0011262F" w:rsidP="00B54007">
                  <w:pPr>
                    <w:pStyle w:val="TableBodyText"/>
                    <w:ind w:right="28"/>
                  </w:pPr>
                  <w:r w:rsidRPr="00C358C1">
                    <w:t>0.009</w:t>
                  </w:r>
                </w:p>
              </w:tc>
              <w:tc>
                <w:tcPr>
                  <w:tcW w:w="632" w:type="pct"/>
                  <w:vAlign w:val="bottom"/>
                </w:tcPr>
                <w:p w14:paraId="5B6A9DFD" w14:textId="77777777" w:rsidR="0011262F" w:rsidRDefault="0011262F" w:rsidP="00B54007">
                  <w:pPr>
                    <w:pStyle w:val="TableBodyText"/>
                  </w:pPr>
                  <w:r w:rsidRPr="00C358C1">
                    <w:t>0.039</w:t>
                  </w:r>
                </w:p>
              </w:tc>
            </w:tr>
            <w:tr w:rsidR="0011262F" w14:paraId="6F929392" w14:textId="77777777" w:rsidTr="00B54007">
              <w:tc>
                <w:tcPr>
                  <w:tcW w:w="1842" w:type="pct"/>
                  <w:shd w:val="clear" w:color="auto" w:fill="F2F2F2" w:themeFill="background1" w:themeFillShade="F2"/>
                  <w:vAlign w:val="bottom"/>
                </w:tcPr>
                <w:p w14:paraId="28BFAA2B" w14:textId="77777777" w:rsidR="0011262F" w:rsidRDefault="0011262F" w:rsidP="00B54007">
                  <w:pPr>
                    <w:pStyle w:val="TableBodyText"/>
                    <w:jc w:val="left"/>
                  </w:pPr>
                  <w:r w:rsidRPr="00C358C1">
                    <w:t>Net rollovers</w:t>
                  </w:r>
                </w:p>
              </w:tc>
              <w:tc>
                <w:tcPr>
                  <w:tcW w:w="632" w:type="pct"/>
                  <w:shd w:val="clear" w:color="auto" w:fill="F2F2F2" w:themeFill="background1" w:themeFillShade="F2"/>
                  <w:vAlign w:val="bottom"/>
                </w:tcPr>
                <w:p w14:paraId="5BF002BE" w14:textId="77777777" w:rsidR="0011262F" w:rsidRDefault="0011262F" w:rsidP="00B54007">
                  <w:pPr>
                    <w:pStyle w:val="TableBodyText"/>
                    <w:ind w:right="28"/>
                  </w:pPr>
                  <w:r w:rsidRPr="00C358C1">
                    <w:t>0.044</w:t>
                  </w:r>
                </w:p>
              </w:tc>
              <w:tc>
                <w:tcPr>
                  <w:tcW w:w="632" w:type="pct"/>
                  <w:shd w:val="clear" w:color="auto" w:fill="F2F2F2" w:themeFill="background1" w:themeFillShade="F2"/>
                  <w:vAlign w:val="bottom"/>
                </w:tcPr>
                <w:p w14:paraId="21A62C09" w14:textId="77777777" w:rsidR="0011262F" w:rsidRDefault="0011262F" w:rsidP="00B54007">
                  <w:pPr>
                    <w:pStyle w:val="TableBodyText"/>
                    <w:ind w:right="28"/>
                  </w:pPr>
                  <w:r w:rsidRPr="00C358C1">
                    <w:t>0.012</w:t>
                  </w:r>
                </w:p>
              </w:tc>
              <w:tc>
                <w:tcPr>
                  <w:tcW w:w="632" w:type="pct"/>
                  <w:shd w:val="clear" w:color="auto" w:fill="F2F2F2" w:themeFill="background1" w:themeFillShade="F2"/>
                  <w:vAlign w:val="bottom"/>
                </w:tcPr>
                <w:p w14:paraId="7EF41627" w14:textId="77777777" w:rsidR="0011262F" w:rsidRDefault="0011262F" w:rsidP="00B54007">
                  <w:pPr>
                    <w:pStyle w:val="TableBodyText"/>
                    <w:ind w:right="28"/>
                  </w:pPr>
                  <w:r w:rsidRPr="00C358C1">
                    <w:t>0.022</w:t>
                  </w:r>
                </w:p>
              </w:tc>
              <w:tc>
                <w:tcPr>
                  <w:tcW w:w="632" w:type="pct"/>
                  <w:shd w:val="clear" w:color="auto" w:fill="F2F2F2" w:themeFill="background1" w:themeFillShade="F2"/>
                  <w:vAlign w:val="bottom"/>
                </w:tcPr>
                <w:p w14:paraId="7502E1E8" w14:textId="77777777" w:rsidR="0011262F" w:rsidRDefault="0011262F" w:rsidP="00B54007">
                  <w:pPr>
                    <w:pStyle w:val="TableBodyText"/>
                    <w:ind w:right="28"/>
                  </w:pPr>
                  <w:r w:rsidRPr="00C358C1">
                    <w:t>0.044</w:t>
                  </w:r>
                </w:p>
              </w:tc>
              <w:tc>
                <w:tcPr>
                  <w:tcW w:w="632" w:type="pct"/>
                  <w:shd w:val="clear" w:color="auto" w:fill="F2F2F2" w:themeFill="background1" w:themeFillShade="F2"/>
                  <w:vAlign w:val="bottom"/>
                </w:tcPr>
                <w:p w14:paraId="0AA17859" w14:textId="77777777" w:rsidR="0011262F" w:rsidRDefault="0011262F" w:rsidP="00B54007">
                  <w:pPr>
                    <w:pStyle w:val="TableBodyText"/>
                  </w:pPr>
                  <w:r w:rsidRPr="00C358C1">
                    <w:t>0.067</w:t>
                  </w:r>
                </w:p>
              </w:tc>
            </w:tr>
            <w:tr w:rsidR="0011262F" w14:paraId="19C3FD00" w14:textId="77777777" w:rsidTr="00B54007">
              <w:tc>
                <w:tcPr>
                  <w:tcW w:w="1842" w:type="pct"/>
                  <w:shd w:val="clear" w:color="auto" w:fill="auto"/>
                  <w:vAlign w:val="bottom"/>
                </w:tcPr>
                <w:p w14:paraId="65342C71" w14:textId="77777777" w:rsidR="0011262F" w:rsidRDefault="0011262F" w:rsidP="00B54007">
                  <w:pPr>
                    <w:pStyle w:val="TableBodyText"/>
                    <w:jc w:val="left"/>
                  </w:pPr>
                  <w:r w:rsidRPr="00C358C1">
                    <w:t>Annual net return</w:t>
                  </w:r>
                </w:p>
              </w:tc>
              <w:tc>
                <w:tcPr>
                  <w:tcW w:w="632" w:type="pct"/>
                  <w:vAlign w:val="bottom"/>
                </w:tcPr>
                <w:p w14:paraId="1D99D42D" w14:textId="77777777" w:rsidR="0011262F" w:rsidRDefault="0011262F" w:rsidP="00B54007">
                  <w:pPr>
                    <w:pStyle w:val="TableBodyText"/>
                    <w:ind w:right="28"/>
                  </w:pPr>
                  <w:r w:rsidRPr="00C358C1">
                    <w:t>-0.030</w:t>
                  </w:r>
                </w:p>
              </w:tc>
              <w:tc>
                <w:tcPr>
                  <w:tcW w:w="632" w:type="pct"/>
                  <w:shd w:val="clear" w:color="auto" w:fill="auto"/>
                  <w:vAlign w:val="bottom"/>
                </w:tcPr>
                <w:p w14:paraId="316D961E" w14:textId="77777777" w:rsidR="0011262F" w:rsidRDefault="0011262F" w:rsidP="00B54007">
                  <w:pPr>
                    <w:pStyle w:val="TableBodyText"/>
                    <w:ind w:right="28"/>
                  </w:pPr>
                  <w:r w:rsidRPr="00C358C1">
                    <w:t>0.018</w:t>
                  </w:r>
                </w:p>
              </w:tc>
              <w:tc>
                <w:tcPr>
                  <w:tcW w:w="632" w:type="pct"/>
                  <w:shd w:val="clear" w:color="auto" w:fill="auto"/>
                  <w:vAlign w:val="bottom"/>
                </w:tcPr>
                <w:p w14:paraId="5424D995" w14:textId="77777777" w:rsidR="0011262F" w:rsidRDefault="0011262F" w:rsidP="00B54007">
                  <w:pPr>
                    <w:pStyle w:val="TableBodyText"/>
                    <w:ind w:right="28"/>
                  </w:pPr>
                  <w:r w:rsidRPr="00C358C1">
                    <w:t>-0.066</w:t>
                  </w:r>
                </w:p>
              </w:tc>
              <w:tc>
                <w:tcPr>
                  <w:tcW w:w="632" w:type="pct"/>
                  <w:vAlign w:val="bottom"/>
                </w:tcPr>
                <w:p w14:paraId="24BC1D6B" w14:textId="77777777" w:rsidR="0011262F" w:rsidRDefault="0011262F" w:rsidP="00B54007">
                  <w:pPr>
                    <w:pStyle w:val="TableBodyText"/>
                    <w:ind w:right="28"/>
                  </w:pPr>
                  <w:r w:rsidRPr="00C358C1">
                    <w:t>-0.030</w:t>
                  </w:r>
                </w:p>
              </w:tc>
              <w:tc>
                <w:tcPr>
                  <w:tcW w:w="632" w:type="pct"/>
                  <w:vAlign w:val="bottom"/>
                </w:tcPr>
                <w:p w14:paraId="5FC1681D" w14:textId="77777777" w:rsidR="0011262F" w:rsidRDefault="0011262F" w:rsidP="00B54007">
                  <w:pPr>
                    <w:pStyle w:val="TableBodyText"/>
                  </w:pPr>
                  <w:r w:rsidRPr="00C358C1">
                    <w:t>0.005</w:t>
                  </w:r>
                </w:p>
              </w:tc>
            </w:tr>
            <w:tr w:rsidR="0011262F" w14:paraId="02DCF807" w14:textId="77777777" w:rsidTr="00B54007">
              <w:tc>
                <w:tcPr>
                  <w:tcW w:w="1842" w:type="pct"/>
                  <w:shd w:val="clear" w:color="auto" w:fill="F2F2F2" w:themeFill="background1" w:themeFillShade="F2"/>
                  <w:vAlign w:val="bottom"/>
                </w:tcPr>
                <w:p w14:paraId="0ECDA206" w14:textId="77777777" w:rsidR="0011262F" w:rsidRDefault="0011262F" w:rsidP="00B54007">
                  <w:pPr>
                    <w:pStyle w:val="TableBodyText"/>
                    <w:jc w:val="left"/>
                  </w:pPr>
                  <w:r w:rsidRPr="00C358C1">
                    <w:t>Stronger super</w:t>
                  </w:r>
                </w:p>
              </w:tc>
              <w:tc>
                <w:tcPr>
                  <w:tcW w:w="632" w:type="pct"/>
                  <w:shd w:val="clear" w:color="auto" w:fill="F2F2F2" w:themeFill="background1" w:themeFillShade="F2"/>
                  <w:vAlign w:val="bottom"/>
                </w:tcPr>
                <w:p w14:paraId="01CD7C6D" w14:textId="77777777" w:rsidR="0011262F" w:rsidRDefault="0011262F" w:rsidP="00B54007">
                  <w:pPr>
                    <w:pStyle w:val="TableBodyText"/>
                    <w:ind w:right="28"/>
                  </w:pPr>
                  <w:r w:rsidRPr="00C358C1">
                    <w:t>0.032</w:t>
                  </w:r>
                </w:p>
              </w:tc>
              <w:tc>
                <w:tcPr>
                  <w:tcW w:w="632" w:type="pct"/>
                  <w:shd w:val="clear" w:color="auto" w:fill="F2F2F2" w:themeFill="background1" w:themeFillShade="F2"/>
                  <w:vAlign w:val="bottom"/>
                </w:tcPr>
                <w:p w14:paraId="432B1692" w14:textId="77777777" w:rsidR="0011262F" w:rsidRDefault="0011262F" w:rsidP="00B54007">
                  <w:pPr>
                    <w:pStyle w:val="TableBodyText"/>
                    <w:ind w:right="28"/>
                  </w:pPr>
                  <w:r w:rsidRPr="00C358C1">
                    <w:t>0.040</w:t>
                  </w:r>
                </w:p>
              </w:tc>
              <w:tc>
                <w:tcPr>
                  <w:tcW w:w="632" w:type="pct"/>
                  <w:shd w:val="clear" w:color="auto" w:fill="F2F2F2" w:themeFill="background1" w:themeFillShade="F2"/>
                  <w:vAlign w:val="bottom"/>
                </w:tcPr>
                <w:p w14:paraId="670DC8FD" w14:textId="77777777" w:rsidR="0011262F" w:rsidRDefault="0011262F" w:rsidP="00B54007">
                  <w:pPr>
                    <w:pStyle w:val="TableBodyText"/>
                    <w:ind w:right="28"/>
                  </w:pPr>
                  <w:r w:rsidRPr="00C358C1">
                    <w:t>-0.042</w:t>
                  </w:r>
                </w:p>
              </w:tc>
              <w:tc>
                <w:tcPr>
                  <w:tcW w:w="632" w:type="pct"/>
                  <w:shd w:val="clear" w:color="auto" w:fill="F2F2F2" w:themeFill="background1" w:themeFillShade="F2"/>
                  <w:vAlign w:val="bottom"/>
                </w:tcPr>
                <w:p w14:paraId="16E47C9C" w14:textId="77777777" w:rsidR="0011262F" w:rsidRDefault="0011262F" w:rsidP="00B54007">
                  <w:pPr>
                    <w:pStyle w:val="TableBodyText"/>
                    <w:ind w:right="28"/>
                  </w:pPr>
                  <w:r w:rsidRPr="00C358C1">
                    <w:t>0.031</w:t>
                  </w:r>
                </w:p>
              </w:tc>
              <w:tc>
                <w:tcPr>
                  <w:tcW w:w="632" w:type="pct"/>
                  <w:shd w:val="clear" w:color="auto" w:fill="F2F2F2" w:themeFill="background1" w:themeFillShade="F2"/>
                  <w:vAlign w:val="bottom"/>
                </w:tcPr>
                <w:p w14:paraId="568D3953" w14:textId="77777777" w:rsidR="0011262F" w:rsidRDefault="0011262F" w:rsidP="00B54007">
                  <w:pPr>
                    <w:pStyle w:val="TableBodyText"/>
                  </w:pPr>
                  <w:r w:rsidRPr="00C358C1">
                    <w:t>0.108</w:t>
                  </w:r>
                </w:p>
              </w:tc>
            </w:tr>
            <w:tr w:rsidR="0011262F" w14:paraId="071F99FB" w14:textId="77777777" w:rsidTr="00B54007">
              <w:tc>
                <w:tcPr>
                  <w:tcW w:w="1842" w:type="pct"/>
                  <w:shd w:val="clear" w:color="auto" w:fill="auto"/>
                  <w:vAlign w:val="bottom"/>
                </w:tcPr>
                <w:p w14:paraId="7223D3F8" w14:textId="77777777" w:rsidR="0011262F" w:rsidRDefault="0011262F" w:rsidP="00B54007">
                  <w:pPr>
                    <w:pStyle w:val="TableBodyText"/>
                    <w:jc w:val="left"/>
                  </w:pPr>
                  <w:r w:rsidRPr="00C358C1">
                    <w:t>Post reporting change</w:t>
                  </w:r>
                </w:p>
              </w:tc>
              <w:tc>
                <w:tcPr>
                  <w:tcW w:w="632" w:type="pct"/>
                  <w:vAlign w:val="bottom"/>
                </w:tcPr>
                <w:p w14:paraId="6387D079" w14:textId="77777777" w:rsidR="0011262F" w:rsidRDefault="0011262F" w:rsidP="00B54007">
                  <w:pPr>
                    <w:pStyle w:val="TableBodyText"/>
                    <w:ind w:right="28"/>
                  </w:pPr>
                  <w:r w:rsidRPr="00C358C1">
                    <w:t>0.205</w:t>
                  </w:r>
                </w:p>
              </w:tc>
              <w:tc>
                <w:tcPr>
                  <w:tcW w:w="632" w:type="pct"/>
                  <w:shd w:val="clear" w:color="auto" w:fill="auto"/>
                  <w:vAlign w:val="bottom"/>
                </w:tcPr>
                <w:p w14:paraId="6C559AC8" w14:textId="77777777" w:rsidR="0011262F" w:rsidRDefault="0011262F" w:rsidP="00B54007">
                  <w:pPr>
                    <w:pStyle w:val="TableBodyText"/>
                    <w:ind w:right="28"/>
                  </w:pPr>
                  <w:r w:rsidRPr="00C358C1">
                    <w:t>0.049</w:t>
                  </w:r>
                </w:p>
              </w:tc>
              <w:tc>
                <w:tcPr>
                  <w:tcW w:w="632" w:type="pct"/>
                  <w:shd w:val="clear" w:color="auto" w:fill="auto"/>
                  <w:vAlign w:val="bottom"/>
                </w:tcPr>
                <w:p w14:paraId="2B1FC8EB" w14:textId="77777777" w:rsidR="0011262F" w:rsidRDefault="0011262F" w:rsidP="00B54007">
                  <w:pPr>
                    <w:pStyle w:val="TableBodyText"/>
                    <w:ind w:right="28"/>
                  </w:pPr>
                  <w:r w:rsidRPr="00C358C1">
                    <w:t>0.109</w:t>
                  </w:r>
                </w:p>
              </w:tc>
              <w:tc>
                <w:tcPr>
                  <w:tcW w:w="632" w:type="pct"/>
                  <w:vAlign w:val="bottom"/>
                </w:tcPr>
                <w:p w14:paraId="7D6BA653" w14:textId="77777777" w:rsidR="0011262F" w:rsidRDefault="0011262F" w:rsidP="00B54007">
                  <w:pPr>
                    <w:pStyle w:val="TableBodyText"/>
                    <w:ind w:right="28"/>
                  </w:pPr>
                  <w:r w:rsidRPr="00C358C1">
                    <w:t>0.204</w:t>
                  </w:r>
                </w:p>
              </w:tc>
              <w:tc>
                <w:tcPr>
                  <w:tcW w:w="632" w:type="pct"/>
                  <w:vAlign w:val="bottom"/>
                </w:tcPr>
                <w:p w14:paraId="25D8BEE2" w14:textId="77777777" w:rsidR="0011262F" w:rsidRDefault="0011262F" w:rsidP="00B54007">
                  <w:pPr>
                    <w:pStyle w:val="TableBodyText"/>
                  </w:pPr>
                  <w:r w:rsidRPr="00C358C1">
                    <w:t>0.299</w:t>
                  </w:r>
                </w:p>
              </w:tc>
            </w:tr>
            <w:tr w:rsidR="0011262F" w14:paraId="7D8A4FF9" w14:textId="77777777" w:rsidTr="00B54007">
              <w:tc>
                <w:tcPr>
                  <w:tcW w:w="1842" w:type="pct"/>
                  <w:shd w:val="clear" w:color="auto" w:fill="F2F2F2" w:themeFill="background1" w:themeFillShade="F2"/>
                  <w:vAlign w:val="bottom"/>
                </w:tcPr>
                <w:p w14:paraId="6262D64C" w14:textId="77777777" w:rsidR="0011262F" w:rsidRDefault="0011262F" w:rsidP="00B54007">
                  <w:pPr>
                    <w:pStyle w:val="TableBodyText"/>
                    <w:jc w:val="left"/>
                  </w:pPr>
                  <w:r w:rsidRPr="00C358C1">
                    <w:t>Industry</w:t>
                  </w:r>
                </w:p>
              </w:tc>
              <w:tc>
                <w:tcPr>
                  <w:tcW w:w="632" w:type="pct"/>
                  <w:shd w:val="clear" w:color="auto" w:fill="F2F2F2" w:themeFill="background1" w:themeFillShade="F2"/>
                  <w:vAlign w:val="bottom"/>
                </w:tcPr>
                <w:p w14:paraId="04C41095" w14:textId="77777777" w:rsidR="0011262F" w:rsidRDefault="0011262F" w:rsidP="00B54007">
                  <w:pPr>
                    <w:pStyle w:val="TableBodyText"/>
                    <w:ind w:right="28"/>
                  </w:pPr>
                  <w:r w:rsidRPr="00C358C1">
                    <w:t>-0.475</w:t>
                  </w:r>
                </w:p>
              </w:tc>
              <w:tc>
                <w:tcPr>
                  <w:tcW w:w="632" w:type="pct"/>
                  <w:shd w:val="clear" w:color="auto" w:fill="F2F2F2" w:themeFill="background1" w:themeFillShade="F2"/>
                  <w:vAlign w:val="bottom"/>
                </w:tcPr>
                <w:p w14:paraId="70BCD7FA" w14:textId="77777777" w:rsidR="0011262F" w:rsidRDefault="0011262F" w:rsidP="00B54007">
                  <w:pPr>
                    <w:pStyle w:val="TableBodyText"/>
                    <w:ind w:right="28"/>
                  </w:pPr>
                  <w:r w:rsidRPr="00C358C1">
                    <w:t>0.290</w:t>
                  </w:r>
                </w:p>
              </w:tc>
              <w:tc>
                <w:tcPr>
                  <w:tcW w:w="632" w:type="pct"/>
                  <w:shd w:val="clear" w:color="auto" w:fill="F2F2F2" w:themeFill="background1" w:themeFillShade="F2"/>
                  <w:vAlign w:val="bottom"/>
                </w:tcPr>
                <w:p w14:paraId="17B68656" w14:textId="77777777" w:rsidR="0011262F" w:rsidRDefault="0011262F" w:rsidP="00B54007">
                  <w:pPr>
                    <w:pStyle w:val="TableBodyText"/>
                    <w:ind w:right="28"/>
                  </w:pPr>
                  <w:r w:rsidRPr="00C358C1">
                    <w:t>-1.030</w:t>
                  </w:r>
                </w:p>
              </w:tc>
              <w:tc>
                <w:tcPr>
                  <w:tcW w:w="632" w:type="pct"/>
                  <w:shd w:val="clear" w:color="auto" w:fill="F2F2F2" w:themeFill="background1" w:themeFillShade="F2"/>
                  <w:vAlign w:val="bottom"/>
                </w:tcPr>
                <w:p w14:paraId="504C561A" w14:textId="77777777" w:rsidR="0011262F" w:rsidRDefault="0011262F" w:rsidP="00B54007">
                  <w:pPr>
                    <w:pStyle w:val="TableBodyText"/>
                    <w:ind w:right="28"/>
                  </w:pPr>
                  <w:r w:rsidRPr="00C358C1">
                    <w:t>-0.479</w:t>
                  </w:r>
                </w:p>
              </w:tc>
              <w:tc>
                <w:tcPr>
                  <w:tcW w:w="632" w:type="pct"/>
                  <w:shd w:val="clear" w:color="auto" w:fill="F2F2F2" w:themeFill="background1" w:themeFillShade="F2"/>
                  <w:vAlign w:val="bottom"/>
                </w:tcPr>
                <w:p w14:paraId="1B8FFA84" w14:textId="77777777" w:rsidR="0011262F" w:rsidRDefault="0011262F" w:rsidP="00B54007">
                  <w:pPr>
                    <w:pStyle w:val="TableBodyText"/>
                  </w:pPr>
                  <w:r w:rsidRPr="00C358C1">
                    <w:t>0.072</w:t>
                  </w:r>
                </w:p>
              </w:tc>
            </w:tr>
            <w:tr w:rsidR="0011262F" w14:paraId="214270D1" w14:textId="77777777" w:rsidTr="00B54007">
              <w:tc>
                <w:tcPr>
                  <w:tcW w:w="1842" w:type="pct"/>
                  <w:shd w:val="clear" w:color="auto" w:fill="auto"/>
                  <w:vAlign w:val="bottom"/>
                </w:tcPr>
                <w:p w14:paraId="3E2B023C" w14:textId="77777777" w:rsidR="0011262F" w:rsidRDefault="0011262F" w:rsidP="00B54007">
                  <w:pPr>
                    <w:pStyle w:val="TableBodyText"/>
                    <w:jc w:val="left"/>
                  </w:pPr>
                  <w:r w:rsidRPr="00C358C1">
                    <w:t>Public</w:t>
                  </w:r>
                </w:p>
              </w:tc>
              <w:tc>
                <w:tcPr>
                  <w:tcW w:w="632" w:type="pct"/>
                  <w:vAlign w:val="bottom"/>
                </w:tcPr>
                <w:p w14:paraId="13019E87" w14:textId="77777777" w:rsidR="0011262F" w:rsidRDefault="0011262F" w:rsidP="00B54007">
                  <w:pPr>
                    <w:pStyle w:val="TableBodyText"/>
                    <w:ind w:right="28"/>
                  </w:pPr>
                  <w:r w:rsidRPr="00C358C1">
                    <w:t>0.137</w:t>
                  </w:r>
                </w:p>
              </w:tc>
              <w:tc>
                <w:tcPr>
                  <w:tcW w:w="632" w:type="pct"/>
                  <w:shd w:val="clear" w:color="auto" w:fill="auto"/>
                  <w:vAlign w:val="bottom"/>
                </w:tcPr>
                <w:p w14:paraId="402B55A5" w14:textId="77777777" w:rsidR="0011262F" w:rsidRDefault="0011262F" w:rsidP="00B54007">
                  <w:pPr>
                    <w:pStyle w:val="TableBodyText"/>
                    <w:ind w:right="28"/>
                  </w:pPr>
                  <w:r w:rsidRPr="00C358C1">
                    <w:t>0.418</w:t>
                  </w:r>
                </w:p>
              </w:tc>
              <w:tc>
                <w:tcPr>
                  <w:tcW w:w="632" w:type="pct"/>
                  <w:shd w:val="clear" w:color="auto" w:fill="auto"/>
                  <w:vAlign w:val="bottom"/>
                </w:tcPr>
                <w:p w14:paraId="5981620C" w14:textId="77777777" w:rsidR="0011262F" w:rsidRDefault="0011262F" w:rsidP="00B54007">
                  <w:pPr>
                    <w:pStyle w:val="TableBodyText"/>
                    <w:ind w:right="28"/>
                  </w:pPr>
                  <w:r w:rsidRPr="00C358C1">
                    <w:t>-0.673</w:t>
                  </w:r>
                </w:p>
              </w:tc>
              <w:tc>
                <w:tcPr>
                  <w:tcW w:w="632" w:type="pct"/>
                  <w:vAlign w:val="bottom"/>
                </w:tcPr>
                <w:p w14:paraId="539B4EA9" w14:textId="77777777" w:rsidR="0011262F" w:rsidRDefault="0011262F" w:rsidP="00B54007">
                  <w:pPr>
                    <w:pStyle w:val="TableBodyText"/>
                    <w:ind w:right="28"/>
                  </w:pPr>
                  <w:r w:rsidRPr="00C358C1">
                    <w:t>0.138</w:t>
                  </w:r>
                </w:p>
              </w:tc>
              <w:tc>
                <w:tcPr>
                  <w:tcW w:w="632" w:type="pct"/>
                  <w:vAlign w:val="bottom"/>
                </w:tcPr>
                <w:p w14:paraId="08257D3E" w14:textId="77777777" w:rsidR="0011262F" w:rsidRDefault="0011262F" w:rsidP="00B54007">
                  <w:pPr>
                    <w:pStyle w:val="TableBodyText"/>
                  </w:pPr>
                  <w:r w:rsidRPr="00C358C1">
                    <w:t>1.000</w:t>
                  </w:r>
                </w:p>
              </w:tc>
            </w:tr>
            <w:tr w:rsidR="0011262F" w14:paraId="57BDF143" w14:textId="77777777" w:rsidTr="00B54007">
              <w:tc>
                <w:tcPr>
                  <w:tcW w:w="1842" w:type="pct"/>
                  <w:shd w:val="clear" w:color="auto" w:fill="F2F2F2" w:themeFill="background1" w:themeFillShade="F2"/>
                  <w:vAlign w:val="bottom"/>
                </w:tcPr>
                <w:p w14:paraId="0CEECBBC" w14:textId="77777777" w:rsidR="0011262F" w:rsidRDefault="0011262F" w:rsidP="00B54007">
                  <w:pPr>
                    <w:pStyle w:val="TableBodyText"/>
                    <w:jc w:val="left"/>
                  </w:pPr>
                  <w:r w:rsidRPr="00C358C1">
                    <w:t>Retail</w:t>
                  </w:r>
                </w:p>
              </w:tc>
              <w:tc>
                <w:tcPr>
                  <w:tcW w:w="632" w:type="pct"/>
                  <w:shd w:val="clear" w:color="auto" w:fill="F2F2F2" w:themeFill="background1" w:themeFillShade="F2"/>
                  <w:vAlign w:val="bottom"/>
                </w:tcPr>
                <w:p w14:paraId="400A9B8D" w14:textId="77777777" w:rsidR="0011262F" w:rsidRDefault="0011262F" w:rsidP="00B54007">
                  <w:pPr>
                    <w:pStyle w:val="TableBodyText"/>
                    <w:ind w:right="28"/>
                  </w:pPr>
                  <w:r w:rsidRPr="00C358C1">
                    <w:t>-1.944</w:t>
                  </w:r>
                </w:p>
              </w:tc>
              <w:tc>
                <w:tcPr>
                  <w:tcW w:w="632" w:type="pct"/>
                  <w:shd w:val="clear" w:color="auto" w:fill="F2F2F2" w:themeFill="background1" w:themeFillShade="F2"/>
                  <w:vAlign w:val="bottom"/>
                </w:tcPr>
                <w:p w14:paraId="71FE4929" w14:textId="77777777" w:rsidR="0011262F" w:rsidRDefault="0011262F" w:rsidP="00B54007">
                  <w:pPr>
                    <w:pStyle w:val="TableBodyText"/>
                    <w:ind w:right="28"/>
                  </w:pPr>
                  <w:r w:rsidRPr="00C358C1">
                    <w:t>0.208</w:t>
                  </w:r>
                </w:p>
              </w:tc>
              <w:tc>
                <w:tcPr>
                  <w:tcW w:w="632" w:type="pct"/>
                  <w:shd w:val="clear" w:color="auto" w:fill="F2F2F2" w:themeFill="background1" w:themeFillShade="F2"/>
                  <w:vAlign w:val="bottom"/>
                </w:tcPr>
                <w:p w14:paraId="43499B09" w14:textId="77777777" w:rsidR="0011262F" w:rsidRDefault="0011262F" w:rsidP="00B54007">
                  <w:pPr>
                    <w:pStyle w:val="TableBodyText"/>
                    <w:ind w:right="28"/>
                  </w:pPr>
                  <w:r w:rsidRPr="00C358C1">
                    <w:t>-2.349</w:t>
                  </w:r>
                </w:p>
              </w:tc>
              <w:tc>
                <w:tcPr>
                  <w:tcW w:w="632" w:type="pct"/>
                  <w:shd w:val="clear" w:color="auto" w:fill="F2F2F2" w:themeFill="background1" w:themeFillShade="F2"/>
                  <w:vAlign w:val="bottom"/>
                </w:tcPr>
                <w:p w14:paraId="79CD8CE5" w14:textId="77777777" w:rsidR="0011262F" w:rsidRDefault="0011262F" w:rsidP="00B54007">
                  <w:pPr>
                    <w:pStyle w:val="TableBodyText"/>
                    <w:ind w:right="28"/>
                  </w:pPr>
                  <w:r w:rsidRPr="00C358C1">
                    <w:t>-1.935</w:t>
                  </w:r>
                </w:p>
              </w:tc>
              <w:tc>
                <w:tcPr>
                  <w:tcW w:w="632" w:type="pct"/>
                  <w:shd w:val="clear" w:color="auto" w:fill="F2F2F2" w:themeFill="background1" w:themeFillShade="F2"/>
                  <w:vAlign w:val="bottom"/>
                </w:tcPr>
                <w:p w14:paraId="5DA32B38" w14:textId="77777777" w:rsidR="0011262F" w:rsidRDefault="0011262F" w:rsidP="00B54007">
                  <w:pPr>
                    <w:pStyle w:val="TableBodyText"/>
                  </w:pPr>
                  <w:r w:rsidRPr="00C358C1">
                    <w:t>-1.546</w:t>
                  </w:r>
                </w:p>
              </w:tc>
            </w:tr>
            <w:tr w:rsidR="0011262F" w14:paraId="56ADDAA7" w14:textId="77777777" w:rsidTr="00B54007">
              <w:tc>
                <w:tcPr>
                  <w:tcW w:w="1842" w:type="pct"/>
                  <w:shd w:val="clear" w:color="auto" w:fill="auto"/>
                  <w:vAlign w:val="bottom"/>
                </w:tcPr>
                <w:p w14:paraId="2CDD8317" w14:textId="77777777" w:rsidR="0011262F" w:rsidRDefault="0011262F" w:rsidP="00B54007">
                  <w:pPr>
                    <w:pStyle w:val="TableBodyText"/>
                    <w:jc w:val="left"/>
                  </w:pPr>
                  <w:r w:rsidRPr="00C358C1">
                    <w:t>Industry x Assets</w:t>
                  </w:r>
                </w:p>
              </w:tc>
              <w:tc>
                <w:tcPr>
                  <w:tcW w:w="632" w:type="pct"/>
                  <w:vAlign w:val="bottom"/>
                </w:tcPr>
                <w:p w14:paraId="48FAC479" w14:textId="77777777" w:rsidR="0011262F" w:rsidRDefault="0011262F" w:rsidP="00B54007">
                  <w:pPr>
                    <w:pStyle w:val="TableBodyText"/>
                    <w:ind w:right="28"/>
                  </w:pPr>
                  <w:r w:rsidRPr="00C358C1">
                    <w:t>0.248</w:t>
                  </w:r>
                </w:p>
              </w:tc>
              <w:tc>
                <w:tcPr>
                  <w:tcW w:w="632" w:type="pct"/>
                  <w:shd w:val="clear" w:color="auto" w:fill="auto"/>
                  <w:vAlign w:val="bottom"/>
                </w:tcPr>
                <w:p w14:paraId="57503BDC" w14:textId="77777777" w:rsidR="0011262F" w:rsidRDefault="0011262F" w:rsidP="00B54007">
                  <w:pPr>
                    <w:pStyle w:val="TableBodyText"/>
                    <w:ind w:right="28"/>
                  </w:pPr>
                  <w:r w:rsidRPr="00C358C1">
                    <w:t>0.106</w:t>
                  </w:r>
                </w:p>
              </w:tc>
              <w:tc>
                <w:tcPr>
                  <w:tcW w:w="632" w:type="pct"/>
                  <w:shd w:val="clear" w:color="auto" w:fill="auto"/>
                  <w:vAlign w:val="bottom"/>
                </w:tcPr>
                <w:p w14:paraId="3C1541F6" w14:textId="77777777" w:rsidR="0011262F" w:rsidRDefault="0011262F" w:rsidP="00B54007">
                  <w:pPr>
                    <w:pStyle w:val="TableBodyText"/>
                    <w:ind w:right="28"/>
                  </w:pPr>
                  <w:r w:rsidRPr="00C358C1">
                    <w:t>0.053</w:t>
                  </w:r>
                </w:p>
              </w:tc>
              <w:tc>
                <w:tcPr>
                  <w:tcW w:w="632" w:type="pct"/>
                  <w:vAlign w:val="bottom"/>
                </w:tcPr>
                <w:p w14:paraId="16904872" w14:textId="77777777" w:rsidR="0011262F" w:rsidRDefault="0011262F" w:rsidP="00B54007">
                  <w:pPr>
                    <w:pStyle w:val="TableBodyText"/>
                    <w:ind w:right="28"/>
                  </w:pPr>
                  <w:r w:rsidRPr="00C358C1">
                    <w:t>0.240</w:t>
                  </w:r>
                </w:p>
              </w:tc>
              <w:tc>
                <w:tcPr>
                  <w:tcW w:w="632" w:type="pct"/>
                  <w:vAlign w:val="bottom"/>
                </w:tcPr>
                <w:p w14:paraId="3837FB3B" w14:textId="77777777" w:rsidR="0011262F" w:rsidRDefault="0011262F" w:rsidP="00B54007">
                  <w:pPr>
                    <w:pStyle w:val="TableBodyText"/>
                  </w:pPr>
                  <w:r w:rsidRPr="00C358C1">
                    <w:t>0.462</w:t>
                  </w:r>
                </w:p>
              </w:tc>
            </w:tr>
            <w:tr w:rsidR="0011262F" w14:paraId="79D183E9" w14:textId="77777777" w:rsidTr="00B54007">
              <w:tc>
                <w:tcPr>
                  <w:tcW w:w="1842" w:type="pct"/>
                  <w:shd w:val="clear" w:color="auto" w:fill="F2F2F2" w:themeFill="background1" w:themeFillShade="F2"/>
                  <w:vAlign w:val="bottom"/>
                </w:tcPr>
                <w:p w14:paraId="66AA18CD" w14:textId="77777777" w:rsidR="0011262F" w:rsidRDefault="0011262F" w:rsidP="00B54007">
                  <w:pPr>
                    <w:pStyle w:val="TableBodyText"/>
                    <w:jc w:val="left"/>
                  </w:pPr>
                  <w:r w:rsidRPr="00C358C1">
                    <w:t>Public x Assets</w:t>
                  </w:r>
                </w:p>
              </w:tc>
              <w:tc>
                <w:tcPr>
                  <w:tcW w:w="632" w:type="pct"/>
                  <w:shd w:val="clear" w:color="auto" w:fill="F2F2F2" w:themeFill="background1" w:themeFillShade="F2"/>
                  <w:vAlign w:val="bottom"/>
                </w:tcPr>
                <w:p w14:paraId="26864C09" w14:textId="77777777" w:rsidR="0011262F" w:rsidRDefault="0011262F" w:rsidP="00B54007">
                  <w:pPr>
                    <w:pStyle w:val="TableBodyText"/>
                    <w:ind w:right="28"/>
                  </w:pPr>
                  <w:r w:rsidRPr="00C358C1">
                    <w:t>0.082</w:t>
                  </w:r>
                </w:p>
              </w:tc>
              <w:tc>
                <w:tcPr>
                  <w:tcW w:w="632" w:type="pct"/>
                  <w:shd w:val="clear" w:color="auto" w:fill="F2F2F2" w:themeFill="background1" w:themeFillShade="F2"/>
                  <w:vAlign w:val="bottom"/>
                </w:tcPr>
                <w:p w14:paraId="091FCDC3" w14:textId="77777777" w:rsidR="0011262F" w:rsidRDefault="0011262F" w:rsidP="00B54007">
                  <w:pPr>
                    <w:pStyle w:val="TableBodyText"/>
                    <w:ind w:right="28"/>
                  </w:pPr>
                  <w:r w:rsidRPr="00C358C1">
                    <w:t>0.136</w:t>
                  </w:r>
                </w:p>
              </w:tc>
              <w:tc>
                <w:tcPr>
                  <w:tcW w:w="632" w:type="pct"/>
                  <w:shd w:val="clear" w:color="auto" w:fill="F2F2F2" w:themeFill="background1" w:themeFillShade="F2"/>
                  <w:vAlign w:val="bottom"/>
                </w:tcPr>
                <w:p w14:paraId="2425792C" w14:textId="77777777" w:rsidR="0011262F" w:rsidRDefault="0011262F" w:rsidP="00B54007">
                  <w:pPr>
                    <w:pStyle w:val="TableBodyText"/>
                    <w:ind w:right="28"/>
                  </w:pPr>
                  <w:r w:rsidRPr="00C358C1">
                    <w:t>-0.211</w:t>
                  </w:r>
                </w:p>
              </w:tc>
              <w:tc>
                <w:tcPr>
                  <w:tcW w:w="632" w:type="pct"/>
                  <w:shd w:val="clear" w:color="auto" w:fill="F2F2F2" w:themeFill="background1" w:themeFillShade="F2"/>
                  <w:vAlign w:val="bottom"/>
                </w:tcPr>
                <w:p w14:paraId="4CA663D3" w14:textId="77777777" w:rsidR="0011262F" w:rsidRDefault="0011262F" w:rsidP="00B54007">
                  <w:pPr>
                    <w:pStyle w:val="TableBodyText"/>
                    <w:ind w:right="28"/>
                  </w:pPr>
                  <w:r w:rsidRPr="00C358C1">
                    <w:t>0.089</w:t>
                  </w:r>
                </w:p>
              </w:tc>
              <w:tc>
                <w:tcPr>
                  <w:tcW w:w="632" w:type="pct"/>
                  <w:shd w:val="clear" w:color="auto" w:fill="F2F2F2" w:themeFill="background1" w:themeFillShade="F2"/>
                  <w:vAlign w:val="bottom"/>
                </w:tcPr>
                <w:p w14:paraId="26508380" w14:textId="77777777" w:rsidR="0011262F" w:rsidRDefault="0011262F" w:rsidP="00B54007">
                  <w:pPr>
                    <w:pStyle w:val="TableBodyText"/>
                  </w:pPr>
                  <w:r w:rsidRPr="00C358C1">
                    <w:t>0.353</w:t>
                  </w:r>
                </w:p>
              </w:tc>
            </w:tr>
            <w:tr w:rsidR="0011262F" w14:paraId="5905B60E" w14:textId="77777777" w:rsidTr="00B54007">
              <w:tc>
                <w:tcPr>
                  <w:tcW w:w="1842" w:type="pct"/>
                  <w:shd w:val="clear" w:color="auto" w:fill="auto"/>
                  <w:vAlign w:val="bottom"/>
                </w:tcPr>
                <w:p w14:paraId="75BE8D9C" w14:textId="77777777" w:rsidR="0011262F" w:rsidRDefault="0011262F" w:rsidP="00B54007">
                  <w:pPr>
                    <w:pStyle w:val="TableBodyText"/>
                    <w:jc w:val="left"/>
                  </w:pPr>
                  <w:r w:rsidRPr="00C358C1">
                    <w:t>Retail x Assets</w:t>
                  </w:r>
                </w:p>
              </w:tc>
              <w:tc>
                <w:tcPr>
                  <w:tcW w:w="632" w:type="pct"/>
                  <w:vAlign w:val="bottom"/>
                </w:tcPr>
                <w:p w14:paraId="2A4B7F34" w14:textId="77777777" w:rsidR="0011262F" w:rsidRDefault="0011262F" w:rsidP="00B54007">
                  <w:pPr>
                    <w:pStyle w:val="TableBodyText"/>
                    <w:ind w:right="28"/>
                  </w:pPr>
                  <w:r w:rsidRPr="00C358C1">
                    <w:t>0.730</w:t>
                  </w:r>
                </w:p>
              </w:tc>
              <w:tc>
                <w:tcPr>
                  <w:tcW w:w="632" w:type="pct"/>
                  <w:shd w:val="clear" w:color="auto" w:fill="auto"/>
                  <w:vAlign w:val="bottom"/>
                </w:tcPr>
                <w:p w14:paraId="2D5BA62A" w14:textId="77777777" w:rsidR="0011262F" w:rsidRDefault="0011262F" w:rsidP="00B54007">
                  <w:pPr>
                    <w:pStyle w:val="TableBodyText"/>
                    <w:ind w:right="28"/>
                  </w:pPr>
                  <w:r w:rsidRPr="00C358C1">
                    <w:t>0.088</w:t>
                  </w:r>
                </w:p>
              </w:tc>
              <w:tc>
                <w:tcPr>
                  <w:tcW w:w="632" w:type="pct"/>
                  <w:shd w:val="clear" w:color="auto" w:fill="auto"/>
                  <w:vAlign w:val="bottom"/>
                </w:tcPr>
                <w:p w14:paraId="30025C8B" w14:textId="77777777" w:rsidR="0011262F" w:rsidRDefault="0011262F" w:rsidP="00B54007">
                  <w:pPr>
                    <w:pStyle w:val="TableBodyText"/>
                    <w:ind w:right="28"/>
                  </w:pPr>
                  <w:r w:rsidRPr="00C358C1">
                    <w:t>0.560</w:t>
                  </w:r>
                </w:p>
              </w:tc>
              <w:tc>
                <w:tcPr>
                  <w:tcW w:w="632" w:type="pct"/>
                  <w:vAlign w:val="bottom"/>
                </w:tcPr>
                <w:p w14:paraId="65A51EAE" w14:textId="77777777" w:rsidR="0011262F" w:rsidRDefault="0011262F" w:rsidP="00B54007">
                  <w:pPr>
                    <w:pStyle w:val="TableBodyText"/>
                    <w:ind w:right="28"/>
                  </w:pPr>
                  <w:r w:rsidRPr="00C358C1">
                    <w:t>0.729</w:t>
                  </w:r>
                </w:p>
              </w:tc>
              <w:tc>
                <w:tcPr>
                  <w:tcW w:w="632" w:type="pct"/>
                  <w:vAlign w:val="bottom"/>
                </w:tcPr>
                <w:p w14:paraId="0A96DF6B" w14:textId="77777777" w:rsidR="0011262F" w:rsidRDefault="0011262F" w:rsidP="00B54007">
                  <w:pPr>
                    <w:pStyle w:val="TableBodyText"/>
                  </w:pPr>
                  <w:r w:rsidRPr="00C358C1">
                    <w:t>0.896</w:t>
                  </w:r>
                </w:p>
              </w:tc>
            </w:tr>
            <w:tr w:rsidR="0011262F" w14:paraId="7F5D943D" w14:textId="77777777" w:rsidTr="00B54007">
              <w:tc>
                <w:tcPr>
                  <w:tcW w:w="1842" w:type="pct"/>
                  <w:shd w:val="clear" w:color="auto" w:fill="F2F2F2" w:themeFill="background1" w:themeFillShade="F2"/>
                  <w:vAlign w:val="bottom"/>
                </w:tcPr>
                <w:p w14:paraId="4B261B0A" w14:textId="77777777" w:rsidR="0011262F" w:rsidRDefault="0011262F" w:rsidP="00B54007">
                  <w:pPr>
                    <w:pStyle w:val="TableBodyText"/>
                    <w:jc w:val="left"/>
                  </w:pPr>
                  <w:r w:rsidRPr="00C358C1">
                    <w:t>Industry x Member accounts</w:t>
                  </w:r>
                </w:p>
              </w:tc>
              <w:tc>
                <w:tcPr>
                  <w:tcW w:w="632" w:type="pct"/>
                  <w:shd w:val="clear" w:color="auto" w:fill="F2F2F2" w:themeFill="background1" w:themeFillShade="F2"/>
                  <w:vAlign w:val="bottom"/>
                </w:tcPr>
                <w:p w14:paraId="0FE83450" w14:textId="77777777" w:rsidR="0011262F" w:rsidRDefault="0011262F" w:rsidP="00B54007">
                  <w:pPr>
                    <w:pStyle w:val="TableBodyText"/>
                    <w:ind w:right="28"/>
                  </w:pPr>
                  <w:r w:rsidRPr="00C358C1">
                    <w:t>-0.252</w:t>
                  </w:r>
                </w:p>
              </w:tc>
              <w:tc>
                <w:tcPr>
                  <w:tcW w:w="632" w:type="pct"/>
                  <w:shd w:val="clear" w:color="auto" w:fill="F2F2F2" w:themeFill="background1" w:themeFillShade="F2"/>
                  <w:vAlign w:val="bottom"/>
                </w:tcPr>
                <w:p w14:paraId="5A2BA732" w14:textId="77777777" w:rsidR="0011262F" w:rsidRDefault="0011262F" w:rsidP="00B54007">
                  <w:pPr>
                    <w:pStyle w:val="TableBodyText"/>
                    <w:ind w:right="28"/>
                  </w:pPr>
                  <w:r w:rsidRPr="00C358C1">
                    <w:t>0.131</w:t>
                  </w:r>
                </w:p>
              </w:tc>
              <w:tc>
                <w:tcPr>
                  <w:tcW w:w="632" w:type="pct"/>
                  <w:shd w:val="clear" w:color="auto" w:fill="F2F2F2" w:themeFill="background1" w:themeFillShade="F2"/>
                  <w:vAlign w:val="bottom"/>
                </w:tcPr>
                <w:p w14:paraId="57BA039A" w14:textId="77777777" w:rsidR="0011262F" w:rsidRDefault="0011262F" w:rsidP="00B54007">
                  <w:pPr>
                    <w:pStyle w:val="TableBodyText"/>
                    <w:ind w:right="28"/>
                  </w:pPr>
                  <w:r w:rsidRPr="00C358C1">
                    <w:t>-0.509</w:t>
                  </w:r>
                </w:p>
              </w:tc>
              <w:tc>
                <w:tcPr>
                  <w:tcW w:w="632" w:type="pct"/>
                  <w:shd w:val="clear" w:color="auto" w:fill="F2F2F2" w:themeFill="background1" w:themeFillShade="F2"/>
                  <w:vAlign w:val="bottom"/>
                </w:tcPr>
                <w:p w14:paraId="16290E01" w14:textId="77777777" w:rsidR="0011262F" w:rsidRDefault="0011262F" w:rsidP="00B54007">
                  <w:pPr>
                    <w:pStyle w:val="TableBodyText"/>
                    <w:ind w:right="28"/>
                  </w:pPr>
                  <w:r w:rsidRPr="00C358C1">
                    <w:t>-0.249</w:t>
                  </w:r>
                </w:p>
              </w:tc>
              <w:tc>
                <w:tcPr>
                  <w:tcW w:w="632" w:type="pct"/>
                  <w:shd w:val="clear" w:color="auto" w:fill="F2F2F2" w:themeFill="background1" w:themeFillShade="F2"/>
                  <w:vAlign w:val="bottom"/>
                </w:tcPr>
                <w:p w14:paraId="400AF4C9" w14:textId="77777777" w:rsidR="0011262F" w:rsidRDefault="0011262F" w:rsidP="00B54007">
                  <w:pPr>
                    <w:pStyle w:val="TableBodyText"/>
                  </w:pPr>
                  <w:r w:rsidRPr="00C358C1">
                    <w:t>0.000</w:t>
                  </w:r>
                </w:p>
              </w:tc>
            </w:tr>
            <w:tr w:rsidR="0011262F" w14:paraId="6A618446" w14:textId="77777777" w:rsidTr="00B54007">
              <w:tc>
                <w:tcPr>
                  <w:tcW w:w="1842" w:type="pct"/>
                  <w:shd w:val="clear" w:color="auto" w:fill="auto"/>
                  <w:vAlign w:val="bottom"/>
                </w:tcPr>
                <w:p w14:paraId="440CE477" w14:textId="77777777" w:rsidR="0011262F" w:rsidRDefault="0011262F" w:rsidP="00B54007">
                  <w:pPr>
                    <w:pStyle w:val="TableBodyText"/>
                    <w:jc w:val="left"/>
                  </w:pPr>
                  <w:r w:rsidRPr="00C358C1">
                    <w:t>Public x Member accounts</w:t>
                  </w:r>
                </w:p>
              </w:tc>
              <w:tc>
                <w:tcPr>
                  <w:tcW w:w="632" w:type="pct"/>
                  <w:vAlign w:val="bottom"/>
                </w:tcPr>
                <w:p w14:paraId="3DA59042" w14:textId="77777777" w:rsidR="0011262F" w:rsidRDefault="0011262F" w:rsidP="00B54007">
                  <w:pPr>
                    <w:pStyle w:val="TableBodyText"/>
                    <w:ind w:right="28"/>
                  </w:pPr>
                  <w:r w:rsidRPr="00C358C1">
                    <w:t>-0.221</w:t>
                  </w:r>
                </w:p>
              </w:tc>
              <w:tc>
                <w:tcPr>
                  <w:tcW w:w="632" w:type="pct"/>
                  <w:shd w:val="clear" w:color="auto" w:fill="auto"/>
                  <w:vAlign w:val="bottom"/>
                </w:tcPr>
                <w:p w14:paraId="139C0474" w14:textId="77777777" w:rsidR="0011262F" w:rsidRDefault="0011262F" w:rsidP="00B54007">
                  <w:pPr>
                    <w:pStyle w:val="TableBodyText"/>
                    <w:ind w:right="28"/>
                  </w:pPr>
                  <w:r w:rsidRPr="00C358C1">
                    <w:t>0.161</w:t>
                  </w:r>
                </w:p>
              </w:tc>
              <w:tc>
                <w:tcPr>
                  <w:tcW w:w="632" w:type="pct"/>
                  <w:shd w:val="clear" w:color="auto" w:fill="auto"/>
                  <w:vAlign w:val="bottom"/>
                </w:tcPr>
                <w:p w14:paraId="63638CC3" w14:textId="77777777" w:rsidR="0011262F" w:rsidRDefault="0011262F" w:rsidP="00B54007">
                  <w:pPr>
                    <w:pStyle w:val="TableBodyText"/>
                    <w:ind w:right="28"/>
                  </w:pPr>
                  <w:r w:rsidRPr="00C358C1">
                    <w:t>-0.533</w:t>
                  </w:r>
                </w:p>
              </w:tc>
              <w:tc>
                <w:tcPr>
                  <w:tcW w:w="632" w:type="pct"/>
                  <w:vAlign w:val="bottom"/>
                </w:tcPr>
                <w:p w14:paraId="7D1BFEA3" w14:textId="77777777" w:rsidR="0011262F" w:rsidRDefault="0011262F" w:rsidP="00B54007">
                  <w:pPr>
                    <w:pStyle w:val="TableBodyText"/>
                    <w:ind w:right="28"/>
                  </w:pPr>
                  <w:r w:rsidRPr="00C358C1">
                    <w:t>-0.226</w:t>
                  </w:r>
                </w:p>
              </w:tc>
              <w:tc>
                <w:tcPr>
                  <w:tcW w:w="632" w:type="pct"/>
                  <w:vAlign w:val="bottom"/>
                </w:tcPr>
                <w:p w14:paraId="36049F56" w14:textId="77777777" w:rsidR="0011262F" w:rsidRDefault="0011262F" w:rsidP="00B54007">
                  <w:pPr>
                    <w:pStyle w:val="TableBodyText"/>
                  </w:pPr>
                  <w:r w:rsidRPr="00C358C1">
                    <w:t>0.094</w:t>
                  </w:r>
                </w:p>
              </w:tc>
            </w:tr>
            <w:tr w:rsidR="0011262F" w14:paraId="7D63FDD2" w14:textId="77777777" w:rsidTr="00B54007">
              <w:tc>
                <w:tcPr>
                  <w:tcW w:w="1842" w:type="pct"/>
                  <w:shd w:val="clear" w:color="auto" w:fill="F2F2F2" w:themeFill="background1" w:themeFillShade="F2"/>
                  <w:vAlign w:val="bottom"/>
                </w:tcPr>
                <w:p w14:paraId="3A1C700F" w14:textId="77777777" w:rsidR="0011262F" w:rsidRDefault="0011262F" w:rsidP="00B54007">
                  <w:pPr>
                    <w:pStyle w:val="TableBodyText"/>
                    <w:jc w:val="left"/>
                  </w:pPr>
                  <w:r w:rsidRPr="00C358C1">
                    <w:t>Retail x Member accounts</w:t>
                  </w:r>
                </w:p>
              </w:tc>
              <w:tc>
                <w:tcPr>
                  <w:tcW w:w="632" w:type="pct"/>
                  <w:shd w:val="clear" w:color="auto" w:fill="F2F2F2" w:themeFill="background1" w:themeFillShade="F2"/>
                  <w:vAlign w:val="bottom"/>
                </w:tcPr>
                <w:p w14:paraId="7003C83D" w14:textId="77777777" w:rsidR="0011262F" w:rsidRDefault="0011262F" w:rsidP="00B54007">
                  <w:pPr>
                    <w:pStyle w:val="TableBodyText"/>
                    <w:ind w:right="28"/>
                  </w:pPr>
                  <w:r w:rsidRPr="00C358C1">
                    <w:t>-0.314</w:t>
                  </w:r>
                </w:p>
              </w:tc>
              <w:tc>
                <w:tcPr>
                  <w:tcW w:w="632" w:type="pct"/>
                  <w:shd w:val="clear" w:color="auto" w:fill="F2F2F2" w:themeFill="background1" w:themeFillShade="F2"/>
                  <w:vAlign w:val="bottom"/>
                </w:tcPr>
                <w:p w14:paraId="5C25AF5D" w14:textId="77777777" w:rsidR="0011262F" w:rsidRDefault="0011262F" w:rsidP="00B54007">
                  <w:pPr>
                    <w:pStyle w:val="TableBodyText"/>
                    <w:ind w:right="28"/>
                  </w:pPr>
                  <w:r w:rsidRPr="00C358C1">
                    <w:t>0.106</w:t>
                  </w:r>
                </w:p>
              </w:tc>
              <w:tc>
                <w:tcPr>
                  <w:tcW w:w="632" w:type="pct"/>
                  <w:shd w:val="clear" w:color="auto" w:fill="F2F2F2" w:themeFill="background1" w:themeFillShade="F2"/>
                  <w:vAlign w:val="bottom"/>
                </w:tcPr>
                <w:p w14:paraId="2CC56F82" w14:textId="77777777" w:rsidR="0011262F" w:rsidRDefault="0011262F" w:rsidP="00B54007">
                  <w:pPr>
                    <w:pStyle w:val="TableBodyText"/>
                    <w:ind w:right="28"/>
                  </w:pPr>
                  <w:r w:rsidRPr="00C358C1">
                    <w:t>-0.514</w:t>
                  </w:r>
                </w:p>
              </w:tc>
              <w:tc>
                <w:tcPr>
                  <w:tcW w:w="632" w:type="pct"/>
                  <w:shd w:val="clear" w:color="auto" w:fill="F2F2F2" w:themeFill="background1" w:themeFillShade="F2"/>
                  <w:vAlign w:val="bottom"/>
                </w:tcPr>
                <w:p w14:paraId="2D539735" w14:textId="77777777" w:rsidR="0011262F" w:rsidRDefault="0011262F" w:rsidP="00B54007">
                  <w:pPr>
                    <w:pStyle w:val="TableBodyText"/>
                    <w:ind w:right="28"/>
                  </w:pPr>
                  <w:r w:rsidRPr="00C358C1">
                    <w:t>-0.317</w:t>
                  </w:r>
                </w:p>
              </w:tc>
              <w:tc>
                <w:tcPr>
                  <w:tcW w:w="632" w:type="pct"/>
                  <w:shd w:val="clear" w:color="auto" w:fill="F2F2F2" w:themeFill="background1" w:themeFillShade="F2"/>
                  <w:vAlign w:val="bottom"/>
                </w:tcPr>
                <w:p w14:paraId="7ADCA2F1" w14:textId="77777777" w:rsidR="0011262F" w:rsidRDefault="0011262F" w:rsidP="00B54007">
                  <w:pPr>
                    <w:pStyle w:val="TableBodyText"/>
                  </w:pPr>
                  <w:r w:rsidRPr="00C358C1">
                    <w:t>-0.101</w:t>
                  </w:r>
                </w:p>
              </w:tc>
            </w:tr>
            <w:tr w:rsidR="0011262F" w14:paraId="2BF68766" w14:textId="77777777" w:rsidTr="00B54007">
              <w:tc>
                <w:tcPr>
                  <w:tcW w:w="1842" w:type="pct"/>
                  <w:shd w:val="clear" w:color="auto" w:fill="auto"/>
                  <w:vAlign w:val="bottom"/>
                </w:tcPr>
                <w:p w14:paraId="000D4E50" w14:textId="77777777" w:rsidR="0011262F" w:rsidRDefault="0011262F" w:rsidP="00B54007">
                  <w:pPr>
                    <w:pStyle w:val="TableBodyText"/>
                    <w:jc w:val="left"/>
                  </w:pPr>
                  <w:r w:rsidRPr="00C358C1">
                    <w:t>Intercept</w:t>
                  </w:r>
                </w:p>
              </w:tc>
              <w:tc>
                <w:tcPr>
                  <w:tcW w:w="632" w:type="pct"/>
                  <w:vAlign w:val="bottom"/>
                </w:tcPr>
                <w:p w14:paraId="198211A1" w14:textId="77777777" w:rsidR="0011262F" w:rsidRDefault="0011262F" w:rsidP="00B54007">
                  <w:pPr>
                    <w:pStyle w:val="TableBodyText"/>
                    <w:ind w:right="28"/>
                  </w:pPr>
                  <w:r w:rsidRPr="00C358C1">
                    <w:t>-0.008</w:t>
                  </w:r>
                </w:p>
              </w:tc>
              <w:tc>
                <w:tcPr>
                  <w:tcW w:w="632" w:type="pct"/>
                  <w:shd w:val="clear" w:color="auto" w:fill="auto"/>
                  <w:vAlign w:val="bottom"/>
                </w:tcPr>
                <w:p w14:paraId="2DEB1AAB" w14:textId="77777777" w:rsidR="0011262F" w:rsidRDefault="0011262F" w:rsidP="00B54007">
                  <w:pPr>
                    <w:pStyle w:val="TableBodyText"/>
                    <w:ind w:right="28"/>
                  </w:pPr>
                  <w:r w:rsidRPr="00C358C1">
                    <w:t>0.194</w:t>
                  </w:r>
                </w:p>
              </w:tc>
              <w:tc>
                <w:tcPr>
                  <w:tcW w:w="632" w:type="pct"/>
                  <w:shd w:val="clear" w:color="auto" w:fill="auto"/>
                  <w:vAlign w:val="bottom"/>
                </w:tcPr>
                <w:p w14:paraId="2F6AD6B3" w14:textId="77777777" w:rsidR="0011262F" w:rsidRDefault="0011262F" w:rsidP="00B54007">
                  <w:pPr>
                    <w:pStyle w:val="TableBodyText"/>
                    <w:ind w:right="28"/>
                  </w:pPr>
                  <w:r w:rsidRPr="00C358C1">
                    <w:t>-0.387</w:t>
                  </w:r>
                </w:p>
              </w:tc>
              <w:tc>
                <w:tcPr>
                  <w:tcW w:w="632" w:type="pct"/>
                  <w:vAlign w:val="bottom"/>
                </w:tcPr>
                <w:p w14:paraId="30BB6AB8" w14:textId="77777777" w:rsidR="0011262F" w:rsidRDefault="0011262F" w:rsidP="00B54007">
                  <w:pPr>
                    <w:pStyle w:val="TableBodyText"/>
                    <w:ind w:right="28"/>
                  </w:pPr>
                  <w:r w:rsidRPr="00C358C1">
                    <w:t>-0.010</w:t>
                  </w:r>
                </w:p>
              </w:tc>
              <w:tc>
                <w:tcPr>
                  <w:tcW w:w="632" w:type="pct"/>
                  <w:vAlign w:val="bottom"/>
                </w:tcPr>
                <w:p w14:paraId="20F9D895" w14:textId="77777777" w:rsidR="0011262F" w:rsidRDefault="0011262F" w:rsidP="00B54007">
                  <w:pPr>
                    <w:pStyle w:val="TableBodyText"/>
                  </w:pPr>
                  <w:r w:rsidRPr="00C358C1">
                    <w:t>0.357</w:t>
                  </w:r>
                </w:p>
              </w:tc>
            </w:tr>
            <w:tr w:rsidR="0011262F" w14:paraId="2567BA20" w14:textId="77777777" w:rsidTr="00B54007">
              <w:tc>
                <w:tcPr>
                  <w:tcW w:w="1842" w:type="pct"/>
                  <w:shd w:val="clear" w:color="auto" w:fill="F2F2F2" w:themeFill="background1" w:themeFillShade="F2"/>
                  <w:vAlign w:val="bottom"/>
                </w:tcPr>
                <w:p w14:paraId="2BB52188" w14:textId="77777777" w:rsidR="0011262F" w:rsidRDefault="0011262F" w:rsidP="00B54007">
                  <w:pPr>
                    <w:pStyle w:val="TableBodyText"/>
                    <w:jc w:val="left"/>
                  </w:pPr>
                  <w:r w:rsidRPr="00C358C1">
                    <w:t>SD of number of options</w:t>
                  </w:r>
                </w:p>
              </w:tc>
              <w:tc>
                <w:tcPr>
                  <w:tcW w:w="632" w:type="pct"/>
                  <w:shd w:val="clear" w:color="auto" w:fill="F2F2F2" w:themeFill="background1" w:themeFillShade="F2"/>
                  <w:vAlign w:val="bottom"/>
                </w:tcPr>
                <w:p w14:paraId="5ED43133" w14:textId="77777777" w:rsidR="0011262F" w:rsidRDefault="0011262F" w:rsidP="00B54007">
                  <w:pPr>
                    <w:pStyle w:val="TableBodyText"/>
                    <w:ind w:right="28"/>
                  </w:pPr>
                  <w:r w:rsidRPr="00C358C1">
                    <w:t>0.746</w:t>
                  </w:r>
                </w:p>
              </w:tc>
              <w:tc>
                <w:tcPr>
                  <w:tcW w:w="632" w:type="pct"/>
                  <w:shd w:val="clear" w:color="auto" w:fill="F2F2F2" w:themeFill="background1" w:themeFillShade="F2"/>
                  <w:vAlign w:val="bottom"/>
                </w:tcPr>
                <w:p w14:paraId="0D7066B8" w14:textId="77777777" w:rsidR="0011262F" w:rsidRDefault="0011262F" w:rsidP="00B54007">
                  <w:pPr>
                    <w:pStyle w:val="TableBodyText"/>
                    <w:ind w:right="28"/>
                  </w:pPr>
                  <w:r w:rsidRPr="00C358C1">
                    <w:t>0.009</w:t>
                  </w:r>
                </w:p>
              </w:tc>
              <w:tc>
                <w:tcPr>
                  <w:tcW w:w="632" w:type="pct"/>
                  <w:shd w:val="clear" w:color="auto" w:fill="F2F2F2" w:themeFill="background1" w:themeFillShade="F2"/>
                  <w:vAlign w:val="bottom"/>
                </w:tcPr>
                <w:p w14:paraId="2C21579E" w14:textId="77777777" w:rsidR="0011262F" w:rsidRDefault="0011262F" w:rsidP="00B54007">
                  <w:pPr>
                    <w:pStyle w:val="TableBodyText"/>
                    <w:ind w:right="28"/>
                  </w:pPr>
                  <w:r w:rsidRPr="00C358C1">
                    <w:t>0.729</w:t>
                  </w:r>
                </w:p>
              </w:tc>
              <w:tc>
                <w:tcPr>
                  <w:tcW w:w="632" w:type="pct"/>
                  <w:shd w:val="clear" w:color="auto" w:fill="F2F2F2" w:themeFill="background1" w:themeFillShade="F2"/>
                  <w:vAlign w:val="bottom"/>
                </w:tcPr>
                <w:p w14:paraId="162B19C6" w14:textId="77777777" w:rsidR="0011262F" w:rsidRDefault="0011262F" w:rsidP="00B54007">
                  <w:pPr>
                    <w:pStyle w:val="TableBodyText"/>
                    <w:ind w:right="28"/>
                  </w:pPr>
                  <w:r w:rsidRPr="00C358C1">
                    <w:t>0.746</w:t>
                  </w:r>
                </w:p>
              </w:tc>
              <w:tc>
                <w:tcPr>
                  <w:tcW w:w="632" w:type="pct"/>
                  <w:shd w:val="clear" w:color="auto" w:fill="F2F2F2" w:themeFill="background1" w:themeFillShade="F2"/>
                  <w:vAlign w:val="bottom"/>
                </w:tcPr>
                <w:p w14:paraId="0E887E73" w14:textId="77777777" w:rsidR="0011262F" w:rsidRDefault="0011262F" w:rsidP="00B54007">
                  <w:pPr>
                    <w:pStyle w:val="TableBodyText"/>
                  </w:pPr>
                  <w:r w:rsidRPr="00C358C1">
                    <w:t>0.764</w:t>
                  </w:r>
                </w:p>
              </w:tc>
            </w:tr>
            <w:tr w:rsidR="0011262F" w14:paraId="04DEE29D" w14:textId="77777777" w:rsidTr="00B54007">
              <w:tc>
                <w:tcPr>
                  <w:tcW w:w="1842" w:type="pct"/>
                  <w:shd w:val="clear" w:color="auto" w:fill="auto"/>
                  <w:vAlign w:val="bottom"/>
                </w:tcPr>
                <w:p w14:paraId="175C27E2" w14:textId="77777777" w:rsidR="0011262F" w:rsidRDefault="0011262F" w:rsidP="00B54007">
                  <w:pPr>
                    <w:pStyle w:val="TableBodyText"/>
                    <w:jc w:val="left"/>
                  </w:pPr>
                </w:p>
              </w:tc>
              <w:tc>
                <w:tcPr>
                  <w:tcW w:w="632" w:type="pct"/>
                  <w:vAlign w:val="bottom"/>
                </w:tcPr>
                <w:p w14:paraId="4572BCCD" w14:textId="77777777" w:rsidR="0011262F" w:rsidRDefault="0011262F" w:rsidP="00B54007">
                  <w:pPr>
                    <w:pStyle w:val="TableBodyText"/>
                    <w:ind w:right="28"/>
                  </w:pPr>
                </w:p>
              </w:tc>
              <w:tc>
                <w:tcPr>
                  <w:tcW w:w="632" w:type="pct"/>
                  <w:shd w:val="clear" w:color="auto" w:fill="auto"/>
                  <w:vAlign w:val="bottom"/>
                </w:tcPr>
                <w:p w14:paraId="5DC1EB0C" w14:textId="77777777" w:rsidR="0011262F" w:rsidRDefault="0011262F" w:rsidP="00B54007">
                  <w:pPr>
                    <w:pStyle w:val="TableBodyText"/>
                    <w:ind w:right="28"/>
                  </w:pPr>
                </w:p>
              </w:tc>
              <w:tc>
                <w:tcPr>
                  <w:tcW w:w="632" w:type="pct"/>
                  <w:shd w:val="clear" w:color="auto" w:fill="auto"/>
                  <w:vAlign w:val="bottom"/>
                </w:tcPr>
                <w:p w14:paraId="73631EBF" w14:textId="77777777" w:rsidR="0011262F" w:rsidRDefault="0011262F" w:rsidP="00B54007">
                  <w:pPr>
                    <w:pStyle w:val="TableBodyText"/>
                    <w:ind w:right="28"/>
                  </w:pPr>
                </w:p>
              </w:tc>
              <w:tc>
                <w:tcPr>
                  <w:tcW w:w="632" w:type="pct"/>
                  <w:vAlign w:val="bottom"/>
                </w:tcPr>
                <w:p w14:paraId="3C9F7B19" w14:textId="77777777" w:rsidR="0011262F" w:rsidRDefault="0011262F" w:rsidP="00B54007">
                  <w:pPr>
                    <w:pStyle w:val="TableBodyText"/>
                    <w:ind w:right="28"/>
                  </w:pPr>
                </w:p>
              </w:tc>
              <w:tc>
                <w:tcPr>
                  <w:tcW w:w="632" w:type="pct"/>
                  <w:vAlign w:val="bottom"/>
                </w:tcPr>
                <w:p w14:paraId="4D4255B5" w14:textId="77777777" w:rsidR="0011262F" w:rsidRDefault="0011262F" w:rsidP="00B54007">
                  <w:pPr>
                    <w:pStyle w:val="TableBodyText"/>
                  </w:pPr>
                </w:p>
              </w:tc>
            </w:tr>
            <w:tr w:rsidR="0011262F" w14:paraId="093A4AA6" w14:textId="77777777" w:rsidTr="00B54007">
              <w:tc>
                <w:tcPr>
                  <w:tcW w:w="1842" w:type="pct"/>
                  <w:shd w:val="clear" w:color="auto" w:fill="BFBFBF" w:themeFill="background1" w:themeFillShade="BF"/>
                  <w:vAlign w:val="bottom"/>
                </w:tcPr>
                <w:p w14:paraId="75A85D0D" w14:textId="77777777" w:rsidR="0011262F" w:rsidRDefault="0011262F" w:rsidP="00B54007">
                  <w:pPr>
                    <w:pStyle w:val="TableBodyText"/>
                    <w:jc w:val="left"/>
                  </w:pPr>
                  <w:r w:rsidRPr="00C358C1">
                    <w:rPr>
                      <w:b/>
                    </w:rPr>
                    <w:t>Survival equation</w:t>
                  </w:r>
                </w:p>
              </w:tc>
              <w:tc>
                <w:tcPr>
                  <w:tcW w:w="632" w:type="pct"/>
                  <w:shd w:val="clear" w:color="auto" w:fill="BFBFBF" w:themeFill="background1" w:themeFillShade="BF"/>
                  <w:vAlign w:val="bottom"/>
                </w:tcPr>
                <w:p w14:paraId="5706A884" w14:textId="77777777" w:rsidR="0011262F" w:rsidRDefault="0011262F" w:rsidP="00B54007">
                  <w:pPr>
                    <w:pStyle w:val="TableBodyText"/>
                    <w:ind w:right="28"/>
                  </w:pPr>
                </w:p>
              </w:tc>
              <w:tc>
                <w:tcPr>
                  <w:tcW w:w="632" w:type="pct"/>
                  <w:shd w:val="clear" w:color="auto" w:fill="BFBFBF" w:themeFill="background1" w:themeFillShade="BF"/>
                  <w:vAlign w:val="bottom"/>
                </w:tcPr>
                <w:p w14:paraId="357BC644" w14:textId="77777777" w:rsidR="0011262F" w:rsidRDefault="0011262F" w:rsidP="00B54007">
                  <w:pPr>
                    <w:pStyle w:val="TableBodyText"/>
                    <w:ind w:right="28"/>
                  </w:pPr>
                </w:p>
              </w:tc>
              <w:tc>
                <w:tcPr>
                  <w:tcW w:w="632" w:type="pct"/>
                  <w:shd w:val="clear" w:color="auto" w:fill="BFBFBF" w:themeFill="background1" w:themeFillShade="BF"/>
                  <w:vAlign w:val="bottom"/>
                </w:tcPr>
                <w:p w14:paraId="6871F146" w14:textId="77777777" w:rsidR="0011262F" w:rsidRDefault="0011262F" w:rsidP="00B54007">
                  <w:pPr>
                    <w:pStyle w:val="TableBodyText"/>
                    <w:ind w:right="28"/>
                  </w:pPr>
                </w:p>
              </w:tc>
              <w:tc>
                <w:tcPr>
                  <w:tcW w:w="632" w:type="pct"/>
                  <w:shd w:val="clear" w:color="auto" w:fill="BFBFBF" w:themeFill="background1" w:themeFillShade="BF"/>
                  <w:vAlign w:val="bottom"/>
                </w:tcPr>
                <w:p w14:paraId="7641EAB6" w14:textId="77777777" w:rsidR="0011262F" w:rsidRDefault="0011262F" w:rsidP="00B54007">
                  <w:pPr>
                    <w:pStyle w:val="TableBodyText"/>
                    <w:ind w:right="28"/>
                  </w:pPr>
                </w:p>
              </w:tc>
              <w:tc>
                <w:tcPr>
                  <w:tcW w:w="632" w:type="pct"/>
                  <w:shd w:val="clear" w:color="auto" w:fill="BFBFBF" w:themeFill="background1" w:themeFillShade="BF"/>
                  <w:vAlign w:val="bottom"/>
                </w:tcPr>
                <w:p w14:paraId="59D6319D" w14:textId="77777777" w:rsidR="0011262F" w:rsidRDefault="0011262F" w:rsidP="00B54007">
                  <w:pPr>
                    <w:pStyle w:val="TableBodyText"/>
                  </w:pPr>
                </w:p>
              </w:tc>
            </w:tr>
            <w:tr w:rsidR="0011262F" w14:paraId="77617340" w14:textId="77777777" w:rsidTr="00B54007">
              <w:tc>
                <w:tcPr>
                  <w:tcW w:w="1842" w:type="pct"/>
                  <w:shd w:val="clear" w:color="auto" w:fill="auto"/>
                  <w:vAlign w:val="bottom"/>
                </w:tcPr>
                <w:p w14:paraId="1C4E8A63" w14:textId="77777777" w:rsidR="0011262F" w:rsidRDefault="0011262F" w:rsidP="00B54007">
                  <w:pPr>
                    <w:pStyle w:val="TableBodyText"/>
                    <w:jc w:val="left"/>
                  </w:pPr>
                  <w:r w:rsidRPr="00C358C1">
                    <w:t>Assets</w:t>
                  </w:r>
                </w:p>
              </w:tc>
              <w:tc>
                <w:tcPr>
                  <w:tcW w:w="632" w:type="pct"/>
                  <w:vAlign w:val="bottom"/>
                </w:tcPr>
                <w:p w14:paraId="0C1FC7C4" w14:textId="77777777" w:rsidR="0011262F" w:rsidRDefault="0011262F" w:rsidP="00B54007">
                  <w:pPr>
                    <w:pStyle w:val="TableBodyText"/>
                    <w:ind w:right="28"/>
                  </w:pPr>
                  <w:r w:rsidRPr="00C358C1">
                    <w:t>0.797</w:t>
                  </w:r>
                </w:p>
              </w:tc>
              <w:tc>
                <w:tcPr>
                  <w:tcW w:w="632" w:type="pct"/>
                  <w:shd w:val="clear" w:color="auto" w:fill="auto"/>
                  <w:vAlign w:val="bottom"/>
                </w:tcPr>
                <w:p w14:paraId="3A3F6ED7" w14:textId="77777777" w:rsidR="0011262F" w:rsidRDefault="0011262F" w:rsidP="00B54007">
                  <w:pPr>
                    <w:pStyle w:val="TableBodyText"/>
                    <w:ind w:right="28"/>
                  </w:pPr>
                  <w:r w:rsidRPr="00C358C1">
                    <w:t>0.140</w:t>
                  </w:r>
                </w:p>
              </w:tc>
              <w:tc>
                <w:tcPr>
                  <w:tcW w:w="632" w:type="pct"/>
                  <w:shd w:val="clear" w:color="auto" w:fill="auto"/>
                  <w:vAlign w:val="bottom"/>
                </w:tcPr>
                <w:p w14:paraId="2E8BF045" w14:textId="77777777" w:rsidR="0011262F" w:rsidRDefault="0011262F" w:rsidP="00B54007">
                  <w:pPr>
                    <w:pStyle w:val="TableBodyText"/>
                    <w:ind w:right="28"/>
                  </w:pPr>
                  <w:r w:rsidRPr="00C358C1">
                    <w:t>0.529</w:t>
                  </w:r>
                </w:p>
              </w:tc>
              <w:tc>
                <w:tcPr>
                  <w:tcW w:w="632" w:type="pct"/>
                  <w:vAlign w:val="bottom"/>
                </w:tcPr>
                <w:p w14:paraId="498D4974" w14:textId="77777777" w:rsidR="0011262F" w:rsidRDefault="0011262F" w:rsidP="00B54007">
                  <w:pPr>
                    <w:pStyle w:val="TableBodyText"/>
                    <w:ind w:right="28"/>
                  </w:pPr>
                  <w:r w:rsidRPr="00C358C1">
                    <w:t>0.791</w:t>
                  </w:r>
                </w:p>
              </w:tc>
              <w:tc>
                <w:tcPr>
                  <w:tcW w:w="632" w:type="pct"/>
                  <w:vAlign w:val="bottom"/>
                </w:tcPr>
                <w:p w14:paraId="4C47BE6F" w14:textId="77777777" w:rsidR="0011262F" w:rsidRDefault="0011262F" w:rsidP="00B54007">
                  <w:pPr>
                    <w:pStyle w:val="TableBodyText"/>
                  </w:pPr>
                  <w:r w:rsidRPr="00C358C1">
                    <w:t>1.074</w:t>
                  </w:r>
                </w:p>
              </w:tc>
            </w:tr>
            <w:tr w:rsidR="0011262F" w14:paraId="00F27F6F" w14:textId="77777777" w:rsidTr="00B54007">
              <w:tc>
                <w:tcPr>
                  <w:tcW w:w="1842" w:type="pct"/>
                  <w:shd w:val="clear" w:color="auto" w:fill="F2F2F2" w:themeFill="background1" w:themeFillShade="F2"/>
                  <w:vAlign w:val="bottom"/>
                </w:tcPr>
                <w:p w14:paraId="708F50AA" w14:textId="77777777" w:rsidR="0011262F" w:rsidRDefault="0011262F" w:rsidP="00B54007">
                  <w:pPr>
                    <w:pStyle w:val="TableBodyText"/>
                    <w:jc w:val="left"/>
                  </w:pPr>
                  <w:r w:rsidRPr="00C358C1">
                    <w:t>Member accounts</w:t>
                  </w:r>
                </w:p>
              </w:tc>
              <w:tc>
                <w:tcPr>
                  <w:tcW w:w="632" w:type="pct"/>
                  <w:shd w:val="clear" w:color="auto" w:fill="F2F2F2" w:themeFill="background1" w:themeFillShade="F2"/>
                  <w:vAlign w:val="bottom"/>
                </w:tcPr>
                <w:p w14:paraId="451671AF" w14:textId="77777777" w:rsidR="0011262F" w:rsidRDefault="0011262F" w:rsidP="00B54007">
                  <w:pPr>
                    <w:pStyle w:val="TableBodyText"/>
                    <w:ind w:right="28"/>
                  </w:pPr>
                  <w:r w:rsidRPr="00C358C1">
                    <w:t>-0.166</w:t>
                  </w:r>
                </w:p>
              </w:tc>
              <w:tc>
                <w:tcPr>
                  <w:tcW w:w="632" w:type="pct"/>
                  <w:shd w:val="clear" w:color="auto" w:fill="F2F2F2" w:themeFill="background1" w:themeFillShade="F2"/>
                  <w:vAlign w:val="bottom"/>
                </w:tcPr>
                <w:p w14:paraId="09141E05" w14:textId="77777777" w:rsidR="0011262F" w:rsidRDefault="0011262F" w:rsidP="00B54007">
                  <w:pPr>
                    <w:pStyle w:val="TableBodyText"/>
                    <w:ind w:right="28"/>
                  </w:pPr>
                  <w:r w:rsidRPr="00C358C1">
                    <w:t>0.121</w:t>
                  </w:r>
                </w:p>
              </w:tc>
              <w:tc>
                <w:tcPr>
                  <w:tcW w:w="632" w:type="pct"/>
                  <w:shd w:val="clear" w:color="auto" w:fill="F2F2F2" w:themeFill="background1" w:themeFillShade="F2"/>
                  <w:vAlign w:val="bottom"/>
                </w:tcPr>
                <w:p w14:paraId="63D05851" w14:textId="77777777" w:rsidR="0011262F" w:rsidRDefault="0011262F" w:rsidP="00B54007">
                  <w:pPr>
                    <w:pStyle w:val="TableBodyText"/>
                    <w:ind w:right="28"/>
                  </w:pPr>
                  <w:r w:rsidRPr="00C358C1">
                    <w:t>-0.411</w:t>
                  </w:r>
                </w:p>
              </w:tc>
              <w:tc>
                <w:tcPr>
                  <w:tcW w:w="632" w:type="pct"/>
                  <w:shd w:val="clear" w:color="auto" w:fill="F2F2F2" w:themeFill="background1" w:themeFillShade="F2"/>
                  <w:vAlign w:val="bottom"/>
                </w:tcPr>
                <w:p w14:paraId="4AD90599" w14:textId="77777777" w:rsidR="0011262F" w:rsidRDefault="0011262F" w:rsidP="00B54007">
                  <w:pPr>
                    <w:pStyle w:val="TableBodyText"/>
                    <w:ind w:right="28"/>
                  </w:pPr>
                  <w:r w:rsidRPr="00C358C1">
                    <w:t>-0.168</w:t>
                  </w:r>
                </w:p>
              </w:tc>
              <w:tc>
                <w:tcPr>
                  <w:tcW w:w="632" w:type="pct"/>
                  <w:shd w:val="clear" w:color="auto" w:fill="F2F2F2" w:themeFill="background1" w:themeFillShade="F2"/>
                  <w:vAlign w:val="bottom"/>
                </w:tcPr>
                <w:p w14:paraId="02B8A730" w14:textId="77777777" w:rsidR="0011262F" w:rsidRDefault="0011262F" w:rsidP="00B54007">
                  <w:pPr>
                    <w:pStyle w:val="TableBodyText"/>
                  </w:pPr>
                  <w:r w:rsidRPr="00C358C1">
                    <w:t>0.076</w:t>
                  </w:r>
                </w:p>
              </w:tc>
            </w:tr>
            <w:tr w:rsidR="0011262F" w14:paraId="33246625" w14:textId="77777777" w:rsidTr="00B54007">
              <w:tc>
                <w:tcPr>
                  <w:tcW w:w="1842" w:type="pct"/>
                  <w:shd w:val="clear" w:color="auto" w:fill="auto"/>
                  <w:vAlign w:val="bottom"/>
                </w:tcPr>
                <w:p w14:paraId="720F7222" w14:textId="77777777" w:rsidR="0011262F" w:rsidRDefault="0011262F" w:rsidP="00B54007">
                  <w:pPr>
                    <w:pStyle w:val="TableBodyText"/>
                    <w:jc w:val="left"/>
                  </w:pPr>
                  <w:r w:rsidRPr="00C358C1">
                    <w:t>Number of investment options</w:t>
                  </w:r>
                </w:p>
              </w:tc>
              <w:tc>
                <w:tcPr>
                  <w:tcW w:w="632" w:type="pct"/>
                  <w:vAlign w:val="bottom"/>
                </w:tcPr>
                <w:p w14:paraId="559A64A7" w14:textId="77777777" w:rsidR="0011262F" w:rsidRDefault="0011262F" w:rsidP="00B54007">
                  <w:pPr>
                    <w:pStyle w:val="TableBodyText"/>
                    <w:ind w:right="28"/>
                  </w:pPr>
                  <w:r w:rsidRPr="00C358C1">
                    <w:t>0.115</w:t>
                  </w:r>
                </w:p>
              </w:tc>
              <w:tc>
                <w:tcPr>
                  <w:tcW w:w="632" w:type="pct"/>
                  <w:shd w:val="clear" w:color="auto" w:fill="auto"/>
                  <w:vAlign w:val="bottom"/>
                </w:tcPr>
                <w:p w14:paraId="1F142D77" w14:textId="77777777" w:rsidR="0011262F" w:rsidRDefault="0011262F" w:rsidP="00B54007">
                  <w:pPr>
                    <w:pStyle w:val="TableBodyText"/>
                    <w:ind w:right="28"/>
                  </w:pPr>
                  <w:r w:rsidRPr="00C358C1">
                    <w:t>0.081</w:t>
                  </w:r>
                </w:p>
              </w:tc>
              <w:tc>
                <w:tcPr>
                  <w:tcW w:w="632" w:type="pct"/>
                  <w:shd w:val="clear" w:color="auto" w:fill="auto"/>
                  <w:vAlign w:val="bottom"/>
                </w:tcPr>
                <w:p w14:paraId="6420FD0E" w14:textId="77777777" w:rsidR="0011262F" w:rsidRDefault="0011262F" w:rsidP="00B54007">
                  <w:pPr>
                    <w:pStyle w:val="TableBodyText"/>
                    <w:ind w:right="28"/>
                  </w:pPr>
                  <w:r w:rsidRPr="00C358C1">
                    <w:t>-0.035</w:t>
                  </w:r>
                </w:p>
              </w:tc>
              <w:tc>
                <w:tcPr>
                  <w:tcW w:w="632" w:type="pct"/>
                  <w:vAlign w:val="bottom"/>
                </w:tcPr>
                <w:p w14:paraId="6098DF38" w14:textId="77777777" w:rsidR="0011262F" w:rsidRDefault="0011262F" w:rsidP="00B54007">
                  <w:pPr>
                    <w:pStyle w:val="TableBodyText"/>
                    <w:ind w:right="28"/>
                  </w:pPr>
                  <w:r w:rsidRPr="00C358C1">
                    <w:t>0.114</w:t>
                  </w:r>
                </w:p>
              </w:tc>
              <w:tc>
                <w:tcPr>
                  <w:tcW w:w="632" w:type="pct"/>
                  <w:vAlign w:val="bottom"/>
                </w:tcPr>
                <w:p w14:paraId="63B85F14" w14:textId="77777777" w:rsidR="0011262F" w:rsidRDefault="0011262F" w:rsidP="00B54007">
                  <w:pPr>
                    <w:pStyle w:val="TableBodyText"/>
                  </w:pPr>
                  <w:r w:rsidRPr="00C358C1">
                    <w:t>0.292</w:t>
                  </w:r>
                </w:p>
              </w:tc>
            </w:tr>
            <w:tr w:rsidR="0011262F" w14:paraId="6F0C9450" w14:textId="77777777" w:rsidTr="00B54007">
              <w:tc>
                <w:tcPr>
                  <w:tcW w:w="1842" w:type="pct"/>
                  <w:shd w:val="clear" w:color="auto" w:fill="F2F2F2" w:themeFill="background1" w:themeFillShade="F2"/>
                  <w:vAlign w:val="bottom"/>
                </w:tcPr>
                <w:p w14:paraId="166F7827" w14:textId="77777777" w:rsidR="0011262F" w:rsidRDefault="0011262F" w:rsidP="00B54007">
                  <w:pPr>
                    <w:pStyle w:val="TableBodyText"/>
                    <w:jc w:val="left"/>
                  </w:pPr>
                  <w:r w:rsidRPr="00C358C1">
                    <w:t>Net contributions</w:t>
                  </w:r>
                </w:p>
              </w:tc>
              <w:tc>
                <w:tcPr>
                  <w:tcW w:w="632" w:type="pct"/>
                  <w:shd w:val="clear" w:color="auto" w:fill="F2F2F2" w:themeFill="background1" w:themeFillShade="F2"/>
                  <w:vAlign w:val="bottom"/>
                </w:tcPr>
                <w:p w14:paraId="4D613A6C" w14:textId="77777777" w:rsidR="0011262F" w:rsidRDefault="0011262F" w:rsidP="00B54007">
                  <w:pPr>
                    <w:pStyle w:val="TableBodyText"/>
                    <w:ind w:right="28"/>
                  </w:pPr>
                  <w:r w:rsidRPr="00C358C1">
                    <w:t>0.290</w:t>
                  </w:r>
                </w:p>
              </w:tc>
              <w:tc>
                <w:tcPr>
                  <w:tcW w:w="632" w:type="pct"/>
                  <w:shd w:val="clear" w:color="auto" w:fill="F2F2F2" w:themeFill="background1" w:themeFillShade="F2"/>
                  <w:vAlign w:val="bottom"/>
                </w:tcPr>
                <w:p w14:paraId="260B1B4D" w14:textId="77777777" w:rsidR="0011262F" w:rsidRDefault="0011262F" w:rsidP="00B54007">
                  <w:pPr>
                    <w:pStyle w:val="TableBodyText"/>
                    <w:ind w:right="28"/>
                  </w:pPr>
                  <w:r w:rsidRPr="00C358C1">
                    <w:t>0.184</w:t>
                  </w:r>
                </w:p>
              </w:tc>
              <w:tc>
                <w:tcPr>
                  <w:tcW w:w="632" w:type="pct"/>
                  <w:shd w:val="clear" w:color="auto" w:fill="F2F2F2" w:themeFill="background1" w:themeFillShade="F2"/>
                  <w:vAlign w:val="bottom"/>
                </w:tcPr>
                <w:p w14:paraId="13231930" w14:textId="77777777" w:rsidR="0011262F" w:rsidRDefault="0011262F" w:rsidP="00B54007">
                  <w:pPr>
                    <w:pStyle w:val="TableBodyText"/>
                    <w:ind w:right="28"/>
                  </w:pPr>
                  <w:r w:rsidRPr="00C358C1">
                    <w:t>-0.040</w:t>
                  </w:r>
                </w:p>
              </w:tc>
              <w:tc>
                <w:tcPr>
                  <w:tcW w:w="632" w:type="pct"/>
                  <w:shd w:val="clear" w:color="auto" w:fill="F2F2F2" w:themeFill="background1" w:themeFillShade="F2"/>
                  <w:vAlign w:val="bottom"/>
                </w:tcPr>
                <w:p w14:paraId="448A1377" w14:textId="77777777" w:rsidR="0011262F" w:rsidRDefault="0011262F" w:rsidP="00B54007">
                  <w:pPr>
                    <w:pStyle w:val="TableBodyText"/>
                    <w:ind w:right="28"/>
                  </w:pPr>
                  <w:r w:rsidRPr="00C358C1">
                    <w:t>0.275</w:t>
                  </w:r>
                </w:p>
              </w:tc>
              <w:tc>
                <w:tcPr>
                  <w:tcW w:w="632" w:type="pct"/>
                  <w:shd w:val="clear" w:color="auto" w:fill="F2F2F2" w:themeFill="background1" w:themeFillShade="F2"/>
                  <w:vAlign w:val="bottom"/>
                </w:tcPr>
                <w:p w14:paraId="00198B95" w14:textId="77777777" w:rsidR="0011262F" w:rsidRDefault="0011262F" w:rsidP="00B54007">
                  <w:pPr>
                    <w:pStyle w:val="TableBodyText"/>
                  </w:pPr>
                  <w:r w:rsidRPr="00C358C1">
                    <w:t>0.682</w:t>
                  </w:r>
                </w:p>
              </w:tc>
            </w:tr>
            <w:tr w:rsidR="0011262F" w14:paraId="5D4F7DED" w14:textId="77777777" w:rsidTr="00B54007">
              <w:tc>
                <w:tcPr>
                  <w:tcW w:w="1842" w:type="pct"/>
                  <w:shd w:val="clear" w:color="auto" w:fill="auto"/>
                  <w:vAlign w:val="bottom"/>
                </w:tcPr>
                <w:p w14:paraId="50A2C251" w14:textId="77777777" w:rsidR="0011262F" w:rsidRDefault="0011262F" w:rsidP="00B54007">
                  <w:pPr>
                    <w:pStyle w:val="TableBodyText"/>
                    <w:jc w:val="left"/>
                  </w:pPr>
                  <w:r w:rsidRPr="00C358C1">
                    <w:t>Net rollovers</w:t>
                  </w:r>
                </w:p>
              </w:tc>
              <w:tc>
                <w:tcPr>
                  <w:tcW w:w="632" w:type="pct"/>
                  <w:vAlign w:val="bottom"/>
                </w:tcPr>
                <w:p w14:paraId="0F056B48" w14:textId="77777777" w:rsidR="0011262F" w:rsidRDefault="0011262F" w:rsidP="00B54007">
                  <w:pPr>
                    <w:pStyle w:val="TableBodyText"/>
                    <w:ind w:right="28"/>
                  </w:pPr>
                  <w:r w:rsidRPr="00C358C1">
                    <w:t>0.264</w:t>
                  </w:r>
                </w:p>
              </w:tc>
              <w:tc>
                <w:tcPr>
                  <w:tcW w:w="632" w:type="pct"/>
                  <w:shd w:val="clear" w:color="auto" w:fill="auto"/>
                  <w:vAlign w:val="bottom"/>
                </w:tcPr>
                <w:p w14:paraId="5DF15211" w14:textId="77777777" w:rsidR="0011262F" w:rsidRDefault="0011262F" w:rsidP="00B54007">
                  <w:pPr>
                    <w:pStyle w:val="TableBodyText"/>
                    <w:ind w:right="28"/>
                  </w:pPr>
                  <w:r w:rsidRPr="00C358C1">
                    <w:t>0.164</w:t>
                  </w:r>
                </w:p>
              </w:tc>
              <w:tc>
                <w:tcPr>
                  <w:tcW w:w="632" w:type="pct"/>
                  <w:shd w:val="clear" w:color="auto" w:fill="auto"/>
                  <w:vAlign w:val="bottom"/>
                </w:tcPr>
                <w:p w14:paraId="0DE636C3" w14:textId="77777777" w:rsidR="0011262F" w:rsidRDefault="0011262F" w:rsidP="00B54007">
                  <w:pPr>
                    <w:pStyle w:val="TableBodyText"/>
                    <w:ind w:right="28"/>
                  </w:pPr>
                  <w:r w:rsidRPr="00C358C1">
                    <w:t>0.027</w:t>
                  </w:r>
                </w:p>
              </w:tc>
              <w:tc>
                <w:tcPr>
                  <w:tcW w:w="632" w:type="pct"/>
                  <w:vAlign w:val="bottom"/>
                </w:tcPr>
                <w:p w14:paraId="53CF8F7C" w14:textId="77777777" w:rsidR="0011262F" w:rsidRDefault="0011262F" w:rsidP="00B54007">
                  <w:pPr>
                    <w:pStyle w:val="TableBodyText"/>
                    <w:ind w:right="28"/>
                  </w:pPr>
                  <w:r w:rsidRPr="00C358C1">
                    <w:t>0.211</w:t>
                  </w:r>
                </w:p>
              </w:tc>
              <w:tc>
                <w:tcPr>
                  <w:tcW w:w="632" w:type="pct"/>
                  <w:vAlign w:val="bottom"/>
                </w:tcPr>
                <w:p w14:paraId="5CC06E2C" w14:textId="77777777" w:rsidR="0011262F" w:rsidRDefault="0011262F" w:rsidP="00B54007">
                  <w:pPr>
                    <w:pStyle w:val="TableBodyText"/>
                  </w:pPr>
                  <w:r w:rsidRPr="00C358C1">
                    <w:t>0.579</w:t>
                  </w:r>
                </w:p>
              </w:tc>
            </w:tr>
            <w:tr w:rsidR="0011262F" w14:paraId="129AE6D0" w14:textId="77777777" w:rsidTr="00B54007">
              <w:tc>
                <w:tcPr>
                  <w:tcW w:w="1842" w:type="pct"/>
                  <w:shd w:val="clear" w:color="auto" w:fill="F2F2F2" w:themeFill="background1" w:themeFillShade="F2"/>
                  <w:vAlign w:val="bottom"/>
                </w:tcPr>
                <w:p w14:paraId="4D9ED52C" w14:textId="77777777" w:rsidR="0011262F" w:rsidRDefault="0011262F" w:rsidP="00B54007">
                  <w:pPr>
                    <w:pStyle w:val="TableBodyText"/>
                    <w:jc w:val="left"/>
                  </w:pPr>
                  <w:r w:rsidRPr="00C358C1">
                    <w:t>Annual net return</w:t>
                  </w:r>
                </w:p>
              </w:tc>
              <w:tc>
                <w:tcPr>
                  <w:tcW w:w="632" w:type="pct"/>
                  <w:shd w:val="clear" w:color="auto" w:fill="F2F2F2" w:themeFill="background1" w:themeFillShade="F2"/>
                  <w:vAlign w:val="bottom"/>
                </w:tcPr>
                <w:p w14:paraId="6164DE49" w14:textId="77777777" w:rsidR="0011262F" w:rsidRDefault="0011262F" w:rsidP="00B54007">
                  <w:pPr>
                    <w:pStyle w:val="TableBodyText"/>
                    <w:ind w:right="28"/>
                  </w:pPr>
                  <w:r w:rsidRPr="00C358C1">
                    <w:t>0.029</w:t>
                  </w:r>
                </w:p>
              </w:tc>
              <w:tc>
                <w:tcPr>
                  <w:tcW w:w="632" w:type="pct"/>
                  <w:shd w:val="clear" w:color="auto" w:fill="F2F2F2" w:themeFill="background1" w:themeFillShade="F2"/>
                  <w:vAlign w:val="bottom"/>
                </w:tcPr>
                <w:p w14:paraId="75B08689" w14:textId="77777777" w:rsidR="0011262F" w:rsidRDefault="0011262F" w:rsidP="00B54007">
                  <w:pPr>
                    <w:pStyle w:val="TableBodyText"/>
                    <w:ind w:right="28"/>
                  </w:pPr>
                  <w:r w:rsidRPr="00C358C1">
                    <w:t>0.047</w:t>
                  </w:r>
                </w:p>
              </w:tc>
              <w:tc>
                <w:tcPr>
                  <w:tcW w:w="632" w:type="pct"/>
                  <w:shd w:val="clear" w:color="auto" w:fill="F2F2F2" w:themeFill="background1" w:themeFillShade="F2"/>
                  <w:vAlign w:val="bottom"/>
                </w:tcPr>
                <w:p w14:paraId="102624D1" w14:textId="77777777" w:rsidR="0011262F" w:rsidRDefault="0011262F" w:rsidP="00B54007">
                  <w:pPr>
                    <w:pStyle w:val="TableBodyText"/>
                    <w:ind w:right="28"/>
                  </w:pPr>
                  <w:r w:rsidRPr="00C358C1">
                    <w:t>-0.052</w:t>
                  </w:r>
                </w:p>
              </w:tc>
              <w:tc>
                <w:tcPr>
                  <w:tcW w:w="632" w:type="pct"/>
                  <w:shd w:val="clear" w:color="auto" w:fill="F2F2F2" w:themeFill="background1" w:themeFillShade="F2"/>
                  <w:vAlign w:val="bottom"/>
                </w:tcPr>
                <w:p w14:paraId="225F20E6" w14:textId="77777777" w:rsidR="0011262F" w:rsidRDefault="0011262F" w:rsidP="00B54007">
                  <w:pPr>
                    <w:pStyle w:val="TableBodyText"/>
                    <w:ind w:right="28"/>
                  </w:pPr>
                  <w:r w:rsidRPr="00C358C1">
                    <w:t>0.029</w:t>
                  </w:r>
                </w:p>
              </w:tc>
              <w:tc>
                <w:tcPr>
                  <w:tcW w:w="632" w:type="pct"/>
                  <w:shd w:val="clear" w:color="auto" w:fill="F2F2F2" w:themeFill="background1" w:themeFillShade="F2"/>
                  <w:vAlign w:val="bottom"/>
                </w:tcPr>
                <w:p w14:paraId="367DC928" w14:textId="77777777" w:rsidR="0011262F" w:rsidRDefault="0011262F" w:rsidP="00B54007">
                  <w:pPr>
                    <w:pStyle w:val="TableBodyText"/>
                  </w:pPr>
                  <w:r w:rsidRPr="00C358C1">
                    <w:t>0.124</w:t>
                  </w:r>
                </w:p>
              </w:tc>
            </w:tr>
            <w:tr w:rsidR="0011262F" w14:paraId="032BC384" w14:textId="77777777" w:rsidTr="00B54007">
              <w:tc>
                <w:tcPr>
                  <w:tcW w:w="1842" w:type="pct"/>
                  <w:shd w:val="clear" w:color="auto" w:fill="auto"/>
                  <w:vAlign w:val="bottom"/>
                </w:tcPr>
                <w:p w14:paraId="5B9586E3" w14:textId="77777777" w:rsidR="0011262F" w:rsidRDefault="0011262F" w:rsidP="00B54007">
                  <w:pPr>
                    <w:pStyle w:val="TableBodyText"/>
                    <w:jc w:val="left"/>
                  </w:pPr>
                  <w:r w:rsidRPr="00C358C1">
                    <w:t>Stronger super</w:t>
                  </w:r>
                </w:p>
              </w:tc>
              <w:tc>
                <w:tcPr>
                  <w:tcW w:w="632" w:type="pct"/>
                  <w:vAlign w:val="bottom"/>
                </w:tcPr>
                <w:p w14:paraId="12649DB1" w14:textId="77777777" w:rsidR="0011262F" w:rsidRDefault="0011262F" w:rsidP="00B54007">
                  <w:pPr>
                    <w:pStyle w:val="TableBodyText"/>
                    <w:ind w:right="28"/>
                  </w:pPr>
                  <w:r w:rsidRPr="00C358C1">
                    <w:t>0.433</w:t>
                  </w:r>
                </w:p>
              </w:tc>
              <w:tc>
                <w:tcPr>
                  <w:tcW w:w="632" w:type="pct"/>
                  <w:shd w:val="clear" w:color="auto" w:fill="auto"/>
                  <w:vAlign w:val="bottom"/>
                </w:tcPr>
                <w:p w14:paraId="39024001" w14:textId="77777777" w:rsidR="0011262F" w:rsidRDefault="0011262F" w:rsidP="00B54007">
                  <w:pPr>
                    <w:pStyle w:val="TableBodyText"/>
                    <w:ind w:right="28"/>
                  </w:pPr>
                  <w:r w:rsidRPr="00C358C1">
                    <w:t>0.148</w:t>
                  </w:r>
                </w:p>
              </w:tc>
              <w:tc>
                <w:tcPr>
                  <w:tcW w:w="632" w:type="pct"/>
                  <w:shd w:val="clear" w:color="auto" w:fill="auto"/>
                  <w:vAlign w:val="bottom"/>
                </w:tcPr>
                <w:p w14:paraId="265E42C0" w14:textId="77777777" w:rsidR="0011262F" w:rsidRDefault="0011262F" w:rsidP="00B54007">
                  <w:pPr>
                    <w:pStyle w:val="TableBodyText"/>
                    <w:ind w:right="28"/>
                  </w:pPr>
                  <w:r w:rsidRPr="00C358C1">
                    <w:t>0.152</w:t>
                  </w:r>
                </w:p>
              </w:tc>
              <w:tc>
                <w:tcPr>
                  <w:tcW w:w="632" w:type="pct"/>
                  <w:vAlign w:val="bottom"/>
                </w:tcPr>
                <w:p w14:paraId="0933982B" w14:textId="77777777" w:rsidR="0011262F" w:rsidRDefault="0011262F" w:rsidP="00B54007">
                  <w:pPr>
                    <w:pStyle w:val="TableBodyText"/>
                    <w:ind w:right="28"/>
                  </w:pPr>
                  <w:r w:rsidRPr="00C358C1">
                    <w:t>0.439</w:t>
                  </w:r>
                </w:p>
              </w:tc>
              <w:tc>
                <w:tcPr>
                  <w:tcW w:w="632" w:type="pct"/>
                  <w:vAlign w:val="bottom"/>
                </w:tcPr>
                <w:p w14:paraId="1B6169FD" w14:textId="77777777" w:rsidR="0011262F" w:rsidRDefault="0011262F" w:rsidP="00B54007">
                  <w:pPr>
                    <w:pStyle w:val="TableBodyText"/>
                  </w:pPr>
                  <w:r w:rsidRPr="00C358C1">
                    <w:t>0.727</w:t>
                  </w:r>
                </w:p>
              </w:tc>
            </w:tr>
            <w:tr w:rsidR="0011262F" w14:paraId="02D114A9" w14:textId="77777777" w:rsidTr="00B54007">
              <w:tc>
                <w:tcPr>
                  <w:tcW w:w="1842" w:type="pct"/>
                  <w:shd w:val="clear" w:color="auto" w:fill="F2F2F2" w:themeFill="background1" w:themeFillShade="F2"/>
                  <w:vAlign w:val="bottom"/>
                </w:tcPr>
                <w:p w14:paraId="40F83FB2" w14:textId="77777777" w:rsidR="0011262F" w:rsidRDefault="0011262F" w:rsidP="00B54007">
                  <w:pPr>
                    <w:pStyle w:val="TableBodyText"/>
                    <w:jc w:val="left"/>
                  </w:pPr>
                  <w:r w:rsidRPr="00C358C1">
                    <w:t>Post reporting change</w:t>
                  </w:r>
                </w:p>
              </w:tc>
              <w:tc>
                <w:tcPr>
                  <w:tcW w:w="632" w:type="pct"/>
                  <w:shd w:val="clear" w:color="auto" w:fill="F2F2F2" w:themeFill="background1" w:themeFillShade="F2"/>
                  <w:vAlign w:val="bottom"/>
                </w:tcPr>
                <w:p w14:paraId="0EB077F8" w14:textId="77777777" w:rsidR="0011262F" w:rsidRDefault="0011262F" w:rsidP="00B54007">
                  <w:pPr>
                    <w:pStyle w:val="TableBodyText"/>
                    <w:ind w:right="28"/>
                  </w:pPr>
                  <w:r w:rsidRPr="00C358C1">
                    <w:t>0.290</w:t>
                  </w:r>
                </w:p>
              </w:tc>
              <w:tc>
                <w:tcPr>
                  <w:tcW w:w="632" w:type="pct"/>
                  <w:shd w:val="clear" w:color="auto" w:fill="F2F2F2" w:themeFill="background1" w:themeFillShade="F2"/>
                  <w:vAlign w:val="bottom"/>
                </w:tcPr>
                <w:p w14:paraId="22F72995" w14:textId="77777777" w:rsidR="0011262F" w:rsidRDefault="0011262F" w:rsidP="00B54007">
                  <w:pPr>
                    <w:pStyle w:val="TableBodyText"/>
                    <w:ind w:right="28"/>
                  </w:pPr>
                  <w:r w:rsidRPr="00C358C1">
                    <w:t>0.206</w:t>
                  </w:r>
                </w:p>
              </w:tc>
              <w:tc>
                <w:tcPr>
                  <w:tcW w:w="632" w:type="pct"/>
                  <w:shd w:val="clear" w:color="auto" w:fill="F2F2F2" w:themeFill="background1" w:themeFillShade="F2"/>
                  <w:vAlign w:val="bottom"/>
                </w:tcPr>
                <w:p w14:paraId="7F02ED5A" w14:textId="77777777" w:rsidR="0011262F" w:rsidRDefault="0011262F" w:rsidP="00B54007">
                  <w:pPr>
                    <w:pStyle w:val="TableBodyText"/>
                    <w:ind w:right="28"/>
                  </w:pPr>
                  <w:r w:rsidRPr="00C358C1">
                    <w:t>-0.120</w:t>
                  </w:r>
                </w:p>
              </w:tc>
              <w:tc>
                <w:tcPr>
                  <w:tcW w:w="632" w:type="pct"/>
                  <w:shd w:val="clear" w:color="auto" w:fill="F2F2F2" w:themeFill="background1" w:themeFillShade="F2"/>
                  <w:vAlign w:val="bottom"/>
                </w:tcPr>
                <w:p w14:paraId="2E5886B0" w14:textId="77777777" w:rsidR="0011262F" w:rsidRDefault="0011262F" w:rsidP="00B54007">
                  <w:pPr>
                    <w:pStyle w:val="TableBodyText"/>
                    <w:ind w:right="28"/>
                  </w:pPr>
                  <w:r w:rsidRPr="00C358C1">
                    <w:t>0.293</w:t>
                  </w:r>
                </w:p>
              </w:tc>
              <w:tc>
                <w:tcPr>
                  <w:tcW w:w="632" w:type="pct"/>
                  <w:shd w:val="clear" w:color="auto" w:fill="F2F2F2" w:themeFill="background1" w:themeFillShade="F2"/>
                  <w:vAlign w:val="bottom"/>
                </w:tcPr>
                <w:p w14:paraId="1533E47C" w14:textId="77777777" w:rsidR="0011262F" w:rsidRDefault="0011262F" w:rsidP="00B54007">
                  <w:pPr>
                    <w:pStyle w:val="TableBodyText"/>
                  </w:pPr>
                  <w:r w:rsidRPr="00C358C1">
                    <w:t>0.706</w:t>
                  </w:r>
                </w:p>
              </w:tc>
            </w:tr>
            <w:tr w:rsidR="0011262F" w14:paraId="7F5937D3" w14:textId="77777777" w:rsidTr="00B54007">
              <w:tc>
                <w:tcPr>
                  <w:tcW w:w="1842" w:type="pct"/>
                  <w:shd w:val="clear" w:color="auto" w:fill="auto"/>
                  <w:vAlign w:val="bottom"/>
                </w:tcPr>
                <w:p w14:paraId="2A123FEF" w14:textId="77777777" w:rsidR="0011262F" w:rsidRDefault="0011262F" w:rsidP="00B54007">
                  <w:pPr>
                    <w:pStyle w:val="TableBodyText"/>
                    <w:jc w:val="left"/>
                  </w:pPr>
                  <w:r w:rsidRPr="00C358C1">
                    <w:t>Sum of other fund’s assets in same period</w:t>
                  </w:r>
                </w:p>
              </w:tc>
              <w:tc>
                <w:tcPr>
                  <w:tcW w:w="632" w:type="pct"/>
                  <w:vAlign w:val="bottom"/>
                </w:tcPr>
                <w:p w14:paraId="192B7192" w14:textId="77777777" w:rsidR="0011262F" w:rsidRDefault="0011262F" w:rsidP="00B54007">
                  <w:pPr>
                    <w:pStyle w:val="TableBodyText"/>
                    <w:ind w:right="28"/>
                  </w:pPr>
                  <w:r w:rsidRPr="00C358C1">
                    <w:t>-0.649</w:t>
                  </w:r>
                </w:p>
              </w:tc>
              <w:tc>
                <w:tcPr>
                  <w:tcW w:w="632" w:type="pct"/>
                  <w:shd w:val="clear" w:color="auto" w:fill="auto"/>
                  <w:vAlign w:val="bottom"/>
                </w:tcPr>
                <w:p w14:paraId="32B0ABEE" w14:textId="77777777" w:rsidR="0011262F" w:rsidRDefault="0011262F" w:rsidP="00B54007">
                  <w:pPr>
                    <w:pStyle w:val="TableBodyText"/>
                    <w:ind w:right="28"/>
                  </w:pPr>
                  <w:r w:rsidRPr="00C358C1">
                    <w:t>0.156</w:t>
                  </w:r>
                </w:p>
              </w:tc>
              <w:tc>
                <w:tcPr>
                  <w:tcW w:w="632" w:type="pct"/>
                  <w:shd w:val="clear" w:color="auto" w:fill="auto"/>
                  <w:vAlign w:val="bottom"/>
                </w:tcPr>
                <w:p w14:paraId="3EC0A4A6" w14:textId="77777777" w:rsidR="0011262F" w:rsidRDefault="0011262F" w:rsidP="00B54007">
                  <w:pPr>
                    <w:pStyle w:val="TableBodyText"/>
                    <w:ind w:right="28"/>
                  </w:pPr>
                  <w:r w:rsidRPr="00C358C1">
                    <w:t>-0.981</w:t>
                  </w:r>
                </w:p>
              </w:tc>
              <w:tc>
                <w:tcPr>
                  <w:tcW w:w="632" w:type="pct"/>
                  <w:vAlign w:val="bottom"/>
                </w:tcPr>
                <w:p w14:paraId="7F795050" w14:textId="77777777" w:rsidR="0011262F" w:rsidRDefault="0011262F" w:rsidP="00B54007">
                  <w:pPr>
                    <w:pStyle w:val="TableBodyText"/>
                    <w:ind w:right="28"/>
                  </w:pPr>
                  <w:r w:rsidRPr="00C358C1">
                    <w:t>-0.653</w:t>
                  </w:r>
                </w:p>
              </w:tc>
              <w:tc>
                <w:tcPr>
                  <w:tcW w:w="632" w:type="pct"/>
                  <w:vAlign w:val="bottom"/>
                </w:tcPr>
                <w:p w14:paraId="6C0B0F5C" w14:textId="77777777" w:rsidR="0011262F" w:rsidRDefault="0011262F" w:rsidP="00B54007">
                  <w:pPr>
                    <w:pStyle w:val="TableBodyText"/>
                  </w:pPr>
                  <w:r w:rsidRPr="00C358C1">
                    <w:t>-0.356</w:t>
                  </w:r>
                </w:p>
              </w:tc>
            </w:tr>
            <w:tr w:rsidR="0011262F" w14:paraId="4C1FEEEB" w14:textId="77777777" w:rsidTr="00B54007">
              <w:tc>
                <w:tcPr>
                  <w:tcW w:w="1842" w:type="pct"/>
                  <w:shd w:val="clear" w:color="auto" w:fill="F2F2F2" w:themeFill="background1" w:themeFillShade="F2"/>
                  <w:vAlign w:val="bottom"/>
                </w:tcPr>
                <w:p w14:paraId="1CBFA027" w14:textId="77777777" w:rsidR="0011262F" w:rsidRDefault="0011262F" w:rsidP="00B54007">
                  <w:pPr>
                    <w:pStyle w:val="TableBodyText"/>
                    <w:jc w:val="left"/>
                  </w:pPr>
                  <w:r w:rsidRPr="00C358C1">
                    <w:t>Sum of other fund’s member accounts in same period</w:t>
                  </w:r>
                </w:p>
              </w:tc>
              <w:tc>
                <w:tcPr>
                  <w:tcW w:w="632" w:type="pct"/>
                  <w:shd w:val="clear" w:color="auto" w:fill="F2F2F2" w:themeFill="background1" w:themeFillShade="F2"/>
                  <w:vAlign w:val="bottom"/>
                </w:tcPr>
                <w:p w14:paraId="7E6FAD70" w14:textId="77777777" w:rsidR="0011262F" w:rsidRDefault="0011262F" w:rsidP="00B54007">
                  <w:pPr>
                    <w:pStyle w:val="TableBodyText"/>
                    <w:ind w:right="28"/>
                  </w:pPr>
                  <w:r w:rsidRPr="00C358C1">
                    <w:t>-0.432</w:t>
                  </w:r>
                </w:p>
              </w:tc>
              <w:tc>
                <w:tcPr>
                  <w:tcW w:w="632" w:type="pct"/>
                  <w:shd w:val="clear" w:color="auto" w:fill="F2F2F2" w:themeFill="background1" w:themeFillShade="F2"/>
                  <w:vAlign w:val="bottom"/>
                </w:tcPr>
                <w:p w14:paraId="1D5DA783" w14:textId="77777777" w:rsidR="0011262F" w:rsidRDefault="0011262F" w:rsidP="00B54007">
                  <w:pPr>
                    <w:pStyle w:val="TableBodyText"/>
                    <w:ind w:right="28"/>
                  </w:pPr>
                  <w:r w:rsidRPr="00C358C1">
                    <w:t>0.106</w:t>
                  </w:r>
                </w:p>
              </w:tc>
              <w:tc>
                <w:tcPr>
                  <w:tcW w:w="632" w:type="pct"/>
                  <w:shd w:val="clear" w:color="auto" w:fill="F2F2F2" w:themeFill="background1" w:themeFillShade="F2"/>
                  <w:vAlign w:val="bottom"/>
                </w:tcPr>
                <w:p w14:paraId="2CF00FF4" w14:textId="77777777" w:rsidR="0011262F" w:rsidRDefault="0011262F" w:rsidP="00B54007">
                  <w:pPr>
                    <w:pStyle w:val="TableBodyText"/>
                    <w:ind w:right="28"/>
                  </w:pPr>
                  <w:r w:rsidRPr="00C358C1">
                    <w:t>-0.644</w:t>
                  </w:r>
                </w:p>
              </w:tc>
              <w:tc>
                <w:tcPr>
                  <w:tcW w:w="632" w:type="pct"/>
                  <w:shd w:val="clear" w:color="auto" w:fill="F2F2F2" w:themeFill="background1" w:themeFillShade="F2"/>
                  <w:vAlign w:val="bottom"/>
                </w:tcPr>
                <w:p w14:paraId="10A0C26F" w14:textId="77777777" w:rsidR="0011262F" w:rsidRDefault="0011262F" w:rsidP="00B54007">
                  <w:pPr>
                    <w:pStyle w:val="TableBodyText"/>
                    <w:ind w:right="28"/>
                  </w:pPr>
                  <w:r w:rsidRPr="00C358C1">
                    <w:t>-0.429</w:t>
                  </w:r>
                </w:p>
              </w:tc>
              <w:tc>
                <w:tcPr>
                  <w:tcW w:w="632" w:type="pct"/>
                  <w:shd w:val="clear" w:color="auto" w:fill="F2F2F2" w:themeFill="background1" w:themeFillShade="F2"/>
                  <w:vAlign w:val="bottom"/>
                </w:tcPr>
                <w:p w14:paraId="024FD80C" w14:textId="77777777" w:rsidR="0011262F" w:rsidRDefault="0011262F" w:rsidP="00B54007">
                  <w:pPr>
                    <w:pStyle w:val="TableBodyText"/>
                  </w:pPr>
                  <w:r w:rsidRPr="00C358C1">
                    <w:t>-0.246</w:t>
                  </w:r>
                </w:p>
              </w:tc>
            </w:tr>
            <w:tr w:rsidR="0011262F" w14:paraId="4C004077" w14:textId="77777777" w:rsidTr="00B54007">
              <w:tc>
                <w:tcPr>
                  <w:tcW w:w="1842" w:type="pct"/>
                  <w:shd w:val="clear" w:color="auto" w:fill="auto"/>
                  <w:vAlign w:val="bottom"/>
                </w:tcPr>
                <w:p w14:paraId="001D8DCF" w14:textId="77777777" w:rsidR="0011262F" w:rsidRDefault="0011262F" w:rsidP="00B54007">
                  <w:pPr>
                    <w:pStyle w:val="TableBodyText"/>
                    <w:jc w:val="left"/>
                  </w:pPr>
                  <w:r w:rsidRPr="00C358C1">
                    <w:t>Sum of other fund’s annual net returns in same period</w:t>
                  </w:r>
                </w:p>
              </w:tc>
              <w:tc>
                <w:tcPr>
                  <w:tcW w:w="632" w:type="pct"/>
                  <w:vAlign w:val="bottom"/>
                </w:tcPr>
                <w:p w14:paraId="08D5FFEA" w14:textId="77777777" w:rsidR="0011262F" w:rsidRDefault="0011262F" w:rsidP="00B54007">
                  <w:pPr>
                    <w:pStyle w:val="TableBodyText"/>
                    <w:ind w:right="28"/>
                  </w:pPr>
                  <w:r w:rsidRPr="00C358C1">
                    <w:t>0.374</w:t>
                  </w:r>
                </w:p>
              </w:tc>
              <w:tc>
                <w:tcPr>
                  <w:tcW w:w="632" w:type="pct"/>
                  <w:shd w:val="clear" w:color="auto" w:fill="auto"/>
                  <w:vAlign w:val="bottom"/>
                </w:tcPr>
                <w:p w14:paraId="14C772F4" w14:textId="77777777" w:rsidR="0011262F" w:rsidRDefault="0011262F" w:rsidP="00B54007">
                  <w:pPr>
                    <w:pStyle w:val="TableBodyText"/>
                    <w:ind w:right="28"/>
                  </w:pPr>
                  <w:r w:rsidRPr="00C358C1">
                    <w:t>0.086</w:t>
                  </w:r>
                </w:p>
              </w:tc>
              <w:tc>
                <w:tcPr>
                  <w:tcW w:w="632" w:type="pct"/>
                  <w:shd w:val="clear" w:color="auto" w:fill="auto"/>
                  <w:vAlign w:val="bottom"/>
                </w:tcPr>
                <w:p w14:paraId="4291AC4F" w14:textId="77777777" w:rsidR="0011262F" w:rsidRDefault="0011262F" w:rsidP="00B54007">
                  <w:pPr>
                    <w:pStyle w:val="TableBodyText"/>
                    <w:ind w:right="28"/>
                  </w:pPr>
                  <w:r w:rsidRPr="00C358C1">
                    <w:t>0.215</w:t>
                  </w:r>
                </w:p>
              </w:tc>
              <w:tc>
                <w:tcPr>
                  <w:tcW w:w="632" w:type="pct"/>
                  <w:vAlign w:val="bottom"/>
                </w:tcPr>
                <w:p w14:paraId="698C2DB3" w14:textId="77777777" w:rsidR="0011262F" w:rsidRDefault="0011262F" w:rsidP="00B54007">
                  <w:pPr>
                    <w:pStyle w:val="TableBodyText"/>
                    <w:ind w:right="28"/>
                  </w:pPr>
                  <w:r w:rsidRPr="00C358C1">
                    <w:t>0.372</w:t>
                  </w:r>
                </w:p>
              </w:tc>
              <w:tc>
                <w:tcPr>
                  <w:tcW w:w="632" w:type="pct"/>
                  <w:vAlign w:val="bottom"/>
                </w:tcPr>
                <w:p w14:paraId="41C209D6" w14:textId="77777777" w:rsidR="0011262F" w:rsidRDefault="0011262F" w:rsidP="00B54007">
                  <w:pPr>
                    <w:pStyle w:val="TableBodyText"/>
                  </w:pPr>
                  <w:r w:rsidRPr="00C358C1">
                    <w:t>0.572</w:t>
                  </w:r>
                </w:p>
              </w:tc>
            </w:tr>
            <w:tr w:rsidR="0011262F" w14:paraId="756D5853" w14:textId="77777777" w:rsidTr="00B54007">
              <w:tc>
                <w:tcPr>
                  <w:tcW w:w="1842" w:type="pct"/>
                  <w:tcBorders>
                    <w:bottom w:val="single" w:sz="6" w:space="0" w:color="BFBFBF" w:themeColor="background1" w:themeShade="BF"/>
                  </w:tcBorders>
                  <w:shd w:val="clear" w:color="auto" w:fill="F2F2F2" w:themeFill="background1" w:themeFillShade="F2"/>
                  <w:vAlign w:val="bottom"/>
                </w:tcPr>
                <w:p w14:paraId="40B5FA62" w14:textId="77777777" w:rsidR="0011262F" w:rsidRDefault="0011262F" w:rsidP="00B54007">
                  <w:pPr>
                    <w:pStyle w:val="TableBodyText"/>
                    <w:jc w:val="left"/>
                  </w:pPr>
                  <w:r w:rsidRPr="00C358C1">
                    <w:t>Intercept</w:t>
                  </w:r>
                </w:p>
              </w:tc>
              <w:tc>
                <w:tcPr>
                  <w:tcW w:w="632" w:type="pct"/>
                  <w:tcBorders>
                    <w:bottom w:val="single" w:sz="6" w:space="0" w:color="BFBFBF" w:themeColor="background1" w:themeShade="BF"/>
                  </w:tcBorders>
                  <w:shd w:val="clear" w:color="auto" w:fill="F2F2F2" w:themeFill="background1" w:themeFillShade="F2"/>
                  <w:vAlign w:val="bottom"/>
                </w:tcPr>
                <w:p w14:paraId="205363AF" w14:textId="77777777" w:rsidR="0011262F" w:rsidRDefault="0011262F" w:rsidP="00B54007">
                  <w:pPr>
                    <w:pStyle w:val="TableBodyText"/>
                    <w:ind w:right="28"/>
                  </w:pPr>
                  <w:r w:rsidRPr="00C358C1">
                    <w:t>128.692</w:t>
                  </w:r>
                </w:p>
              </w:tc>
              <w:tc>
                <w:tcPr>
                  <w:tcW w:w="632" w:type="pct"/>
                  <w:tcBorders>
                    <w:bottom w:val="single" w:sz="6" w:space="0" w:color="BFBFBF" w:themeColor="background1" w:themeShade="BF"/>
                  </w:tcBorders>
                  <w:shd w:val="clear" w:color="auto" w:fill="F2F2F2" w:themeFill="background1" w:themeFillShade="F2"/>
                  <w:vAlign w:val="bottom"/>
                </w:tcPr>
                <w:p w14:paraId="3A24017F" w14:textId="77777777" w:rsidR="0011262F" w:rsidRDefault="0011262F" w:rsidP="00B54007">
                  <w:pPr>
                    <w:pStyle w:val="TableBodyText"/>
                    <w:ind w:right="28"/>
                  </w:pPr>
                  <w:r w:rsidRPr="00C358C1">
                    <w:t>20.805</w:t>
                  </w:r>
                </w:p>
              </w:tc>
              <w:tc>
                <w:tcPr>
                  <w:tcW w:w="632" w:type="pct"/>
                  <w:tcBorders>
                    <w:bottom w:val="single" w:sz="6" w:space="0" w:color="BFBFBF" w:themeColor="background1" w:themeShade="BF"/>
                  </w:tcBorders>
                  <w:shd w:val="clear" w:color="auto" w:fill="F2F2F2" w:themeFill="background1" w:themeFillShade="F2"/>
                  <w:vAlign w:val="bottom"/>
                </w:tcPr>
                <w:p w14:paraId="125A4593" w14:textId="77777777" w:rsidR="0011262F" w:rsidRDefault="0011262F" w:rsidP="00B54007">
                  <w:pPr>
                    <w:pStyle w:val="TableBodyText"/>
                    <w:ind w:right="28"/>
                  </w:pPr>
                  <w:r w:rsidRPr="00C358C1">
                    <w:t>92.346</w:t>
                  </w:r>
                </w:p>
              </w:tc>
              <w:tc>
                <w:tcPr>
                  <w:tcW w:w="632" w:type="pct"/>
                  <w:tcBorders>
                    <w:bottom w:val="single" w:sz="6" w:space="0" w:color="BFBFBF" w:themeColor="background1" w:themeShade="BF"/>
                  </w:tcBorders>
                  <w:shd w:val="clear" w:color="auto" w:fill="F2F2F2" w:themeFill="background1" w:themeFillShade="F2"/>
                  <w:vAlign w:val="bottom"/>
                </w:tcPr>
                <w:p w14:paraId="2C2BC31D" w14:textId="77777777" w:rsidR="0011262F" w:rsidRDefault="0011262F" w:rsidP="00B54007">
                  <w:pPr>
                    <w:pStyle w:val="TableBodyText"/>
                    <w:ind w:right="28"/>
                  </w:pPr>
                  <w:r w:rsidRPr="00C358C1">
                    <w:t>127.392</w:t>
                  </w:r>
                </w:p>
              </w:tc>
              <w:tc>
                <w:tcPr>
                  <w:tcW w:w="632" w:type="pct"/>
                  <w:tcBorders>
                    <w:bottom w:val="single" w:sz="6" w:space="0" w:color="BFBFBF" w:themeColor="background1" w:themeShade="BF"/>
                  </w:tcBorders>
                  <w:shd w:val="clear" w:color="auto" w:fill="F2F2F2" w:themeFill="background1" w:themeFillShade="F2"/>
                  <w:vAlign w:val="bottom"/>
                </w:tcPr>
                <w:p w14:paraId="25E8F78B" w14:textId="77777777" w:rsidR="0011262F" w:rsidRDefault="0011262F" w:rsidP="00B54007">
                  <w:pPr>
                    <w:pStyle w:val="TableBodyText"/>
                  </w:pPr>
                  <w:r w:rsidRPr="00C358C1">
                    <w:t>175.367</w:t>
                  </w:r>
                </w:p>
              </w:tc>
            </w:tr>
          </w:tbl>
          <w:p w14:paraId="7EE25744" w14:textId="77777777" w:rsidR="0011262F" w:rsidRDefault="0011262F" w:rsidP="00B54007">
            <w:pPr>
              <w:pStyle w:val="Box"/>
            </w:pPr>
          </w:p>
        </w:tc>
      </w:tr>
      <w:tr w:rsidR="0011262F" w14:paraId="777338E8" w14:textId="77777777" w:rsidTr="00B54007">
        <w:tc>
          <w:tcPr>
            <w:tcW w:w="5000" w:type="pct"/>
            <w:tcBorders>
              <w:top w:val="nil"/>
              <w:left w:val="nil"/>
              <w:bottom w:val="nil"/>
              <w:right w:val="nil"/>
            </w:tcBorders>
            <w:shd w:val="clear" w:color="auto" w:fill="auto"/>
          </w:tcPr>
          <w:p w14:paraId="08D53C33" w14:textId="77777777" w:rsidR="0011262F" w:rsidRDefault="0011262F" w:rsidP="00B54007">
            <w:pPr>
              <w:pStyle w:val="Continued"/>
            </w:pPr>
            <w:r>
              <w:t>(continued next page)</w:t>
            </w:r>
          </w:p>
        </w:tc>
      </w:tr>
      <w:tr w:rsidR="0011262F" w14:paraId="314CF63B" w14:textId="77777777" w:rsidTr="00B54007">
        <w:tc>
          <w:tcPr>
            <w:tcW w:w="5000" w:type="pct"/>
            <w:tcBorders>
              <w:top w:val="nil"/>
              <w:left w:val="nil"/>
              <w:bottom w:val="single" w:sz="6" w:space="0" w:color="78A22F"/>
              <w:right w:val="nil"/>
            </w:tcBorders>
            <w:shd w:val="clear" w:color="auto" w:fill="auto"/>
          </w:tcPr>
          <w:p w14:paraId="1A5B07F5" w14:textId="77777777" w:rsidR="0011262F" w:rsidRDefault="0011262F" w:rsidP="00B54007">
            <w:pPr>
              <w:pStyle w:val="Box"/>
              <w:spacing w:before="0" w:line="120" w:lineRule="exact"/>
            </w:pPr>
          </w:p>
        </w:tc>
      </w:tr>
      <w:tr w:rsidR="0011262F" w:rsidRPr="000863A5" w14:paraId="39023C5B" w14:textId="77777777" w:rsidTr="00B54007">
        <w:tc>
          <w:tcPr>
            <w:tcW w:w="5000" w:type="pct"/>
            <w:tcBorders>
              <w:top w:val="single" w:sz="6" w:space="0" w:color="78A22F"/>
              <w:left w:val="nil"/>
              <w:bottom w:val="nil"/>
              <w:right w:val="nil"/>
            </w:tcBorders>
          </w:tcPr>
          <w:p w14:paraId="708F000F" w14:textId="77777777" w:rsidR="0011262F" w:rsidRPr="00626D32" w:rsidRDefault="0011262F" w:rsidP="00B54007">
            <w:pPr>
              <w:pStyle w:val="BoxSpaceBelow"/>
            </w:pPr>
          </w:p>
        </w:tc>
      </w:tr>
    </w:tbl>
    <w:p w14:paraId="25D2411B" w14:textId="77777777" w:rsidR="0011262F" w:rsidRDefault="0011262F" w:rsidP="0011262F">
      <w:pPr>
        <w:pStyle w:val="BodyText"/>
      </w:pPr>
    </w:p>
    <w:p w14:paraId="0E187EAE" w14:textId="77777777" w:rsidR="0011262F" w:rsidRPr="00FB6015" w:rsidRDefault="0011262F" w:rsidP="0011262F">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1262F" w14:paraId="62CDC301" w14:textId="77777777" w:rsidTr="00B54007">
        <w:trPr>
          <w:tblHeader/>
        </w:trPr>
        <w:tc>
          <w:tcPr>
            <w:tcW w:w="5000" w:type="pct"/>
            <w:tcBorders>
              <w:top w:val="single" w:sz="6" w:space="0" w:color="78A22F"/>
              <w:left w:val="nil"/>
              <w:bottom w:val="nil"/>
              <w:right w:val="nil"/>
            </w:tcBorders>
            <w:shd w:val="clear" w:color="auto" w:fill="auto"/>
          </w:tcPr>
          <w:p w14:paraId="5CC092D4" w14:textId="77777777" w:rsidR="0011262F" w:rsidRPr="00784A05" w:rsidRDefault="0011262F" w:rsidP="00B54007">
            <w:pPr>
              <w:pStyle w:val="TableTitle"/>
            </w:pPr>
            <w:r>
              <w:rPr>
                <w:b w:val="0"/>
              </w:rPr>
              <w:t xml:space="preserve">Table </w:t>
            </w:r>
            <w:proofErr w:type="spellStart"/>
            <w:r>
              <w:rPr>
                <w:b w:val="0"/>
              </w:rPr>
              <w:t>E.1</w:t>
            </w:r>
            <w:proofErr w:type="spellEnd"/>
            <w:r>
              <w:tab/>
            </w:r>
            <w:r w:rsidRPr="004B358B">
              <w:rPr>
                <w:b w:val="0"/>
                <w:sz w:val="18"/>
                <w:szCs w:val="18"/>
              </w:rPr>
              <w:t>(continued)</w:t>
            </w:r>
          </w:p>
        </w:tc>
      </w:tr>
      <w:tr w:rsidR="0011262F" w14:paraId="684E64A0" w14:textId="77777777" w:rsidTr="00B54007">
        <w:tc>
          <w:tcPr>
            <w:tcW w:w="5000" w:type="pct"/>
            <w:tcBorders>
              <w:top w:val="nil"/>
              <w:left w:val="nil"/>
              <w:bottom w:val="nil"/>
              <w:right w:val="nil"/>
            </w:tcBorders>
            <w:shd w:val="clear" w:color="auto" w:fill="auto"/>
          </w:tcPr>
          <w:tbl>
            <w:tblPr>
              <w:tblW w:w="8529" w:type="dxa"/>
              <w:tblCellMar>
                <w:top w:w="28" w:type="dxa"/>
                <w:left w:w="0" w:type="dxa"/>
                <w:right w:w="0" w:type="dxa"/>
              </w:tblCellMar>
              <w:tblLook w:val="0000" w:firstRow="0" w:lastRow="0" w:firstColumn="0" w:lastColumn="0" w:noHBand="0" w:noVBand="0"/>
            </w:tblPr>
            <w:tblGrid>
              <w:gridCol w:w="3146"/>
              <w:gridCol w:w="1077"/>
              <w:gridCol w:w="1077"/>
              <w:gridCol w:w="1077"/>
              <w:gridCol w:w="1076"/>
              <w:gridCol w:w="1076"/>
            </w:tblGrid>
            <w:tr w:rsidR="0011262F" w14:paraId="40C95AAF" w14:textId="77777777" w:rsidTr="00B54007">
              <w:tc>
                <w:tcPr>
                  <w:tcW w:w="1843" w:type="pct"/>
                  <w:tcBorders>
                    <w:top w:val="single" w:sz="6" w:space="0" w:color="BFBFBF"/>
                    <w:bottom w:val="single" w:sz="6" w:space="0" w:color="BFBFBF"/>
                  </w:tcBorders>
                  <w:shd w:val="clear" w:color="auto" w:fill="auto"/>
                  <w:vAlign w:val="bottom"/>
                </w:tcPr>
                <w:p w14:paraId="0ABEDE19" w14:textId="77777777" w:rsidR="0011262F" w:rsidRDefault="0011262F" w:rsidP="00B54007">
                  <w:pPr>
                    <w:pStyle w:val="TableColumnHeading"/>
                    <w:jc w:val="left"/>
                    <w:rPr>
                      <w:b/>
                    </w:rPr>
                  </w:pPr>
                  <w:r>
                    <w:t>Parameter</w:t>
                  </w:r>
                </w:p>
              </w:tc>
              <w:tc>
                <w:tcPr>
                  <w:tcW w:w="631" w:type="pct"/>
                  <w:tcBorders>
                    <w:top w:val="single" w:sz="6" w:space="0" w:color="BFBFBF"/>
                    <w:bottom w:val="single" w:sz="6" w:space="0" w:color="BFBFBF"/>
                  </w:tcBorders>
                  <w:vAlign w:val="bottom"/>
                </w:tcPr>
                <w:p w14:paraId="575B2BAA" w14:textId="77777777" w:rsidR="0011262F" w:rsidRDefault="0011262F" w:rsidP="00B54007">
                  <w:pPr>
                    <w:pStyle w:val="TableColumnHeading"/>
                  </w:pPr>
                  <w:r>
                    <w:t>Mean</w:t>
                  </w:r>
                </w:p>
              </w:tc>
              <w:tc>
                <w:tcPr>
                  <w:tcW w:w="631" w:type="pct"/>
                  <w:tcBorders>
                    <w:top w:val="single" w:sz="6" w:space="0" w:color="BFBFBF"/>
                    <w:bottom w:val="single" w:sz="6" w:space="0" w:color="BFBFBF"/>
                  </w:tcBorders>
                  <w:shd w:val="clear" w:color="auto" w:fill="auto"/>
                  <w:vAlign w:val="bottom"/>
                </w:tcPr>
                <w:p w14:paraId="5FA6F6A4" w14:textId="77777777" w:rsidR="0011262F" w:rsidRDefault="0011262F" w:rsidP="00B54007">
                  <w:pPr>
                    <w:pStyle w:val="TableColumnHeading"/>
                  </w:pPr>
                  <w:r>
                    <w:t>Standard deviation</w:t>
                  </w:r>
                </w:p>
              </w:tc>
              <w:tc>
                <w:tcPr>
                  <w:tcW w:w="631" w:type="pct"/>
                  <w:tcBorders>
                    <w:top w:val="single" w:sz="6" w:space="0" w:color="BFBFBF"/>
                    <w:bottom w:val="single" w:sz="6" w:space="0" w:color="BFBFBF"/>
                  </w:tcBorders>
                  <w:shd w:val="clear" w:color="auto" w:fill="auto"/>
                  <w:vAlign w:val="bottom"/>
                </w:tcPr>
                <w:p w14:paraId="2350E246" w14:textId="77777777" w:rsidR="0011262F" w:rsidRDefault="0011262F" w:rsidP="00B54007">
                  <w:pPr>
                    <w:pStyle w:val="TableColumnHeading"/>
                  </w:pPr>
                  <w:r>
                    <w:t>2.5 percentile</w:t>
                  </w:r>
                </w:p>
              </w:tc>
              <w:tc>
                <w:tcPr>
                  <w:tcW w:w="631" w:type="pct"/>
                  <w:tcBorders>
                    <w:top w:val="single" w:sz="6" w:space="0" w:color="BFBFBF"/>
                    <w:bottom w:val="single" w:sz="6" w:space="0" w:color="BFBFBF"/>
                  </w:tcBorders>
                  <w:vAlign w:val="bottom"/>
                </w:tcPr>
                <w:p w14:paraId="71055219" w14:textId="77777777" w:rsidR="0011262F" w:rsidRDefault="0011262F" w:rsidP="00B54007">
                  <w:pPr>
                    <w:pStyle w:val="TableColumnHeading"/>
                  </w:pPr>
                  <w:r>
                    <w:t>Median</w:t>
                  </w:r>
                </w:p>
              </w:tc>
              <w:tc>
                <w:tcPr>
                  <w:tcW w:w="631" w:type="pct"/>
                  <w:tcBorders>
                    <w:top w:val="single" w:sz="6" w:space="0" w:color="BFBFBF"/>
                    <w:bottom w:val="single" w:sz="6" w:space="0" w:color="BFBFBF"/>
                  </w:tcBorders>
                  <w:vAlign w:val="bottom"/>
                </w:tcPr>
                <w:p w14:paraId="742B6B89" w14:textId="77777777" w:rsidR="0011262F" w:rsidRDefault="0011262F" w:rsidP="00B54007">
                  <w:pPr>
                    <w:pStyle w:val="TableColumnHeading"/>
                  </w:pPr>
                  <w:r>
                    <w:t>97.5 percentile</w:t>
                  </w:r>
                </w:p>
              </w:tc>
            </w:tr>
            <w:tr w:rsidR="0011262F" w14:paraId="1712BFCD" w14:textId="77777777" w:rsidTr="00B54007">
              <w:tc>
                <w:tcPr>
                  <w:tcW w:w="1843" w:type="pct"/>
                  <w:tcBorders>
                    <w:top w:val="single" w:sz="6" w:space="0" w:color="BFBFBF"/>
                  </w:tcBorders>
                  <w:shd w:val="clear" w:color="auto" w:fill="BFBFBF" w:themeFill="background1" w:themeFillShade="BF"/>
                  <w:vAlign w:val="bottom"/>
                </w:tcPr>
                <w:p w14:paraId="07A8C56B" w14:textId="77777777" w:rsidR="0011262F" w:rsidRPr="0099011F" w:rsidRDefault="0011262F" w:rsidP="00B54007">
                  <w:pPr>
                    <w:pStyle w:val="TableBodyText"/>
                    <w:jc w:val="left"/>
                    <w:rPr>
                      <w:b/>
                    </w:rPr>
                  </w:pPr>
                  <w:r w:rsidRPr="00C358C1">
                    <w:rPr>
                      <w:b/>
                    </w:rPr>
                    <w:t>Pass-through: Admin fees</w:t>
                  </w:r>
                </w:p>
              </w:tc>
              <w:tc>
                <w:tcPr>
                  <w:tcW w:w="631" w:type="pct"/>
                  <w:tcBorders>
                    <w:top w:val="single" w:sz="6" w:space="0" w:color="BFBFBF"/>
                  </w:tcBorders>
                  <w:shd w:val="clear" w:color="auto" w:fill="BFBFBF" w:themeFill="background1" w:themeFillShade="BF"/>
                  <w:vAlign w:val="bottom"/>
                </w:tcPr>
                <w:p w14:paraId="70AA452D" w14:textId="77777777" w:rsidR="0011262F" w:rsidRDefault="0011262F" w:rsidP="00B54007">
                  <w:pPr>
                    <w:pStyle w:val="TableBodyText"/>
                  </w:pPr>
                </w:p>
              </w:tc>
              <w:tc>
                <w:tcPr>
                  <w:tcW w:w="631" w:type="pct"/>
                  <w:tcBorders>
                    <w:top w:val="single" w:sz="6" w:space="0" w:color="BFBFBF"/>
                  </w:tcBorders>
                  <w:shd w:val="clear" w:color="auto" w:fill="BFBFBF" w:themeFill="background1" w:themeFillShade="BF"/>
                  <w:vAlign w:val="bottom"/>
                </w:tcPr>
                <w:p w14:paraId="4F2CCF1A" w14:textId="77777777" w:rsidR="0011262F" w:rsidRDefault="0011262F" w:rsidP="00B54007">
                  <w:pPr>
                    <w:pStyle w:val="TableBodyText"/>
                  </w:pPr>
                </w:p>
              </w:tc>
              <w:tc>
                <w:tcPr>
                  <w:tcW w:w="631" w:type="pct"/>
                  <w:tcBorders>
                    <w:top w:val="single" w:sz="6" w:space="0" w:color="BFBFBF"/>
                  </w:tcBorders>
                  <w:shd w:val="clear" w:color="auto" w:fill="BFBFBF" w:themeFill="background1" w:themeFillShade="BF"/>
                  <w:vAlign w:val="bottom"/>
                </w:tcPr>
                <w:p w14:paraId="0511E6C0" w14:textId="77777777" w:rsidR="0011262F" w:rsidRDefault="0011262F" w:rsidP="00B54007">
                  <w:pPr>
                    <w:pStyle w:val="TableBodyText"/>
                    <w:ind w:right="28"/>
                  </w:pPr>
                </w:p>
              </w:tc>
              <w:tc>
                <w:tcPr>
                  <w:tcW w:w="631" w:type="pct"/>
                  <w:tcBorders>
                    <w:top w:val="single" w:sz="6" w:space="0" w:color="BFBFBF"/>
                  </w:tcBorders>
                  <w:shd w:val="clear" w:color="auto" w:fill="BFBFBF" w:themeFill="background1" w:themeFillShade="BF"/>
                  <w:vAlign w:val="bottom"/>
                </w:tcPr>
                <w:p w14:paraId="1ACE001C" w14:textId="77777777" w:rsidR="0011262F" w:rsidRDefault="0011262F" w:rsidP="00B54007">
                  <w:pPr>
                    <w:pStyle w:val="TableBodyText"/>
                    <w:ind w:right="28"/>
                  </w:pPr>
                </w:p>
              </w:tc>
              <w:tc>
                <w:tcPr>
                  <w:tcW w:w="631" w:type="pct"/>
                  <w:tcBorders>
                    <w:top w:val="single" w:sz="6" w:space="0" w:color="BFBFBF"/>
                  </w:tcBorders>
                  <w:shd w:val="clear" w:color="auto" w:fill="BFBFBF" w:themeFill="background1" w:themeFillShade="BF"/>
                  <w:vAlign w:val="bottom"/>
                </w:tcPr>
                <w:p w14:paraId="6BE6FA07" w14:textId="77777777" w:rsidR="0011262F" w:rsidRDefault="0011262F" w:rsidP="00B54007">
                  <w:pPr>
                    <w:pStyle w:val="TableBodyText"/>
                    <w:ind w:right="28"/>
                  </w:pPr>
                </w:p>
              </w:tc>
            </w:tr>
            <w:tr w:rsidR="0011262F" w14:paraId="65990224" w14:textId="77777777" w:rsidTr="00B54007">
              <w:tc>
                <w:tcPr>
                  <w:tcW w:w="1843" w:type="pct"/>
                  <w:shd w:val="clear" w:color="auto" w:fill="auto"/>
                  <w:vAlign w:val="bottom"/>
                </w:tcPr>
                <w:p w14:paraId="4554EC9F" w14:textId="77777777" w:rsidR="0011262F" w:rsidRDefault="0011262F" w:rsidP="00B54007">
                  <w:pPr>
                    <w:pStyle w:val="TableBodyText"/>
                    <w:jc w:val="left"/>
                  </w:pPr>
                  <w:r w:rsidRPr="00C358C1">
                    <w:t>Industry</w:t>
                  </w:r>
                </w:p>
              </w:tc>
              <w:tc>
                <w:tcPr>
                  <w:tcW w:w="631" w:type="pct"/>
                  <w:vAlign w:val="bottom"/>
                </w:tcPr>
                <w:p w14:paraId="66065EBC" w14:textId="77777777" w:rsidR="0011262F" w:rsidRDefault="0011262F" w:rsidP="00B54007">
                  <w:pPr>
                    <w:pStyle w:val="TableBodyText"/>
                    <w:ind w:right="28"/>
                  </w:pPr>
                  <w:r w:rsidRPr="00C358C1">
                    <w:t>0.023</w:t>
                  </w:r>
                </w:p>
              </w:tc>
              <w:tc>
                <w:tcPr>
                  <w:tcW w:w="631" w:type="pct"/>
                  <w:shd w:val="clear" w:color="auto" w:fill="auto"/>
                  <w:vAlign w:val="bottom"/>
                </w:tcPr>
                <w:p w14:paraId="1D6D3D5F" w14:textId="77777777" w:rsidR="0011262F" w:rsidRDefault="0011262F" w:rsidP="00B54007">
                  <w:pPr>
                    <w:pStyle w:val="TableBodyText"/>
                    <w:ind w:right="28"/>
                  </w:pPr>
                  <w:r w:rsidRPr="00C358C1">
                    <w:t>0.024</w:t>
                  </w:r>
                </w:p>
              </w:tc>
              <w:tc>
                <w:tcPr>
                  <w:tcW w:w="631" w:type="pct"/>
                  <w:shd w:val="clear" w:color="auto" w:fill="auto"/>
                  <w:vAlign w:val="bottom"/>
                </w:tcPr>
                <w:p w14:paraId="02D82EA5" w14:textId="77777777" w:rsidR="0011262F" w:rsidRDefault="0011262F" w:rsidP="00B54007">
                  <w:pPr>
                    <w:pStyle w:val="TableBodyText"/>
                    <w:ind w:right="28"/>
                  </w:pPr>
                  <w:r w:rsidRPr="00C358C1">
                    <w:t>-0.025</w:t>
                  </w:r>
                </w:p>
              </w:tc>
              <w:tc>
                <w:tcPr>
                  <w:tcW w:w="631" w:type="pct"/>
                  <w:vAlign w:val="bottom"/>
                </w:tcPr>
                <w:p w14:paraId="3A822E35" w14:textId="77777777" w:rsidR="0011262F" w:rsidRDefault="0011262F" w:rsidP="00B54007">
                  <w:pPr>
                    <w:pStyle w:val="TableBodyText"/>
                    <w:ind w:right="28"/>
                  </w:pPr>
                  <w:r w:rsidRPr="00C358C1">
                    <w:t>0.024</w:t>
                  </w:r>
                </w:p>
              </w:tc>
              <w:tc>
                <w:tcPr>
                  <w:tcW w:w="631" w:type="pct"/>
                  <w:vAlign w:val="bottom"/>
                </w:tcPr>
                <w:p w14:paraId="2F337EEC" w14:textId="77777777" w:rsidR="0011262F" w:rsidRDefault="0011262F" w:rsidP="00B54007">
                  <w:pPr>
                    <w:pStyle w:val="TableBodyText"/>
                  </w:pPr>
                  <w:r w:rsidRPr="00C358C1">
                    <w:t>0.071</w:t>
                  </w:r>
                </w:p>
              </w:tc>
            </w:tr>
            <w:tr w:rsidR="0011262F" w14:paraId="1CFC6BA6" w14:textId="77777777" w:rsidTr="00B54007">
              <w:tc>
                <w:tcPr>
                  <w:tcW w:w="1843" w:type="pct"/>
                  <w:shd w:val="clear" w:color="auto" w:fill="F2F2F2" w:themeFill="background1" w:themeFillShade="F2"/>
                  <w:vAlign w:val="bottom"/>
                </w:tcPr>
                <w:p w14:paraId="39F41A30" w14:textId="77777777" w:rsidR="0011262F" w:rsidRDefault="0011262F" w:rsidP="00B54007">
                  <w:pPr>
                    <w:pStyle w:val="TableBodyText"/>
                    <w:jc w:val="left"/>
                  </w:pPr>
                  <w:r w:rsidRPr="00C358C1">
                    <w:t>Public</w:t>
                  </w:r>
                </w:p>
              </w:tc>
              <w:tc>
                <w:tcPr>
                  <w:tcW w:w="631" w:type="pct"/>
                  <w:shd w:val="clear" w:color="auto" w:fill="F2F2F2" w:themeFill="background1" w:themeFillShade="F2"/>
                  <w:vAlign w:val="bottom"/>
                </w:tcPr>
                <w:p w14:paraId="649D679F" w14:textId="77777777" w:rsidR="0011262F" w:rsidRDefault="0011262F" w:rsidP="00B54007">
                  <w:pPr>
                    <w:pStyle w:val="TableBodyText"/>
                    <w:ind w:right="28"/>
                  </w:pPr>
                  <w:r w:rsidRPr="00C358C1">
                    <w:t>0.020</w:t>
                  </w:r>
                </w:p>
              </w:tc>
              <w:tc>
                <w:tcPr>
                  <w:tcW w:w="631" w:type="pct"/>
                  <w:shd w:val="clear" w:color="auto" w:fill="F2F2F2" w:themeFill="background1" w:themeFillShade="F2"/>
                  <w:vAlign w:val="bottom"/>
                </w:tcPr>
                <w:p w14:paraId="059D23D8" w14:textId="77777777" w:rsidR="0011262F" w:rsidRDefault="0011262F" w:rsidP="00B54007">
                  <w:pPr>
                    <w:pStyle w:val="TableBodyText"/>
                    <w:ind w:right="28"/>
                  </w:pPr>
                  <w:r w:rsidRPr="00C358C1">
                    <w:t>0.028</w:t>
                  </w:r>
                </w:p>
              </w:tc>
              <w:tc>
                <w:tcPr>
                  <w:tcW w:w="631" w:type="pct"/>
                  <w:shd w:val="clear" w:color="auto" w:fill="F2F2F2" w:themeFill="background1" w:themeFillShade="F2"/>
                  <w:vAlign w:val="bottom"/>
                </w:tcPr>
                <w:p w14:paraId="7874CA37" w14:textId="77777777" w:rsidR="0011262F" w:rsidRDefault="0011262F" w:rsidP="00B54007">
                  <w:pPr>
                    <w:pStyle w:val="TableBodyText"/>
                    <w:ind w:right="28"/>
                  </w:pPr>
                  <w:r w:rsidRPr="00C358C1">
                    <w:t>-0.035</w:t>
                  </w:r>
                </w:p>
              </w:tc>
              <w:tc>
                <w:tcPr>
                  <w:tcW w:w="631" w:type="pct"/>
                  <w:shd w:val="clear" w:color="auto" w:fill="F2F2F2" w:themeFill="background1" w:themeFillShade="F2"/>
                  <w:vAlign w:val="bottom"/>
                </w:tcPr>
                <w:p w14:paraId="337E9B63" w14:textId="77777777" w:rsidR="0011262F" w:rsidRDefault="0011262F" w:rsidP="00B54007">
                  <w:pPr>
                    <w:pStyle w:val="TableBodyText"/>
                    <w:ind w:right="28"/>
                  </w:pPr>
                  <w:r w:rsidRPr="00C358C1">
                    <w:t>0.020</w:t>
                  </w:r>
                </w:p>
              </w:tc>
              <w:tc>
                <w:tcPr>
                  <w:tcW w:w="631" w:type="pct"/>
                  <w:shd w:val="clear" w:color="auto" w:fill="F2F2F2" w:themeFill="background1" w:themeFillShade="F2"/>
                  <w:vAlign w:val="bottom"/>
                </w:tcPr>
                <w:p w14:paraId="1B1C051A" w14:textId="77777777" w:rsidR="0011262F" w:rsidRDefault="0011262F" w:rsidP="00B54007">
                  <w:pPr>
                    <w:pStyle w:val="TableBodyText"/>
                  </w:pPr>
                  <w:r w:rsidRPr="00C358C1">
                    <w:t>0.074</w:t>
                  </w:r>
                </w:p>
              </w:tc>
            </w:tr>
            <w:tr w:rsidR="0011262F" w14:paraId="23098B47" w14:textId="77777777" w:rsidTr="00B54007">
              <w:tc>
                <w:tcPr>
                  <w:tcW w:w="1843" w:type="pct"/>
                  <w:shd w:val="clear" w:color="auto" w:fill="auto"/>
                  <w:vAlign w:val="bottom"/>
                </w:tcPr>
                <w:p w14:paraId="1ABA716F" w14:textId="77777777" w:rsidR="0011262F" w:rsidRDefault="0011262F" w:rsidP="00B54007">
                  <w:pPr>
                    <w:pStyle w:val="TableBodyText"/>
                    <w:jc w:val="left"/>
                  </w:pPr>
                  <w:r w:rsidRPr="00C358C1">
                    <w:t>Retail</w:t>
                  </w:r>
                </w:p>
              </w:tc>
              <w:tc>
                <w:tcPr>
                  <w:tcW w:w="631" w:type="pct"/>
                  <w:vAlign w:val="bottom"/>
                </w:tcPr>
                <w:p w14:paraId="7D9E76A7" w14:textId="77777777" w:rsidR="0011262F" w:rsidRDefault="0011262F" w:rsidP="00B54007">
                  <w:pPr>
                    <w:pStyle w:val="TableBodyText"/>
                    <w:ind w:right="28"/>
                  </w:pPr>
                  <w:r w:rsidRPr="00C358C1">
                    <w:t>0.000</w:t>
                  </w:r>
                </w:p>
              </w:tc>
              <w:tc>
                <w:tcPr>
                  <w:tcW w:w="631" w:type="pct"/>
                  <w:shd w:val="clear" w:color="auto" w:fill="auto"/>
                  <w:vAlign w:val="bottom"/>
                </w:tcPr>
                <w:p w14:paraId="433AE1E0" w14:textId="77777777" w:rsidR="0011262F" w:rsidRDefault="0011262F" w:rsidP="00B54007">
                  <w:pPr>
                    <w:pStyle w:val="TableBodyText"/>
                    <w:ind w:right="28"/>
                  </w:pPr>
                  <w:r w:rsidRPr="00C358C1">
                    <w:t>0.024</w:t>
                  </w:r>
                </w:p>
              </w:tc>
              <w:tc>
                <w:tcPr>
                  <w:tcW w:w="631" w:type="pct"/>
                  <w:shd w:val="clear" w:color="auto" w:fill="auto"/>
                  <w:vAlign w:val="bottom"/>
                </w:tcPr>
                <w:p w14:paraId="44F815EE" w14:textId="77777777" w:rsidR="0011262F" w:rsidRDefault="0011262F" w:rsidP="00B54007">
                  <w:pPr>
                    <w:pStyle w:val="TableBodyText"/>
                    <w:ind w:right="28"/>
                  </w:pPr>
                  <w:r w:rsidRPr="00C358C1">
                    <w:t>-0.044</w:t>
                  </w:r>
                </w:p>
              </w:tc>
              <w:tc>
                <w:tcPr>
                  <w:tcW w:w="631" w:type="pct"/>
                  <w:vAlign w:val="bottom"/>
                </w:tcPr>
                <w:p w14:paraId="7C6E3734" w14:textId="77777777" w:rsidR="0011262F" w:rsidRDefault="0011262F" w:rsidP="00B54007">
                  <w:pPr>
                    <w:pStyle w:val="TableBodyText"/>
                    <w:ind w:right="28"/>
                  </w:pPr>
                  <w:r w:rsidRPr="00C358C1">
                    <w:t>0.001</w:t>
                  </w:r>
                </w:p>
              </w:tc>
              <w:tc>
                <w:tcPr>
                  <w:tcW w:w="631" w:type="pct"/>
                  <w:vAlign w:val="bottom"/>
                </w:tcPr>
                <w:p w14:paraId="2B48CDBD" w14:textId="77777777" w:rsidR="0011262F" w:rsidRDefault="0011262F" w:rsidP="00B54007">
                  <w:pPr>
                    <w:pStyle w:val="TableBodyText"/>
                  </w:pPr>
                  <w:r w:rsidRPr="00C358C1">
                    <w:t>0.045</w:t>
                  </w:r>
                </w:p>
              </w:tc>
            </w:tr>
            <w:tr w:rsidR="0011262F" w14:paraId="42A81F95" w14:textId="77777777" w:rsidTr="00B54007">
              <w:tc>
                <w:tcPr>
                  <w:tcW w:w="1843" w:type="pct"/>
                  <w:shd w:val="clear" w:color="auto" w:fill="F2F2F2" w:themeFill="background1" w:themeFillShade="F2"/>
                  <w:vAlign w:val="bottom"/>
                </w:tcPr>
                <w:p w14:paraId="4030DE70" w14:textId="77777777" w:rsidR="0011262F" w:rsidRDefault="0011262F" w:rsidP="00B54007">
                  <w:pPr>
                    <w:pStyle w:val="TableBodyText"/>
                    <w:jc w:val="left"/>
                  </w:pPr>
                  <w:r w:rsidRPr="00C358C1">
                    <w:t>Change in admin expenses due to size</w:t>
                  </w:r>
                </w:p>
              </w:tc>
              <w:tc>
                <w:tcPr>
                  <w:tcW w:w="631" w:type="pct"/>
                  <w:shd w:val="clear" w:color="auto" w:fill="F2F2F2" w:themeFill="background1" w:themeFillShade="F2"/>
                  <w:vAlign w:val="bottom"/>
                </w:tcPr>
                <w:p w14:paraId="2DD238A5" w14:textId="77777777" w:rsidR="0011262F" w:rsidRDefault="0011262F" w:rsidP="00B54007">
                  <w:pPr>
                    <w:pStyle w:val="TableBodyText"/>
                    <w:ind w:right="28"/>
                  </w:pPr>
                  <w:r w:rsidRPr="00C358C1">
                    <w:t>0.096</w:t>
                  </w:r>
                </w:p>
              </w:tc>
              <w:tc>
                <w:tcPr>
                  <w:tcW w:w="631" w:type="pct"/>
                  <w:shd w:val="clear" w:color="auto" w:fill="F2F2F2" w:themeFill="background1" w:themeFillShade="F2"/>
                  <w:vAlign w:val="bottom"/>
                </w:tcPr>
                <w:p w14:paraId="74D3D021" w14:textId="77777777" w:rsidR="0011262F" w:rsidRDefault="0011262F" w:rsidP="00B54007">
                  <w:pPr>
                    <w:pStyle w:val="TableBodyText"/>
                    <w:ind w:right="28"/>
                  </w:pPr>
                  <w:r w:rsidRPr="00C358C1">
                    <w:t>0.199</w:t>
                  </w:r>
                </w:p>
              </w:tc>
              <w:tc>
                <w:tcPr>
                  <w:tcW w:w="631" w:type="pct"/>
                  <w:shd w:val="clear" w:color="auto" w:fill="F2F2F2" w:themeFill="background1" w:themeFillShade="F2"/>
                  <w:vAlign w:val="bottom"/>
                </w:tcPr>
                <w:p w14:paraId="7CE4790C" w14:textId="77777777" w:rsidR="0011262F" w:rsidRDefault="0011262F" w:rsidP="00B54007">
                  <w:pPr>
                    <w:pStyle w:val="TableBodyText"/>
                    <w:ind w:right="28"/>
                  </w:pPr>
                  <w:r w:rsidRPr="00C358C1">
                    <w:t>-0.301</w:t>
                  </w:r>
                </w:p>
              </w:tc>
              <w:tc>
                <w:tcPr>
                  <w:tcW w:w="631" w:type="pct"/>
                  <w:shd w:val="clear" w:color="auto" w:fill="F2F2F2" w:themeFill="background1" w:themeFillShade="F2"/>
                  <w:vAlign w:val="bottom"/>
                </w:tcPr>
                <w:p w14:paraId="6404B353" w14:textId="77777777" w:rsidR="0011262F" w:rsidRDefault="0011262F" w:rsidP="00B54007">
                  <w:pPr>
                    <w:pStyle w:val="TableBodyText"/>
                    <w:ind w:right="28"/>
                  </w:pPr>
                  <w:r w:rsidRPr="00C358C1">
                    <w:t>0.097</w:t>
                  </w:r>
                </w:p>
              </w:tc>
              <w:tc>
                <w:tcPr>
                  <w:tcW w:w="631" w:type="pct"/>
                  <w:shd w:val="clear" w:color="auto" w:fill="F2F2F2" w:themeFill="background1" w:themeFillShade="F2"/>
                  <w:vAlign w:val="bottom"/>
                </w:tcPr>
                <w:p w14:paraId="23605BA2" w14:textId="77777777" w:rsidR="0011262F" w:rsidRDefault="0011262F" w:rsidP="00B54007">
                  <w:pPr>
                    <w:pStyle w:val="TableBodyText"/>
                  </w:pPr>
                  <w:r w:rsidRPr="00C358C1">
                    <w:t>0.494</w:t>
                  </w:r>
                </w:p>
              </w:tc>
            </w:tr>
            <w:tr w:rsidR="0011262F" w14:paraId="5FC97B75" w14:textId="77777777" w:rsidTr="00B54007">
              <w:tc>
                <w:tcPr>
                  <w:tcW w:w="1843" w:type="pct"/>
                  <w:shd w:val="clear" w:color="auto" w:fill="auto"/>
                  <w:vAlign w:val="bottom"/>
                </w:tcPr>
                <w:p w14:paraId="46D066C7" w14:textId="77777777" w:rsidR="0011262F" w:rsidRDefault="0011262F" w:rsidP="00B54007">
                  <w:pPr>
                    <w:pStyle w:val="TableBodyText"/>
                    <w:jc w:val="left"/>
                  </w:pPr>
                  <w:r w:rsidRPr="00C358C1">
                    <w:t>Industry x Change in admin expenses due to size</w:t>
                  </w:r>
                </w:p>
              </w:tc>
              <w:tc>
                <w:tcPr>
                  <w:tcW w:w="631" w:type="pct"/>
                  <w:vAlign w:val="bottom"/>
                </w:tcPr>
                <w:p w14:paraId="4403BD5B" w14:textId="77777777" w:rsidR="0011262F" w:rsidRDefault="0011262F" w:rsidP="00B54007">
                  <w:pPr>
                    <w:pStyle w:val="TableBodyText"/>
                    <w:ind w:right="28"/>
                  </w:pPr>
                  <w:r w:rsidRPr="00C358C1">
                    <w:t>-0.087</w:t>
                  </w:r>
                </w:p>
              </w:tc>
              <w:tc>
                <w:tcPr>
                  <w:tcW w:w="631" w:type="pct"/>
                  <w:shd w:val="clear" w:color="auto" w:fill="auto"/>
                  <w:vAlign w:val="bottom"/>
                </w:tcPr>
                <w:p w14:paraId="5E841676" w14:textId="77777777" w:rsidR="0011262F" w:rsidRDefault="0011262F" w:rsidP="00B54007">
                  <w:pPr>
                    <w:pStyle w:val="TableBodyText"/>
                    <w:ind w:right="28"/>
                  </w:pPr>
                  <w:r w:rsidRPr="00C358C1">
                    <w:t>0.211</w:t>
                  </w:r>
                </w:p>
              </w:tc>
              <w:tc>
                <w:tcPr>
                  <w:tcW w:w="631" w:type="pct"/>
                  <w:shd w:val="clear" w:color="auto" w:fill="auto"/>
                  <w:vAlign w:val="bottom"/>
                </w:tcPr>
                <w:p w14:paraId="0C5E94DF" w14:textId="77777777" w:rsidR="0011262F" w:rsidRDefault="0011262F" w:rsidP="00B54007">
                  <w:pPr>
                    <w:pStyle w:val="TableBodyText"/>
                    <w:ind w:right="28"/>
                  </w:pPr>
                  <w:r w:rsidRPr="00C358C1">
                    <w:t>-0.511</w:t>
                  </w:r>
                </w:p>
              </w:tc>
              <w:tc>
                <w:tcPr>
                  <w:tcW w:w="631" w:type="pct"/>
                  <w:vAlign w:val="bottom"/>
                </w:tcPr>
                <w:p w14:paraId="2381E6FC" w14:textId="77777777" w:rsidR="0011262F" w:rsidRDefault="0011262F" w:rsidP="00B54007">
                  <w:pPr>
                    <w:pStyle w:val="TableBodyText"/>
                    <w:ind w:right="28"/>
                  </w:pPr>
                  <w:r w:rsidRPr="00C358C1">
                    <w:t>-0.088</w:t>
                  </w:r>
                </w:p>
              </w:tc>
              <w:tc>
                <w:tcPr>
                  <w:tcW w:w="631" w:type="pct"/>
                  <w:vAlign w:val="bottom"/>
                </w:tcPr>
                <w:p w14:paraId="49871F52" w14:textId="77777777" w:rsidR="0011262F" w:rsidRDefault="0011262F" w:rsidP="00B54007">
                  <w:pPr>
                    <w:pStyle w:val="TableBodyText"/>
                  </w:pPr>
                  <w:r w:rsidRPr="00C358C1">
                    <w:t>0.320</w:t>
                  </w:r>
                </w:p>
              </w:tc>
            </w:tr>
            <w:tr w:rsidR="0011262F" w14:paraId="78A7103C" w14:textId="77777777" w:rsidTr="00B54007">
              <w:tc>
                <w:tcPr>
                  <w:tcW w:w="1843" w:type="pct"/>
                  <w:shd w:val="clear" w:color="auto" w:fill="F2F2F2" w:themeFill="background1" w:themeFillShade="F2"/>
                  <w:vAlign w:val="bottom"/>
                </w:tcPr>
                <w:p w14:paraId="4F921C35" w14:textId="77777777" w:rsidR="0011262F" w:rsidRDefault="0011262F" w:rsidP="00B54007">
                  <w:pPr>
                    <w:pStyle w:val="TableBodyText"/>
                    <w:jc w:val="left"/>
                  </w:pPr>
                  <w:r w:rsidRPr="00C358C1">
                    <w:t>Public x Change in admin expenses due to size</w:t>
                  </w:r>
                </w:p>
              </w:tc>
              <w:tc>
                <w:tcPr>
                  <w:tcW w:w="631" w:type="pct"/>
                  <w:shd w:val="clear" w:color="auto" w:fill="F2F2F2" w:themeFill="background1" w:themeFillShade="F2"/>
                  <w:vAlign w:val="bottom"/>
                </w:tcPr>
                <w:p w14:paraId="3350FBE4" w14:textId="77777777" w:rsidR="0011262F" w:rsidRDefault="0011262F" w:rsidP="00B54007">
                  <w:pPr>
                    <w:pStyle w:val="TableBodyText"/>
                    <w:ind w:right="28"/>
                  </w:pPr>
                  <w:r w:rsidRPr="00C358C1">
                    <w:t>-0.039</w:t>
                  </w:r>
                </w:p>
              </w:tc>
              <w:tc>
                <w:tcPr>
                  <w:tcW w:w="631" w:type="pct"/>
                  <w:shd w:val="clear" w:color="auto" w:fill="F2F2F2" w:themeFill="background1" w:themeFillShade="F2"/>
                  <w:vAlign w:val="bottom"/>
                </w:tcPr>
                <w:p w14:paraId="44DC1D1D" w14:textId="77777777" w:rsidR="0011262F" w:rsidRDefault="0011262F" w:rsidP="00B54007">
                  <w:pPr>
                    <w:pStyle w:val="TableBodyText"/>
                    <w:ind w:right="28"/>
                  </w:pPr>
                  <w:r w:rsidRPr="00C358C1">
                    <w:t>0.239</w:t>
                  </w:r>
                </w:p>
              </w:tc>
              <w:tc>
                <w:tcPr>
                  <w:tcW w:w="631" w:type="pct"/>
                  <w:shd w:val="clear" w:color="auto" w:fill="F2F2F2" w:themeFill="background1" w:themeFillShade="F2"/>
                  <w:vAlign w:val="bottom"/>
                </w:tcPr>
                <w:p w14:paraId="4B55BFB8" w14:textId="77777777" w:rsidR="0011262F" w:rsidRDefault="0011262F" w:rsidP="00B54007">
                  <w:pPr>
                    <w:pStyle w:val="TableBodyText"/>
                    <w:ind w:right="28"/>
                  </w:pPr>
                  <w:r w:rsidRPr="00C358C1">
                    <w:t>-0.513</w:t>
                  </w:r>
                </w:p>
              </w:tc>
              <w:tc>
                <w:tcPr>
                  <w:tcW w:w="631" w:type="pct"/>
                  <w:shd w:val="clear" w:color="auto" w:fill="F2F2F2" w:themeFill="background1" w:themeFillShade="F2"/>
                  <w:vAlign w:val="bottom"/>
                </w:tcPr>
                <w:p w14:paraId="33A8DC0C" w14:textId="77777777" w:rsidR="0011262F" w:rsidRDefault="0011262F" w:rsidP="00B54007">
                  <w:pPr>
                    <w:pStyle w:val="TableBodyText"/>
                    <w:ind w:right="28"/>
                  </w:pPr>
                  <w:r w:rsidRPr="00C358C1">
                    <w:t>-0.041</w:t>
                  </w:r>
                </w:p>
              </w:tc>
              <w:tc>
                <w:tcPr>
                  <w:tcW w:w="631" w:type="pct"/>
                  <w:shd w:val="clear" w:color="auto" w:fill="F2F2F2" w:themeFill="background1" w:themeFillShade="F2"/>
                  <w:vAlign w:val="bottom"/>
                </w:tcPr>
                <w:p w14:paraId="700E88E8" w14:textId="77777777" w:rsidR="0011262F" w:rsidRDefault="0011262F" w:rsidP="00B54007">
                  <w:pPr>
                    <w:pStyle w:val="TableBodyText"/>
                  </w:pPr>
                  <w:r w:rsidRPr="00C358C1">
                    <w:t>0.436</w:t>
                  </w:r>
                </w:p>
              </w:tc>
            </w:tr>
            <w:tr w:rsidR="0011262F" w14:paraId="24DB49CA" w14:textId="77777777" w:rsidTr="00B54007">
              <w:tc>
                <w:tcPr>
                  <w:tcW w:w="1843" w:type="pct"/>
                  <w:shd w:val="clear" w:color="auto" w:fill="auto"/>
                  <w:vAlign w:val="bottom"/>
                </w:tcPr>
                <w:p w14:paraId="3C26B3A0" w14:textId="77777777" w:rsidR="0011262F" w:rsidRDefault="0011262F" w:rsidP="00B54007">
                  <w:pPr>
                    <w:pStyle w:val="TableBodyText"/>
                    <w:jc w:val="left"/>
                  </w:pPr>
                  <w:r w:rsidRPr="00C358C1">
                    <w:t>Retail x Change in admin expenses due to size</w:t>
                  </w:r>
                </w:p>
              </w:tc>
              <w:tc>
                <w:tcPr>
                  <w:tcW w:w="631" w:type="pct"/>
                  <w:vAlign w:val="bottom"/>
                </w:tcPr>
                <w:p w14:paraId="33C5D545" w14:textId="77777777" w:rsidR="0011262F" w:rsidRDefault="0011262F" w:rsidP="00B54007">
                  <w:pPr>
                    <w:pStyle w:val="TableBodyText"/>
                    <w:ind w:right="28"/>
                  </w:pPr>
                  <w:r w:rsidRPr="00C358C1">
                    <w:t>-0.107</w:t>
                  </w:r>
                </w:p>
              </w:tc>
              <w:tc>
                <w:tcPr>
                  <w:tcW w:w="631" w:type="pct"/>
                  <w:shd w:val="clear" w:color="auto" w:fill="auto"/>
                  <w:vAlign w:val="bottom"/>
                </w:tcPr>
                <w:p w14:paraId="4793913B" w14:textId="77777777" w:rsidR="0011262F" w:rsidRDefault="0011262F" w:rsidP="00B54007">
                  <w:pPr>
                    <w:pStyle w:val="TableBodyText"/>
                    <w:ind w:right="28"/>
                  </w:pPr>
                  <w:r w:rsidRPr="00C358C1">
                    <w:t>0.206</w:t>
                  </w:r>
                </w:p>
              </w:tc>
              <w:tc>
                <w:tcPr>
                  <w:tcW w:w="631" w:type="pct"/>
                  <w:shd w:val="clear" w:color="auto" w:fill="auto"/>
                  <w:vAlign w:val="bottom"/>
                </w:tcPr>
                <w:p w14:paraId="0337641F" w14:textId="77777777" w:rsidR="0011262F" w:rsidRDefault="0011262F" w:rsidP="00B54007">
                  <w:pPr>
                    <w:pStyle w:val="TableBodyText"/>
                    <w:ind w:right="28"/>
                  </w:pPr>
                  <w:r w:rsidRPr="00C358C1">
                    <w:t>-0.507</w:t>
                  </w:r>
                </w:p>
              </w:tc>
              <w:tc>
                <w:tcPr>
                  <w:tcW w:w="631" w:type="pct"/>
                  <w:vAlign w:val="bottom"/>
                </w:tcPr>
                <w:p w14:paraId="7F08AB03" w14:textId="77777777" w:rsidR="0011262F" w:rsidRDefault="0011262F" w:rsidP="00B54007">
                  <w:pPr>
                    <w:pStyle w:val="TableBodyText"/>
                    <w:ind w:right="28"/>
                  </w:pPr>
                  <w:r w:rsidRPr="00C358C1">
                    <w:t>-0.108</w:t>
                  </w:r>
                </w:p>
              </w:tc>
              <w:tc>
                <w:tcPr>
                  <w:tcW w:w="631" w:type="pct"/>
                  <w:vAlign w:val="bottom"/>
                </w:tcPr>
                <w:p w14:paraId="0A958350" w14:textId="77777777" w:rsidR="0011262F" w:rsidRDefault="0011262F" w:rsidP="00B54007">
                  <w:pPr>
                    <w:pStyle w:val="TableBodyText"/>
                  </w:pPr>
                  <w:r w:rsidRPr="00C358C1">
                    <w:t>0.313</w:t>
                  </w:r>
                </w:p>
              </w:tc>
            </w:tr>
            <w:tr w:rsidR="0011262F" w14:paraId="35D6E56C" w14:textId="77777777" w:rsidTr="00B54007">
              <w:tc>
                <w:tcPr>
                  <w:tcW w:w="1843" w:type="pct"/>
                  <w:shd w:val="clear" w:color="auto" w:fill="F2F2F2" w:themeFill="background1" w:themeFillShade="F2"/>
                  <w:vAlign w:val="bottom"/>
                </w:tcPr>
                <w:p w14:paraId="0BAA86EE" w14:textId="77777777" w:rsidR="0011262F" w:rsidRDefault="0011262F" w:rsidP="00B54007">
                  <w:pPr>
                    <w:pStyle w:val="TableBodyText"/>
                    <w:jc w:val="left"/>
                  </w:pPr>
                  <w:r w:rsidRPr="00C358C1">
                    <w:t>Intercept</w:t>
                  </w:r>
                </w:p>
              </w:tc>
              <w:tc>
                <w:tcPr>
                  <w:tcW w:w="631" w:type="pct"/>
                  <w:shd w:val="clear" w:color="auto" w:fill="F2F2F2" w:themeFill="background1" w:themeFillShade="F2"/>
                  <w:vAlign w:val="bottom"/>
                </w:tcPr>
                <w:p w14:paraId="280702F2" w14:textId="77777777" w:rsidR="0011262F" w:rsidRDefault="0011262F" w:rsidP="00B54007">
                  <w:pPr>
                    <w:pStyle w:val="TableBodyText"/>
                    <w:ind w:right="28"/>
                  </w:pPr>
                  <w:r w:rsidRPr="00C358C1">
                    <w:t>-0.016</w:t>
                  </w:r>
                </w:p>
              </w:tc>
              <w:tc>
                <w:tcPr>
                  <w:tcW w:w="631" w:type="pct"/>
                  <w:shd w:val="clear" w:color="auto" w:fill="F2F2F2" w:themeFill="background1" w:themeFillShade="F2"/>
                  <w:vAlign w:val="bottom"/>
                </w:tcPr>
                <w:p w14:paraId="3008D761" w14:textId="77777777" w:rsidR="0011262F" w:rsidRDefault="0011262F" w:rsidP="00B54007">
                  <w:pPr>
                    <w:pStyle w:val="TableBodyText"/>
                    <w:ind w:right="28"/>
                  </w:pPr>
                  <w:r w:rsidRPr="00C358C1">
                    <w:t>0.021</w:t>
                  </w:r>
                </w:p>
              </w:tc>
              <w:tc>
                <w:tcPr>
                  <w:tcW w:w="631" w:type="pct"/>
                  <w:shd w:val="clear" w:color="auto" w:fill="F2F2F2" w:themeFill="background1" w:themeFillShade="F2"/>
                  <w:vAlign w:val="bottom"/>
                </w:tcPr>
                <w:p w14:paraId="5E3B796E" w14:textId="77777777" w:rsidR="0011262F" w:rsidRDefault="0011262F" w:rsidP="00B54007">
                  <w:pPr>
                    <w:pStyle w:val="TableBodyText"/>
                    <w:ind w:right="28"/>
                  </w:pPr>
                  <w:r w:rsidRPr="00C358C1">
                    <w:t>-0.057</w:t>
                  </w:r>
                </w:p>
              </w:tc>
              <w:tc>
                <w:tcPr>
                  <w:tcW w:w="631" w:type="pct"/>
                  <w:shd w:val="clear" w:color="auto" w:fill="F2F2F2" w:themeFill="background1" w:themeFillShade="F2"/>
                  <w:vAlign w:val="bottom"/>
                </w:tcPr>
                <w:p w14:paraId="2AAE5EF5" w14:textId="77777777" w:rsidR="0011262F" w:rsidRDefault="0011262F" w:rsidP="00B54007">
                  <w:pPr>
                    <w:pStyle w:val="TableBodyText"/>
                    <w:ind w:right="28"/>
                  </w:pPr>
                  <w:r w:rsidRPr="00C358C1">
                    <w:t>-0.016</w:t>
                  </w:r>
                </w:p>
              </w:tc>
              <w:tc>
                <w:tcPr>
                  <w:tcW w:w="631" w:type="pct"/>
                  <w:shd w:val="clear" w:color="auto" w:fill="F2F2F2" w:themeFill="background1" w:themeFillShade="F2"/>
                  <w:vAlign w:val="bottom"/>
                </w:tcPr>
                <w:p w14:paraId="7E7DA95A" w14:textId="77777777" w:rsidR="0011262F" w:rsidRDefault="0011262F" w:rsidP="00B54007">
                  <w:pPr>
                    <w:pStyle w:val="TableBodyText"/>
                  </w:pPr>
                  <w:r w:rsidRPr="00C358C1">
                    <w:t>0.025</w:t>
                  </w:r>
                </w:p>
              </w:tc>
            </w:tr>
            <w:tr w:rsidR="0011262F" w14:paraId="1B50EEF8" w14:textId="77777777" w:rsidTr="00B54007">
              <w:tc>
                <w:tcPr>
                  <w:tcW w:w="1843" w:type="pct"/>
                  <w:shd w:val="clear" w:color="auto" w:fill="auto"/>
                  <w:vAlign w:val="bottom"/>
                </w:tcPr>
                <w:p w14:paraId="102C204D" w14:textId="77777777" w:rsidR="0011262F" w:rsidRDefault="0011262F" w:rsidP="00B54007">
                  <w:pPr>
                    <w:pStyle w:val="TableBodyText"/>
                    <w:jc w:val="left"/>
                  </w:pPr>
                  <w:r w:rsidRPr="00C358C1">
                    <w:t>SD of admin pass-through</w:t>
                  </w:r>
                </w:p>
              </w:tc>
              <w:tc>
                <w:tcPr>
                  <w:tcW w:w="631" w:type="pct"/>
                  <w:vAlign w:val="bottom"/>
                </w:tcPr>
                <w:p w14:paraId="07DFE911" w14:textId="77777777" w:rsidR="0011262F" w:rsidRDefault="0011262F" w:rsidP="00B54007">
                  <w:pPr>
                    <w:pStyle w:val="TableBodyText"/>
                    <w:ind w:right="28"/>
                  </w:pPr>
                  <w:r w:rsidRPr="00C358C1">
                    <w:t>0.164</w:t>
                  </w:r>
                </w:p>
              </w:tc>
              <w:tc>
                <w:tcPr>
                  <w:tcW w:w="631" w:type="pct"/>
                  <w:shd w:val="clear" w:color="auto" w:fill="auto"/>
                  <w:vAlign w:val="bottom"/>
                </w:tcPr>
                <w:p w14:paraId="33FCE268" w14:textId="77777777" w:rsidR="0011262F" w:rsidRDefault="0011262F" w:rsidP="00B54007">
                  <w:pPr>
                    <w:pStyle w:val="TableBodyText"/>
                    <w:ind w:right="28"/>
                  </w:pPr>
                  <w:r w:rsidRPr="00C358C1">
                    <w:t>0.003</w:t>
                  </w:r>
                </w:p>
              </w:tc>
              <w:tc>
                <w:tcPr>
                  <w:tcW w:w="631" w:type="pct"/>
                  <w:shd w:val="clear" w:color="auto" w:fill="auto"/>
                  <w:vAlign w:val="bottom"/>
                </w:tcPr>
                <w:p w14:paraId="07867039" w14:textId="77777777" w:rsidR="0011262F" w:rsidRDefault="0011262F" w:rsidP="00B54007">
                  <w:pPr>
                    <w:pStyle w:val="TableBodyText"/>
                    <w:ind w:right="28"/>
                  </w:pPr>
                  <w:r w:rsidRPr="00C358C1">
                    <w:t>0.158</w:t>
                  </w:r>
                </w:p>
              </w:tc>
              <w:tc>
                <w:tcPr>
                  <w:tcW w:w="631" w:type="pct"/>
                  <w:vAlign w:val="bottom"/>
                </w:tcPr>
                <w:p w14:paraId="4B8BF646" w14:textId="77777777" w:rsidR="0011262F" w:rsidRDefault="0011262F" w:rsidP="00B54007">
                  <w:pPr>
                    <w:pStyle w:val="TableBodyText"/>
                    <w:ind w:right="28"/>
                  </w:pPr>
                  <w:r w:rsidRPr="00C358C1">
                    <w:t>0.164</w:t>
                  </w:r>
                </w:p>
              </w:tc>
              <w:tc>
                <w:tcPr>
                  <w:tcW w:w="631" w:type="pct"/>
                  <w:vAlign w:val="bottom"/>
                </w:tcPr>
                <w:p w14:paraId="5373C4C7" w14:textId="77777777" w:rsidR="0011262F" w:rsidRDefault="0011262F" w:rsidP="00B54007">
                  <w:pPr>
                    <w:pStyle w:val="TableBodyText"/>
                  </w:pPr>
                  <w:r w:rsidRPr="00C358C1">
                    <w:t>0.171</w:t>
                  </w:r>
                </w:p>
              </w:tc>
            </w:tr>
            <w:tr w:rsidR="0011262F" w14:paraId="0C2336DD" w14:textId="77777777" w:rsidTr="00B54007">
              <w:tc>
                <w:tcPr>
                  <w:tcW w:w="1843" w:type="pct"/>
                  <w:shd w:val="clear" w:color="auto" w:fill="F2F2F2" w:themeFill="background1" w:themeFillShade="F2"/>
                  <w:vAlign w:val="bottom"/>
                </w:tcPr>
                <w:p w14:paraId="0AEC706C" w14:textId="77777777" w:rsidR="0011262F" w:rsidRDefault="0011262F" w:rsidP="00B54007">
                  <w:pPr>
                    <w:pStyle w:val="TableBodyText"/>
                    <w:jc w:val="left"/>
                  </w:pPr>
                  <w:r w:rsidRPr="00C358C1">
                    <w:t>SD of varying intercept</w:t>
                  </w:r>
                </w:p>
              </w:tc>
              <w:tc>
                <w:tcPr>
                  <w:tcW w:w="631" w:type="pct"/>
                  <w:shd w:val="clear" w:color="auto" w:fill="F2F2F2" w:themeFill="background1" w:themeFillShade="F2"/>
                  <w:vAlign w:val="bottom"/>
                </w:tcPr>
                <w:p w14:paraId="2BA187EC" w14:textId="77777777" w:rsidR="0011262F" w:rsidRDefault="0011262F" w:rsidP="00B54007">
                  <w:pPr>
                    <w:pStyle w:val="TableBodyText"/>
                    <w:ind w:right="28"/>
                  </w:pPr>
                  <w:r w:rsidRPr="00C358C1">
                    <w:t>0.039</w:t>
                  </w:r>
                </w:p>
              </w:tc>
              <w:tc>
                <w:tcPr>
                  <w:tcW w:w="631" w:type="pct"/>
                  <w:shd w:val="clear" w:color="auto" w:fill="F2F2F2" w:themeFill="background1" w:themeFillShade="F2"/>
                  <w:vAlign w:val="bottom"/>
                </w:tcPr>
                <w:p w14:paraId="6EE83469" w14:textId="77777777" w:rsidR="0011262F" w:rsidRDefault="0011262F" w:rsidP="00B54007">
                  <w:pPr>
                    <w:pStyle w:val="TableBodyText"/>
                    <w:ind w:right="28"/>
                  </w:pPr>
                  <w:r w:rsidRPr="00C358C1">
                    <w:t>0.005</w:t>
                  </w:r>
                </w:p>
              </w:tc>
              <w:tc>
                <w:tcPr>
                  <w:tcW w:w="631" w:type="pct"/>
                  <w:shd w:val="clear" w:color="auto" w:fill="F2F2F2" w:themeFill="background1" w:themeFillShade="F2"/>
                  <w:vAlign w:val="bottom"/>
                </w:tcPr>
                <w:p w14:paraId="5D2F8B84" w14:textId="77777777" w:rsidR="0011262F" w:rsidRDefault="0011262F" w:rsidP="00B54007">
                  <w:pPr>
                    <w:pStyle w:val="TableBodyText"/>
                    <w:ind w:right="28"/>
                  </w:pPr>
                  <w:r w:rsidRPr="00C358C1">
                    <w:t>0.030</w:t>
                  </w:r>
                </w:p>
              </w:tc>
              <w:tc>
                <w:tcPr>
                  <w:tcW w:w="631" w:type="pct"/>
                  <w:shd w:val="clear" w:color="auto" w:fill="F2F2F2" w:themeFill="background1" w:themeFillShade="F2"/>
                  <w:vAlign w:val="bottom"/>
                </w:tcPr>
                <w:p w14:paraId="04082C09" w14:textId="77777777" w:rsidR="0011262F" w:rsidRDefault="0011262F" w:rsidP="00B54007">
                  <w:pPr>
                    <w:pStyle w:val="TableBodyText"/>
                    <w:ind w:right="28"/>
                  </w:pPr>
                  <w:r w:rsidRPr="00C358C1">
                    <w:t>0.039</w:t>
                  </w:r>
                </w:p>
              </w:tc>
              <w:tc>
                <w:tcPr>
                  <w:tcW w:w="631" w:type="pct"/>
                  <w:shd w:val="clear" w:color="auto" w:fill="F2F2F2" w:themeFill="background1" w:themeFillShade="F2"/>
                  <w:vAlign w:val="bottom"/>
                </w:tcPr>
                <w:p w14:paraId="488E0A05" w14:textId="77777777" w:rsidR="0011262F" w:rsidRDefault="0011262F" w:rsidP="00B54007">
                  <w:pPr>
                    <w:pStyle w:val="TableBodyText"/>
                  </w:pPr>
                  <w:r w:rsidRPr="00C358C1">
                    <w:t>0.048</w:t>
                  </w:r>
                </w:p>
              </w:tc>
            </w:tr>
            <w:tr w:rsidR="0011262F" w14:paraId="3051AF1C" w14:textId="77777777" w:rsidTr="00B54007">
              <w:tc>
                <w:tcPr>
                  <w:tcW w:w="1843" w:type="pct"/>
                  <w:shd w:val="clear" w:color="auto" w:fill="auto"/>
                  <w:vAlign w:val="bottom"/>
                </w:tcPr>
                <w:p w14:paraId="3DFC75FB" w14:textId="77777777" w:rsidR="0011262F" w:rsidRDefault="0011262F" w:rsidP="00B54007">
                  <w:pPr>
                    <w:pStyle w:val="TableBodyText"/>
                    <w:jc w:val="left"/>
                  </w:pPr>
                  <w:r w:rsidRPr="00C358C1">
                    <w:t xml:space="preserve">SD of varying </w:t>
                  </w:r>
                  <w:r>
                    <w:t xml:space="preserve">slope: </w:t>
                  </w:r>
                  <w:r w:rsidRPr="00C358C1">
                    <w:t>Change in admin expenses due to size</w:t>
                  </w:r>
                </w:p>
              </w:tc>
              <w:tc>
                <w:tcPr>
                  <w:tcW w:w="631" w:type="pct"/>
                  <w:vAlign w:val="bottom"/>
                </w:tcPr>
                <w:p w14:paraId="1946F2C8" w14:textId="77777777" w:rsidR="0011262F" w:rsidRDefault="0011262F" w:rsidP="00B54007">
                  <w:pPr>
                    <w:pStyle w:val="TableBodyText"/>
                    <w:ind w:right="28"/>
                  </w:pPr>
                  <w:r w:rsidRPr="00C358C1">
                    <w:t>0.165</w:t>
                  </w:r>
                </w:p>
              </w:tc>
              <w:tc>
                <w:tcPr>
                  <w:tcW w:w="631" w:type="pct"/>
                  <w:shd w:val="clear" w:color="auto" w:fill="auto"/>
                  <w:vAlign w:val="bottom"/>
                </w:tcPr>
                <w:p w14:paraId="51DC98E7" w14:textId="77777777" w:rsidR="0011262F" w:rsidRDefault="0011262F" w:rsidP="00B54007">
                  <w:pPr>
                    <w:pStyle w:val="TableBodyText"/>
                    <w:ind w:right="28"/>
                  </w:pPr>
                  <w:r w:rsidRPr="00C358C1">
                    <w:t>0.047</w:t>
                  </w:r>
                </w:p>
              </w:tc>
              <w:tc>
                <w:tcPr>
                  <w:tcW w:w="631" w:type="pct"/>
                  <w:shd w:val="clear" w:color="auto" w:fill="auto"/>
                  <w:vAlign w:val="bottom"/>
                </w:tcPr>
                <w:p w14:paraId="16E2C33E" w14:textId="77777777" w:rsidR="0011262F" w:rsidRDefault="0011262F" w:rsidP="00B54007">
                  <w:pPr>
                    <w:pStyle w:val="TableBodyText"/>
                    <w:ind w:right="28"/>
                  </w:pPr>
                  <w:r w:rsidRPr="00C358C1">
                    <w:t>0.093</w:t>
                  </w:r>
                </w:p>
              </w:tc>
              <w:tc>
                <w:tcPr>
                  <w:tcW w:w="631" w:type="pct"/>
                  <w:vAlign w:val="bottom"/>
                </w:tcPr>
                <w:p w14:paraId="1468D587" w14:textId="77777777" w:rsidR="0011262F" w:rsidRDefault="0011262F" w:rsidP="00B54007">
                  <w:pPr>
                    <w:pStyle w:val="TableBodyText"/>
                    <w:ind w:right="28"/>
                  </w:pPr>
                  <w:r w:rsidRPr="00C358C1">
                    <w:t>0.157</w:t>
                  </w:r>
                </w:p>
              </w:tc>
              <w:tc>
                <w:tcPr>
                  <w:tcW w:w="631" w:type="pct"/>
                  <w:vAlign w:val="bottom"/>
                </w:tcPr>
                <w:p w14:paraId="14D451C5" w14:textId="77777777" w:rsidR="0011262F" w:rsidRDefault="0011262F" w:rsidP="00B54007">
                  <w:pPr>
                    <w:pStyle w:val="TableBodyText"/>
                  </w:pPr>
                  <w:r w:rsidRPr="00C358C1">
                    <w:t>0.274</w:t>
                  </w:r>
                </w:p>
              </w:tc>
            </w:tr>
            <w:tr w:rsidR="0011262F" w14:paraId="45C8ED27" w14:textId="77777777" w:rsidTr="00B54007">
              <w:tc>
                <w:tcPr>
                  <w:tcW w:w="1843" w:type="pct"/>
                  <w:shd w:val="clear" w:color="auto" w:fill="auto"/>
                  <w:vAlign w:val="bottom"/>
                </w:tcPr>
                <w:p w14:paraId="48B79605" w14:textId="77777777" w:rsidR="0011262F" w:rsidRDefault="0011262F" w:rsidP="00B54007">
                  <w:pPr>
                    <w:pStyle w:val="TableBodyText"/>
                    <w:jc w:val="left"/>
                  </w:pPr>
                </w:p>
              </w:tc>
              <w:tc>
                <w:tcPr>
                  <w:tcW w:w="631" w:type="pct"/>
                  <w:vAlign w:val="bottom"/>
                </w:tcPr>
                <w:p w14:paraId="46031748" w14:textId="77777777" w:rsidR="0011262F" w:rsidRDefault="0011262F" w:rsidP="00B54007">
                  <w:pPr>
                    <w:pStyle w:val="TableBodyText"/>
                    <w:ind w:right="28"/>
                  </w:pPr>
                </w:p>
              </w:tc>
              <w:tc>
                <w:tcPr>
                  <w:tcW w:w="631" w:type="pct"/>
                  <w:shd w:val="clear" w:color="auto" w:fill="auto"/>
                  <w:vAlign w:val="bottom"/>
                </w:tcPr>
                <w:p w14:paraId="7FA0FA59" w14:textId="77777777" w:rsidR="0011262F" w:rsidRDefault="0011262F" w:rsidP="00B54007">
                  <w:pPr>
                    <w:pStyle w:val="TableBodyText"/>
                    <w:ind w:right="28"/>
                  </w:pPr>
                </w:p>
              </w:tc>
              <w:tc>
                <w:tcPr>
                  <w:tcW w:w="631" w:type="pct"/>
                  <w:shd w:val="clear" w:color="auto" w:fill="auto"/>
                  <w:vAlign w:val="bottom"/>
                </w:tcPr>
                <w:p w14:paraId="5DB11653" w14:textId="77777777" w:rsidR="0011262F" w:rsidRDefault="0011262F" w:rsidP="00B54007">
                  <w:pPr>
                    <w:pStyle w:val="TableBodyText"/>
                    <w:ind w:right="28"/>
                  </w:pPr>
                </w:p>
              </w:tc>
              <w:tc>
                <w:tcPr>
                  <w:tcW w:w="631" w:type="pct"/>
                  <w:vAlign w:val="bottom"/>
                </w:tcPr>
                <w:p w14:paraId="6DB260DD" w14:textId="77777777" w:rsidR="0011262F" w:rsidRDefault="0011262F" w:rsidP="00B54007">
                  <w:pPr>
                    <w:pStyle w:val="TableBodyText"/>
                    <w:ind w:right="28"/>
                  </w:pPr>
                </w:p>
              </w:tc>
              <w:tc>
                <w:tcPr>
                  <w:tcW w:w="631" w:type="pct"/>
                  <w:vAlign w:val="bottom"/>
                </w:tcPr>
                <w:p w14:paraId="6F3B0202" w14:textId="77777777" w:rsidR="0011262F" w:rsidRDefault="0011262F" w:rsidP="00B54007">
                  <w:pPr>
                    <w:pStyle w:val="TableBodyText"/>
                  </w:pPr>
                </w:p>
              </w:tc>
            </w:tr>
            <w:tr w:rsidR="0011262F" w14:paraId="4F9593AF" w14:textId="77777777" w:rsidTr="00B54007">
              <w:tc>
                <w:tcPr>
                  <w:tcW w:w="1843" w:type="pct"/>
                  <w:shd w:val="clear" w:color="auto" w:fill="BFBFBF" w:themeFill="background1" w:themeFillShade="BF"/>
                  <w:vAlign w:val="bottom"/>
                </w:tcPr>
                <w:p w14:paraId="483ED6B2" w14:textId="77777777" w:rsidR="0011262F" w:rsidRDefault="0011262F" w:rsidP="00B54007">
                  <w:pPr>
                    <w:pStyle w:val="TableBodyText"/>
                    <w:jc w:val="left"/>
                  </w:pPr>
                  <w:r w:rsidRPr="00992D7E">
                    <w:rPr>
                      <w:b/>
                    </w:rPr>
                    <w:t>Pass-through: Investment fees</w:t>
                  </w:r>
                </w:p>
              </w:tc>
              <w:tc>
                <w:tcPr>
                  <w:tcW w:w="631" w:type="pct"/>
                  <w:shd w:val="clear" w:color="auto" w:fill="BFBFBF" w:themeFill="background1" w:themeFillShade="BF"/>
                  <w:vAlign w:val="bottom"/>
                </w:tcPr>
                <w:p w14:paraId="2DBF493A" w14:textId="77777777" w:rsidR="0011262F" w:rsidRDefault="0011262F" w:rsidP="00B54007">
                  <w:pPr>
                    <w:pStyle w:val="TableBodyText"/>
                    <w:ind w:right="28"/>
                  </w:pPr>
                </w:p>
              </w:tc>
              <w:tc>
                <w:tcPr>
                  <w:tcW w:w="631" w:type="pct"/>
                  <w:shd w:val="clear" w:color="auto" w:fill="BFBFBF" w:themeFill="background1" w:themeFillShade="BF"/>
                  <w:vAlign w:val="bottom"/>
                </w:tcPr>
                <w:p w14:paraId="1E68F264" w14:textId="77777777" w:rsidR="0011262F" w:rsidRDefault="0011262F" w:rsidP="00B54007">
                  <w:pPr>
                    <w:pStyle w:val="TableBodyText"/>
                    <w:ind w:right="28"/>
                  </w:pPr>
                </w:p>
              </w:tc>
              <w:tc>
                <w:tcPr>
                  <w:tcW w:w="631" w:type="pct"/>
                  <w:shd w:val="clear" w:color="auto" w:fill="BFBFBF" w:themeFill="background1" w:themeFillShade="BF"/>
                  <w:vAlign w:val="bottom"/>
                </w:tcPr>
                <w:p w14:paraId="3B27A245" w14:textId="77777777" w:rsidR="0011262F" w:rsidRDefault="0011262F" w:rsidP="00B54007">
                  <w:pPr>
                    <w:pStyle w:val="TableBodyText"/>
                    <w:ind w:right="28"/>
                  </w:pPr>
                </w:p>
              </w:tc>
              <w:tc>
                <w:tcPr>
                  <w:tcW w:w="631" w:type="pct"/>
                  <w:shd w:val="clear" w:color="auto" w:fill="BFBFBF" w:themeFill="background1" w:themeFillShade="BF"/>
                  <w:vAlign w:val="bottom"/>
                </w:tcPr>
                <w:p w14:paraId="7A8916E4" w14:textId="77777777" w:rsidR="0011262F" w:rsidRDefault="0011262F" w:rsidP="00B54007">
                  <w:pPr>
                    <w:pStyle w:val="TableBodyText"/>
                    <w:ind w:right="28"/>
                  </w:pPr>
                </w:p>
              </w:tc>
              <w:tc>
                <w:tcPr>
                  <w:tcW w:w="631" w:type="pct"/>
                  <w:shd w:val="clear" w:color="auto" w:fill="BFBFBF" w:themeFill="background1" w:themeFillShade="BF"/>
                  <w:vAlign w:val="bottom"/>
                </w:tcPr>
                <w:p w14:paraId="78402342" w14:textId="77777777" w:rsidR="0011262F" w:rsidRDefault="0011262F" w:rsidP="00B54007">
                  <w:pPr>
                    <w:pStyle w:val="TableBodyText"/>
                  </w:pPr>
                </w:p>
              </w:tc>
            </w:tr>
            <w:tr w:rsidR="0011262F" w14:paraId="2A0E4E06" w14:textId="77777777" w:rsidTr="00B54007">
              <w:tc>
                <w:tcPr>
                  <w:tcW w:w="1843" w:type="pct"/>
                  <w:shd w:val="clear" w:color="auto" w:fill="auto"/>
                  <w:vAlign w:val="bottom"/>
                </w:tcPr>
                <w:p w14:paraId="384F9264" w14:textId="77777777" w:rsidR="0011262F" w:rsidRDefault="0011262F" w:rsidP="00B54007">
                  <w:pPr>
                    <w:pStyle w:val="TableBodyText"/>
                    <w:jc w:val="left"/>
                  </w:pPr>
                  <w:r w:rsidRPr="00C358C1">
                    <w:t>Industry</w:t>
                  </w:r>
                </w:p>
              </w:tc>
              <w:tc>
                <w:tcPr>
                  <w:tcW w:w="631" w:type="pct"/>
                  <w:vAlign w:val="bottom"/>
                </w:tcPr>
                <w:p w14:paraId="5FAFDCCB" w14:textId="77777777" w:rsidR="0011262F" w:rsidRDefault="0011262F" w:rsidP="00B54007">
                  <w:pPr>
                    <w:pStyle w:val="TableBodyText"/>
                    <w:ind w:right="28"/>
                  </w:pPr>
                  <w:r w:rsidRPr="00C358C1">
                    <w:t>-0.020</w:t>
                  </w:r>
                </w:p>
              </w:tc>
              <w:tc>
                <w:tcPr>
                  <w:tcW w:w="631" w:type="pct"/>
                  <w:shd w:val="clear" w:color="auto" w:fill="auto"/>
                  <w:vAlign w:val="bottom"/>
                </w:tcPr>
                <w:p w14:paraId="78B6491C" w14:textId="77777777" w:rsidR="0011262F" w:rsidRDefault="0011262F" w:rsidP="00B54007">
                  <w:pPr>
                    <w:pStyle w:val="TableBodyText"/>
                    <w:ind w:right="28"/>
                  </w:pPr>
                  <w:r w:rsidRPr="00C358C1">
                    <w:t>0.052</w:t>
                  </w:r>
                </w:p>
              </w:tc>
              <w:tc>
                <w:tcPr>
                  <w:tcW w:w="631" w:type="pct"/>
                  <w:shd w:val="clear" w:color="auto" w:fill="auto"/>
                  <w:vAlign w:val="bottom"/>
                </w:tcPr>
                <w:p w14:paraId="041FB08F" w14:textId="77777777" w:rsidR="0011262F" w:rsidRDefault="0011262F" w:rsidP="00B54007">
                  <w:pPr>
                    <w:pStyle w:val="TableBodyText"/>
                    <w:ind w:right="28"/>
                  </w:pPr>
                  <w:r w:rsidRPr="00C358C1">
                    <w:t>-0.121</w:t>
                  </w:r>
                </w:p>
              </w:tc>
              <w:tc>
                <w:tcPr>
                  <w:tcW w:w="631" w:type="pct"/>
                  <w:vAlign w:val="bottom"/>
                </w:tcPr>
                <w:p w14:paraId="4EC51B51" w14:textId="77777777" w:rsidR="0011262F" w:rsidRDefault="0011262F" w:rsidP="00B54007">
                  <w:pPr>
                    <w:pStyle w:val="TableBodyText"/>
                    <w:ind w:right="28"/>
                  </w:pPr>
                  <w:r w:rsidRPr="00C358C1">
                    <w:t>-0.019</w:t>
                  </w:r>
                </w:p>
              </w:tc>
              <w:tc>
                <w:tcPr>
                  <w:tcW w:w="631" w:type="pct"/>
                  <w:vAlign w:val="bottom"/>
                </w:tcPr>
                <w:p w14:paraId="7AB5C332" w14:textId="77777777" w:rsidR="0011262F" w:rsidRDefault="0011262F" w:rsidP="00B54007">
                  <w:pPr>
                    <w:pStyle w:val="TableBodyText"/>
                  </w:pPr>
                  <w:r w:rsidRPr="00C358C1">
                    <w:t>0.080</w:t>
                  </w:r>
                </w:p>
              </w:tc>
            </w:tr>
            <w:tr w:rsidR="0011262F" w14:paraId="2A0DEC0F" w14:textId="77777777" w:rsidTr="00B54007">
              <w:tc>
                <w:tcPr>
                  <w:tcW w:w="1843" w:type="pct"/>
                  <w:shd w:val="clear" w:color="auto" w:fill="F2F2F2" w:themeFill="background1" w:themeFillShade="F2"/>
                  <w:vAlign w:val="bottom"/>
                </w:tcPr>
                <w:p w14:paraId="01D41593" w14:textId="77777777" w:rsidR="0011262F" w:rsidRDefault="0011262F" w:rsidP="00B54007">
                  <w:pPr>
                    <w:pStyle w:val="TableBodyText"/>
                    <w:jc w:val="left"/>
                  </w:pPr>
                  <w:r w:rsidRPr="00C358C1">
                    <w:t>Public</w:t>
                  </w:r>
                </w:p>
              </w:tc>
              <w:tc>
                <w:tcPr>
                  <w:tcW w:w="631" w:type="pct"/>
                  <w:shd w:val="clear" w:color="auto" w:fill="F2F2F2" w:themeFill="background1" w:themeFillShade="F2"/>
                  <w:vAlign w:val="bottom"/>
                </w:tcPr>
                <w:p w14:paraId="404C5044" w14:textId="77777777" w:rsidR="0011262F" w:rsidRDefault="0011262F" w:rsidP="00B54007">
                  <w:pPr>
                    <w:pStyle w:val="TableBodyText"/>
                    <w:ind w:right="28"/>
                  </w:pPr>
                  <w:r w:rsidRPr="00C358C1">
                    <w:t>-0.009</w:t>
                  </w:r>
                </w:p>
              </w:tc>
              <w:tc>
                <w:tcPr>
                  <w:tcW w:w="631" w:type="pct"/>
                  <w:shd w:val="clear" w:color="auto" w:fill="F2F2F2" w:themeFill="background1" w:themeFillShade="F2"/>
                  <w:vAlign w:val="bottom"/>
                </w:tcPr>
                <w:p w14:paraId="4AB00C75" w14:textId="77777777" w:rsidR="0011262F" w:rsidRDefault="0011262F" w:rsidP="00B54007">
                  <w:pPr>
                    <w:pStyle w:val="TableBodyText"/>
                    <w:ind w:right="28"/>
                  </w:pPr>
                  <w:r w:rsidRPr="00C358C1">
                    <w:t>0.064</w:t>
                  </w:r>
                </w:p>
              </w:tc>
              <w:tc>
                <w:tcPr>
                  <w:tcW w:w="631" w:type="pct"/>
                  <w:shd w:val="clear" w:color="auto" w:fill="F2F2F2" w:themeFill="background1" w:themeFillShade="F2"/>
                  <w:vAlign w:val="bottom"/>
                </w:tcPr>
                <w:p w14:paraId="5EDAC77C" w14:textId="77777777" w:rsidR="0011262F" w:rsidRDefault="0011262F" w:rsidP="00B54007">
                  <w:pPr>
                    <w:pStyle w:val="TableBodyText"/>
                    <w:ind w:right="28"/>
                  </w:pPr>
                  <w:r w:rsidRPr="00C358C1">
                    <w:t>-0.135</w:t>
                  </w:r>
                </w:p>
              </w:tc>
              <w:tc>
                <w:tcPr>
                  <w:tcW w:w="631" w:type="pct"/>
                  <w:shd w:val="clear" w:color="auto" w:fill="F2F2F2" w:themeFill="background1" w:themeFillShade="F2"/>
                  <w:vAlign w:val="bottom"/>
                </w:tcPr>
                <w:p w14:paraId="0A23B7DE" w14:textId="77777777" w:rsidR="0011262F" w:rsidRDefault="0011262F" w:rsidP="00B54007">
                  <w:pPr>
                    <w:pStyle w:val="TableBodyText"/>
                    <w:ind w:right="28"/>
                  </w:pPr>
                  <w:r w:rsidRPr="00C358C1">
                    <w:t>-0.010</w:t>
                  </w:r>
                </w:p>
              </w:tc>
              <w:tc>
                <w:tcPr>
                  <w:tcW w:w="631" w:type="pct"/>
                  <w:shd w:val="clear" w:color="auto" w:fill="F2F2F2" w:themeFill="background1" w:themeFillShade="F2"/>
                  <w:vAlign w:val="bottom"/>
                </w:tcPr>
                <w:p w14:paraId="17516EA2" w14:textId="77777777" w:rsidR="0011262F" w:rsidRDefault="0011262F" w:rsidP="00B54007">
                  <w:pPr>
                    <w:pStyle w:val="TableBodyText"/>
                  </w:pPr>
                  <w:r w:rsidRPr="00C358C1">
                    <w:t>0.123</w:t>
                  </w:r>
                </w:p>
              </w:tc>
            </w:tr>
            <w:tr w:rsidR="0011262F" w14:paraId="01C14FAF" w14:textId="77777777" w:rsidTr="00B54007">
              <w:tc>
                <w:tcPr>
                  <w:tcW w:w="1843" w:type="pct"/>
                  <w:shd w:val="clear" w:color="auto" w:fill="auto"/>
                  <w:vAlign w:val="bottom"/>
                </w:tcPr>
                <w:p w14:paraId="7325BF8E" w14:textId="77777777" w:rsidR="0011262F" w:rsidRDefault="0011262F" w:rsidP="00B54007">
                  <w:pPr>
                    <w:pStyle w:val="TableBodyText"/>
                    <w:jc w:val="left"/>
                  </w:pPr>
                  <w:r w:rsidRPr="00C358C1">
                    <w:t>Retail</w:t>
                  </w:r>
                </w:p>
              </w:tc>
              <w:tc>
                <w:tcPr>
                  <w:tcW w:w="631" w:type="pct"/>
                  <w:vAlign w:val="bottom"/>
                </w:tcPr>
                <w:p w14:paraId="0A32AF10" w14:textId="77777777" w:rsidR="0011262F" w:rsidRDefault="0011262F" w:rsidP="00B54007">
                  <w:pPr>
                    <w:pStyle w:val="TableBodyText"/>
                    <w:ind w:right="28"/>
                  </w:pPr>
                  <w:r w:rsidRPr="00C358C1">
                    <w:t>-0.028</w:t>
                  </w:r>
                </w:p>
              </w:tc>
              <w:tc>
                <w:tcPr>
                  <w:tcW w:w="631" w:type="pct"/>
                  <w:shd w:val="clear" w:color="auto" w:fill="auto"/>
                  <w:vAlign w:val="bottom"/>
                </w:tcPr>
                <w:p w14:paraId="5572B1AF" w14:textId="77777777" w:rsidR="0011262F" w:rsidRDefault="0011262F" w:rsidP="00B54007">
                  <w:pPr>
                    <w:pStyle w:val="TableBodyText"/>
                    <w:ind w:right="28"/>
                  </w:pPr>
                  <w:r w:rsidRPr="00C358C1">
                    <w:t>0.048</w:t>
                  </w:r>
                </w:p>
              </w:tc>
              <w:tc>
                <w:tcPr>
                  <w:tcW w:w="631" w:type="pct"/>
                  <w:shd w:val="clear" w:color="auto" w:fill="auto"/>
                  <w:vAlign w:val="bottom"/>
                </w:tcPr>
                <w:p w14:paraId="2C175B3F" w14:textId="77777777" w:rsidR="0011262F" w:rsidRDefault="0011262F" w:rsidP="00B54007">
                  <w:pPr>
                    <w:pStyle w:val="TableBodyText"/>
                    <w:ind w:right="28"/>
                  </w:pPr>
                  <w:r w:rsidRPr="00C358C1">
                    <w:t>-0.119</w:t>
                  </w:r>
                </w:p>
              </w:tc>
              <w:tc>
                <w:tcPr>
                  <w:tcW w:w="631" w:type="pct"/>
                  <w:vAlign w:val="bottom"/>
                </w:tcPr>
                <w:p w14:paraId="17143D1B" w14:textId="77777777" w:rsidR="0011262F" w:rsidRDefault="0011262F" w:rsidP="00B54007">
                  <w:pPr>
                    <w:pStyle w:val="TableBodyText"/>
                    <w:ind w:right="28"/>
                  </w:pPr>
                  <w:r w:rsidRPr="00C358C1">
                    <w:t>-0.028</w:t>
                  </w:r>
                </w:p>
              </w:tc>
              <w:tc>
                <w:tcPr>
                  <w:tcW w:w="631" w:type="pct"/>
                  <w:vAlign w:val="bottom"/>
                </w:tcPr>
                <w:p w14:paraId="7E78F7A4" w14:textId="77777777" w:rsidR="0011262F" w:rsidRDefault="0011262F" w:rsidP="00B54007">
                  <w:pPr>
                    <w:pStyle w:val="TableBodyText"/>
                  </w:pPr>
                  <w:r w:rsidRPr="00C358C1">
                    <w:t>0.065</w:t>
                  </w:r>
                </w:p>
              </w:tc>
            </w:tr>
            <w:tr w:rsidR="0011262F" w14:paraId="0B6F54B3" w14:textId="77777777" w:rsidTr="00B54007">
              <w:tc>
                <w:tcPr>
                  <w:tcW w:w="1843" w:type="pct"/>
                  <w:shd w:val="clear" w:color="auto" w:fill="F2F2F2" w:themeFill="background1" w:themeFillShade="F2"/>
                  <w:vAlign w:val="bottom"/>
                </w:tcPr>
                <w:p w14:paraId="701A9ED9" w14:textId="77777777" w:rsidR="0011262F" w:rsidRDefault="0011262F" w:rsidP="00B54007">
                  <w:pPr>
                    <w:pStyle w:val="TableBodyText"/>
                    <w:jc w:val="left"/>
                  </w:pPr>
                  <w:r w:rsidRPr="00C358C1">
                    <w:t>Change in investment expenses due to size</w:t>
                  </w:r>
                </w:p>
              </w:tc>
              <w:tc>
                <w:tcPr>
                  <w:tcW w:w="631" w:type="pct"/>
                  <w:shd w:val="clear" w:color="auto" w:fill="F2F2F2" w:themeFill="background1" w:themeFillShade="F2"/>
                  <w:vAlign w:val="bottom"/>
                </w:tcPr>
                <w:p w14:paraId="484CE677" w14:textId="77777777" w:rsidR="0011262F" w:rsidRDefault="0011262F" w:rsidP="00B54007">
                  <w:pPr>
                    <w:pStyle w:val="TableBodyText"/>
                    <w:ind w:right="28"/>
                  </w:pPr>
                  <w:r w:rsidRPr="00C358C1">
                    <w:t>-0.177</w:t>
                  </w:r>
                </w:p>
              </w:tc>
              <w:tc>
                <w:tcPr>
                  <w:tcW w:w="631" w:type="pct"/>
                  <w:shd w:val="clear" w:color="auto" w:fill="F2F2F2" w:themeFill="background1" w:themeFillShade="F2"/>
                  <w:vAlign w:val="bottom"/>
                </w:tcPr>
                <w:p w14:paraId="493248E8" w14:textId="77777777" w:rsidR="0011262F" w:rsidRDefault="0011262F" w:rsidP="00B54007">
                  <w:pPr>
                    <w:pStyle w:val="TableBodyText"/>
                    <w:ind w:right="28"/>
                  </w:pPr>
                  <w:r w:rsidRPr="00C358C1">
                    <w:t>0.253</w:t>
                  </w:r>
                </w:p>
              </w:tc>
              <w:tc>
                <w:tcPr>
                  <w:tcW w:w="631" w:type="pct"/>
                  <w:shd w:val="clear" w:color="auto" w:fill="F2F2F2" w:themeFill="background1" w:themeFillShade="F2"/>
                  <w:vAlign w:val="bottom"/>
                </w:tcPr>
                <w:p w14:paraId="2923D8C7" w14:textId="77777777" w:rsidR="0011262F" w:rsidRDefault="0011262F" w:rsidP="00B54007">
                  <w:pPr>
                    <w:pStyle w:val="TableBodyText"/>
                    <w:ind w:right="28"/>
                  </w:pPr>
                  <w:r w:rsidRPr="00C358C1">
                    <w:t>-0.670</w:t>
                  </w:r>
                </w:p>
              </w:tc>
              <w:tc>
                <w:tcPr>
                  <w:tcW w:w="631" w:type="pct"/>
                  <w:shd w:val="clear" w:color="auto" w:fill="F2F2F2" w:themeFill="background1" w:themeFillShade="F2"/>
                  <w:vAlign w:val="bottom"/>
                </w:tcPr>
                <w:p w14:paraId="5F4024BB" w14:textId="77777777" w:rsidR="0011262F" w:rsidRDefault="0011262F" w:rsidP="00B54007">
                  <w:pPr>
                    <w:pStyle w:val="TableBodyText"/>
                    <w:ind w:right="28"/>
                  </w:pPr>
                  <w:r w:rsidRPr="00C358C1">
                    <w:t>-0.175</w:t>
                  </w:r>
                </w:p>
              </w:tc>
              <w:tc>
                <w:tcPr>
                  <w:tcW w:w="631" w:type="pct"/>
                  <w:shd w:val="clear" w:color="auto" w:fill="F2F2F2" w:themeFill="background1" w:themeFillShade="F2"/>
                  <w:vAlign w:val="bottom"/>
                </w:tcPr>
                <w:p w14:paraId="3ACDFCFD" w14:textId="77777777" w:rsidR="0011262F" w:rsidRDefault="0011262F" w:rsidP="00B54007">
                  <w:pPr>
                    <w:pStyle w:val="TableBodyText"/>
                  </w:pPr>
                  <w:r w:rsidRPr="00C358C1">
                    <w:t>0.318</w:t>
                  </w:r>
                </w:p>
              </w:tc>
            </w:tr>
            <w:tr w:rsidR="0011262F" w14:paraId="1DB88D15" w14:textId="77777777" w:rsidTr="00B54007">
              <w:tc>
                <w:tcPr>
                  <w:tcW w:w="1843" w:type="pct"/>
                  <w:shd w:val="clear" w:color="auto" w:fill="auto"/>
                  <w:vAlign w:val="bottom"/>
                </w:tcPr>
                <w:p w14:paraId="491101E3" w14:textId="77777777" w:rsidR="0011262F" w:rsidRDefault="0011262F" w:rsidP="00B54007">
                  <w:pPr>
                    <w:pStyle w:val="TableBodyText"/>
                    <w:jc w:val="left"/>
                  </w:pPr>
                  <w:r w:rsidRPr="00C358C1">
                    <w:t>Industry x Change in investment expenses due to size</w:t>
                  </w:r>
                </w:p>
              </w:tc>
              <w:tc>
                <w:tcPr>
                  <w:tcW w:w="631" w:type="pct"/>
                  <w:vAlign w:val="bottom"/>
                </w:tcPr>
                <w:p w14:paraId="2C823769" w14:textId="77777777" w:rsidR="0011262F" w:rsidRDefault="0011262F" w:rsidP="00B54007">
                  <w:pPr>
                    <w:pStyle w:val="TableBodyText"/>
                    <w:ind w:right="28"/>
                  </w:pPr>
                  <w:r w:rsidRPr="00C358C1">
                    <w:t>0.120</w:t>
                  </w:r>
                </w:p>
              </w:tc>
              <w:tc>
                <w:tcPr>
                  <w:tcW w:w="631" w:type="pct"/>
                  <w:shd w:val="clear" w:color="auto" w:fill="auto"/>
                  <w:vAlign w:val="bottom"/>
                </w:tcPr>
                <w:p w14:paraId="1A9477BC" w14:textId="77777777" w:rsidR="0011262F" w:rsidRDefault="0011262F" w:rsidP="00B54007">
                  <w:pPr>
                    <w:pStyle w:val="TableBodyText"/>
                    <w:ind w:right="28"/>
                  </w:pPr>
                  <w:r w:rsidRPr="00C358C1">
                    <w:t>0.320</w:t>
                  </w:r>
                </w:p>
              </w:tc>
              <w:tc>
                <w:tcPr>
                  <w:tcW w:w="631" w:type="pct"/>
                  <w:shd w:val="clear" w:color="auto" w:fill="auto"/>
                  <w:vAlign w:val="bottom"/>
                </w:tcPr>
                <w:p w14:paraId="4CC230CD" w14:textId="77777777" w:rsidR="0011262F" w:rsidRDefault="0011262F" w:rsidP="00B54007">
                  <w:pPr>
                    <w:pStyle w:val="TableBodyText"/>
                    <w:ind w:right="28"/>
                  </w:pPr>
                  <w:r w:rsidRPr="00C358C1">
                    <w:t>-0.494</w:t>
                  </w:r>
                </w:p>
              </w:tc>
              <w:tc>
                <w:tcPr>
                  <w:tcW w:w="631" w:type="pct"/>
                  <w:vAlign w:val="bottom"/>
                </w:tcPr>
                <w:p w14:paraId="50D70994" w14:textId="77777777" w:rsidR="0011262F" w:rsidRDefault="0011262F" w:rsidP="00B54007">
                  <w:pPr>
                    <w:pStyle w:val="TableBodyText"/>
                    <w:ind w:right="28"/>
                  </w:pPr>
                  <w:r w:rsidRPr="00C358C1">
                    <w:t>0.125</w:t>
                  </w:r>
                </w:p>
              </w:tc>
              <w:tc>
                <w:tcPr>
                  <w:tcW w:w="631" w:type="pct"/>
                  <w:vAlign w:val="bottom"/>
                </w:tcPr>
                <w:p w14:paraId="64975C30" w14:textId="77777777" w:rsidR="0011262F" w:rsidRDefault="0011262F" w:rsidP="00B54007">
                  <w:pPr>
                    <w:pStyle w:val="TableBodyText"/>
                  </w:pPr>
                  <w:r w:rsidRPr="00C358C1">
                    <w:t>0.757</w:t>
                  </w:r>
                </w:p>
              </w:tc>
            </w:tr>
            <w:tr w:rsidR="0011262F" w14:paraId="68BF43A2" w14:textId="77777777" w:rsidTr="00B54007">
              <w:tc>
                <w:tcPr>
                  <w:tcW w:w="1843" w:type="pct"/>
                  <w:shd w:val="clear" w:color="auto" w:fill="F2F2F2" w:themeFill="background1" w:themeFillShade="F2"/>
                  <w:vAlign w:val="bottom"/>
                </w:tcPr>
                <w:p w14:paraId="4C092AD5" w14:textId="77777777" w:rsidR="0011262F" w:rsidRDefault="0011262F" w:rsidP="00B54007">
                  <w:pPr>
                    <w:pStyle w:val="TableBodyText"/>
                    <w:jc w:val="left"/>
                  </w:pPr>
                  <w:r w:rsidRPr="00C358C1">
                    <w:t>Public x Change in investment expenses due to size</w:t>
                  </w:r>
                </w:p>
              </w:tc>
              <w:tc>
                <w:tcPr>
                  <w:tcW w:w="631" w:type="pct"/>
                  <w:shd w:val="clear" w:color="auto" w:fill="F2F2F2" w:themeFill="background1" w:themeFillShade="F2"/>
                  <w:vAlign w:val="bottom"/>
                </w:tcPr>
                <w:p w14:paraId="16BCFCCE" w14:textId="77777777" w:rsidR="0011262F" w:rsidRDefault="0011262F" w:rsidP="00B54007">
                  <w:pPr>
                    <w:pStyle w:val="TableBodyText"/>
                    <w:ind w:right="28"/>
                  </w:pPr>
                  <w:r w:rsidRPr="00C358C1">
                    <w:t>-0.021</w:t>
                  </w:r>
                </w:p>
              </w:tc>
              <w:tc>
                <w:tcPr>
                  <w:tcW w:w="631" w:type="pct"/>
                  <w:shd w:val="clear" w:color="auto" w:fill="F2F2F2" w:themeFill="background1" w:themeFillShade="F2"/>
                  <w:vAlign w:val="bottom"/>
                </w:tcPr>
                <w:p w14:paraId="6B3B32FD" w14:textId="77777777" w:rsidR="0011262F" w:rsidRDefault="0011262F" w:rsidP="00B54007">
                  <w:pPr>
                    <w:pStyle w:val="TableBodyText"/>
                    <w:ind w:right="28"/>
                  </w:pPr>
                  <w:r w:rsidRPr="00C358C1">
                    <w:t>0.418</w:t>
                  </w:r>
                </w:p>
              </w:tc>
              <w:tc>
                <w:tcPr>
                  <w:tcW w:w="631" w:type="pct"/>
                  <w:shd w:val="clear" w:color="auto" w:fill="F2F2F2" w:themeFill="background1" w:themeFillShade="F2"/>
                  <w:vAlign w:val="bottom"/>
                </w:tcPr>
                <w:p w14:paraId="5920110A" w14:textId="77777777" w:rsidR="0011262F" w:rsidRDefault="0011262F" w:rsidP="00B54007">
                  <w:pPr>
                    <w:pStyle w:val="TableBodyText"/>
                    <w:ind w:right="28"/>
                  </w:pPr>
                  <w:r w:rsidRPr="00C358C1">
                    <w:t>-0.843</w:t>
                  </w:r>
                </w:p>
              </w:tc>
              <w:tc>
                <w:tcPr>
                  <w:tcW w:w="631" w:type="pct"/>
                  <w:shd w:val="clear" w:color="auto" w:fill="F2F2F2" w:themeFill="background1" w:themeFillShade="F2"/>
                  <w:vAlign w:val="bottom"/>
                </w:tcPr>
                <w:p w14:paraId="3E3A93A9" w14:textId="77777777" w:rsidR="0011262F" w:rsidRDefault="0011262F" w:rsidP="00B54007">
                  <w:pPr>
                    <w:pStyle w:val="TableBodyText"/>
                    <w:ind w:right="28"/>
                  </w:pPr>
                  <w:r w:rsidRPr="00C358C1">
                    <w:t>-0.011</w:t>
                  </w:r>
                </w:p>
              </w:tc>
              <w:tc>
                <w:tcPr>
                  <w:tcW w:w="631" w:type="pct"/>
                  <w:shd w:val="clear" w:color="auto" w:fill="F2F2F2" w:themeFill="background1" w:themeFillShade="F2"/>
                  <w:vAlign w:val="bottom"/>
                </w:tcPr>
                <w:p w14:paraId="683F8ADE" w14:textId="77777777" w:rsidR="0011262F" w:rsidRDefault="0011262F" w:rsidP="00B54007">
                  <w:pPr>
                    <w:pStyle w:val="TableBodyText"/>
                  </w:pPr>
                  <w:r w:rsidRPr="00C358C1">
                    <w:t>0.779</w:t>
                  </w:r>
                </w:p>
              </w:tc>
            </w:tr>
            <w:tr w:rsidR="0011262F" w14:paraId="113209D7" w14:textId="77777777" w:rsidTr="00B54007">
              <w:tc>
                <w:tcPr>
                  <w:tcW w:w="1843" w:type="pct"/>
                  <w:shd w:val="clear" w:color="auto" w:fill="auto"/>
                  <w:vAlign w:val="bottom"/>
                </w:tcPr>
                <w:p w14:paraId="0C9287A7" w14:textId="77777777" w:rsidR="0011262F" w:rsidRDefault="0011262F" w:rsidP="00B54007">
                  <w:pPr>
                    <w:pStyle w:val="TableBodyText"/>
                    <w:jc w:val="left"/>
                  </w:pPr>
                  <w:r w:rsidRPr="00C358C1">
                    <w:t>Retail x Change in investment expenses due to size</w:t>
                  </w:r>
                </w:p>
              </w:tc>
              <w:tc>
                <w:tcPr>
                  <w:tcW w:w="631" w:type="pct"/>
                  <w:vAlign w:val="bottom"/>
                </w:tcPr>
                <w:p w14:paraId="6C6AD76C" w14:textId="77777777" w:rsidR="0011262F" w:rsidRDefault="0011262F" w:rsidP="00B54007">
                  <w:pPr>
                    <w:pStyle w:val="TableBodyText"/>
                    <w:ind w:right="28"/>
                  </w:pPr>
                  <w:r w:rsidRPr="00C358C1">
                    <w:t>-0.313</w:t>
                  </w:r>
                </w:p>
              </w:tc>
              <w:tc>
                <w:tcPr>
                  <w:tcW w:w="631" w:type="pct"/>
                  <w:shd w:val="clear" w:color="auto" w:fill="auto"/>
                  <w:vAlign w:val="bottom"/>
                </w:tcPr>
                <w:p w14:paraId="59D74E8E" w14:textId="77777777" w:rsidR="0011262F" w:rsidRDefault="0011262F" w:rsidP="00B54007">
                  <w:pPr>
                    <w:pStyle w:val="TableBodyText"/>
                    <w:ind w:right="28"/>
                  </w:pPr>
                  <w:r w:rsidRPr="00C358C1">
                    <w:t>0.317</w:t>
                  </w:r>
                </w:p>
              </w:tc>
              <w:tc>
                <w:tcPr>
                  <w:tcW w:w="631" w:type="pct"/>
                  <w:shd w:val="clear" w:color="auto" w:fill="auto"/>
                  <w:vAlign w:val="bottom"/>
                </w:tcPr>
                <w:p w14:paraId="33ED9566" w14:textId="77777777" w:rsidR="0011262F" w:rsidRDefault="0011262F" w:rsidP="00B54007">
                  <w:pPr>
                    <w:pStyle w:val="TableBodyText"/>
                    <w:ind w:right="28"/>
                  </w:pPr>
                  <w:r w:rsidRPr="00C358C1">
                    <w:t>-0.936</w:t>
                  </w:r>
                </w:p>
              </w:tc>
              <w:tc>
                <w:tcPr>
                  <w:tcW w:w="631" w:type="pct"/>
                  <w:vAlign w:val="bottom"/>
                </w:tcPr>
                <w:p w14:paraId="3C892E8A" w14:textId="77777777" w:rsidR="0011262F" w:rsidRDefault="0011262F" w:rsidP="00B54007">
                  <w:pPr>
                    <w:pStyle w:val="TableBodyText"/>
                    <w:ind w:right="28"/>
                  </w:pPr>
                  <w:r w:rsidRPr="00C358C1">
                    <w:t>-0.317</w:t>
                  </w:r>
                </w:p>
              </w:tc>
              <w:tc>
                <w:tcPr>
                  <w:tcW w:w="631" w:type="pct"/>
                  <w:vAlign w:val="bottom"/>
                </w:tcPr>
                <w:p w14:paraId="75CB3EB8" w14:textId="77777777" w:rsidR="0011262F" w:rsidRDefault="0011262F" w:rsidP="00B54007">
                  <w:pPr>
                    <w:pStyle w:val="TableBodyText"/>
                  </w:pPr>
                  <w:r w:rsidRPr="00C358C1">
                    <w:t>0.285</w:t>
                  </w:r>
                </w:p>
              </w:tc>
            </w:tr>
            <w:tr w:rsidR="0011262F" w14:paraId="2558D001" w14:textId="77777777" w:rsidTr="00B54007">
              <w:tc>
                <w:tcPr>
                  <w:tcW w:w="1843" w:type="pct"/>
                  <w:shd w:val="clear" w:color="auto" w:fill="F2F2F2" w:themeFill="background1" w:themeFillShade="F2"/>
                  <w:vAlign w:val="bottom"/>
                </w:tcPr>
                <w:p w14:paraId="47B02D49" w14:textId="77777777" w:rsidR="0011262F" w:rsidRDefault="0011262F" w:rsidP="00B54007">
                  <w:pPr>
                    <w:pStyle w:val="TableBodyText"/>
                    <w:jc w:val="left"/>
                  </w:pPr>
                  <w:r w:rsidRPr="00C358C1">
                    <w:t>Intercept</w:t>
                  </w:r>
                </w:p>
              </w:tc>
              <w:tc>
                <w:tcPr>
                  <w:tcW w:w="631" w:type="pct"/>
                  <w:shd w:val="clear" w:color="auto" w:fill="F2F2F2" w:themeFill="background1" w:themeFillShade="F2"/>
                  <w:vAlign w:val="bottom"/>
                </w:tcPr>
                <w:p w14:paraId="4CC61B7E" w14:textId="77777777" w:rsidR="0011262F" w:rsidRDefault="0011262F" w:rsidP="00B54007">
                  <w:pPr>
                    <w:pStyle w:val="TableBodyText"/>
                    <w:ind w:right="28"/>
                  </w:pPr>
                  <w:r w:rsidRPr="00C358C1">
                    <w:t>0.027</w:t>
                  </w:r>
                </w:p>
              </w:tc>
              <w:tc>
                <w:tcPr>
                  <w:tcW w:w="631" w:type="pct"/>
                  <w:shd w:val="clear" w:color="auto" w:fill="F2F2F2" w:themeFill="background1" w:themeFillShade="F2"/>
                  <w:vAlign w:val="bottom"/>
                </w:tcPr>
                <w:p w14:paraId="67197FAC" w14:textId="77777777" w:rsidR="0011262F" w:rsidRDefault="0011262F" w:rsidP="00B54007">
                  <w:pPr>
                    <w:pStyle w:val="TableBodyText"/>
                    <w:ind w:right="28"/>
                  </w:pPr>
                  <w:r w:rsidRPr="00C358C1">
                    <w:t>0.044</w:t>
                  </w:r>
                </w:p>
              </w:tc>
              <w:tc>
                <w:tcPr>
                  <w:tcW w:w="631" w:type="pct"/>
                  <w:shd w:val="clear" w:color="auto" w:fill="F2F2F2" w:themeFill="background1" w:themeFillShade="F2"/>
                  <w:vAlign w:val="bottom"/>
                </w:tcPr>
                <w:p w14:paraId="5843CD96" w14:textId="77777777" w:rsidR="0011262F" w:rsidRDefault="0011262F" w:rsidP="00B54007">
                  <w:pPr>
                    <w:pStyle w:val="TableBodyText"/>
                    <w:ind w:right="28"/>
                  </w:pPr>
                  <w:r w:rsidRPr="00C358C1">
                    <w:t>-0.059</w:t>
                  </w:r>
                </w:p>
              </w:tc>
              <w:tc>
                <w:tcPr>
                  <w:tcW w:w="631" w:type="pct"/>
                  <w:shd w:val="clear" w:color="auto" w:fill="F2F2F2" w:themeFill="background1" w:themeFillShade="F2"/>
                  <w:vAlign w:val="bottom"/>
                </w:tcPr>
                <w:p w14:paraId="3C32E71B" w14:textId="77777777" w:rsidR="0011262F" w:rsidRDefault="0011262F" w:rsidP="00B54007">
                  <w:pPr>
                    <w:pStyle w:val="TableBodyText"/>
                    <w:ind w:right="28"/>
                  </w:pPr>
                  <w:r w:rsidRPr="00C358C1">
                    <w:t>0.027</w:t>
                  </w:r>
                </w:p>
              </w:tc>
              <w:tc>
                <w:tcPr>
                  <w:tcW w:w="631" w:type="pct"/>
                  <w:shd w:val="clear" w:color="auto" w:fill="F2F2F2" w:themeFill="background1" w:themeFillShade="F2"/>
                  <w:vAlign w:val="bottom"/>
                </w:tcPr>
                <w:p w14:paraId="07D8DB11" w14:textId="77777777" w:rsidR="0011262F" w:rsidRDefault="0011262F" w:rsidP="00B54007">
                  <w:pPr>
                    <w:pStyle w:val="TableBodyText"/>
                  </w:pPr>
                  <w:r w:rsidRPr="00C358C1">
                    <w:t>0.114</w:t>
                  </w:r>
                </w:p>
              </w:tc>
            </w:tr>
            <w:tr w:rsidR="0011262F" w14:paraId="32317321" w14:textId="77777777" w:rsidTr="00B54007">
              <w:tc>
                <w:tcPr>
                  <w:tcW w:w="1843" w:type="pct"/>
                  <w:shd w:val="clear" w:color="auto" w:fill="auto"/>
                  <w:vAlign w:val="bottom"/>
                </w:tcPr>
                <w:p w14:paraId="5B306C03" w14:textId="77777777" w:rsidR="0011262F" w:rsidRDefault="0011262F" w:rsidP="00B54007">
                  <w:pPr>
                    <w:pStyle w:val="TableBodyText"/>
                    <w:jc w:val="left"/>
                  </w:pPr>
                  <w:r w:rsidRPr="00C358C1">
                    <w:t>SD of investment pass-through</w:t>
                  </w:r>
                </w:p>
              </w:tc>
              <w:tc>
                <w:tcPr>
                  <w:tcW w:w="631" w:type="pct"/>
                  <w:vAlign w:val="bottom"/>
                </w:tcPr>
                <w:p w14:paraId="6BAC8B06" w14:textId="77777777" w:rsidR="0011262F" w:rsidRDefault="0011262F" w:rsidP="00B54007">
                  <w:pPr>
                    <w:pStyle w:val="TableBodyText"/>
                    <w:ind w:right="28"/>
                  </w:pPr>
                  <w:r w:rsidRPr="00C358C1">
                    <w:t>0.378</w:t>
                  </w:r>
                </w:p>
              </w:tc>
              <w:tc>
                <w:tcPr>
                  <w:tcW w:w="631" w:type="pct"/>
                  <w:shd w:val="clear" w:color="auto" w:fill="auto"/>
                  <w:vAlign w:val="bottom"/>
                </w:tcPr>
                <w:p w14:paraId="555E6083" w14:textId="77777777" w:rsidR="0011262F" w:rsidRDefault="0011262F" w:rsidP="00B54007">
                  <w:pPr>
                    <w:pStyle w:val="TableBodyText"/>
                    <w:ind w:right="28"/>
                  </w:pPr>
                  <w:r w:rsidRPr="00C358C1">
                    <w:t>0.008</w:t>
                  </w:r>
                </w:p>
              </w:tc>
              <w:tc>
                <w:tcPr>
                  <w:tcW w:w="631" w:type="pct"/>
                  <w:shd w:val="clear" w:color="auto" w:fill="auto"/>
                  <w:vAlign w:val="bottom"/>
                </w:tcPr>
                <w:p w14:paraId="20A95AD5" w14:textId="77777777" w:rsidR="0011262F" w:rsidRDefault="0011262F" w:rsidP="00B54007">
                  <w:pPr>
                    <w:pStyle w:val="TableBodyText"/>
                    <w:ind w:right="28"/>
                  </w:pPr>
                  <w:r w:rsidRPr="00C358C1">
                    <w:t>0.362</w:t>
                  </w:r>
                </w:p>
              </w:tc>
              <w:tc>
                <w:tcPr>
                  <w:tcW w:w="631" w:type="pct"/>
                  <w:vAlign w:val="bottom"/>
                </w:tcPr>
                <w:p w14:paraId="1C0E5DAB" w14:textId="77777777" w:rsidR="0011262F" w:rsidRDefault="0011262F" w:rsidP="00B54007">
                  <w:pPr>
                    <w:pStyle w:val="TableBodyText"/>
                    <w:ind w:right="28"/>
                  </w:pPr>
                  <w:r w:rsidRPr="00C358C1">
                    <w:t>0.378</w:t>
                  </w:r>
                </w:p>
              </w:tc>
              <w:tc>
                <w:tcPr>
                  <w:tcW w:w="631" w:type="pct"/>
                  <w:vAlign w:val="bottom"/>
                </w:tcPr>
                <w:p w14:paraId="6E2C3D1D" w14:textId="77777777" w:rsidR="0011262F" w:rsidRDefault="0011262F" w:rsidP="00B54007">
                  <w:pPr>
                    <w:pStyle w:val="TableBodyText"/>
                  </w:pPr>
                  <w:r w:rsidRPr="00C358C1">
                    <w:t>0.393</w:t>
                  </w:r>
                </w:p>
              </w:tc>
            </w:tr>
            <w:tr w:rsidR="0011262F" w14:paraId="35986CE8" w14:textId="77777777" w:rsidTr="00B54007">
              <w:tc>
                <w:tcPr>
                  <w:tcW w:w="1843" w:type="pct"/>
                  <w:shd w:val="clear" w:color="auto" w:fill="F2F2F2" w:themeFill="background1" w:themeFillShade="F2"/>
                  <w:vAlign w:val="bottom"/>
                </w:tcPr>
                <w:p w14:paraId="2E1A7A8D" w14:textId="77777777" w:rsidR="0011262F" w:rsidRDefault="0011262F" w:rsidP="00B54007">
                  <w:pPr>
                    <w:pStyle w:val="TableBodyText"/>
                    <w:jc w:val="left"/>
                  </w:pPr>
                  <w:r w:rsidRPr="00C358C1">
                    <w:t>SD of varying intercept</w:t>
                  </w:r>
                </w:p>
              </w:tc>
              <w:tc>
                <w:tcPr>
                  <w:tcW w:w="631" w:type="pct"/>
                  <w:shd w:val="clear" w:color="auto" w:fill="F2F2F2" w:themeFill="background1" w:themeFillShade="F2"/>
                  <w:vAlign w:val="bottom"/>
                </w:tcPr>
                <w:p w14:paraId="48DC4A97" w14:textId="77777777" w:rsidR="0011262F" w:rsidRDefault="0011262F" w:rsidP="00B54007">
                  <w:pPr>
                    <w:pStyle w:val="TableBodyText"/>
                    <w:ind w:right="28"/>
                  </w:pPr>
                  <w:r w:rsidRPr="00C358C1">
                    <w:t>0.064</w:t>
                  </w:r>
                </w:p>
              </w:tc>
              <w:tc>
                <w:tcPr>
                  <w:tcW w:w="631" w:type="pct"/>
                  <w:shd w:val="clear" w:color="auto" w:fill="F2F2F2" w:themeFill="background1" w:themeFillShade="F2"/>
                  <w:vAlign w:val="bottom"/>
                </w:tcPr>
                <w:p w14:paraId="462654C1" w14:textId="77777777" w:rsidR="0011262F" w:rsidRDefault="0011262F" w:rsidP="00B54007">
                  <w:pPr>
                    <w:pStyle w:val="TableBodyText"/>
                    <w:ind w:right="28"/>
                  </w:pPr>
                  <w:r w:rsidRPr="00C358C1">
                    <w:t>0.010</w:t>
                  </w:r>
                </w:p>
              </w:tc>
              <w:tc>
                <w:tcPr>
                  <w:tcW w:w="631" w:type="pct"/>
                  <w:shd w:val="clear" w:color="auto" w:fill="F2F2F2" w:themeFill="background1" w:themeFillShade="F2"/>
                  <w:vAlign w:val="bottom"/>
                </w:tcPr>
                <w:p w14:paraId="478E380B" w14:textId="77777777" w:rsidR="0011262F" w:rsidRDefault="0011262F" w:rsidP="00B54007">
                  <w:pPr>
                    <w:pStyle w:val="TableBodyText"/>
                    <w:ind w:right="28"/>
                  </w:pPr>
                  <w:r w:rsidRPr="00C358C1">
                    <w:t>0.045</w:t>
                  </w:r>
                </w:p>
              </w:tc>
              <w:tc>
                <w:tcPr>
                  <w:tcW w:w="631" w:type="pct"/>
                  <w:shd w:val="clear" w:color="auto" w:fill="F2F2F2" w:themeFill="background1" w:themeFillShade="F2"/>
                  <w:vAlign w:val="bottom"/>
                </w:tcPr>
                <w:p w14:paraId="3608E639" w14:textId="77777777" w:rsidR="0011262F" w:rsidRDefault="0011262F" w:rsidP="00B54007">
                  <w:pPr>
                    <w:pStyle w:val="TableBodyText"/>
                    <w:ind w:right="28"/>
                  </w:pPr>
                  <w:r w:rsidRPr="00C358C1">
                    <w:t>0.063</w:t>
                  </w:r>
                </w:p>
              </w:tc>
              <w:tc>
                <w:tcPr>
                  <w:tcW w:w="631" w:type="pct"/>
                  <w:shd w:val="clear" w:color="auto" w:fill="F2F2F2" w:themeFill="background1" w:themeFillShade="F2"/>
                  <w:vAlign w:val="bottom"/>
                </w:tcPr>
                <w:p w14:paraId="0E74E596" w14:textId="77777777" w:rsidR="0011262F" w:rsidRDefault="0011262F" w:rsidP="00B54007">
                  <w:pPr>
                    <w:pStyle w:val="TableBodyText"/>
                  </w:pPr>
                  <w:r w:rsidRPr="00C358C1">
                    <w:t>0.087</w:t>
                  </w:r>
                </w:p>
              </w:tc>
            </w:tr>
            <w:tr w:rsidR="0011262F" w14:paraId="02222374" w14:textId="77777777" w:rsidTr="00B54007">
              <w:tc>
                <w:tcPr>
                  <w:tcW w:w="1843" w:type="pct"/>
                  <w:tcBorders>
                    <w:bottom w:val="single" w:sz="6" w:space="0" w:color="BFBFBF" w:themeColor="background1" w:themeShade="BF"/>
                  </w:tcBorders>
                  <w:shd w:val="clear" w:color="auto" w:fill="auto"/>
                  <w:vAlign w:val="bottom"/>
                </w:tcPr>
                <w:p w14:paraId="3396C9B6" w14:textId="77777777" w:rsidR="0011262F" w:rsidRDefault="0011262F" w:rsidP="00B54007">
                  <w:pPr>
                    <w:pStyle w:val="TableBodyText"/>
                    <w:jc w:val="left"/>
                  </w:pPr>
                  <w:r w:rsidRPr="00C358C1">
                    <w:t xml:space="preserve">SD of varying </w:t>
                  </w:r>
                  <w:r>
                    <w:t xml:space="preserve">slope: </w:t>
                  </w:r>
                  <w:r w:rsidRPr="00C358C1">
                    <w:t>Change in investment expenses due to size</w:t>
                  </w:r>
                </w:p>
              </w:tc>
              <w:tc>
                <w:tcPr>
                  <w:tcW w:w="631" w:type="pct"/>
                  <w:tcBorders>
                    <w:bottom w:val="single" w:sz="6" w:space="0" w:color="BFBFBF" w:themeColor="background1" w:themeShade="BF"/>
                  </w:tcBorders>
                  <w:vAlign w:val="bottom"/>
                </w:tcPr>
                <w:p w14:paraId="3AC52542" w14:textId="77777777" w:rsidR="0011262F" w:rsidRDefault="0011262F" w:rsidP="00B54007">
                  <w:pPr>
                    <w:pStyle w:val="TableBodyText"/>
                    <w:ind w:right="28"/>
                  </w:pPr>
                  <w:r w:rsidRPr="00C358C1">
                    <w:t>1.544</w:t>
                  </w:r>
                </w:p>
              </w:tc>
              <w:tc>
                <w:tcPr>
                  <w:tcW w:w="631" w:type="pct"/>
                  <w:tcBorders>
                    <w:bottom w:val="single" w:sz="6" w:space="0" w:color="BFBFBF" w:themeColor="background1" w:themeShade="BF"/>
                  </w:tcBorders>
                  <w:shd w:val="clear" w:color="auto" w:fill="auto"/>
                  <w:vAlign w:val="bottom"/>
                </w:tcPr>
                <w:p w14:paraId="38331C29" w14:textId="77777777" w:rsidR="0011262F" w:rsidRDefault="0011262F" w:rsidP="00B54007">
                  <w:pPr>
                    <w:pStyle w:val="TableBodyText"/>
                    <w:ind w:right="28"/>
                  </w:pPr>
                  <w:r w:rsidRPr="00C358C1">
                    <w:t>0.171</w:t>
                  </w:r>
                </w:p>
              </w:tc>
              <w:tc>
                <w:tcPr>
                  <w:tcW w:w="631" w:type="pct"/>
                  <w:tcBorders>
                    <w:bottom w:val="single" w:sz="6" w:space="0" w:color="BFBFBF" w:themeColor="background1" w:themeShade="BF"/>
                  </w:tcBorders>
                  <w:shd w:val="clear" w:color="auto" w:fill="auto"/>
                  <w:vAlign w:val="bottom"/>
                </w:tcPr>
                <w:p w14:paraId="1BCC19CD" w14:textId="77777777" w:rsidR="0011262F" w:rsidRDefault="0011262F" w:rsidP="00B54007">
                  <w:pPr>
                    <w:pStyle w:val="TableBodyText"/>
                    <w:ind w:right="28"/>
                  </w:pPr>
                  <w:r w:rsidRPr="00C358C1">
                    <w:t>1.229</w:t>
                  </w:r>
                </w:p>
              </w:tc>
              <w:tc>
                <w:tcPr>
                  <w:tcW w:w="631" w:type="pct"/>
                  <w:tcBorders>
                    <w:bottom w:val="single" w:sz="6" w:space="0" w:color="BFBFBF" w:themeColor="background1" w:themeShade="BF"/>
                  </w:tcBorders>
                  <w:vAlign w:val="bottom"/>
                </w:tcPr>
                <w:p w14:paraId="00069D33" w14:textId="77777777" w:rsidR="0011262F" w:rsidRDefault="0011262F" w:rsidP="00B54007">
                  <w:pPr>
                    <w:pStyle w:val="TableBodyText"/>
                    <w:ind w:right="28"/>
                  </w:pPr>
                  <w:r w:rsidRPr="00C358C1">
                    <w:t>1.531</w:t>
                  </w:r>
                </w:p>
              </w:tc>
              <w:tc>
                <w:tcPr>
                  <w:tcW w:w="631" w:type="pct"/>
                  <w:tcBorders>
                    <w:bottom w:val="single" w:sz="6" w:space="0" w:color="BFBFBF" w:themeColor="background1" w:themeShade="BF"/>
                  </w:tcBorders>
                  <w:vAlign w:val="bottom"/>
                </w:tcPr>
                <w:p w14:paraId="18C96B32" w14:textId="77777777" w:rsidR="0011262F" w:rsidRDefault="0011262F" w:rsidP="00B54007">
                  <w:pPr>
                    <w:pStyle w:val="TableBodyText"/>
                  </w:pPr>
                  <w:r w:rsidRPr="00C358C1">
                    <w:t>1.907</w:t>
                  </w:r>
                </w:p>
              </w:tc>
            </w:tr>
          </w:tbl>
          <w:p w14:paraId="72B6C271" w14:textId="77777777" w:rsidR="0011262F" w:rsidRDefault="0011262F" w:rsidP="00B54007">
            <w:pPr>
              <w:pStyle w:val="Box"/>
            </w:pPr>
          </w:p>
        </w:tc>
      </w:tr>
      <w:tr w:rsidR="0011262F" w14:paraId="5591C35C" w14:textId="77777777" w:rsidTr="00B54007">
        <w:tc>
          <w:tcPr>
            <w:tcW w:w="5000" w:type="pct"/>
            <w:tcBorders>
              <w:top w:val="nil"/>
              <w:left w:val="nil"/>
              <w:bottom w:val="nil"/>
              <w:right w:val="nil"/>
            </w:tcBorders>
            <w:shd w:val="clear" w:color="auto" w:fill="auto"/>
          </w:tcPr>
          <w:p w14:paraId="22774B55" w14:textId="77777777" w:rsidR="0011262F" w:rsidRDefault="0011262F" w:rsidP="00B54007">
            <w:pPr>
              <w:pStyle w:val="Continued"/>
            </w:pPr>
            <w:r>
              <w:t>(continued next page)</w:t>
            </w:r>
          </w:p>
        </w:tc>
      </w:tr>
      <w:tr w:rsidR="0011262F" w14:paraId="3302DB22" w14:textId="77777777" w:rsidTr="00B54007">
        <w:tc>
          <w:tcPr>
            <w:tcW w:w="5000" w:type="pct"/>
            <w:tcBorders>
              <w:top w:val="nil"/>
              <w:left w:val="nil"/>
              <w:bottom w:val="single" w:sz="6" w:space="0" w:color="78A22F"/>
              <w:right w:val="nil"/>
            </w:tcBorders>
            <w:shd w:val="clear" w:color="auto" w:fill="auto"/>
          </w:tcPr>
          <w:p w14:paraId="54008533" w14:textId="77777777" w:rsidR="0011262F" w:rsidRDefault="0011262F" w:rsidP="00B54007">
            <w:pPr>
              <w:pStyle w:val="Box"/>
              <w:spacing w:before="0" w:line="120" w:lineRule="exact"/>
            </w:pPr>
          </w:p>
        </w:tc>
      </w:tr>
      <w:tr w:rsidR="0011262F" w:rsidRPr="000863A5" w14:paraId="2472B484" w14:textId="77777777" w:rsidTr="00B54007">
        <w:tc>
          <w:tcPr>
            <w:tcW w:w="5000" w:type="pct"/>
            <w:tcBorders>
              <w:top w:val="single" w:sz="6" w:space="0" w:color="78A22F"/>
              <w:left w:val="nil"/>
              <w:bottom w:val="nil"/>
              <w:right w:val="nil"/>
            </w:tcBorders>
          </w:tcPr>
          <w:p w14:paraId="0F9D6685" w14:textId="77777777" w:rsidR="0011262F" w:rsidRPr="00626D32" w:rsidRDefault="0011262F" w:rsidP="00B54007">
            <w:pPr>
              <w:pStyle w:val="BoxSpaceBelow"/>
            </w:pPr>
          </w:p>
        </w:tc>
      </w:tr>
    </w:tbl>
    <w:p w14:paraId="5F83E845" w14:textId="77777777" w:rsidR="0011262F" w:rsidRDefault="0011262F" w:rsidP="0011262F">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1262F" w:rsidRPr="00784A05" w14:paraId="5DD9FF56" w14:textId="77777777" w:rsidTr="00B54007">
        <w:trPr>
          <w:tblHeader/>
        </w:trPr>
        <w:tc>
          <w:tcPr>
            <w:tcW w:w="5000" w:type="pct"/>
            <w:tcBorders>
              <w:top w:val="single" w:sz="6" w:space="0" w:color="78A22F"/>
              <w:left w:val="nil"/>
              <w:bottom w:val="nil"/>
              <w:right w:val="nil"/>
            </w:tcBorders>
            <w:shd w:val="clear" w:color="auto" w:fill="auto"/>
          </w:tcPr>
          <w:p w14:paraId="6272815F" w14:textId="77777777" w:rsidR="0011262F" w:rsidRPr="00784A05" w:rsidRDefault="0011262F" w:rsidP="00B54007">
            <w:pPr>
              <w:pStyle w:val="TableTitle"/>
            </w:pPr>
            <w:r>
              <w:rPr>
                <w:b w:val="0"/>
              </w:rPr>
              <w:t xml:space="preserve">Table </w:t>
            </w:r>
            <w:proofErr w:type="spellStart"/>
            <w:r>
              <w:rPr>
                <w:b w:val="0"/>
              </w:rPr>
              <w:t>E.1</w:t>
            </w:r>
            <w:proofErr w:type="spellEnd"/>
            <w:r>
              <w:tab/>
            </w:r>
            <w:r w:rsidRPr="004B358B">
              <w:rPr>
                <w:b w:val="0"/>
                <w:sz w:val="18"/>
                <w:szCs w:val="18"/>
              </w:rPr>
              <w:t>(continued)</w:t>
            </w:r>
          </w:p>
        </w:tc>
      </w:tr>
      <w:tr w:rsidR="0011262F" w14:paraId="4475B463" w14:textId="77777777" w:rsidTr="00B54007">
        <w:tc>
          <w:tcPr>
            <w:tcW w:w="5000" w:type="pct"/>
            <w:tcBorders>
              <w:top w:val="nil"/>
              <w:left w:val="nil"/>
              <w:bottom w:val="nil"/>
              <w:right w:val="nil"/>
            </w:tcBorders>
            <w:shd w:val="clear" w:color="auto" w:fill="auto"/>
          </w:tcPr>
          <w:tbl>
            <w:tblPr>
              <w:tblW w:w="8529" w:type="dxa"/>
              <w:tblCellMar>
                <w:top w:w="28" w:type="dxa"/>
                <w:left w:w="0" w:type="dxa"/>
                <w:right w:w="0" w:type="dxa"/>
              </w:tblCellMar>
              <w:tblLook w:val="0000" w:firstRow="0" w:lastRow="0" w:firstColumn="0" w:lastColumn="0" w:noHBand="0" w:noVBand="0"/>
            </w:tblPr>
            <w:tblGrid>
              <w:gridCol w:w="3146"/>
              <w:gridCol w:w="1077"/>
              <w:gridCol w:w="1077"/>
              <w:gridCol w:w="1077"/>
              <w:gridCol w:w="1076"/>
              <w:gridCol w:w="1076"/>
            </w:tblGrid>
            <w:tr w:rsidR="0011262F" w14:paraId="4FB5FD7C" w14:textId="77777777" w:rsidTr="00B54007">
              <w:tc>
                <w:tcPr>
                  <w:tcW w:w="1844" w:type="pct"/>
                  <w:tcBorders>
                    <w:top w:val="single" w:sz="6" w:space="0" w:color="BFBFBF" w:themeColor="background1" w:themeShade="BF"/>
                    <w:bottom w:val="single" w:sz="6" w:space="0" w:color="BFBFBF" w:themeColor="background1" w:themeShade="BF"/>
                  </w:tcBorders>
                  <w:shd w:val="clear" w:color="auto" w:fill="auto"/>
                  <w:vAlign w:val="bottom"/>
                </w:tcPr>
                <w:p w14:paraId="0F2580AE" w14:textId="77777777" w:rsidR="0011262F" w:rsidRDefault="0011262F" w:rsidP="00B54007">
                  <w:pPr>
                    <w:pStyle w:val="TableColumnHeading"/>
                    <w:jc w:val="left"/>
                    <w:rPr>
                      <w:b/>
                    </w:rPr>
                  </w:pPr>
                  <w:r>
                    <w:t>Parameter</w:t>
                  </w:r>
                </w:p>
              </w:tc>
              <w:tc>
                <w:tcPr>
                  <w:tcW w:w="631" w:type="pct"/>
                  <w:tcBorders>
                    <w:top w:val="single" w:sz="6" w:space="0" w:color="BFBFBF" w:themeColor="background1" w:themeShade="BF"/>
                    <w:bottom w:val="single" w:sz="6" w:space="0" w:color="BFBFBF" w:themeColor="background1" w:themeShade="BF"/>
                  </w:tcBorders>
                  <w:vAlign w:val="bottom"/>
                </w:tcPr>
                <w:p w14:paraId="2CC63F0C" w14:textId="77777777" w:rsidR="0011262F" w:rsidRDefault="0011262F" w:rsidP="00B54007">
                  <w:pPr>
                    <w:pStyle w:val="TableColumnHeading"/>
                  </w:pPr>
                  <w:r>
                    <w:t>Mean</w:t>
                  </w:r>
                </w:p>
              </w:tc>
              <w:tc>
                <w:tcPr>
                  <w:tcW w:w="631" w:type="pct"/>
                  <w:tcBorders>
                    <w:top w:val="single" w:sz="6" w:space="0" w:color="BFBFBF" w:themeColor="background1" w:themeShade="BF"/>
                    <w:bottom w:val="single" w:sz="6" w:space="0" w:color="BFBFBF" w:themeColor="background1" w:themeShade="BF"/>
                  </w:tcBorders>
                  <w:shd w:val="clear" w:color="auto" w:fill="auto"/>
                  <w:vAlign w:val="bottom"/>
                </w:tcPr>
                <w:p w14:paraId="4C6D6CCD" w14:textId="77777777" w:rsidR="0011262F" w:rsidRDefault="0011262F" w:rsidP="00B54007">
                  <w:pPr>
                    <w:pStyle w:val="TableColumnHeading"/>
                  </w:pPr>
                  <w:r>
                    <w:t>Standard deviation</w:t>
                  </w:r>
                </w:p>
              </w:tc>
              <w:tc>
                <w:tcPr>
                  <w:tcW w:w="631" w:type="pct"/>
                  <w:tcBorders>
                    <w:top w:val="single" w:sz="6" w:space="0" w:color="BFBFBF" w:themeColor="background1" w:themeShade="BF"/>
                    <w:bottom w:val="single" w:sz="6" w:space="0" w:color="BFBFBF" w:themeColor="background1" w:themeShade="BF"/>
                  </w:tcBorders>
                  <w:shd w:val="clear" w:color="auto" w:fill="auto"/>
                  <w:vAlign w:val="bottom"/>
                </w:tcPr>
                <w:p w14:paraId="1CF3CC37" w14:textId="77777777" w:rsidR="0011262F" w:rsidRDefault="0011262F" w:rsidP="00B54007">
                  <w:pPr>
                    <w:pStyle w:val="TableColumnHeading"/>
                  </w:pPr>
                  <w:r>
                    <w:t>2.5 percentile</w:t>
                  </w:r>
                </w:p>
              </w:tc>
              <w:tc>
                <w:tcPr>
                  <w:tcW w:w="631" w:type="pct"/>
                  <w:tcBorders>
                    <w:top w:val="single" w:sz="6" w:space="0" w:color="BFBFBF" w:themeColor="background1" w:themeShade="BF"/>
                    <w:bottom w:val="single" w:sz="6" w:space="0" w:color="BFBFBF" w:themeColor="background1" w:themeShade="BF"/>
                  </w:tcBorders>
                  <w:vAlign w:val="bottom"/>
                </w:tcPr>
                <w:p w14:paraId="4FEE285B" w14:textId="77777777" w:rsidR="0011262F" w:rsidRDefault="0011262F" w:rsidP="00B54007">
                  <w:pPr>
                    <w:pStyle w:val="TableColumnHeading"/>
                  </w:pPr>
                  <w:r>
                    <w:t>Median</w:t>
                  </w:r>
                </w:p>
              </w:tc>
              <w:tc>
                <w:tcPr>
                  <w:tcW w:w="631" w:type="pct"/>
                  <w:tcBorders>
                    <w:top w:val="single" w:sz="6" w:space="0" w:color="BFBFBF" w:themeColor="background1" w:themeShade="BF"/>
                    <w:bottom w:val="single" w:sz="6" w:space="0" w:color="BFBFBF" w:themeColor="background1" w:themeShade="BF"/>
                  </w:tcBorders>
                  <w:vAlign w:val="bottom"/>
                </w:tcPr>
                <w:p w14:paraId="7E8F04BF" w14:textId="77777777" w:rsidR="0011262F" w:rsidRDefault="0011262F" w:rsidP="00B54007">
                  <w:pPr>
                    <w:pStyle w:val="TableColumnHeading"/>
                  </w:pPr>
                  <w:r>
                    <w:t>97.5 percentile</w:t>
                  </w:r>
                </w:p>
              </w:tc>
            </w:tr>
            <w:tr w:rsidR="0011262F" w14:paraId="0F5B1D7B" w14:textId="77777777" w:rsidTr="00B54007">
              <w:tc>
                <w:tcPr>
                  <w:tcW w:w="1844" w:type="pct"/>
                  <w:tcBorders>
                    <w:top w:val="single" w:sz="6" w:space="0" w:color="BFBFBF" w:themeColor="background1" w:themeShade="BF"/>
                  </w:tcBorders>
                  <w:shd w:val="clear" w:color="auto" w:fill="BFBFBF" w:themeFill="background1" w:themeFillShade="BF"/>
                  <w:vAlign w:val="bottom"/>
                </w:tcPr>
                <w:p w14:paraId="13CA5FAE" w14:textId="77777777" w:rsidR="0011262F" w:rsidRPr="0099011F" w:rsidRDefault="0011262F" w:rsidP="00B54007">
                  <w:pPr>
                    <w:pStyle w:val="TableBodyText"/>
                    <w:jc w:val="left"/>
                    <w:rPr>
                      <w:b/>
                    </w:rPr>
                  </w:pPr>
                  <w:r w:rsidRPr="009D752A">
                    <w:rPr>
                      <w:b/>
                    </w:rPr>
                    <w:t xml:space="preserve">Pass-through: </w:t>
                  </w:r>
                  <w:r>
                    <w:rPr>
                      <w:b/>
                    </w:rPr>
                    <w:t xml:space="preserve">total </w:t>
                  </w:r>
                  <w:r w:rsidRPr="009D752A">
                    <w:rPr>
                      <w:b/>
                    </w:rPr>
                    <w:t>fees</w:t>
                  </w:r>
                </w:p>
              </w:tc>
              <w:tc>
                <w:tcPr>
                  <w:tcW w:w="631" w:type="pct"/>
                  <w:tcBorders>
                    <w:top w:val="single" w:sz="6" w:space="0" w:color="BFBFBF" w:themeColor="background1" w:themeShade="BF"/>
                  </w:tcBorders>
                  <w:shd w:val="clear" w:color="auto" w:fill="BFBFBF" w:themeFill="background1" w:themeFillShade="BF"/>
                  <w:vAlign w:val="bottom"/>
                </w:tcPr>
                <w:p w14:paraId="55C563B0" w14:textId="77777777" w:rsidR="0011262F" w:rsidRDefault="0011262F" w:rsidP="00B54007">
                  <w:pPr>
                    <w:pStyle w:val="TableBodyText"/>
                  </w:pPr>
                </w:p>
              </w:tc>
              <w:tc>
                <w:tcPr>
                  <w:tcW w:w="631" w:type="pct"/>
                  <w:tcBorders>
                    <w:top w:val="single" w:sz="6" w:space="0" w:color="BFBFBF" w:themeColor="background1" w:themeShade="BF"/>
                  </w:tcBorders>
                  <w:shd w:val="clear" w:color="auto" w:fill="BFBFBF" w:themeFill="background1" w:themeFillShade="BF"/>
                  <w:vAlign w:val="bottom"/>
                </w:tcPr>
                <w:p w14:paraId="108E29BD" w14:textId="77777777" w:rsidR="0011262F" w:rsidRDefault="0011262F" w:rsidP="00B54007">
                  <w:pPr>
                    <w:pStyle w:val="TableBodyText"/>
                  </w:pPr>
                </w:p>
              </w:tc>
              <w:tc>
                <w:tcPr>
                  <w:tcW w:w="631" w:type="pct"/>
                  <w:tcBorders>
                    <w:top w:val="single" w:sz="6" w:space="0" w:color="BFBFBF" w:themeColor="background1" w:themeShade="BF"/>
                  </w:tcBorders>
                  <w:shd w:val="clear" w:color="auto" w:fill="BFBFBF" w:themeFill="background1" w:themeFillShade="BF"/>
                  <w:vAlign w:val="bottom"/>
                </w:tcPr>
                <w:p w14:paraId="38E3E01F" w14:textId="77777777" w:rsidR="0011262F" w:rsidRDefault="0011262F" w:rsidP="00B54007">
                  <w:pPr>
                    <w:pStyle w:val="TableBodyText"/>
                    <w:ind w:right="28"/>
                  </w:pPr>
                </w:p>
              </w:tc>
              <w:tc>
                <w:tcPr>
                  <w:tcW w:w="631" w:type="pct"/>
                  <w:tcBorders>
                    <w:top w:val="single" w:sz="6" w:space="0" w:color="BFBFBF" w:themeColor="background1" w:themeShade="BF"/>
                  </w:tcBorders>
                  <w:shd w:val="clear" w:color="auto" w:fill="BFBFBF" w:themeFill="background1" w:themeFillShade="BF"/>
                  <w:vAlign w:val="bottom"/>
                </w:tcPr>
                <w:p w14:paraId="1919E266" w14:textId="77777777" w:rsidR="0011262F" w:rsidRDefault="0011262F" w:rsidP="00B54007">
                  <w:pPr>
                    <w:pStyle w:val="TableBodyText"/>
                    <w:ind w:right="28"/>
                  </w:pPr>
                </w:p>
              </w:tc>
              <w:tc>
                <w:tcPr>
                  <w:tcW w:w="631" w:type="pct"/>
                  <w:tcBorders>
                    <w:top w:val="single" w:sz="6" w:space="0" w:color="BFBFBF" w:themeColor="background1" w:themeShade="BF"/>
                  </w:tcBorders>
                  <w:shd w:val="clear" w:color="auto" w:fill="BFBFBF" w:themeFill="background1" w:themeFillShade="BF"/>
                  <w:vAlign w:val="bottom"/>
                </w:tcPr>
                <w:p w14:paraId="110F346E" w14:textId="77777777" w:rsidR="0011262F" w:rsidRDefault="0011262F" w:rsidP="00B54007">
                  <w:pPr>
                    <w:pStyle w:val="TableBodyText"/>
                    <w:ind w:right="28"/>
                  </w:pPr>
                </w:p>
              </w:tc>
            </w:tr>
            <w:tr w:rsidR="0011262F" w14:paraId="299CD94B" w14:textId="77777777" w:rsidTr="00B54007">
              <w:tc>
                <w:tcPr>
                  <w:tcW w:w="1844" w:type="pct"/>
                  <w:shd w:val="clear" w:color="auto" w:fill="auto"/>
                  <w:vAlign w:val="bottom"/>
                </w:tcPr>
                <w:p w14:paraId="3586B008" w14:textId="77777777" w:rsidR="0011262F" w:rsidRDefault="0011262F" w:rsidP="00B54007">
                  <w:pPr>
                    <w:pStyle w:val="TableBodyText"/>
                    <w:jc w:val="left"/>
                  </w:pPr>
                  <w:r w:rsidRPr="00C358C1">
                    <w:t>Industry</w:t>
                  </w:r>
                </w:p>
              </w:tc>
              <w:tc>
                <w:tcPr>
                  <w:tcW w:w="631" w:type="pct"/>
                  <w:vAlign w:val="bottom"/>
                </w:tcPr>
                <w:p w14:paraId="0B1BED2A" w14:textId="77777777" w:rsidR="0011262F" w:rsidRDefault="0011262F" w:rsidP="00B54007">
                  <w:pPr>
                    <w:pStyle w:val="TableBodyText"/>
                    <w:ind w:right="28"/>
                  </w:pPr>
                  <w:r w:rsidRPr="00C358C1">
                    <w:t>-0.011</w:t>
                  </w:r>
                </w:p>
              </w:tc>
              <w:tc>
                <w:tcPr>
                  <w:tcW w:w="631" w:type="pct"/>
                  <w:shd w:val="clear" w:color="auto" w:fill="auto"/>
                  <w:vAlign w:val="bottom"/>
                </w:tcPr>
                <w:p w14:paraId="496617F5" w14:textId="77777777" w:rsidR="0011262F" w:rsidRDefault="0011262F" w:rsidP="00B54007">
                  <w:pPr>
                    <w:pStyle w:val="TableBodyText"/>
                    <w:ind w:right="28"/>
                  </w:pPr>
                  <w:r w:rsidRPr="00C358C1">
                    <w:t>0.025</w:t>
                  </w:r>
                </w:p>
              </w:tc>
              <w:tc>
                <w:tcPr>
                  <w:tcW w:w="631" w:type="pct"/>
                  <w:shd w:val="clear" w:color="auto" w:fill="auto"/>
                  <w:vAlign w:val="bottom"/>
                </w:tcPr>
                <w:p w14:paraId="6CB1F894" w14:textId="77777777" w:rsidR="0011262F" w:rsidRDefault="0011262F" w:rsidP="00B54007">
                  <w:pPr>
                    <w:pStyle w:val="TableBodyText"/>
                    <w:ind w:right="28"/>
                  </w:pPr>
                  <w:r w:rsidRPr="00C358C1">
                    <w:t>-0.057</w:t>
                  </w:r>
                </w:p>
              </w:tc>
              <w:tc>
                <w:tcPr>
                  <w:tcW w:w="631" w:type="pct"/>
                  <w:vAlign w:val="bottom"/>
                </w:tcPr>
                <w:p w14:paraId="029A3929" w14:textId="77777777" w:rsidR="0011262F" w:rsidRDefault="0011262F" w:rsidP="00B54007">
                  <w:pPr>
                    <w:pStyle w:val="TableBodyText"/>
                    <w:ind w:right="28"/>
                  </w:pPr>
                  <w:r w:rsidRPr="00C358C1">
                    <w:t>-0.012</w:t>
                  </w:r>
                </w:p>
              </w:tc>
              <w:tc>
                <w:tcPr>
                  <w:tcW w:w="631" w:type="pct"/>
                  <w:vAlign w:val="bottom"/>
                </w:tcPr>
                <w:p w14:paraId="718F82E1" w14:textId="77777777" w:rsidR="0011262F" w:rsidRDefault="0011262F" w:rsidP="00B54007">
                  <w:pPr>
                    <w:pStyle w:val="TableBodyText"/>
                  </w:pPr>
                  <w:r w:rsidRPr="00C358C1">
                    <w:t>0.041</w:t>
                  </w:r>
                </w:p>
              </w:tc>
            </w:tr>
            <w:tr w:rsidR="0011262F" w14:paraId="5A675388" w14:textId="77777777" w:rsidTr="00B54007">
              <w:tc>
                <w:tcPr>
                  <w:tcW w:w="1844" w:type="pct"/>
                  <w:shd w:val="clear" w:color="auto" w:fill="F2F2F2" w:themeFill="background1" w:themeFillShade="F2"/>
                  <w:vAlign w:val="bottom"/>
                </w:tcPr>
                <w:p w14:paraId="0148DDDA" w14:textId="77777777" w:rsidR="0011262F" w:rsidRDefault="0011262F" w:rsidP="00B54007">
                  <w:pPr>
                    <w:pStyle w:val="TableBodyText"/>
                    <w:jc w:val="left"/>
                  </w:pPr>
                  <w:r w:rsidRPr="00C358C1">
                    <w:t>Public</w:t>
                  </w:r>
                </w:p>
              </w:tc>
              <w:tc>
                <w:tcPr>
                  <w:tcW w:w="631" w:type="pct"/>
                  <w:shd w:val="clear" w:color="auto" w:fill="F2F2F2" w:themeFill="background1" w:themeFillShade="F2"/>
                  <w:vAlign w:val="bottom"/>
                </w:tcPr>
                <w:p w14:paraId="6373B23C" w14:textId="77777777" w:rsidR="0011262F" w:rsidRDefault="0011262F" w:rsidP="00B54007">
                  <w:pPr>
                    <w:pStyle w:val="TableBodyText"/>
                    <w:ind w:right="28"/>
                  </w:pPr>
                  <w:r w:rsidRPr="00C358C1">
                    <w:t>0.015</w:t>
                  </w:r>
                </w:p>
              </w:tc>
              <w:tc>
                <w:tcPr>
                  <w:tcW w:w="631" w:type="pct"/>
                  <w:shd w:val="clear" w:color="auto" w:fill="F2F2F2" w:themeFill="background1" w:themeFillShade="F2"/>
                  <w:vAlign w:val="bottom"/>
                </w:tcPr>
                <w:p w14:paraId="688990EC" w14:textId="77777777" w:rsidR="0011262F" w:rsidRDefault="0011262F" w:rsidP="00B54007">
                  <w:pPr>
                    <w:pStyle w:val="TableBodyText"/>
                    <w:ind w:right="28"/>
                  </w:pPr>
                  <w:r w:rsidRPr="00C358C1">
                    <w:t>0.031</w:t>
                  </w:r>
                </w:p>
              </w:tc>
              <w:tc>
                <w:tcPr>
                  <w:tcW w:w="631" w:type="pct"/>
                  <w:shd w:val="clear" w:color="auto" w:fill="F2F2F2" w:themeFill="background1" w:themeFillShade="F2"/>
                  <w:vAlign w:val="bottom"/>
                </w:tcPr>
                <w:p w14:paraId="00898CF9" w14:textId="77777777" w:rsidR="0011262F" w:rsidRDefault="0011262F" w:rsidP="00B54007">
                  <w:pPr>
                    <w:pStyle w:val="TableBodyText"/>
                    <w:ind w:right="28"/>
                  </w:pPr>
                  <w:r w:rsidRPr="00C358C1">
                    <w:t>-0.043</w:t>
                  </w:r>
                </w:p>
              </w:tc>
              <w:tc>
                <w:tcPr>
                  <w:tcW w:w="631" w:type="pct"/>
                  <w:shd w:val="clear" w:color="auto" w:fill="F2F2F2" w:themeFill="background1" w:themeFillShade="F2"/>
                  <w:vAlign w:val="bottom"/>
                </w:tcPr>
                <w:p w14:paraId="37F1DAC3" w14:textId="77777777" w:rsidR="0011262F" w:rsidRDefault="0011262F" w:rsidP="00B54007">
                  <w:pPr>
                    <w:pStyle w:val="TableBodyText"/>
                    <w:ind w:right="28"/>
                  </w:pPr>
                  <w:r w:rsidRPr="00C358C1">
                    <w:t>0.014</w:t>
                  </w:r>
                </w:p>
              </w:tc>
              <w:tc>
                <w:tcPr>
                  <w:tcW w:w="631" w:type="pct"/>
                  <w:shd w:val="clear" w:color="auto" w:fill="F2F2F2" w:themeFill="background1" w:themeFillShade="F2"/>
                  <w:vAlign w:val="bottom"/>
                </w:tcPr>
                <w:p w14:paraId="54624E6B" w14:textId="77777777" w:rsidR="0011262F" w:rsidRDefault="0011262F" w:rsidP="00B54007">
                  <w:pPr>
                    <w:pStyle w:val="TableBodyText"/>
                  </w:pPr>
                  <w:r w:rsidRPr="00C358C1">
                    <w:t>0.076</w:t>
                  </w:r>
                </w:p>
              </w:tc>
            </w:tr>
            <w:tr w:rsidR="0011262F" w14:paraId="17D3D0CF" w14:textId="77777777" w:rsidTr="00B54007">
              <w:tc>
                <w:tcPr>
                  <w:tcW w:w="1844" w:type="pct"/>
                  <w:shd w:val="clear" w:color="auto" w:fill="auto"/>
                  <w:vAlign w:val="bottom"/>
                </w:tcPr>
                <w:p w14:paraId="48FC817D" w14:textId="77777777" w:rsidR="0011262F" w:rsidRDefault="0011262F" w:rsidP="00B54007">
                  <w:pPr>
                    <w:pStyle w:val="TableBodyText"/>
                    <w:jc w:val="left"/>
                  </w:pPr>
                  <w:r w:rsidRPr="00C358C1">
                    <w:t>Retail</w:t>
                  </w:r>
                </w:p>
              </w:tc>
              <w:tc>
                <w:tcPr>
                  <w:tcW w:w="631" w:type="pct"/>
                  <w:vAlign w:val="bottom"/>
                </w:tcPr>
                <w:p w14:paraId="1A0086A2" w14:textId="77777777" w:rsidR="0011262F" w:rsidRDefault="0011262F" w:rsidP="00B54007">
                  <w:pPr>
                    <w:pStyle w:val="TableBodyText"/>
                    <w:ind w:right="28"/>
                  </w:pPr>
                  <w:r w:rsidRPr="00C358C1">
                    <w:t>-0.023</w:t>
                  </w:r>
                </w:p>
              </w:tc>
              <w:tc>
                <w:tcPr>
                  <w:tcW w:w="631" w:type="pct"/>
                  <w:shd w:val="clear" w:color="auto" w:fill="auto"/>
                  <w:vAlign w:val="bottom"/>
                </w:tcPr>
                <w:p w14:paraId="2139AFBF" w14:textId="77777777" w:rsidR="0011262F" w:rsidRDefault="0011262F" w:rsidP="00B54007">
                  <w:pPr>
                    <w:pStyle w:val="TableBodyText"/>
                    <w:ind w:right="28"/>
                  </w:pPr>
                  <w:r w:rsidRPr="00C358C1">
                    <w:t>0.025</w:t>
                  </w:r>
                </w:p>
              </w:tc>
              <w:tc>
                <w:tcPr>
                  <w:tcW w:w="631" w:type="pct"/>
                  <w:shd w:val="clear" w:color="auto" w:fill="auto"/>
                  <w:vAlign w:val="bottom"/>
                </w:tcPr>
                <w:p w14:paraId="3D180362" w14:textId="77777777" w:rsidR="0011262F" w:rsidRDefault="0011262F" w:rsidP="00B54007">
                  <w:pPr>
                    <w:pStyle w:val="TableBodyText"/>
                    <w:ind w:right="28"/>
                  </w:pPr>
                  <w:r w:rsidRPr="00C358C1">
                    <w:t>-0.069</w:t>
                  </w:r>
                </w:p>
              </w:tc>
              <w:tc>
                <w:tcPr>
                  <w:tcW w:w="631" w:type="pct"/>
                  <w:vAlign w:val="bottom"/>
                </w:tcPr>
                <w:p w14:paraId="5D46AE00" w14:textId="77777777" w:rsidR="0011262F" w:rsidRDefault="0011262F" w:rsidP="00B54007">
                  <w:pPr>
                    <w:pStyle w:val="TableBodyText"/>
                    <w:ind w:right="28"/>
                  </w:pPr>
                  <w:r w:rsidRPr="00C358C1">
                    <w:t>-0.023</w:t>
                  </w:r>
                </w:p>
              </w:tc>
              <w:tc>
                <w:tcPr>
                  <w:tcW w:w="631" w:type="pct"/>
                  <w:vAlign w:val="bottom"/>
                </w:tcPr>
                <w:p w14:paraId="7B8E2950" w14:textId="77777777" w:rsidR="0011262F" w:rsidRDefault="0011262F" w:rsidP="00B54007">
                  <w:pPr>
                    <w:pStyle w:val="TableBodyText"/>
                  </w:pPr>
                  <w:r w:rsidRPr="00C358C1">
                    <w:t>0.025</w:t>
                  </w:r>
                </w:p>
              </w:tc>
            </w:tr>
            <w:tr w:rsidR="0011262F" w14:paraId="5C09D635" w14:textId="77777777" w:rsidTr="00B54007">
              <w:tc>
                <w:tcPr>
                  <w:tcW w:w="1844" w:type="pct"/>
                  <w:shd w:val="clear" w:color="auto" w:fill="F2F2F2" w:themeFill="background1" w:themeFillShade="F2"/>
                  <w:vAlign w:val="bottom"/>
                </w:tcPr>
                <w:p w14:paraId="33FE5AA9" w14:textId="77777777" w:rsidR="0011262F" w:rsidRDefault="0011262F" w:rsidP="00B54007">
                  <w:pPr>
                    <w:pStyle w:val="TableBodyText"/>
                    <w:jc w:val="left"/>
                  </w:pPr>
                  <w:r w:rsidRPr="00C358C1">
                    <w:t>Change in total expenses due to size</w:t>
                  </w:r>
                </w:p>
              </w:tc>
              <w:tc>
                <w:tcPr>
                  <w:tcW w:w="631" w:type="pct"/>
                  <w:shd w:val="clear" w:color="auto" w:fill="F2F2F2" w:themeFill="background1" w:themeFillShade="F2"/>
                  <w:vAlign w:val="bottom"/>
                </w:tcPr>
                <w:p w14:paraId="3FE8C77B" w14:textId="77777777" w:rsidR="0011262F" w:rsidRDefault="0011262F" w:rsidP="00B54007">
                  <w:pPr>
                    <w:pStyle w:val="TableBodyText"/>
                    <w:ind w:right="28"/>
                  </w:pPr>
                  <w:r w:rsidRPr="00C358C1">
                    <w:t>0.086</w:t>
                  </w:r>
                </w:p>
              </w:tc>
              <w:tc>
                <w:tcPr>
                  <w:tcW w:w="631" w:type="pct"/>
                  <w:shd w:val="clear" w:color="auto" w:fill="F2F2F2" w:themeFill="background1" w:themeFillShade="F2"/>
                  <w:vAlign w:val="bottom"/>
                </w:tcPr>
                <w:p w14:paraId="60399B77" w14:textId="77777777" w:rsidR="0011262F" w:rsidRDefault="0011262F" w:rsidP="00B54007">
                  <w:pPr>
                    <w:pStyle w:val="TableBodyText"/>
                    <w:ind w:right="28"/>
                  </w:pPr>
                  <w:r w:rsidRPr="00C358C1">
                    <w:t>0.206</w:t>
                  </w:r>
                </w:p>
              </w:tc>
              <w:tc>
                <w:tcPr>
                  <w:tcW w:w="631" w:type="pct"/>
                  <w:shd w:val="clear" w:color="auto" w:fill="F2F2F2" w:themeFill="background1" w:themeFillShade="F2"/>
                  <w:vAlign w:val="bottom"/>
                </w:tcPr>
                <w:p w14:paraId="1D0DFFA5" w14:textId="77777777" w:rsidR="0011262F" w:rsidRDefault="0011262F" w:rsidP="00B54007">
                  <w:pPr>
                    <w:pStyle w:val="TableBodyText"/>
                    <w:ind w:right="28"/>
                  </w:pPr>
                  <w:r w:rsidRPr="00C358C1">
                    <w:t>-0.321</w:t>
                  </w:r>
                </w:p>
              </w:tc>
              <w:tc>
                <w:tcPr>
                  <w:tcW w:w="631" w:type="pct"/>
                  <w:shd w:val="clear" w:color="auto" w:fill="F2F2F2" w:themeFill="background1" w:themeFillShade="F2"/>
                  <w:vAlign w:val="bottom"/>
                </w:tcPr>
                <w:p w14:paraId="3D15277F" w14:textId="77777777" w:rsidR="0011262F" w:rsidRDefault="0011262F" w:rsidP="00B54007">
                  <w:pPr>
                    <w:pStyle w:val="TableBodyText"/>
                    <w:ind w:right="28"/>
                  </w:pPr>
                  <w:r w:rsidRPr="00C358C1">
                    <w:t>0.094</w:t>
                  </w:r>
                </w:p>
              </w:tc>
              <w:tc>
                <w:tcPr>
                  <w:tcW w:w="631" w:type="pct"/>
                  <w:shd w:val="clear" w:color="auto" w:fill="F2F2F2" w:themeFill="background1" w:themeFillShade="F2"/>
                  <w:vAlign w:val="bottom"/>
                </w:tcPr>
                <w:p w14:paraId="6F9902B5" w14:textId="77777777" w:rsidR="0011262F" w:rsidRDefault="0011262F" w:rsidP="00B54007">
                  <w:pPr>
                    <w:pStyle w:val="TableBodyText"/>
                  </w:pPr>
                  <w:r w:rsidRPr="00C358C1">
                    <w:t>0.488</w:t>
                  </w:r>
                </w:p>
              </w:tc>
            </w:tr>
            <w:tr w:rsidR="0011262F" w14:paraId="73229286" w14:textId="77777777" w:rsidTr="00B54007">
              <w:tc>
                <w:tcPr>
                  <w:tcW w:w="1844" w:type="pct"/>
                  <w:shd w:val="clear" w:color="auto" w:fill="auto"/>
                  <w:vAlign w:val="bottom"/>
                </w:tcPr>
                <w:p w14:paraId="006BA439" w14:textId="77777777" w:rsidR="0011262F" w:rsidRDefault="0011262F" w:rsidP="00B54007">
                  <w:pPr>
                    <w:pStyle w:val="TableBodyText"/>
                    <w:jc w:val="left"/>
                  </w:pPr>
                  <w:r w:rsidRPr="00C358C1">
                    <w:t>Industry x Change in total expenses due to size</w:t>
                  </w:r>
                </w:p>
              </w:tc>
              <w:tc>
                <w:tcPr>
                  <w:tcW w:w="631" w:type="pct"/>
                  <w:vAlign w:val="bottom"/>
                </w:tcPr>
                <w:p w14:paraId="3C87C093" w14:textId="77777777" w:rsidR="0011262F" w:rsidRDefault="0011262F" w:rsidP="00B54007">
                  <w:pPr>
                    <w:pStyle w:val="TableBodyText"/>
                    <w:ind w:right="28"/>
                  </w:pPr>
                  <w:r w:rsidRPr="00C358C1">
                    <w:t>0.189</w:t>
                  </w:r>
                </w:p>
              </w:tc>
              <w:tc>
                <w:tcPr>
                  <w:tcW w:w="631" w:type="pct"/>
                  <w:shd w:val="clear" w:color="auto" w:fill="auto"/>
                  <w:vAlign w:val="bottom"/>
                </w:tcPr>
                <w:p w14:paraId="3EF3A524" w14:textId="77777777" w:rsidR="0011262F" w:rsidRDefault="0011262F" w:rsidP="00B54007">
                  <w:pPr>
                    <w:pStyle w:val="TableBodyText"/>
                    <w:ind w:right="28"/>
                  </w:pPr>
                  <w:r w:rsidRPr="00C358C1">
                    <w:t>0.232</w:t>
                  </w:r>
                </w:p>
              </w:tc>
              <w:tc>
                <w:tcPr>
                  <w:tcW w:w="631" w:type="pct"/>
                  <w:shd w:val="clear" w:color="auto" w:fill="auto"/>
                  <w:vAlign w:val="bottom"/>
                </w:tcPr>
                <w:p w14:paraId="24131DF0" w14:textId="77777777" w:rsidR="0011262F" w:rsidRDefault="0011262F" w:rsidP="00B54007">
                  <w:pPr>
                    <w:pStyle w:val="TableBodyText"/>
                    <w:ind w:right="28"/>
                  </w:pPr>
                  <w:r w:rsidRPr="00C358C1">
                    <w:t>-0.260</w:t>
                  </w:r>
                </w:p>
              </w:tc>
              <w:tc>
                <w:tcPr>
                  <w:tcW w:w="631" w:type="pct"/>
                  <w:vAlign w:val="bottom"/>
                </w:tcPr>
                <w:p w14:paraId="0C703B16" w14:textId="77777777" w:rsidR="0011262F" w:rsidRDefault="0011262F" w:rsidP="00B54007">
                  <w:pPr>
                    <w:pStyle w:val="TableBodyText"/>
                    <w:ind w:right="28"/>
                  </w:pPr>
                  <w:r w:rsidRPr="00C358C1">
                    <w:t>0.185</w:t>
                  </w:r>
                </w:p>
              </w:tc>
              <w:tc>
                <w:tcPr>
                  <w:tcW w:w="631" w:type="pct"/>
                  <w:vAlign w:val="bottom"/>
                </w:tcPr>
                <w:p w14:paraId="489765A0" w14:textId="77777777" w:rsidR="0011262F" w:rsidRDefault="0011262F" w:rsidP="00B54007">
                  <w:pPr>
                    <w:pStyle w:val="TableBodyText"/>
                  </w:pPr>
                  <w:r w:rsidRPr="00C358C1">
                    <w:t>0.665</w:t>
                  </w:r>
                </w:p>
              </w:tc>
            </w:tr>
            <w:tr w:rsidR="0011262F" w14:paraId="57C8D4A8" w14:textId="77777777" w:rsidTr="00B54007">
              <w:tc>
                <w:tcPr>
                  <w:tcW w:w="1844" w:type="pct"/>
                  <w:shd w:val="clear" w:color="auto" w:fill="F2F2F2" w:themeFill="background1" w:themeFillShade="F2"/>
                  <w:vAlign w:val="bottom"/>
                </w:tcPr>
                <w:p w14:paraId="105C11FF" w14:textId="77777777" w:rsidR="0011262F" w:rsidRDefault="0011262F" w:rsidP="00B54007">
                  <w:pPr>
                    <w:pStyle w:val="TableBodyText"/>
                    <w:jc w:val="left"/>
                  </w:pPr>
                  <w:r w:rsidRPr="00C358C1">
                    <w:t>Public x Change in total expenses due to size</w:t>
                  </w:r>
                </w:p>
              </w:tc>
              <w:tc>
                <w:tcPr>
                  <w:tcW w:w="631" w:type="pct"/>
                  <w:shd w:val="clear" w:color="auto" w:fill="F2F2F2" w:themeFill="background1" w:themeFillShade="F2"/>
                  <w:vAlign w:val="bottom"/>
                </w:tcPr>
                <w:p w14:paraId="372B2C18" w14:textId="77777777" w:rsidR="0011262F" w:rsidRDefault="0011262F" w:rsidP="00B54007">
                  <w:pPr>
                    <w:pStyle w:val="TableBodyText"/>
                    <w:ind w:right="28"/>
                  </w:pPr>
                  <w:r w:rsidRPr="00C358C1">
                    <w:t>-0.043</w:t>
                  </w:r>
                </w:p>
              </w:tc>
              <w:tc>
                <w:tcPr>
                  <w:tcW w:w="631" w:type="pct"/>
                  <w:shd w:val="clear" w:color="auto" w:fill="F2F2F2" w:themeFill="background1" w:themeFillShade="F2"/>
                  <w:vAlign w:val="bottom"/>
                </w:tcPr>
                <w:p w14:paraId="0E476100" w14:textId="77777777" w:rsidR="0011262F" w:rsidRDefault="0011262F" w:rsidP="00B54007">
                  <w:pPr>
                    <w:pStyle w:val="TableBodyText"/>
                    <w:ind w:right="28"/>
                  </w:pPr>
                  <w:r w:rsidRPr="00C358C1">
                    <w:t>0.276</w:t>
                  </w:r>
                </w:p>
              </w:tc>
              <w:tc>
                <w:tcPr>
                  <w:tcW w:w="631" w:type="pct"/>
                  <w:shd w:val="clear" w:color="auto" w:fill="F2F2F2" w:themeFill="background1" w:themeFillShade="F2"/>
                  <w:vAlign w:val="bottom"/>
                </w:tcPr>
                <w:p w14:paraId="6360ED07" w14:textId="77777777" w:rsidR="0011262F" w:rsidRDefault="0011262F" w:rsidP="00B54007">
                  <w:pPr>
                    <w:pStyle w:val="TableBodyText"/>
                    <w:ind w:right="28"/>
                  </w:pPr>
                  <w:r w:rsidRPr="00C358C1">
                    <w:t>-0.584</w:t>
                  </w:r>
                </w:p>
              </w:tc>
              <w:tc>
                <w:tcPr>
                  <w:tcW w:w="631" w:type="pct"/>
                  <w:shd w:val="clear" w:color="auto" w:fill="F2F2F2" w:themeFill="background1" w:themeFillShade="F2"/>
                  <w:vAlign w:val="bottom"/>
                </w:tcPr>
                <w:p w14:paraId="18720FF2" w14:textId="77777777" w:rsidR="0011262F" w:rsidRDefault="0011262F" w:rsidP="00B54007">
                  <w:pPr>
                    <w:pStyle w:val="TableBodyText"/>
                    <w:ind w:right="28"/>
                  </w:pPr>
                  <w:r w:rsidRPr="00C358C1">
                    <w:t>-0.036</w:t>
                  </w:r>
                </w:p>
              </w:tc>
              <w:tc>
                <w:tcPr>
                  <w:tcW w:w="631" w:type="pct"/>
                  <w:shd w:val="clear" w:color="auto" w:fill="F2F2F2" w:themeFill="background1" w:themeFillShade="F2"/>
                  <w:vAlign w:val="bottom"/>
                </w:tcPr>
                <w:p w14:paraId="6ADA67B1" w14:textId="77777777" w:rsidR="0011262F" w:rsidRDefault="0011262F" w:rsidP="00B54007">
                  <w:pPr>
                    <w:pStyle w:val="TableBodyText"/>
                  </w:pPr>
                  <w:r w:rsidRPr="00C358C1">
                    <w:t>0.498</w:t>
                  </w:r>
                </w:p>
              </w:tc>
            </w:tr>
            <w:tr w:rsidR="0011262F" w14:paraId="10558D1C" w14:textId="77777777" w:rsidTr="00B54007">
              <w:tc>
                <w:tcPr>
                  <w:tcW w:w="1844" w:type="pct"/>
                  <w:shd w:val="clear" w:color="auto" w:fill="auto"/>
                  <w:vAlign w:val="bottom"/>
                </w:tcPr>
                <w:p w14:paraId="4E93057A" w14:textId="77777777" w:rsidR="0011262F" w:rsidRDefault="0011262F" w:rsidP="00B54007">
                  <w:pPr>
                    <w:pStyle w:val="TableBodyText"/>
                    <w:jc w:val="left"/>
                  </w:pPr>
                  <w:r w:rsidRPr="00C358C1">
                    <w:t>Retail x Change in total expenses due to size</w:t>
                  </w:r>
                </w:p>
              </w:tc>
              <w:tc>
                <w:tcPr>
                  <w:tcW w:w="631" w:type="pct"/>
                  <w:vAlign w:val="bottom"/>
                </w:tcPr>
                <w:p w14:paraId="7945E7FE" w14:textId="77777777" w:rsidR="0011262F" w:rsidRDefault="0011262F" w:rsidP="00B54007">
                  <w:pPr>
                    <w:pStyle w:val="TableBodyText"/>
                    <w:ind w:right="28"/>
                  </w:pPr>
                  <w:r w:rsidRPr="00C358C1">
                    <w:t>-0.141</w:t>
                  </w:r>
                </w:p>
              </w:tc>
              <w:tc>
                <w:tcPr>
                  <w:tcW w:w="631" w:type="pct"/>
                  <w:shd w:val="clear" w:color="auto" w:fill="auto"/>
                  <w:vAlign w:val="bottom"/>
                </w:tcPr>
                <w:p w14:paraId="09E1F0D7" w14:textId="77777777" w:rsidR="0011262F" w:rsidRDefault="0011262F" w:rsidP="00B54007">
                  <w:pPr>
                    <w:pStyle w:val="TableBodyText"/>
                    <w:ind w:right="28"/>
                  </w:pPr>
                  <w:r w:rsidRPr="00C358C1">
                    <w:t>0.222</w:t>
                  </w:r>
                </w:p>
              </w:tc>
              <w:tc>
                <w:tcPr>
                  <w:tcW w:w="631" w:type="pct"/>
                  <w:shd w:val="clear" w:color="auto" w:fill="auto"/>
                  <w:vAlign w:val="bottom"/>
                </w:tcPr>
                <w:p w14:paraId="3BE11B6F" w14:textId="77777777" w:rsidR="0011262F" w:rsidRDefault="0011262F" w:rsidP="00B54007">
                  <w:pPr>
                    <w:pStyle w:val="TableBodyText"/>
                    <w:ind w:right="28"/>
                  </w:pPr>
                  <w:r w:rsidRPr="00C358C1">
                    <w:t>-0.554</w:t>
                  </w:r>
                </w:p>
              </w:tc>
              <w:tc>
                <w:tcPr>
                  <w:tcW w:w="631" w:type="pct"/>
                  <w:vAlign w:val="bottom"/>
                </w:tcPr>
                <w:p w14:paraId="45E6350F" w14:textId="77777777" w:rsidR="0011262F" w:rsidRDefault="0011262F" w:rsidP="00B54007">
                  <w:pPr>
                    <w:pStyle w:val="TableBodyText"/>
                    <w:ind w:right="28"/>
                  </w:pPr>
                  <w:r w:rsidRPr="00C358C1">
                    <w:t>-0.145</w:t>
                  </w:r>
                </w:p>
              </w:tc>
              <w:tc>
                <w:tcPr>
                  <w:tcW w:w="631" w:type="pct"/>
                  <w:vAlign w:val="bottom"/>
                </w:tcPr>
                <w:p w14:paraId="2B8E6215" w14:textId="77777777" w:rsidR="0011262F" w:rsidRDefault="0011262F" w:rsidP="00B54007">
                  <w:pPr>
                    <w:pStyle w:val="TableBodyText"/>
                  </w:pPr>
                  <w:r w:rsidRPr="00C358C1">
                    <w:t>0.288</w:t>
                  </w:r>
                </w:p>
              </w:tc>
            </w:tr>
            <w:tr w:rsidR="0011262F" w14:paraId="2E3757F0" w14:textId="77777777" w:rsidTr="00B54007">
              <w:tc>
                <w:tcPr>
                  <w:tcW w:w="1844" w:type="pct"/>
                  <w:shd w:val="clear" w:color="auto" w:fill="F2F2F2" w:themeFill="background1" w:themeFillShade="F2"/>
                  <w:vAlign w:val="bottom"/>
                </w:tcPr>
                <w:p w14:paraId="3D13179B" w14:textId="77777777" w:rsidR="0011262F" w:rsidRDefault="0011262F" w:rsidP="00B54007">
                  <w:pPr>
                    <w:pStyle w:val="TableBodyText"/>
                    <w:jc w:val="left"/>
                  </w:pPr>
                  <w:r w:rsidRPr="00C358C1">
                    <w:t>Intercept</w:t>
                  </w:r>
                </w:p>
              </w:tc>
              <w:tc>
                <w:tcPr>
                  <w:tcW w:w="631" w:type="pct"/>
                  <w:shd w:val="clear" w:color="auto" w:fill="F2F2F2" w:themeFill="background1" w:themeFillShade="F2"/>
                  <w:vAlign w:val="bottom"/>
                </w:tcPr>
                <w:p w14:paraId="207D6423" w14:textId="77777777" w:rsidR="0011262F" w:rsidRDefault="0011262F" w:rsidP="00B54007">
                  <w:pPr>
                    <w:pStyle w:val="TableBodyText"/>
                    <w:ind w:right="28"/>
                  </w:pPr>
                  <w:r w:rsidRPr="00C358C1">
                    <w:t>0.017</w:t>
                  </w:r>
                </w:p>
              </w:tc>
              <w:tc>
                <w:tcPr>
                  <w:tcW w:w="631" w:type="pct"/>
                  <w:shd w:val="clear" w:color="auto" w:fill="F2F2F2" w:themeFill="background1" w:themeFillShade="F2"/>
                  <w:vAlign w:val="bottom"/>
                </w:tcPr>
                <w:p w14:paraId="0577497E" w14:textId="77777777" w:rsidR="0011262F" w:rsidRDefault="0011262F" w:rsidP="00B54007">
                  <w:pPr>
                    <w:pStyle w:val="TableBodyText"/>
                    <w:ind w:right="28"/>
                  </w:pPr>
                  <w:r w:rsidRPr="00C358C1">
                    <w:t>0.022</w:t>
                  </w:r>
                </w:p>
              </w:tc>
              <w:tc>
                <w:tcPr>
                  <w:tcW w:w="631" w:type="pct"/>
                  <w:shd w:val="clear" w:color="auto" w:fill="F2F2F2" w:themeFill="background1" w:themeFillShade="F2"/>
                  <w:vAlign w:val="bottom"/>
                </w:tcPr>
                <w:p w14:paraId="4C4B11C8" w14:textId="77777777" w:rsidR="0011262F" w:rsidRDefault="0011262F" w:rsidP="00B54007">
                  <w:pPr>
                    <w:pStyle w:val="TableBodyText"/>
                    <w:ind w:right="28"/>
                  </w:pPr>
                  <w:r w:rsidRPr="00C358C1">
                    <w:t>-0.027</w:t>
                  </w:r>
                </w:p>
              </w:tc>
              <w:tc>
                <w:tcPr>
                  <w:tcW w:w="631" w:type="pct"/>
                  <w:shd w:val="clear" w:color="auto" w:fill="F2F2F2" w:themeFill="background1" w:themeFillShade="F2"/>
                  <w:vAlign w:val="bottom"/>
                </w:tcPr>
                <w:p w14:paraId="76F60988" w14:textId="77777777" w:rsidR="0011262F" w:rsidRDefault="0011262F" w:rsidP="00B54007">
                  <w:pPr>
                    <w:pStyle w:val="TableBodyText"/>
                    <w:ind w:right="28"/>
                  </w:pPr>
                  <w:r w:rsidRPr="00C358C1">
                    <w:t>0.018</w:t>
                  </w:r>
                </w:p>
              </w:tc>
              <w:tc>
                <w:tcPr>
                  <w:tcW w:w="631" w:type="pct"/>
                  <w:shd w:val="clear" w:color="auto" w:fill="F2F2F2" w:themeFill="background1" w:themeFillShade="F2"/>
                  <w:vAlign w:val="bottom"/>
                </w:tcPr>
                <w:p w14:paraId="57D8AB7A" w14:textId="77777777" w:rsidR="0011262F" w:rsidRDefault="0011262F" w:rsidP="00B54007">
                  <w:pPr>
                    <w:pStyle w:val="TableBodyText"/>
                  </w:pPr>
                  <w:r w:rsidRPr="00C358C1">
                    <w:t>0.059</w:t>
                  </w:r>
                </w:p>
              </w:tc>
            </w:tr>
            <w:tr w:rsidR="0011262F" w14:paraId="67F7EF48" w14:textId="77777777" w:rsidTr="00B54007">
              <w:tc>
                <w:tcPr>
                  <w:tcW w:w="1844" w:type="pct"/>
                  <w:shd w:val="clear" w:color="auto" w:fill="auto"/>
                  <w:vAlign w:val="bottom"/>
                </w:tcPr>
                <w:p w14:paraId="1C356C41" w14:textId="77777777" w:rsidR="0011262F" w:rsidRDefault="0011262F" w:rsidP="00B54007">
                  <w:pPr>
                    <w:pStyle w:val="TableBodyText"/>
                    <w:jc w:val="left"/>
                  </w:pPr>
                  <w:r w:rsidRPr="00C358C1">
                    <w:t>SD of total pass-through</w:t>
                  </w:r>
                </w:p>
              </w:tc>
              <w:tc>
                <w:tcPr>
                  <w:tcW w:w="631" w:type="pct"/>
                  <w:vAlign w:val="bottom"/>
                </w:tcPr>
                <w:p w14:paraId="4886B9D4" w14:textId="77777777" w:rsidR="0011262F" w:rsidRDefault="0011262F" w:rsidP="00B54007">
                  <w:pPr>
                    <w:pStyle w:val="TableBodyText"/>
                    <w:ind w:right="28"/>
                  </w:pPr>
                  <w:r w:rsidRPr="00C358C1">
                    <w:t>0.172</w:t>
                  </w:r>
                </w:p>
              </w:tc>
              <w:tc>
                <w:tcPr>
                  <w:tcW w:w="631" w:type="pct"/>
                  <w:shd w:val="clear" w:color="auto" w:fill="auto"/>
                  <w:vAlign w:val="bottom"/>
                </w:tcPr>
                <w:p w14:paraId="7393C70A" w14:textId="77777777" w:rsidR="0011262F" w:rsidRDefault="0011262F" w:rsidP="00B54007">
                  <w:pPr>
                    <w:pStyle w:val="TableBodyText"/>
                    <w:ind w:right="28"/>
                  </w:pPr>
                  <w:r w:rsidRPr="00C358C1">
                    <w:t>0.004</w:t>
                  </w:r>
                </w:p>
              </w:tc>
              <w:tc>
                <w:tcPr>
                  <w:tcW w:w="631" w:type="pct"/>
                  <w:shd w:val="clear" w:color="auto" w:fill="auto"/>
                  <w:vAlign w:val="bottom"/>
                </w:tcPr>
                <w:p w14:paraId="0747C059" w14:textId="77777777" w:rsidR="0011262F" w:rsidRDefault="0011262F" w:rsidP="00B54007">
                  <w:pPr>
                    <w:pStyle w:val="TableBodyText"/>
                    <w:ind w:right="28"/>
                  </w:pPr>
                  <w:r w:rsidRPr="00C358C1">
                    <w:t>0.165</w:t>
                  </w:r>
                </w:p>
              </w:tc>
              <w:tc>
                <w:tcPr>
                  <w:tcW w:w="631" w:type="pct"/>
                  <w:vAlign w:val="bottom"/>
                </w:tcPr>
                <w:p w14:paraId="66AAD798" w14:textId="77777777" w:rsidR="0011262F" w:rsidRDefault="0011262F" w:rsidP="00B54007">
                  <w:pPr>
                    <w:pStyle w:val="TableBodyText"/>
                    <w:ind w:right="28"/>
                  </w:pPr>
                  <w:r w:rsidRPr="00C358C1">
                    <w:t>0.172</w:t>
                  </w:r>
                </w:p>
              </w:tc>
              <w:tc>
                <w:tcPr>
                  <w:tcW w:w="631" w:type="pct"/>
                  <w:vAlign w:val="bottom"/>
                </w:tcPr>
                <w:p w14:paraId="431DC413" w14:textId="77777777" w:rsidR="0011262F" w:rsidRDefault="0011262F" w:rsidP="00B54007">
                  <w:pPr>
                    <w:pStyle w:val="TableBodyText"/>
                  </w:pPr>
                  <w:r w:rsidRPr="00C358C1">
                    <w:t>0.180</w:t>
                  </w:r>
                </w:p>
              </w:tc>
            </w:tr>
            <w:tr w:rsidR="0011262F" w14:paraId="220E5EB5" w14:textId="77777777" w:rsidTr="00B54007">
              <w:tc>
                <w:tcPr>
                  <w:tcW w:w="1844" w:type="pct"/>
                  <w:shd w:val="clear" w:color="auto" w:fill="F2F2F2" w:themeFill="background1" w:themeFillShade="F2"/>
                  <w:vAlign w:val="bottom"/>
                </w:tcPr>
                <w:p w14:paraId="2DA389F4" w14:textId="77777777" w:rsidR="0011262F" w:rsidRDefault="0011262F" w:rsidP="00B54007">
                  <w:pPr>
                    <w:pStyle w:val="TableBodyText"/>
                    <w:jc w:val="left"/>
                  </w:pPr>
                  <w:r w:rsidRPr="00C358C1">
                    <w:t>SD of varying intercept</w:t>
                  </w:r>
                </w:p>
              </w:tc>
              <w:tc>
                <w:tcPr>
                  <w:tcW w:w="631" w:type="pct"/>
                  <w:shd w:val="clear" w:color="auto" w:fill="F2F2F2" w:themeFill="background1" w:themeFillShade="F2"/>
                  <w:vAlign w:val="bottom"/>
                </w:tcPr>
                <w:p w14:paraId="75F02596" w14:textId="77777777" w:rsidR="0011262F" w:rsidRDefault="0011262F" w:rsidP="00B54007">
                  <w:pPr>
                    <w:pStyle w:val="TableBodyText"/>
                    <w:ind w:right="28"/>
                  </w:pPr>
                  <w:r w:rsidRPr="00C358C1">
                    <w:t>0.043</w:t>
                  </w:r>
                </w:p>
              </w:tc>
              <w:tc>
                <w:tcPr>
                  <w:tcW w:w="631" w:type="pct"/>
                  <w:shd w:val="clear" w:color="auto" w:fill="F2F2F2" w:themeFill="background1" w:themeFillShade="F2"/>
                  <w:vAlign w:val="bottom"/>
                </w:tcPr>
                <w:p w14:paraId="18DEE46E" w14:textId="77777777" w:rsidR="0011262F" w:rsidRDefault="0011262F" w:rsidP="00B54007">
                  <w:pPr>
                    <w:pStyle w:val="TableBodyText"/>
                    <w:ind w:right="28"/>
                  </w:pPr>
                  <w:r w:rsidRPr="00C358C1">
                    <w:t>0.005</w:t>
                  </w:r>
                </w:p>
              </w:tc>
              <w:tc>
                <w:tcPr>
                  <w:tcW w:w="631" w:type="pct"/>
                  <w:shd w:val="clear" w:color="auto" w:fill="F2F2F2" w:themeFill="background1" w:themeFillShade="F2"/>
                  <w:vAlign w:val="bottom"/>
                </w:tcPr>
                <w:p w14:paraId="39EE0A08" w14:textId="77777777" w:rsidR="0011262F" w:rsidRDefault="0011262F" w:rsidP="00B54007">
                  <w:pPr>
                    <w:pStyle w:val="TableBodyText"/>
                    <w:ind w:right="28"/>
                  </w:pPr>
                  <w:r w:rsidRPr="00C358C1">
                    <w:t>0.032</w:t>
                  </w:r>
                </w:p>
              </w:tc>
              <w:tc>
                <w:tcPr>
                  <w:tcW w:w="631" w:type="pct"/>
                  <w:shd w:val="clear" w:color="auto" w:fill="F2F2F2" w:themeFill="background1" w:themeFillShade="F2"/>
                  <w:vAlign w:val="bottom"/>
                </w:tcPr>
                <w:p w14:paraId="7C03A5FA" w14:textId="77777777" w:rsidR="0011262F" w:rsidRDefault="0011262F" w:rsidP="00B54007">
                  <w:pPr>
                    <w:pStyle w:val="TableBodyText"/>
                    <w:ind w:right="28"/>
                  </w:pPr>
                  <w:r w:rsidRPr="00C358C1">
                    <w:t>0.042</w:t>
                  </w:r>
                </w:p>
              </w:tc>
              <w:tc>
                <w:tcPr>
                  <w:tcW w:w="631" w:type="pct"/>
                  <w:shd w:val="clear" w:color="auto" w:fill="F2F2F2" w:themeFill="background1" w:themeFillShade="F2"/>
                  <w:vAlign w:val="bottom"/>
                </w:tcPr>
                <w:p w14:paraId="33035631" w14:textId="77777777" w:rsidR="0011262F" w:rsidRDefault="0011262F" w:rsidP="00B54007">
                  <w:pPr>
                    <w:pStyle w:val="TableBodyText"/>
                  </w:pPr>
                  <w:r w:rsidRPr="00C358C1">
                    <w:t>0.055</w:t>
                  </w:r>
                </w:p>
              </w:tc>
            </w:tr>
            <w:tr w:rsidR="0011262F" w14:paraId="6BBC493C" w14:textId="77777777" w:rsidTr="00B54007">
              <w:tc>
                <w:tcPr>
                  <w:tcW w:w="1844" w:type="pct"/>
                  <w:tcBorders>
                    <w:bottom w:val="single" w:sz="6" w:space="0" w:color="BFBFBF" w:themeColor="background1" w:themeShade="BF"/>
                  </w:tcBorders>
                  <w:shd w:val="clear" w:color="auto" w:fill="auto"/>
                  <w:vAlign w:val="bottom"/>
                </w:tcPr>
                <w:p w14:paraId="1C54157B" w14:textId="77777777" w:rsidR="0011262F" w:rsidRDefault="0011262F" w:rsidP="00B54007">
                  <w:pPr>
                    <w:pStyle w:val="TableBodyText"/>
                    <w:jc w:val="left"/>
                  </w:pPr>
                  <w:r w:rsidRPr="00C358C1">
                    <w:t xml:space="preserve">SD of varying </w:t>
                  </w:r>
                  <w:r>
                    <w:t xml:space="preserve">slope: </w:t>
                  </w:r>
                  <w:r w:rsidRPr="00C358C1">
                    <w:t xml:space="preserve">Change in total expenses due to size </w:t>
                  </w:r>
                </w:p>
              </w:tc>
              <w:tc>
                <w:tcPr>
                  <w:tcW w:w="631" w:type="pct"/>
                  <w:tcBorders>
                    <w:bottom w:val="single" w:sz="6" w:space="0" w:color="BFBFBF" w:themeColor="background1" w:themeShade="BF"/>
                  </w:tcBorders>
                  <w:vAlign w:val="bottom"/>
                </w:tcPr>
                <w:p w14:paraId="60C8CD59" w14:textId="77777777" w:rsidR="0011262F" w:rsidRDefault="0011262F" w:rsidP="00B54007">
                  <w:pPr>
                    <w:pStyle w:val="TableBodyText"/>
                    <w:ind w:right="28"/>
                  </w:pPr>
                  <w:r w:rsidRPr="00C358C1">
                    <w:t>0.552</w:t>
                  </w:r>
                </w:p>
              </w:tc>
              <w:tc>
                <w:tcPr>
                  <w:tcW w:w="631" w:type="pct"/>
                  <w:tcBorders>
                    <w:bottom w:val="single" w:sz="6" w:space="0" w:color="BFBFBF" w:themeColor="background1" w:themeShade="BF"/>
                  </w:tcBorders>
                  <w:shd w:val="clear" w:color="auto" w:fill="auto"/>
                  <w:vAlign w:val="bottom"/>
                </w:tcPr>
                <w:p w14:paraId="127ABBFB" w14:textId="77777777" w:rsidR="0011262F" w:rsidRDefault="0011262F" w:rsidP="00B54007">
                  <w:pPr>
                    <w:pStyle w:val="TableBodyText"/>
                    <w:ind w:right="28"/>
                  </w:pPr>
                  <w:r w:rsidRPr="00C358C1">
                    <w:t>0.066</w:t>
                  </w:r>
                </w:p>
              </w:tc>
              <w:tc>
                <w:tcPr>
                  <w:tcW w:w="631" w:type="pct"/>
                  <w:tcBorders>
                    <w:bottom w:val="single" w:sz="6" w:space="0" w:color="BFBFBF" w:themeColor="background1" w:themeShade="BF"/>
                  </w:tcBorders>
                  <w:shd w:val="clear" w:color="auto" w:fill="auto"/>
                  <w:vAlign w:val="bottom"/>
                </w:tcPr>
                <w:p w14:paraId="098A4E33" w14:textId="77777777" w:rsidR="0011262F" w:rsidRDefault="0011262F" w:rsidP="00B54007">
                  <w:pPr>
                    <w:pStyle w:val="TableBodyText"/>
                    <w:ind w:right="28"/>
                  </w:pPr>
                  <w:r w:rsidRPr="00C358C1">
                    <w:t>0.435</w:t>
                  </w:r>
                </w:p>
              </w:tc>
              <w:tc>
                <w:tcPr>
                  <w:tcW w:w="631" w:type="pct"/>
                  <w:tcBorders>
                    <w:bottom w:val="single" w:sz="6" w:space="0" w:color="BFBFBF" w:themeColor="background1" w:themeShade="BF"/>
                  </w:tcBorders>
                  <w:vAlign w:val="bottom"/>
                </w:tcPr>
                <w:p w14:paraId="19E6AEFB" w14:textId="77777777" w:rsidR="0011262F" w:rsidRDefault="0011262F" w:rsidP="00B54007">
                  <w:pPr>
                    <w:pStyle w:val="TableBodyText"/>
                    <w:ind w:right="28"/>
                  </w:pPr>
                  <w:r w:rsidRPr="00C358C1">
                    <w:t>0.550</w:t>
                  </w:r>
                </w:p>
              </w:tc>
              <w:tc>
                <w:tcPr>
                  <w:tcW w:w="631" w:type="pct"/>
                  <w:tcBorders>
                    <w:bottom w:val="single" w:sz="6" w:space="0" w:color="BFBFBF" w:themeColor="background1" w:themeShade="BF"/>
                  </w:tcBorders>
                  <w:vAlign w:val="bottom"/>
                </w:tcPr>
                <w:p w14:paraId="41D38C5B" w14:textId="77777777" w:rsidR="0011262F" w:rsidRDefault="0011262F" w:rsidP="00B54007">
                  <w:pPr>
                    <w:pStyle w:val="TableBodyText"/>
                  </w:pPr>
                  <w:r w:rsidRPr="00C358C1">
                    <w:t>0.689</w:t>
                  </w:r>
                </w:p>
              </w:tc>
            </w:tr>
          </w:tbl>
          <w:p w14:paraId="31527C42" w14:textId="77777777" w:rsidR="0011262F" w:rsidRDefault="0011262F" w:rsidP="00B54007">
            <w:pPr>
              <w:pStyle w:val="Box"/>
            </w:pPr>
          </w:p>
        </w:tc>
      </w:tr>
      <w:tr w:rsidR="0011262F" w14:paraId="0194023F" w14:textId="77777777" w:rsidTr="00B54007">
        <w:tc>
          <w:tcPr>
            <w:tcW w:w="5000" w:type="pct"/>
            <w:tcBorders>
              <w:top w:val="nil"/>
              <w:left w:val="nil"/>
              <w:bottom w:val="single" w:sz="6" w:space="0" w:color="78A22F"/>
              <w:right w:val="nil"/>
            </w:tcBorders>
            <w:shd w:val="clear" w:color="auto" w:fill="auto"/>
          </w:tcPr>
          <w:p w14:paraId="72960D95" w14:textId="77777777" w:rsidR="0011262F" w:rsidRDefault="0011262F" w:rsidP="00B54007">
            <w:pPr>
              <w:pStyle w:val="Box"/>
              <w:spacing w:before="0" w:line="120" w:lineRule="exact"/>
            </w:pPr>
          </w:p>
        </w:tc>
      </w:tr>
      <w:tr w:rsidR="0011262F" w:rsidRPr="00626D32" w14:paraId="3BA36DAB" w14:textId="77777777" w:rsidTr="00B54007">
        <w:tc>
          <w:tcPr>
            <w:tcW w:w="5000" w:type="pct"/>
            <w:tcBorders>
              <w:top w:val="single" w:sz="6" w:space="0" w:color="78A22F"/>
              <w:left w:val="nil"/>
              <w:bottom w:val="nil"/>
              <w:right w:val="nil"/>
            </w:tcBorders>
          </w:tcPr>
          <w:p w14:paraId="2626DAC5" w14:textId="77777777" w:rsidR="0011262F" w:rsidRPr="00626D32" w:rsidRDefault="0011262F" w:rsidP="00B54007">
            <w:pPr>
              <w:pStyle w:val="BoxSpaceBelow"/>
            </w:pPr>
          </w:p>
        </w:tc>
      </w:tr>
    </w:tbl>
    <w:p w14:paraId="07B2FDA6" w14:textId="77777777" w:rsidR="0011262F" w:rsidRDefault="0011262F" w:rsidP="0011262F">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1262F" w14:paraId="5912DDBD" w14:textId="77777777" w:rsidTr="00B54007">
        <w:trPr>
          <w:tblHeader/>
        </w:trPr>
        <w:tc>
          <w:tcPr>
            <w:tcW w:w="5000" w:type="pct"/>
            <w:tcBorders>
              <w:top w:val="single" w:sz="6" w:space="0" w:color="78A22F"/>
              <w:left w:val="nil"/>
              <w:bottom w:val="nil"/>
              <w:right w:val="nil"/>
            </w:tcBorders>
            <w:shd w:val="clear" w:color="auto" w:fill="auto"/>
          </w:tcPr>
          <w:p w14:paraId="78B96DDE" w14:textId="77777777" w:rsidR="0011262F" w:rsidRDefault="0011262F" w:rsidP="00B54007">
            <w:pPr>
              <w:pStyle w:val="TableTitle"/>
            </w:pPr>
            <w:r>
              <w:rPr>
                <w:b w:val="0"/>
              </w:rPr>
              <w:t xml:space="preserve">Table </w:t>
            </w:r>
            <w:proofErr w:type="spellStart"/>
            <w:r>
              <w:rPr>
                <w:b w:val="0"/>
              </w:rPr>
              <w:t>E.2</w:t>
            </w:r>
            <w:proofErr w:type="spellEnd"/>
            <w:r>
              <w:tab/>
              <w:t>Parameter estimates</w:t>
            </w:r>
          </w:p>
          <w:p w14:paraId="7CB8D010" w14:textId="77777777" w:rsidR="0011262F" w:rsidRPr="00FB7973" w:rsidRDefault="0011262F" w:rsidP="00B54007">
            <w:pPr>
              <w:pStyle w:val="Subtitle"/>
            </w:pPr>
            <w:r>
              <w:t>Weighted product fees</w:t>
            </w:r>
          </w:p>
        </w:tc>
      </w:tr>
      <w:tr w:rsidR="0011262F" w14:paraId="293D0C0F" w14:textId="77777777" w:rsidTr="00B54007">
        <w:tc>
          <w:tcPr>
            <w:tcW w:w="5000" w:type="pct"/>
            <w:tcBorders>
              <w:top w:val="nil"/>
              <w:left w:val="nil"/>
              <w:bottom w:val="nil"/>
              <w:right w:val="nil"/>
            </w:tcBorders>
            <w:shd w:val="clear" w:color="auto" w:fill="auto"/>
          </w:tcPr>
          <w:tbl>
            <w:tblPr>
              <w:tblW w:w="8527" w:type="dxa"/>
              <w:tblCellMar>
                <w:top w:w="28" w:type="dxa"/>
                <w:left w:w="0" w:type="dxa"/>
                <w:right w:w="0" w:type="dxa"/>
              </w:tblCellMar>
              <w:tblLook w:val="0000" w:firstRow="0" w:lastRow="0" w:firstColumn="0" w:lastColumn="0" w:noHBand="0" w:noVBand="0"/>
            </w:tblPr>
            <w:tblGrid>
              <w:gridCol w:w="3141"/>
              <w:gridCol w:w="1078"/>
              <w:gridCol w:w="1078"/>
              <w:gridCol w:w="1078"/>
              <w:gridCol w:w="1078"/>
              <w:gridCol w:w="1074"/>
            </w:tblGrid>
            <w:tr w:rsidR="0011262F" w14:paraId="23A77CCE" w14:textId="77777777" w:rsidTr="00B54007">
              <w:trPr>
                <w:tblHeader/>
              </w:trPr>
              <w:tc>
                <w:tcPr>
                  <w:tcW w:w="1842" w:type="pct"/>
                  <w:tcBorders>
                    <w:top w:val="single" w:sz="4" w:space="0" w:color="BFBFBF"/>
                    <w:bottom w:val="single" w:sz="6" w:space="0" w:color="BFBFBF"/>
                  </w:tcBorders>
                  <w:shd w:val="clear" w:color="auto" w:fill="auto"/>
                  <w:tcMar>
                    <w:top w:w="28" w:type="dxa"/>
                  </w:tcMar>
                  <w:vAlign w:val="bottom"/>
                </w:tcPr>
                <w:p w14:paraId="43D1731A" w14:textId="77777777" w:rsidR="0011262F" w:rsidRDefault="0011262F" w:rsidP="00B54007">
                  <w:pPr>
                    <w:pStyle w:val="TableColumnHeading"/>
                    <w:jc w:val="left"/>
                  </w:pPr>
                  <w:r>
                    <w:t>Parameter</w:t>
                  </w:r>
                </w:p>
              </w:tc>
              <w:tc>
                <w:tcPr>
                  <w:tcW w:w="632" w:type="pct"/>
                  <w:tcBorders>
                    <w:top w:val="single" w:sz="4" w:space="0" w:color="BFBFBF"/>
                    <w:bottom w:val="single" w:sz="6" w:space="0" w:color="BFBFBF"/>
                  </w:tcBorders>
                  <w:vAlign w:val="bottom"/>
                </w:tcPr>
                <w:p w14:paraId="5539854F" w14:textId="77777777" w:rsidR="0011262F" w:rsidRDefault="0011262F" w:rsidP="00B54007">
                  <w:pPr>
                    <w:pStyle w:val="TableColumnHeading"/>
                  </w:pPr>
                  <w:r>
                    <w:t>Mean</w:t>
                  </w:r>
                </w:p>
              </w:tc>
              <w:tc>
                <w:tcPr>
                  <w:tcW w:w="632" w:type="pct"/>
                  <w:tcBorders>
                    <w:top w:val="single" w:sz="4" w:space="0" w:color="BFBFBF"/>
                    <w:bottom w:val="single" w:sz="6" w:space="0" w:color="BFBFBF"/>
                  </w:tcBorders>
                  <w:shd w:val="clear" w:color="auto" w:fill="auto"/>
                  <w:tcMar>
                    <w:top w:w="28" w:type="dxa"/>
                  </w:tcMar>
                  <w:vAlign w:val="bottom"/>
                </w:tcPr>
                <w:p w14:paraId="1ABC11E0" w14:textId="77777777" w:rsidR="0011262F" w:rsidRDefault="0011262F" w:rsidP="00B54007">
                  <w:pPr>
                    <w:pStyle w:val="TableColumnHeading"/>
                  </w:pPr>
                  <w:r>
                    <w:t>Standard deviation</w:t>
                  </w:r>
                </w:p>
              </w:tc>
              <w:tc>
                <w:tcPr>
                  <w:tcW w:w="632" w:type="pct"/>
                  <w:tcBorders>
                    <w:top w:val="single" w:sz="4" w:space="0" w:color="BFBFBF"/>
                    <w:bottom w:val="single" w:sz="6" w:space="0" w:color="BFBFBF"/>
                  </w:tcBorders>
                  <w:shd w:val="clear" w:color="auto" w:fill="auto"/>
                  <w:tcMar>
                    <w:top w:w="28" w:type="dxa"/>
                  </w:tcMar>
                  <w:vAlign w:val="bottom"/>
                </w:tcPr>
                <w:p w14:paraId="3C06809D" w14:textId="77777777" w:rsidR="0011262F" w:rsidRDefault="0011262F" w:rsidP="00B54007">
                  <w:pPr>
                    <w:pStyle w:val="TableColumnHeading"/>
                    <w:ind w:right="28"/>
                  </w:pPr>
                  <w:r>
                    <w:t>2.5 percentile</w:t>
                  </w:r>
                </w:p>
              </w:tc>
              <w:tc>
                <w:tcPr>
                  <w:tcW w:w="632" w:type="pct"/>
                  <w:tcBorders>
                    <w:top w:val="single" w:sz="4" w:space="0" w:color="BFBFBF"/>
                    <w:bottom w:val="single" w:sz="6" w:space="0" w:color="BFBFBF"/>
                  </w:tcBorders>
                  <w:vAlign w:val="bottom"/>
                </w:tcPr>
                <w:p w14:paraId="6080D063" w14:textId="77777777" w:rsidR="0011262F" w:rsidRDefault="0011262F" w:rsidP="00B54007">
                  <w:pPr>
                    <w:pStyle w:val="TableColumnHeading"/>
                    <w:ind w:right="28"/>
                  </w:pPr>
                  <w:r>
                    <w:t>Median</w:t>
                  </w:r>
                </w:p>
              </w:tc>
              <w:tc>
                <w:tcPr>
                  <w:tcW w:w="630" w:type="pct"/>
                  <w:tcBorders>
                    <w:top w:val="single" w:sz="4" w:space="0" w:color="BFBFBF"/>
                    <w:bottom w:val="single" w:sz="6" w:space="0" w:color="BFBFBF"/>
                  </w:tcBorders>
                  <w:vAlign w:val="bottom"/>
                </w:tcPr>
                <w:p w14:paraId="48C75F80" w14:textId="77777777" w:rsidR="0011262F" w:rsidRDefault="0011262F" w:rsidP="00B54007">
                  <w:pPr>
                    <w:pStyle w:val="TableColumnHeading"/>
                  </w:pPr>
                  <w:r>
                    <w:t>97.5 percentile</w:t>
                  </w:r>
                </w:p>
              </w:tc>
            </w:tr>
            <w:tr w:rsidR="0011262F" w14:paraId="39EE40D5" w14:textId="77777777" w:rsidTr="00B54007">
              <w:tc>
                <w:tcPr>
                  <w:tcW w:w="1842" w:type="pct"/>
                  <w:tcBorders>
                    <w:top w:val="single" w:sz="6" w:space="0" w:color="BFBFBF"/>
                  </w:tcBorders>
                  <w:shd w:val="clear" w:color="auto" w:fill="BFBFBF" w:themeFill="background1" w:themeFillShade="BF"/>
                </w:tcPr>
                <w:p w14:paraId="6B6BB35D" w14:textId="77777777" w:rsidR="0011262F" w:rsidRPr="00992D7E" w:rsidRDefault="0011262F" w:rsidP="00B54007">
                  <w:pPr>
                    <w:pStyle w:val="TableBodyText"/>
                    <w:jc w:val="left"/>
                    <w:rPr>
                      <w:b/>
                    </w:rPr>
                  </w:pPr>
                  <w:r>
                    <w:rPr>
                      <w:b/>
                    </w:rPr>
                    <w:t>Likelihood</w:t>
                  </w:r>
                </w:p>
              </w:tc>
              <w:tc>
                <w:tcPr>
                  <w:tcW w:w="632" w:type="pct"/>
                  <w:tcBorders>
                    <w:top w:val="single" w:sz="6" w:space="0" w:color="BFBFBF"/>
                  </w:tcBorders>
                  <w:shd w:val="clear" w:color="auto" w:fill="BFBFBF" w:themeFill="background1" w:themeFillShade="BF"/>
                </w:tcPr>
                <w:p w14:paraId="1DCCF065" w14:textId="77777777" w:rsidR="0011262F" w:rsidRDefault="0011262F" w:rsidP="00B54007">
                  <w:pPr>
                    <w:pStyle w:val="TableBodyText"/>
                    <w:ind w:right="28"/>
                  </w:pPr>
                </w:p>
              </w:tc>
              <w:tc>
                <w:tcPr>
                  <w:tcW w:w="632" w:type="pct"/>
                  <w:tcBorders>
                    <w:top w:val="single" w:sz="6" w:space="0" w:color="BFBFBF"/>
                  </w:tcBorders>
                  <w:shd w:val="clear" w:color="auto" w:fill="BFBFBF" w:themeFill="background1" w:themeFillShade="BF"/>
                </w:tcPr>
                <w:p w14:paraId="5A2F2509" w14:textId="77777777" w:rsidR="0011262F" w:rsidRDefault="0011262F" w:rsidP="00B54007">
                  <w:pPr>
                    <w:pStyle w:val="TableBodyText"/>
                    <w:ind w:right="28"/>
                  </w:pPr>
                </w:p>
              </w:tc>
              <w:tc>
                <w:tcPr>
                  <w:tcW w:w="632" w:type="pct"/>
                  <w:tcBorders>
                    <w:top w:val="single" w:sz="6" w:space="0" w:color="BFBFBF"/>
                  </w:tcBorders>
                  <w:shd w:val="clear" w:color="auto" w:fill="BFBFBF" w:themeFill="background1" w:themeFillShade="BF"/>
                </w:tcPr>
                <w:p w14:paraId="5DACBC02" w14:textId="77777777" w:rsidR="0011262F" w:rsidRDefault="0011262F" w:rsidP="00B54007">
                  <w:pPr>
                    <w:pStyle w:val="TableBodyText"/>
                    <w:ind w:right="28"/>
                  </w:pPr>
                </w:p>
              </w:tc>
              <w:tc>
                <w:tcPr>
                  <w:tcW w:w="632" w:type="pct"/>
                  <w:tcBorders>
                    <w:top w:val="single" w:sz="6" w:space="0" w:color="BFBFBF"/>
                  </w:tcBorders>
                  <w:shd w:val="clear" w:color="auto" w:fill="BFBFBF" w:themeFill="background1" w:themeFillShade="BF"/>
                </w:tcPr>
                <w:p w14:paraId="46B58E97" w14:textId="77777777" w:rsidR="0011262F" w:rsidRDefault="0011262F" w:rsidP="00B54007">
                  <w:pPr>
                    <w:pStyle w:val="TableBodyText"/>
                    <w:ind w:right="28"/>
                  </w:pPr>
                </w:p>
              </w:tc>
              <w:tc>
                <w:tcPr>
                  <w:tcW w:w="630" w:type="pct"/>
                  <w:tcBorders>
                    <w:top w:val="single" w:sz="6" w:space="0" w:color="BFBFBF"/>
                  </w:tcBorders>
                  <w:shd w:val="clear" w:color="auto" w:fill="BFBFBF" w:themeFill="background1" w:themeFillShade="BF"/>
                </w:tcPr>
                <w:p w14:paraId="3E2C05FB" w14:textId="77777777" w:rsidR="0011262F" w:rsidRDefault="0011262F" w:rsidP="00B54007">
                  <w:pPr>
                    <w:pStyle w:val="TableBodyText"/>
                  </w:pPr>
                </w:p>
              </w:tc>
            </w:tr>
            <w:tr w:rsidR="0011262F" w14:paraId="75D51747" w14:textId="77777777" w:rsidTr="00B54007">
              <w:tc>
                <w:tcPr>
                  <w:tcW w:w="1842" w:type="pct"/>
                  <w:vAlign w:val="bottom"/>
                </w:tcPr>
                <w:p w14:paraId="0439EC45" w14:textId="77777777" w:rsidR="0011262F" w:rsidRPr="00C358C1" w:rsidRDefault="0011262F" w:rsidP="00B54007">
                  <w:pPr>
                    <w:pStyle w:val="TableBodyText"/>
                    <w:jc w:val="left"/>
                  </w:pPr>
                  <w:r w:rsidRPr="00C358C1">
                    <w:t>S</w:t>
                  </w:r>
                  <w:r>
                    <w:t>D</w:t>
                  </w:r>
                  <w:r w:rsidRPr="00C358C1">
                    <w:t xml:space="preserve"> of admin expenses</w:t>
                  </w:r>
                </w:p>
              </w:tc>
              <w:tc>
                <w:tcPr>
                  <w:tcW w:w="632" w:type="pct"/>
                </w:tcPr>
                <w:p w14:paraId="3D29D215" w14:textId="77777777" w:rsidR="0011262F" w:rsidRPr="00C358C1" w:rsidRDefault="0011262F" w:rsidP="00B54007">
                  <w:pPr>
                    <w:pStyle w:val="TableBodyText"/>
                    <w:ind w:right="28"/>
                  </w:pPr>
                  <w:r w:rsidRPr="00CC3750">
                    <w:t>0.175</w:t>
                  </w:r>
                </w:p>
              </w:tc>
              <w:tc>
                <w:tcPr>
                  <w:tcW w:w="632" w:type="pct"/>
                </w:tcPr>
                <w:p w14:paraId="086D4041" w14:textId="77777777" w:rsidR="0011262F" w:rsidRPr="00C358C1" w:rsidRDefault="0011262F" w:rsidP="00B54007">
                  <w:pPr>
                    <w:pStyle w:val="TableBodyText"/>
                    <w:ind w:right="28"/>
                  </w:pPr>
                  <w:r w:rsidRPr="00CC3750">
                    <w:t>0.003</w:t>
                  </w:r>
                </w:p>
              </w:tc>
              <w:tc>
                <w:tcPr>
                  <w:tcW w:w="632" w:type="pct"/>
                </w:tcPr>
                <w:p w14:paraId="6246C22C" w14:textId="77777777" w:rsidR="0011262F" w:rsidRPr="00C358C1" w:rsidRDefault="0011262F" w:rsidP="00B54007">
                  <w:pPr>
                    <w:pStyle w:val="TableBodyText"/>
                    <w:ind w:right="28"/>
                  </w:pPr>
                  <w:r w:rsidRPr="00CC3750">
                    <w:t>0.169</w:t>
                  </w:r>
                </w:p>
              </w:tc>
              <w:tc>
                <w:tcPr>
                  <w:tcW w:w="632" w:type="pct"/>
                </w:tcPr>
                <w:p w14:paraId="4F93F38A" w14:textId="77777777" w:rsidR="0011262F" w:rsidRPr="00C358C1" w:rsidRDefault="0011262F" w:rsidP="00B54007">
                  <w:pPr>
                    <w:pStyle w:val="TableBodyText"/>
                    <w:ind w:right="28"/>
                  </w:pPr>
                  <w:r w:rsidRPr="00CC3750">
                    <w:t>0.175</w:t>
                  </w:r>
                </w:p>
              </w:tc>
              <w:tc>
                <w:tcPr>
                  <w:tcW w:w="630" w:type="pct"/>
                </w:tcPr>
                <w:p w14:paraId="79F2E200" w14:textId="77777777" w:rsidR="0011262F" w:rsidRPr="00C358C1" w:rsidRDefault="0011262F" w:rsidP="00B54007">
                  <w:pPr>
                    <w:pStyle w:val="TableBodyText"/>
                  </w:pPr>
                  <w:r w:rsidRPr="00CC3750">
                    <w:t>0.181</w:t>
                  </w:r>
                </w:p>
              </w:tc>
            </w:tr>
            <w:tr w:rsidR="0011262F" w14:paraId="151CEB0F" w14:textId="77777777" w:rsidTr="00B54007">
              <w:tc>
                <w:tcPr>
                  <w:tcW w:w="1842" w:type="pct"/>
                  <w:shd w:val="clear" w:color="auto" w:fill="F2F2F2" w:themeFill="background1" w:themeFillShade="F2"/>
                  <w:vAlign w:val="bottom"/>
                </w:tcPr>
                <w:p w14:paraId="0AEAF39C" w14:textId="77777777" w:rsidR="0011262F" w:rsidRPr="00C358C1" w:rsidRDefault="0011262F" w:rsidP="00B54007">
                  <w:pPr>
                    <w:pStyle w:val="TableBodyText"/>
                    <w:jc w:val="left"/>
                  </w:pPr>
                  <w:r w:rsidRPr="00C358C1">
                    <w:t>SD of investment expenses</w:t>
                  </w:r>
                </w:p>
              </w:tc>
              <w:tc>
                <w:tcPr>
                  <w:tcW w:w="632" w:type="pct"/>
                  <w:shd w:val="clear" w:color="auto" w:fill="F2F2F2" w:themeFill="background1" w:themeFillShade="F2"/>
                </w:tcPr>
                <w:p w14:paraId="7290620A" w14:textId="77777777" w:rsidR="0011262F" w:rsidRPr="00C358C1" w:rsidRDefault="0011262F" w:rsidP="00B54007">
                  <w:pPr>
                    <w:pStyle w:val="TableBodyText"/>
                    <w:ind w:right="28"/>
                  </w:pPr>
                  <w:r w:rsidRPr="00CC3750">
                    <w:t>0.309</w:t>
                  </w:r>
                </w:p>
              </w:tc>
              <w:tc>
                <w:tcPr>
                  <w:tcW w:w="632" w:type="pct"/>
                  <w:shd w:val="clear" w:color="auto" w:fill="F2F2F2" w:themeFill="background1" w:themeFillShade="F2"/>
                </w:tcPr>
                <w:p w14:paraId="280E0695" w14:textId="77777777" w:rsidR="0011262F" w:rsidRPr="00C358C1" w:rsidRDefault="0011262F" w:rsidP="00B54007">
                  <w:pPr>
                    <w:pStyle w:val="TableBodyText"/>
                    <w:ind w:right="28"/>
                  </w:pPr>
                  <w:r w:rsidRPr="00CC3750">
                    <w:t>0.005</w:t>
                  </w:r>
                </w:p>
              </w:tc>
              <w:tc>
                <w:tcPr>
                  <w:tcW w:w="632" w:type="pct"/>
                  <w:shd w:val="clear" w:color="auto" w:fill="F2F2F2" w:themeFill="background1" w:themeFillShade="F2"/>
                </w:tcPr>
                <w:p w14:paraId="3D1F39CD" w14:textId="77777777" w:rsidR="0011262F" w:rsidRPr="00C358C1" w:rsidRDefault="0011262F" w:rsidP="00B54007">
                  <w:pPr>
                    <w:pStyle w:val="TableBodyText"/>
                    <w:ind w:right="28"/>
                  </w:pPr>
                  <w:r w:rsidRPr="00CC3750">
                    <w:t>0.299</w:t>
                  </w:r>
                </w:p>
              </w:tc>
              <w:tc>
                <w:tcPr>
                  <w:tcW w:w="632" w:type="pct"/>
                  <w:shd w:val="clear" w:color="auto" w:fill="F2F2F2" w:themeFill="background1" w:themeFillShade="F2"/>
                </w:tcPr>
                <w:p w14:paraId="71F945BC" w14:textId="77777777" w:rsidR="0011262F" w:rsidRPr="00C358C1" w:rsidRDefault="0011262F" w:rsidP="00B54007">
                  <w:pPr>
                    <w:pStyle w:val="TableBodyText"/>
                    <w:ind w:right="28"/>
                  </w:pPr>
                  <w:r w:rsidRPr="00CC3750">
                    <w:t>0.309</w:t>
                  </w:r>
                </w:p>
              </w:tc>
              <w:tc>
                <w:tcPr>
                  <w:tcW w:w="630" w:type="pct"/>
                  <w:shd w:val="clear" w:color="auto" w:fill="F2F2F2" w:themeFill="background1" w:themeFillShade="F2"/>
                </w:tcPr>
                <w:p w14:paraId="02F53C74" w14:textId="77777777" w:rsidR="0011262F" w:rsidRPr="00C358C1" w:rsidRDefault="0011262F" w:rsidP="00B54007">
                  <w:pPr>
                    <w:pStyle w:val="TableBodyText"/>
                  </w:pPr>
                  <w:r w:rsidRPr="00CC3750">
                    <w:t>0.319</w:t>
                  </w:r>
                </w:p>
              </w:tc>
            </w:tr>
            <w:tr w:rsidR="0011262F" w14:paraId="63941A28" w14:textId="77777777" w:rsidTr="00B54007">
              <w:tc>
                <w:tcPr>
                  <w:tcW w:w="1842" w:type="pct"/>
                  <w:vAlign w:val="bottom"/>
                </w:tcPr>
                <w:p w14:paraId="11726BC8" w14:textId="77777777" w:rsidR="0011262F" w:rsidRPr="00C358C1" w:rsidRDefault="0011262F" w:rsidP="00B54007">
                  <w:pPr>
                    <w:pStyle w:val="TableBodyText"/>
                    <w:jc w:val="left"/>
                  </w:pPr>
                </w:p>
              </w:tc>
              <w:tc>
                <w:tcPr>
                  <w:tcW w:w="632" w:type="pct"/>
                  <w:vAlign w:val="bottom"/>
                </w:tcPr>
                <w:p w14:paraId="6D9D8D27" w14:textId="77777777" w:rsidR="0011262F" w:rsidRPr="00C358C1" w:rsidRDefault="0011262F" w:rsidP="00B54007">
                  <w:pPr>
                    <w:pStyle w:val="TableBodyText"/>
                    <w:ind w:right="28"/>
                  </w:pPr>
                </w:p>
              </w:tc>
              <w:tc>
                <w:tcPr>
                  <w:tcW w:w="632" w:type="pct"/>
                  <w:vAlign w:val="bottom"/>
                </w:tcPr>
                <w:p w14:paraId="503D0588" w14:textId="77777777" w:rsidR="0011262F" w:rsidRPr="00C358C1" w:rsidRDefault="0011262F" w:rsidP="00B54007">
                  <w:pPr>
                    <w:pStyle w:val="TableBodyText"/>
                    <w:ind w:right="28"/>
                  </w:pPr>
                </w:p>
              </w:tc>
              <w:tc>
                <w:tcPr>
                  <w:tcW w:w="632" w:type="pct"/>
                  <w:vAlign w:val="bottom"/>
                </w:tcPr>
                <w:p w14:paraId="500A0FB1" w14:textId="77777777" w:rsidR="0011262F" w:rsidRPr="00C358C1" w:rsidRDefault="0011262F" w:rsidP="00B54007">
                  <w:pPr>
                    <w:pStyle w:val="TableBodyText"/>
                    <w:ind w:right="28"/>
                  </w:pPr>
                </w:p>
              </w:tc>
              <w:tc>
                <w:tcPr>
                  <w:tcW w:w="632" w:type="pct"/>
                  <w:vAlign w:val="bottom"/>
                </w:tcPr>
                <w:p w14:paraId="2D08D89C" w14:textId="77777777" w:rsidR="0011262F" w:rsidRPr="00C358C1" w:rsidRDefault="0011262F" w:rsidP="00B54007">
                  <w:pPr>
                    <w:pStyle w:val="TableBodyText"/>
                    <w:ind w:right="28"/>
                  </w:pPr>
                </w:p>
              </w:tc>
              <w:tc>
                <w:tcPr>
                  <w:tcW w:w="630" w:type="pct"/>
                  <w:vAlign w:val="bottom"/>
                </w:tcPr>
                <w:p w14:paraId="476AB44F" w14:textId="77777777" w:rsidR="0011262F" w:rsidRPr="00C358C1" w:rsidRDefault="0011262F" w:rsidP="00B54007">
                  <w:pPr>
                    <w:pStyle w:val="TableBodyText"/>
                  </w:pPr>
                </w:p>
              </w:tc>
            </w:tr>
            <w:tr w:rsidR="0011262F" w14:paraId="14041BF7" w14:textId="77777777" w:rsidTr="00B54007">
              <w:tc>
                <w:tcPr>
                  <w:tcW w:w="1842" w:type="pct"/>
                  <w:shd w:val="clear" w:color="auto" w:fill="BFBFBF" w:themeFill="background1" w:themeFillShade="BF"/>
                  <w:vAlign w:val="bottom"/>
                </w:tcPr>
                <w:p w14:paraId="43BC5A1B" w14:textId="77777777" w:rsidR="0011262F" w:rsidRPr="00C358C1" w:rsidRDefault="0011262F" w:rsidP="00B54007">
                  <w:pPr>
                    <w:pStyle w:val="TableBodyText"/>
                    <w:jc w:val="left"/>
                    <w:rPr>
                      <w:b/>
                    </w:rPr>
                  </w:pPr>
                  <w:r w:rsidRPr="00C358C1">
                    <w:rPr>
                      <w:b/>
                    </w:rPr>
                    <w:t>Admin</w:t>
                  </w:r>
                </w:p>
              </w:tc>
              <w:tc>
                <w:tcPr>
                  <w:tcW w:w="632" w:type="pct"/>
                  <w:shd w:val="clear" w:color="auto" w:fill="BFBFBF" w:themeFill="background1" w:themeFillShade="BF"/>
                  <w:vAlign w:val="bottom"/>
                </w:tcPr>
                <w:p w14:paraId="2BD99507" w14:textId="77777777" w:rsidR="0011262F" w:rsidRPr="00C358C1" w:rsidRDefault="0011262F" w:rsidP="00B54007">
                  <w:pPr>
                    <w:pStyle w:val="TableBodyText"/>
                    <w:ind w:right="28"/>
                  </w:pPr>
                </w:p>
              </w:tc>
              <w:tc>
                <w:tcPr>
                  <w:tcW w:w="632" w:type="pct"/>
                  <w:shd w:val="clear" w:color="auto" w:fill="BFBFBF" w:themeFill="background1" w:themeFillShade="BF"/>
                  <w:vAlign w:val="bottom"/>
                </w:tcPr>
                <w:p w14:paraId="5536F181" w14:textId="77777777" w:rsidR="0011262F" w:rsidRPr="00C358C1" w:rsidRDefault="0011262F" w:rsidP="00B54007">
                  <w:pPr>
                    <w:pStyle w:val="TableBodyText"/>
                    <w:ind w:right="28"/>
                  </w:pPr>
                </w:p>
              </w:tc>
              <w:tc>
                <w:tcPr>
                  <w:tcW w:w="632" w:type="pct"/>
                  <w:shd w:val="clear" w:color="auto" w:fill="BFBFBF" w:themeFill="background1" w:themeFillShade="BF"/>
                  <w:vAlign w:val="bottom"/>
                </w:tcPr>
                <w:p w14:paraId="37DBB20A" w14:textId="77777777" w:rsidR="0011262F" w:rsidRPr="00C358C1" w:rsidRDefault="0011262F" w:rsidP="00B54007">
                  <w:pPr>
                    <w:pStyle w:val="TableBodyText"/>
                    <w:ind w:right="28"/>
                  </w:pPr>
                </w:p>
              </w:tc>
              <w:tc>
                <w:tcPr>
                  <w:tcW w:w="632" w:type="pct"/>
                  <w:shd w:val="clear" w:color="auto" w:fill="BFBFBF" w:themeFill="background1" w:themeFillShade="BF"/>
                  <w:vAlign w:val="bottom"/>
                </w:tcPr>
                <w:p w14:paraId="0249EAC0" w14:textId="77777777" w:rsidR="0011262F" w:rsidRPr="00C358C1" w:rsidRDefault="0011262F" w:rsidP="00B54007">
                  <w:pPr>
                    <w:pStyle w:val="TableBodyText"/>
                    <w:ind w:right="28"/>
                  </w:pPr>
                </w:p>
              </w:tc>
              <w:tc>
                <w:tcPr>
                  <w:tcW w:w="630" w:type="pct"/>
                  <w:shd w:val="clear" w:color="auto" w:fill="BFBFBF" w:themeFill="background1" w:themeFillShade="BF"/>
                  <w:vAlign w:val="bottom"/>
                </w:tcPr>
                <w:p w14:paraId="68BF754E" w14:textId="77777777" w:rsidR="0011262F" w:rsidRPr="00C358C1" w:rsidRDefault="0011262F" w:rsidP="00B54007">
                  <w:pPr>
                    <w:pStyle w:val="TableBodyText"/>
                  </w:pPr>
                </w:p>
              </w:tc>
            </w:tr>
            <w:tr w:rsidR="0011262F" w14:paraId="50D1B94A" w14:textId="77777777" w:rsidTr="00B54007">
              <w:tc>
                <w:tcPr>
                  <w:tcW w:w="1842" w:type="pct"/>
                  <w:vAlign w:val="bottom"/>
                </w:tcPr>
                <w:p w14:paraId="7CB1890D" w14:textId="77777777" w:rsidR="0011262F" w:rsidRDefault="0011262F" w:rsidP="00B54007">
                  <w:pPr>
                    <w:pStyle w:val="TableBodyText"/>
                    <w:jc w:val="left"/>
                  </w:pPr>
                  <w:r w:rsidRPr="00C358C1">
                    <w:t>Assets</w:t>
                  </w:r>
                </w:p>
              </w:tc>
              <w:tc>
                <w:tcPr>
                  <w:tcW w:w="632" w:type="pct"/>
                </w:tcPr>
                <w:p w14:paraId="41E3AC03" w14:textId="77777777" w:rsidR="0011262F" w:rsidRDefault="0011262F" w:rsidP="00B54007">
                  <w:pPr>
                    <w:pStyle w:val="TableBodyText"/>
                    <w:ind w:right="28"/>
                  </w:pPr>
                  <w:r w:rsidRPr="00662641">
                    <w:t>0.511</w:t>
                  </w:r>
                </w:p>
              </w:tc>
              <w:tc>
                <w:tcPr>
                  <w:tcW w:w="632" w:type="pct"/>
                </w:tcPr>
                <w:p w14:paraId="564AC555" w14:textId="77777777" w:rsidR="0011262F" w:rsidRDefault="0011262F" w:rsidP="00B54007">
                  <w:pPr>
                    <w:pStyle w:val="TableBodyText"/>
                    <w:ind w:right="28"/>
                  </w:pPr>
                  <w:r w:rsidRPr="00662641">
                    <w:t>0.046</w:t>
                  </w:r>
                </w:p>
              </w:tc>
              <w:tc>
                <w:tcPr>
                  <w:tcW w:w="632" w:type="pct"/>
                </w:tcPr>
                <w:p w14:paraId="0D812A58" w14:textId="77777777" w:rsidR="0011262F" w:rsidRDefault="0011262F" w:rsidP="00B54007">
                  <w:pPr>
                    <w:pStyle w:val="TableBodyText"/>
                    <w:ind w:right="28"/>
                  </w:pPr>
                  <w:r w:rsidRPr="00662641">
                    <w:t>0.418</w:t>
                  </w:r>
                </w:p>
              </w:tc>
              <w:tc>
                <w:tcPr>
                  <w:tcW w:w="632" w:type="pct"/>
                </w:tcPr>
                <w:p w14:paraId="2F422AFE" w14:textId="77777777" w:rsidR="0011262F" w:rsidRPr="00C358C1" w:rsidRDefault="0011262F" w:rsidP="00B54007">
                  <w:pPr>
                    <w:pStyle w:val="TableBodyText"/>
                    <w:ind w:right="28"/>
                  </w:pPr>
                  <w:r w:rsidRPr="00662641">
                    <w:t>0.513</w:t>
                  </w:r>
                </w:p>
              </w:tc>
              <w:tc>
                <w:tcPr>
                  <w:tcW w:w="630" w:type="pct"/>
                </w:tcPr>
                <w:p w14:paraId="18780E85" w14:textId="77777777" w:rsidR="0011262F" w:rsidRPr="00C358C1" w:rsidRDefault="0011262F" w:rsidP="00B54007">
                  <w:pPr>
                    <w:pStyle w:val="TableBodyText"/>
                  </w:pPr>
                  <w:r w:rsidRPr="00662641">
                    <w:t>0.601</w:t>
                  </w:r>
                </w:p>
              </w:tc>
            </w:tr>
            <w:tr w:rsidR="0011262F" w14:paraId="78956884" w14:textId="77777777" w:rsidTr="00B54007">
              <w:tc>
                <w:tcPr>
                  <w:tcW w:w="1842" w:type="pct"/>
                  <w:shd w:val="clear" w:color="auto" w:fill="F2F2F2" w:themeFill="background1" w:themeFillShade="F2"/>
                  <w:vAlign w:val="bottom"/>
                </w:tcPr>
                <w:p w14:paraId="18BE35D6" w14:textId="77777777" w:rsidR="0011262F" w:rsidRDefault="0011262F" w:rsidP="00B54007">
                  <w:pPr>
                    <w:pStyle w:val="TableBodyText"/>
                    <w:jc w:val="left"/>
                  </w:pPr>
                  <w:r w:rsidRPr="00C358C1">
                    <w:t>Member accounts</w:t>
                  </w:r>
                </w:p>
              </w:tc>
              <w:tc>
                <w:tcPr>
                  <w:tcW w:w="632" w:type="pct"/>
                  <w:shd w:val="clear" w:color="auto" w:fill="F2F2F2" w:themeFill="background1" w:themeFillShade="F2"/>
                </w:tcPr>
                <w:p w14:paraId="54240013" w14:textId="77777777" w:rsidR="0011262F" w:rsidRDefault="0011262F" w:rsidP="00B54007">
                  <w:pPr>
                    <w:pStyle w:val="TableBodyText"/>
                    <w:ind w:right="28"/>
                  </w:pPr>
                  <w:r w:rsidRPr="00662641">
                    <w:t>0.443</w:t>
                  </w:r>
                </w:p>
              </w:tc>
              <w:tc>
                <w:tcPr>
                  <w:tcW w:w="632" w:type="pct"/>
                  <w:shd w:val="clear" w:color="auto" w:fill="F2F2F2" w:themeFill="background1" w:themeFillShade="F2"/>
                </w:tcPr>
                <w:p w14:paraId="0423AEA0" w14:textId="77777777" w:rsidR="0011262F" w:rsidRDefault="0011262F" w:rsidP="00B54007">
                  <w:pPr>
                    <w:pStyle w:val="TableBodyText"/>
                    <w:ind w:right="28"/>
                  </w:pPr>
                  <w:r w:rsidRPr="00662641">
                    <w:t>0.051</w:t>
                  </w:r>
                </w:p>
              </w:tc>
              <w:tc>
                <w:tcPr>
                  <w:tcW w:w="632" w:type="pct"/>
                  <w:shd w:val="clear" w:color="auto" w:fill="F2F2F2" w:themeFill="background1" w:themeFillShade="F2"/>
                </w:tcPr>
                <w:p w14:paraId="67EEDBCE" w14:textId="77777777" w:rsidR="0011262F" w:rsidRDefault="0011262F" w:rsidP="00B54007">
                  <w:pPr>
                    <w:pStyle w:val="TableBodyText"/>
                    <w:ind w:right="28"/>
                  </w:pPr>
                  <w:r w:rsidRPr="00662641">
                    <w:t>0.344</w:t>
                  </w:r>
                </w:p>
              </w:tc>
              <w:tc>
                <w:tcPr>
                  <w:tcW w:w="632" w:type="pct"/>
                  <w:shd w:val="clear" w:color="auto" w:fill="F2F2F2" w:themeFill="background1" w:themeFillShade="F2"/>
                </w:tcPr>
                <w:p w14:paraId="51736A11" w14:textId="77777777" w:rsidR="0011262F" w:rsidRPr="00C358C1" w:rsidRDefault="0011262F" w:rsidP="00B54007">
                  <w:pPr>
                    <w:pStyle w:val="TableBodyText"/>
                    <w:ind w:right="28"/>
                  </w:pPr>
                  <w:r w:rsidRPr="00662641">
                    <w:t>0.443</w:t>
                  </w:r>
                </w:p>
              </w:tc>
              <w:tc>
                <w:tcPr>
                  <w:tcW w:w="630" w:type="pct"/>
                  <w:shd w:val="clear" w:color="auto" w:fill="F2F2F2" w:themeFill="background1" w:themeFillShade="F2"/>
                </w:tcPr>
                <w:p w14:paraId="53B8EE28" w14:textId="77777777" w:rsidR="0011262F" w:rsidRPr="00C358C1" w:rsidRDefault="0011262F" w:rsidP="00B54007">
                  <w:pPr>
                    <w:pStyle w:val="TableBodyText"/>
                  </w:pPr>
                  <w:r w:rsidRPr="00662641">
                    <w:t>0.543</w:t>
                  </w:r>
                </w:p>
              </w:tc>
            </w:tr>
            <w:tr w:rsidR="0011262F" w14:paraId="54A3ED44" w14:textId="77777777" w:rsidTr="00B54007">
              <w:tc>
                <w:tcPr>
                  <w:tcW w:w="1842" w:type="pct"/>
                  <w:shd w:val="clear" w:color="auto" w:fill="auto"/>
                  <w:vAlign w:val="bottom"/>
                </w:tcPr>
                <w:p w14:paraId="16D7970D" w14:textId="77777777" w:rsidR="0011262F" w:rsidRDefault="0011262F" w:rsidP="00B54007">
                  <w:pPr>
                    <w:pStyle w:val="TableBodyText"/>
                    <w:jc w:val="left"/>
                  </w:pPr>
                  <w:r w:rsidRPr="00C358C1">
                    <w:t>Number of investment options</w:t>
                  </w:r>
                </w:p>
              </w:tc>
              <w:tc>
                <w:tcPr>
                  <w:tcW w:w="632" w:type="pct"/>
                </w:tcPr>
                <w:p w14:paraId="67CA9461" w14:textId="77777777" w:rsidR="0011262F" w:rsidRDefault="0011262F" w:rsidP="00B54007">
                  <w:pPr>
                    <w:pStyle w:val="TableBodyText"/>
                    <w:ind w:right="28"/>
                  </w:pPr>
                  <w:r w:rsidRPr="00662641">
                    <w:t>0.059</w:t>
                  </w:r>
                </w:p>
              </w:tc>
              <w:tc>
                <w:tcPr>
                  <w:tcW w:w="632" w:type="pct"/>
                  <w:shd w:val="clear" w:color="auto" w:fill="auto"/>
                </w:tcPr>
                <w:p w14:paraId="61AB3217" w14:textId="77777777" w:rsidR="0011262F" w:rsidRDefault="0011262F" w:rsidP="00B54007">
                  <w:pPr>
                    <w:pStyle w:val="TableBodyText"/>
                    <w:ind w:right="28"/>
                  </w:pPr>
                  <w:r w:rsidRPr="00662641">
                    <w:t>0.011</w:t>
                  </w:r>
                </w:p>
              </w:tc>
              <w:tc>
                <w:tcPr>
                  <w:tcW w:w="632" w:type="pct"/>
                  <w:shd w:val="clear" w:color="auto" w:fill="auto"/>
                </w:tcPr>
                <w:p w14:paraId="7FAD88EC" w14:textId="77777777" w:rsidR="0011262F" w:rsidRDefault="0011262F" w:rsidP="00B54007">
                  <w:pPr>
                    <w:pStyle w:val="TableBodyText"/>
                    <w:ind w:right="28"/>
                  </w:pPr>
                  <w:r w:rsidRPr="00662641">
                    <w:t>0.038</w:t>
                  </w:r>
                </w:p>
              </w:tc>
              <w:tc>
                <w:tcPr>
                  <w:tcW w:w="632" w:type="pct"/>
                </w:tcPr>
                <w:p w14:paraId="3F6ACD81" w14:textId="77777777" w:rsidR="0011262F" w:rsidRDefault="0011262F" w:rsidP="00B54007">
                  <w:pPr>
                    <w:pStyle w:val="TableBodyText"/>
                    <w:ind w:right="28"/>
                  </w:pPr>
                  <w:r w:rsidRPr="00662641">
                    <w:t>0.059</w:t>
                  </w:r>
                </w:p>
              </w:tc>
              <w:tc>
                <w:tcPr>
                  <w:tcW w:w="630" w:type="pct"/>
                </w:tcPr>
                <w:p w14:paraId="7F5AACCB" w14:textId="77777777" w:rsidR="0011262F" w:rsidRDefault="0011262F" w:rsidP="00B54007">
                  <w:pPr>
                    <w:pStyle w:val="TableBodyText"/>
                  </w:pPr>
                  <w:r w:rsidRPr="00662641">
                    <w:t>0.082</w:t>
                  </w:r>
                </w:p>
              </w:tc>
            </w:tr>
            <w:tr w:rsidR="0011262F" w14:paraId="0BF8A731" w14:textId="77777777" w:rsidTr="00B54007">
              <w:tc>
                <w:tcPr>
                  <w:tcW w:w="1842" w:type="pct"/>
                  <w:shd w:val="clear" w:color="auto" w:fill="F2F2F2" w:themeFill="background1" w:themeFillShade="F2"/>
                  <w:vAlign w:val="bottom"/>
                </w:tcPr>
                <w:p w14:paraId="2FD23DEB" w14:textId="77777777" w:rsidR="0011262F" w:rsidRDefault="0011262F" w:rsidP="00B54007">
                  <w:pPr>
                    <w:pStyle w:val="TableBodyText"/>
                    <w:jc w:val="left"/>
                  </w:pPr>
                  <w:r w:rsidRPr="00C358C1">
                    <w:t>Net contributions</w:t>
                  </w:r>
                </w:p>
              </w:tc>
              <w:tc>
                <w:tcPr>
                  <w:tcW w:w="632" w:type="pct"/>
                  <w:shd w:val="clear" w:color="auto" w:fill="F2F2F2" w:themeFill="background1" w:themeFillShade="F2"/>
                </w:tcPr>
                <w:p w14:paraId="2F9E2FA6" w14:textId="77777777" w:rsidR="0011262F" w:rsidRDefault="0011262F" w:rsidP="00B54007">
                  <w:pPr>
                    <w:pStyle w:val="TableBodyText"/>
                    <w:ind w:right="28"/>
                  </w:pPr>
                  <w:r w:rsidRPr="00662641">
                    <w:t>0.006</w:t>
                  </w:r>
                </w:p>
              </w:tc>
              <w:tc>
                <w:tcPr>
                  <w:tcW w:w="632" w:type="pct"/>
                  <w:shd w:val="clear" w:color="auto" w:fill="F2F2F2" w:themeFill="background1" w:themeFillShade="F2"/>
                </w:tcPr>
                <w:p w14:paraId="6296AD86" w14:textId="77777777" w:rsidR="0011262F" w:rsidRDefault="0011262F" w:rsidP="00B54007">
                  <w:pPr>
                    <w:pStyle w:val="TableBodyText"/>
                    <w:ind w:right="28"/>
                  </w:pPr>
                  <w:r w:rsidRPr="00662641">
                    <w:t>0.007</w:t>
                  </w:r>
                </w:p>
              </w:tc>
              <w:tc>
                <w:tcPr>
                  <w:tcW w:w="632" w:type="pct"/>
                  <w:shd w:val="clear" w:color="auto" w:fill="F2F2F2" w:themeFill="background1" w:themeFillShade="F2"/>
                </w:tcPr>
                <w:p w14:paraId="498BCCB0" w14:textId="77777777" w:rsidR="0011262F" w:rsidRDefault="0011262F" w:rsidP="00B54007">
                  <w:pPr>
                    <w:pStyle w:val="TableBodyText"/>
                    <w:ind w:right="28"/>
                  </w:pPr>
                  <w:r w:rsidRPr="00662641">
                    <w:t>-0.008</w:t>
                  </w:r>
                </w:p>
              </w:tc>
              <w:tc>
                <w:tcPr>
                  <w:tcW w:w="632" w:type="pct"/>
                  <w:shd w:val="clear" w:color="auto" w:fill="F2F2F2" w:themeFill="background1" w:themeFillShade="F2"/>
                </w:tcPr>
                <w:p w14:paraId="13386211" w14:textId="77777777" w:rsidR="0011262F" w:rsidRDefault="0011262F" w:rsidP="00B54007">
                  <w:pPr>
                    <w:pStyle w:val="TableBodyText"/>
                    <w:ind w:right="28"/>
                  </w:pPr>
                  <w:r w:rsidRPr="00662641">
                    <w:t>0.006</w:t>
                  </w:r>
                </w:p>
              </w:tc>
              <w:tc>
                <w:tcPr>
                  <w:tcW w:w="630" w:type="pct"/>
                  <w:shd w:val="clear" w:color="auto" w:fill="F2F2F2" w:themeFill="background1" w:themeFillShade="F2"/>
                </w:tcPr>
                <w:p w14:paraId="7516EFC1" w14:textId="77777777" w:rsidR="0011262F" w:rsidRDefault="0011262F" w:rsidP="00B54007">
                  <w:pPr>
                    <w:pStyle w:val="TableBodyText"/>
                  </w:pPr>
                  <w:r w:rsidRPr="00662641">
                    <w:t>0.019</w:t>
                  </w:r>
                </w:p>
              </w:tc>
            </w:tr>
            <w:tr w:rsidR="0011262F" w14:paraId="4E8B6D2B" w14:textId="77777777" w:rsidTr="00B54007">
              <w:tc>
                <w:tcPr>
                  <w:tcW w:w="1842" w:type="pct"/>
                  <w:shd w:val="clear" w:color="auto" w:fill="auto"/>
                  <w:vAlign w:val="bottom"/>
                </w:tcPr>
                <w:p w14:paraId="5D32C1D0" w14:textId="77777777" w:rsidR="0011262F" w:rsidRDefault="0011262F" w:rsidP="00B54007">
                  <w:pPr>
                    <w:pStyle w:val="TableBodyText"/>
                    <w:jc w:val="left"/>
                  </w:pPr>
                  <w:r w:rsidRPr="00C358C1">
                    <w:t>Net rollovers</w:t>
                  </w:r>
                </w:p>
              </w:tc>
              <w:tc>
                <w:tcPr>
                  <w:tcW w:w="632" w:type="pct"/>
                </w:tcPr>
                <w:p w14:paraId="7F423F8C" w14:textId="77777777" w:rsidR="0011262F" w:rsidRDefault="0011262F" w:rsidP="00B54007">
                  <w:pPr>
                    <w:pStyle w:val="TableBodyText"/>
                    <w:ind w:right="28"/>
                  </w:pPr>
                  <w:r w:rsidRPr="00662641">
                    <w:t>-0.010</w:t>
                  </w:r>
                </w:p>
              </w:tc>
              <w:tc>
                <w:tcPr>
                  <w:tcW w:w="632" w:type="pct"/>
                  <w:shd w:val="clear" w:color="auto" w:fill="auto"/>
                </w:tcPr>
                <w:p w14:paraId="2B8CC8C9" w14:textId="77777777" w:rsidR="0011262F" w:rsidRDefault="0011262F" w:rsidP="00B54007">
                  <w:pPr>
                    <w:pStyle w:val="TableBodyText"/>
                    <w:ind w:right="28"/>
                  </w:pPr>
                  <w:r w:rsidRPr="00662641">
                    <w:t>0.004</w:t>
                  </w:r>
                </w:p>
              </w:tc>
              <w:tc>
                <w:tcPr>
                  <w:tcW w:w="632" w:type="pct"/>
                  <w:shd w:val="clear" w:color="auto" w:fill="auto"/>
                </w:tcPr>
                <w:p w14:paraId="52FF8249" w14:textId="77777777" w:rsidR="0011262F" w:rsidRDefault="0011262F" w:rsidP="00B54007">
                  <w:pPr>
                    <w:pStyle w:val="TableBodyText"/>
                    <w:ind w:right="28"/>
                  </w:pPr>
                  <w:r w:rsidRPr="00662641">
                    <w:t>-0.018</w:t>
                  </w:r>
                </w:p>
              </w:tc>
              <w:tc>
                <w:tcPr>
                  <w:tcW w:w="632" w:type="pct"/>
                </w:tcPr>
                <w:p w14:paraId="2F361E5C" w14:textId="77777777" w:rsidR="0011262F" w:rsidRDefault="0011262F" w:rsidP="00B54007">
                  <w:pPr>
                    <w:pStyle w:val="TableBodyText"/>
                    <w:ind w:right="28"/>
                  </w:pPr>
                  <w:r w:rsidRPr="00662641">
                    <w:t>-0.010</w:t>
                  </w:r>
                </w:p>
              </w:tc>
              <w:tc>
                <w:tcPr>
                  <w:tcW w:w="630" w:type="pct"/>
                </w:tcPr>
                <w:p w14:paraId="4A378238" w14:textId="77777777" w:rsidR="0011262F" w:rsidRDefault="0011262F" w:rsidP="00B54007">
                  <w:pPr>
                    <w:pStyle w:val="TableBodyText"/>
                  </w:pPr>
                  <w:r w:rsidRPr="00662641">
                    <w:t>-0.003</w:t>
                  </w:r>
                </w:p>
              </w:tc>
            </w:tr>
            <w:tr w:rsidR="0011262F" w14:paraId="59F73E90" w14:textId="77777777" w:rsidTr="00B54007">
              <w:tc>
                <w:tcPr>
                  <w:tcW w:w="1842" w:type="pct"/>
                  <w:shd w:val="clear" w:color="auto" w:fill="F2F2F2" w:themeFill="background1" w:themeFillShade="F2"/>
                  <w:vAlign w:val="bottom"/>
                </w:tcPr>
                <w:p w14:paraId="55E7E7C2" w14:textId="77777777" w:rsidR="0011262F" w:rsidRDefault="0011262F" w:rsidP="00B54007">
                  <w:pPr>
                    <w:pStyle w:val="TableBodyText"/>
                    <w:jc w:val="left"/>
                  </w:pPr>
                  <w:r w:rsidRPr="00C358C1">
                    <w:t>Net insurance flows</w:t>
                  </w:r>
                </w:p>
              </w:tc>
              <w:tc>
                <w:tcPr>
                  <w:tcW w:w="632" w:type="pct"/>
                  <w:shd w:val="clear" w:color="auto" w:fill="F2F2F2" w:themeFill="background1" w:themeFillShade="F2"/>
                </w:tcPr>
                <w:p w14:paraId="3CB2CED9" w14:textId="77777777" w:rsidR="0011262F" w:rsidRDefault="0011262F" w:rsidP="00B54007">
                  <w:pPr>
                    <w:pStyle w:val="TableBodyText"/>
                    <w:ind w:right="28"/>
                  </w:pPr>
                  <w:r w:rsidRPr="00662641">
                    <w:t>-0.010</w:t>
                  </w:r>
                </w:p>
              </w:tc>
              <w:tc>
                <w:tcPr>
                  <w:tcW w:w="632" w:type="pct"/>
                  <w:shd w:val="clear" w:color="auto" w:fill="F2F2F2" w:themeFill="background1" w:themeFillShade="F2"/>
                </w:tcPr>
                <w:p w14:paraId="32B63EB6" w14:textId="77777777" w:rsidR="0011262F" w:rsidRDefault="0011262F" w:rsidP="00B54007">
                  <w:pPr>
                    <w:pStyle w:val="TableBodyText"/>
                    <w:ind w:right="28"/>
                  </w:pPr>
                  <w:r w:rsidRPr="00662641">
                    <w:t>0.006</w:t>
                  </w:r>
                </w:p>
              </w:tc>
              <w:tc>
                <w:tcPr>
                  <w:tcW w:w="632" w:type="pct"/>
                  <w:shd w:val="clear" w:color="auto" w:fill="F2F2F2" w:themeFill="background1" w:themeFillShade="F2"/>
                </w:tcPr>
                <w:p w14:paraId="1490AAD4" w14:textId="77777777" w:rsidR="0011262F" w:rsidRDefault="0011262F" w:rsidP="00B54007">
                  <w:pPr>
                    <w:pStyle w:val="TableBodyText"/>
                    <w:ind w:right="28"/>
                  </w:pPr>
                  <w:r w:rsidRPr="00662641">
                    <w:t>-0.022</w:t>
                  </w:r>
                </w:p>
              </w:tc>
              <w:tc>
                <w:tcPr>
                  <w:tcW w:w="632" w:type="pct"/>
                  <w:shd w:val="clear" w:color="auto" w:fill="F2F2F2" w:themeFill="background1" w:themeFillShade="F2"/>
                </w:tcPr>
                <w:p w14:paraId="0CF65146" w14:textId="77777777" w:rsidR="0011262F" w:rsidRDefault="0011262F" w:rsidP="00B54007">
                  <w:pPr>
                    <w:pStyle w:val="TableBodyText"/>
                    <w:ind w:right="28"/>
                  </w:pPr>
                  <w:r w:rsidRPr="00662641">
                    <w:t>-0.010</w:t>
                  </w:r>
                </w:p>
              </w:tc>
              <w:tc>
                <w:tcPr>
                  <w:tcW w:w="630" w:type="pct"/>
                  <w:shd w:val="clear" w:color="auto" w:fill="F2F2F2" w:themeFill="background1" w:themeFillShade="F2"/>
                </w:tcPr>
                <w:p w14:paraId="60989E21" w14:textId="77777777" w:rsidR="0011262F" w:rsidRDefault="0011262F" w:rsidP="00B54007">
                  <w:pPr>
                    <w:pStyle w:val="TableBodyText"/>
                  </w:pPr>
                  <w:r w:rsidRPr="00662641">
                    <w:t>0.001</w:t>
                  </w:r>
                </w:p>
              </w:tc>
            </w:tr>
            <w:tr w:rsidR="0011262F" w14:paraId="40A43BF7" w14:textId="77777777" w:rsidTr="00B54007">
              <w:tc>
                <w:tcPr>
                  <w:tcW w:w="1842" w:type="pct"/>
                  <w:shd w:val="clear" w:color="auto" w:fill="auto"/>
                  <w:vAlign w:val="bottom"/>
                </w:tcPr>
                <w:p w14:paraId="7D280DB3" w14:textId="77777777" w:rsidR="0011262F" w:rsidRDefault="0011262F" w:rsidP="00B54007">
                  <w:pPr>
                    <w:pStyle w:val="TableBodyText"/>
                    <w:jc w:val="left"/>
                  </w:pPr>
                  <w:r w:rsidRPr="00C358C1">
                    <w:t>Stronger super</w:t>
                  </w:r>
                </w:p>
              </w:tc>
              <w:tc>
                <w:tcPr>
                  <w:tcW w:w="632" w:type="pct"/>
                </w:tcPr>
                <w:p w14:paraId="04A281BE" w14:textId="77777777" w:rsidR="0011262F" w:rsidRDefault="0011262F" w:rsidP="00B54007">
                  <w:pPr>
                    <w:pStyle w:val="TableBodyText"/>
                    <w:ind w:right="28"/>
                  </w:pPr>
                  <w:r w:rsidRPr="00662641">
                    <w:t>0.035</w:t>
                  </w:r>
                </w:p>
              </w:tc>
              <w:tc>
                <w:tcPr>
                  <w:tcW w:w="632" w:type="pct"/>
                  <w:shd w:val="clear" w:color="auto" w:fill="auto"/>
                </w:tcPr>
                <w:p w14:paraId="69581749" w14:textId="77777777" w:rsidR="0011262F" w:rsidRDefault="0011262F" w:rsidP="00B54007">
                  <w:pPr>
                    <w:pStyle w:val="TableBodyText"/>
                    <w:ind w:right="28"/>
                  </w:pPr>
                  <w:r w:rsidRPr="00662641">
                    <w:t>0.012</w:t>
                  </w:r>
                </w:p>
              </w:tc>
              <w:tc>
                <w:tcPr>
                  <w:tcW w:w="632" w:type="pct"/>
                  <w:shd w:val="clear" w:color="auto" w:fill="auto"/>
                </w:tcPr>
                <w:p w14:paraId="73822D60" w14:textId="77777777" w:rsidR="0011262F" w:rsidRDefault="0011262F" w:rsidP="00B54007">
                  <w:pPr>
                    <w:pStyle w:val="TableBodyText"/>
                    <w:ind w:right="28"/>
                  </w:pPr>
                  <w:r w:rsidRPr="00662641">
                    <w:t>0.012</w:t>
                  </w:r>
                </w:p>
              </w:tc>
              <w:tc>
                <w:tcPr>
                  <w:tcW w:w="632" w:type="pct"/>
                </w:tcPr>
                <w:p w14:paraId="64139E41" w14:textId="77777777" w:rsidR="0011262F" w:rsidRDefault="0011262F" w:rsidP="00B54007">
                  <w:pPr>
                    <w:pStyle w:val="TableBodyText"/>
                    <w:ind w:right="28"/>
                  </w:pPr>
                  <w:r w:rsidRPr="00662641">
                    <w:t>0.035</w:t>
                  </w:r>
                </w:p>
              </w:tc>
              <w:tc>
                <w:tcPr>
                  <w:tcW w:w="630" w:type="pct"/>
                </w:tcPr>
                <w:p w14:paraId="5FAB107C" w14:textId="77777777" w:rsidR="0011262F" w:rsidRDefault="0011262F" w:rsidP="00B54007">
                  <w:pPr>
                    <w:pStyle w:val="TableBodyText"/>
                  </w:pPr>
                  <w:r w:rsidRPr="00662641">
                    <w:t>0.059</w:t>
                  </w:r>
                </w:p>
              </w:tc>
            </w:tr>
            <w:tr w:rsidR="0011262F" w14:paraId="412FB9C4" w14:textId="77777777" w:rsidTr="00B54007">
              <w:tc>
                <w:tcPr>
                  <w:tcW w:w="1842" w:type="pct"/>
                  <w:shd w:val="clear" w:color="auto" w:fill="F2F2F2" w:themeFill="background1" w:themeFillShade="F2"/>
                  <w:vAlign w:val="bottom"/>
                </w:tcPr>
                <w:p w14:paraId="779D412D" w14:textId="77777777" w:rsidR="0011262F" w:rsidRDefault="0011262F" w:rsidP="00B54007">
                  <w:pPr>
                    <w:pStyle w:val="TableBodyText"/>
                    <w:jc w:val="left"/>
                  </w:pPr>
                  <w:r w:rsidRPr="00C358C1">
                    <w:t>Post reporting change</w:t>
                  </w:r>
                  <w:r>
                    <w:t xml:space="preserve"> (PRC)</w:t>
                  </w:r>
                </w:p>
              </w:tc>
              <w:tc>
                <w:tcPr>
                  <w:tcW w:w="632" w:type="pct"/>
                  <w:shd w:val="clear" w:color="auto" w:fill="F2F2F2" w:themeFill="background1" w:themeFillShade="F2"/>
                </w:tcPr>
                <w:p w14:paraId="66DA625E" w14:textId="77777777" w:rsidR="0011262F" w:rsidRDefault="0011262F" w:rsidP="00B54007">
                  <w:pPr>
                    <w:pStyle w:val="TableBodyText"/>
                    <w:ind w:right="28"/>
                  </w:pPr>
                  <w:r w:rsidRPr="00662641">
                    <w:t>-0.038</w:t>
                  </w:r>
                </w:p>
              </w:tc>
              <w:tc>
                <w:tcPr>
                  <w:tcW w:w="632" w:type="pct"/>
                  <w:shd w:val="clear" w:color="auto" w:fill="F2F2F2" w:themeFill="background1" w:themeFillShade="F2"/>
                </w:tcPr>
                <w:p w14:paraId="62FC9646" w14:textId="77777777" w:rsidR="0011262F" w:rsidRDefault="0011262F" w:rsidP="00B54007">
                  <w:pPr>
                    <w:pStyle w:val="TableBodyText"/>
                    <w:ind w:right="28"/>
                  </w:pPr>
                  <w:r w:rsidRPr="00662641">
                    <w:t>0.015</w:t>
                  </w:r>
                </w:p>
              </w:tc>
              <w:tc>
                <w:tcPr>
                  <w:tcW w:w="632" w:type="pct"/>
                  <w:shd w:val="clear" w:color="auto" w:fill="F2F2F2" w:themeFill="background1" w:themeFillShade="F2"/>
                </w:tcPr>
                <w:p w14:paraId="0F1DEB60" w14:textId="77777777" w:rsidR="0011262F" w:rsidRDefault="0011262F" w:rsidP="00B54007">
                  <w:pPr>
                    <w:pStyle w:val="TableBodyText"/>
                    <w:ind w:right="28"/>
                  </w:pPr>
                  <w:r w:rsidRPr="00662641">
                    <w:t>-0.068</w:t>
                  </w:r>
                </w:p>
              </w:tc>
              <w:tc>
                <w:tcPr>
                  <w:tcW w:w="632" w:type="pct"/>
                  <w:shd w:val="clear" w:color="auto" w:fill="F2F2F2" w:themeFill="background1" w:themeFillShade="F2"/>
                </w:tcPr>
                <w:p w14:paraId="09DB8397" w14:textId="77777777" w:rsidR="0011262F" w:rsidRDefault="0011262F" w:rsidP="00B54007">
                  <w:pPr>
                    <w:pStyle w:val="TableBodyText"/>
                    <w:ind w:right="28"/>
                  </w:pPr>
                  <w:r w:rsidRPr="00662641">
                    <w:t>-0.038</w:t>
                  </w:r>
                </w:p>
              </w:tc>
              <w:tc>
                <w:tcPr>
                  <w:tcW w:w="630" w:type="pct"/>
                  <w:shd w:val="clear" w:color="auto" w:fill="F2F2F2" w:themeFill="background1" w:themeFillShade="F2"/>
                </w:tcPr>
                <w:p w14:paraId="4553F6CC" w14:textId="77777777" w:rsidR="0011262F" w:rsidRDefault="0011262F" w:rsidP="00B54007">
                  <w:pPr>
                    <w:pStyle w:val="TableBodyText"/>
                  </w:pPr>
                  <w:r w:rsidRPr="00662641">
                    <w:t>-0.006</w:t>
                  </w:r>
                </w:p>
              </w:tc>
            </w:tr>
            <w:tr w:rsidR="0011262F" w14:paraId="032E8009" w14:textId="77777777" w:rsidTr="00B54007">
              <w:tc>
                <w:tcPr>
                  <w:tcW w:w="1842" w:type="pct"/>
                  <w:shd w:val="clear" w:color="auto" w:fill="auto"/>
                  <w:vAlign w:val="bottom"/>
                </w:tcPr>
                <w:p w14:paraId="5EF65CE2" w14:textId="77777777" w:rsidR="0011262F" w:rsidRDefault="0011262F" w:rsidP="00B54007">
                  <w:pPr>
                    <w:pStyle w:val="TableBodyText"/>
                    <w:jc w:val="left"/>
                  </w:pPr>
                  <w:r w:rsidRPr="00C358C1">
                    <w:t>Industry</w:t>
                  </w:r>
                </w:p>
              </w:tc>
              <w:tc>
                <w:tcPr>
                  <w:tcW w:w="632" w:type="pct"/>
                </w:tcPr>
                <w:p w14:paraId="2C562B49" w14:textId="77777777" w:rsidR="0011262F" w:rsidRDefault="0011262F" w:rsidP="00B54007">
                  <w:pPr>
                    <w:pStyle w:val="TableBodyText"/>
                    <w:ind w:right="28"/>
                  </w:pPr>
                  <w:r w:rsidRPr="00662641">
                    <w:t>-0.335</w:t>
                  </w:r>
                </w:p>
              </w:tc>
              <w:tc>
                <w:tcPr>
                  <w:tcW w:w="632" w:type="pct"/>
                  <w:shd w:val="clear" w:color="auto" w:fill="auto"/>
                </w:tcPr>
                <w:p w14:paraId="00C7598E" w14:textId="77777777" w:rsidR="0011262F" w:rsidRDefault="0011262F" w:rsidP="00B54007">
                  <w:pPr>
                    <w:pStyle w:val="TableBodyText"/>
                    <w:ind w:right="28"/>
                  </w:pPr>
                  <w:r w:rsidRPr="00662641">
                    <w:t>0.231</w:t>
                  </w:r>
                </w:p>
              </w:tc>
              <w:tc>
                <w:tcPr>
                  <w:tcW w:w="632" w:type="pct"/>
                  <w:shd w:val="clear" w:color="auto" w:fill="auto"/>
                </w:tcPr>
                <w:p w14:paraId="7AC33B61" w14:textId="77777777" w:rsidR="0011262F" w:rsidRDefault="0011262F" w:rsidP="00B54007">
                  <w:pPr>
                    <w:pStyle w:val="TableBodyText"/>
                    <w:ind w:right="28"/>
                  </w:pPr>
                  <w:r w:rsidRPr="00662641">
                    <w:t>-0.782</w:t>
                  </w:r>
                </w:p>
              </w:tc>
              <w:tc>
                <w:tcPr>
                  <w:tcW w:w="632" w:type="pct"/>
                </w:tcPr>
                <w:p w14:paraId="2EC9EB2E" w14:textId="77777777" w:rsidR="0011262F" w:rsidRDefault="0011262F" w:rsidP="00B54007">
                  <w:pPr>
                    <w:pStyle w:val="TableBodyText"/>
                    <w:ind w:right="28"/>
                  </w:pPr>
                  <w:r w:rsidRPr="00662641">
                    <w:t>-0.342</w:t>
                  </w:r>
                </w:p>
              </w:tc>
              <w:tc>
                <w:tcPr>
                  <w:tcW w:w="630" w:type="pct"/>
                </w:tcPr>
                <w:p w14:paraId="13501B28" w14:textId="77777777" w:rsidR="0011262F" w:rsidRDefault="0011262F" w:rsidP="00B54007">
                  <w:pPr>
                    <w:pStyle w:val="TableBodyText"/>
                  </w:pPr>
                  <w:r w:rsidRPr="00662641">
                    <w:t>0.113</w:t>
                  </w:r>
                </w:p>
              </w:tc>
            </w:tr>
            <w:tr w:rsidR="0011262F" w14:paraId="5AF0289C" w14:textId="77777777" w:rsidTr="00B54007">
              <w:tc>
                <w:tcPr>
                  <w:tcW w:w="1842" w:type="pct"/>
                  <w:shd w:val="clear" w:color="auto" w:fill="F2F2F2" w:themeFill="background1" w:themeFillShade="F2"/>
                  <w:vAlign w:val="bottom"/>
                </w:tcPr>
                <w:p w14:paraId="29F29D15" w14:textId="77777777" w:rsidR="0011262F" w:rsidRDefault="0011262F" w:rsidP="00B54007">
                  <w:pPr>
                    <w:pStyle w:val="TableBodyText"/>
                    <w:jc w:val="left"/>
                  </w:pPr>
                  <w:r w:rsidRPr="00C358C1">
                    <w:t>Public</w:t>
                  </w:r>
                </w:p>
              </w:tc>
              <w:tc>
                <w:tcPr>
                  <w:tcW w:w="632" w:type="pct"/>
                  <w:shd w:val="clear" w:color="auto" w:fill="F2F2F2" w:themeFill="background1" w:themeFillShade="F2"/>
                </w:tcPr>
                <w:p w14:paraId="5B80F0DE" w14:textId="77777777" w:rsidR="0011262F" w:rsidRDefault="0011262F" w:rsidP="00B54007">
                  <w:pPr>
                    <w:pStyle w:val="TableBodyText"/>
                    <w:ind w:right="28"/>
                  </w:pPr>
                  <w:r w:rsidRPr="00662641">
                    <w:t>0.071</w:t>
                  </w:r>
                </w:p>
              </w:tc>
              <w:tc>
                <w:tcPr>
                  <w:tcW w:w="632" w:type="pct"/>
                  <w:shd w:val="clear" w:color="auto" w:fill="F2F2F2" w:themeFill="background1" w:themeFillShade="F2"/>
                </w:tcPr>
                <w:p w14:paraId="7CA55501" w14:textId="77777777" w:rsidR="0011262F" w:rsidRDefault="0011262F" w:rsidP="00B54007">
                  <w:pPr>
                    <w:pStyle w:val="TableBodyText"/>
                    <w:ind w:right="28"/>
                  </w:pPr>
                  <w:r w:rsidRPr="00662641">
                    <w:t>0.343</w:t>
                  </w:r>
                </w:p>
              </w:tc>
              <w:tc>
                <w:tcPr>
                  <w:tcW w:w="632" w:type="pct"/>
                  <w:shd w:val="clear" w:color="auto" w:fill="F2F2F2" w:themeFill="background1" w:themeFillShade="F2"/>
                </w:tcPr>
                <w:p w14:paraId="6DBAF7D4" w14:textId="77777777" w:rsidR="0011262F" w:rsidRDefault="0011262F" w:rsidP="00B54007">
                  <w:pPr>
                    <w:pStyle w:val="TableBodyText"/>
                    <w:ind w:right="28"/>
                  </w:pPr>
                  <w:r w:rsidRPr="00662641">
                    <w:t>-0.596</w:t>
                  </w:r>
                </w:p>
              </w:tc>
              <w:tc>
                <w:tcPr>
                  <w:tcW w:w="632" w:type="pct"/>
                  <w:shd w:val="clear" w:color="auto" w:fill="F2F2F2" w:themeFill="background1" w:themeFillShade="F2"/>
                </w:tcPr>
                <w:p w14:paraId="38C27295" w14:textId="77777777" w:rsidR="0011262F" w:rsidRDefault="0011262F" w:rsidP="00B54007">
                  <w:pPr>
                    <w:pStyle w:val="TableBodyText"/>
                    <w:ind w:right="28"/>
                  </w:pPr>
                  <w:r w:rsidRPr="00662641">
                    <w:t>0.054</w:t>
                  </w:r>
                </w:p>
              </w:tc>
              <w:tc>
                <w:tcPr>
                  <w:tcW w:w="630" w:type="pct"/>
                  <w:shd w:val="clear" w:color="auto" w:fill="F2F2F2" w:themeFill="background1" w:themeFillShade="F2"/>
                </w:tcPr>
                <w:p w14:paraId="16B28DA1" w14:textId="77777777" w:rsidR="0011262F" w:rsidRDefault="0011262F" w:rsidP="00B54007">
                  <w:pPr>
                    <w:pStyle w:val="TableBodyText"/>
                  </w:pPr>
                  <w:r w:rsidRPr="00662641">
                    <w:t>0.749</w:t>
                  </w:r>
                </w:p>
              </w:tc>
            </w:tr>
            <w:tr w:rsidR="0011262F" w14:paraId="1FB9B74C" w14:textId="77777777" w:rsidTr="00B54007">
              <w:tc>
                <w:tcPr>
                  <w:tcW w:w="1842" w:type="pct"/>
                  <w:shd w:val="clear" w:color="auto" w:fill="auto"/>
                  <w:vAlign w:val="bottom"/>
                </w:tcPr>
                <w:p w14:paraId="4A52E1AE" w14:textId="77777777" w:rsidR="0011262F" w:rsidRDefault="0011262F" w:rsidP="00B54007">
                  <w:pPr>
                    <w:pStyle w:val="TableBodyText"/>
                    <w:jc w:val="left"/>
                  </w:pPr>
                  <w:r w:rsidRPr="00C358C1">
                    <w:t>Retail</w:t>
                  </w:r>
                </w:p>
              </w:tc>
              <w:tc>
                <w:tcPr>
                  <w:tcW w:w="632" w:type="pct"/>
                </w:tcPr>
                <w:p w14:paraId="68A8B776" w14:textId="77777777" w:rsidR="0011262F" w:rsidRDefault="0011262F" w:rsidP="00B54007">
                  <w:pPr>
                    <w:pStyle w:val="TableBodyText"/>
                    <w:ind w:right="28"/>
                  </w:pPr>
                  <w:r w:rsidRPr="00662641">
                    <w:t>-0.329</w:t>
                  </w:r>
                </w:p>
              </w:tc>
              <w:tc>
                <w:tcPr>
                  <w:tcW w:w="632" w:type="pct"/>
                  <w:shd w:val="clear" w:color="auto" w:fill="auto"/>
                </w:tcPr>
                <w:p w14:paraId="2B930F3F" w14:textId="77777777" w:rsidR="0011262F" w:rsidRDefault="0011262F" w:rsidP="00B54007">
                  <w:pPr>
                    <w:pStyle w:val="TableBodyText"/>
                    <w:ind w:right="28"/>
                  </w:pPr>
                  <w:r w:rsidRPr="00662641">
                    <w:t>0.123</w:t>
                  </w:r>
                </w:p>
              </w:tc>
              <w:tc>
                <w:tcPr>
                  <w:tcW w:w="632" w:type="pct"/>
                  <w:shd w:val="clear" w:color="auto" w:fill="auto"/>
                </w:tcPr>
                <w:p w14:paraId="43BCB482" w14:textId="77777777" w:rsidR="0011262F" w:rsidRDefault="0011262F" w:rsidP="00B54007">
                  <w:pPr>
                    <w:pStyle w:val="TableBodyText"/>
                    <w:ind w:right="28"/>
                  </w:pPr>
                  <w:r w:rsidRPr="00662641">
                    <w:t>-0.573</w:t>
                  </w:r>
                </w:p>
              </w:tc>
              <w:tc>
                <w:tcPr>
                  <w:tcW w:w="632" w:type="pct"/>
                </w:tcPr>
                <w:p w14:paraId="3965CA26" w14:textId="77777777" w:rsidR="0011262F" w:rsidRDefault="0011262F" w:rsidP="00B54007">
                  <w:pPr>
                    <w:pStyle w:val="TableBodyText"/>
                    <w:ind w:right="28"/>
                  </w:pPr>
                  <w:r w:rsidRPr="00662641">
                    <w:t>-0.325</w:t>
                  </w:r>
                </w:p>
              </w:tc>
              <w:tc>
                <w:tcPr>
                  <w:tcW w:w="630" w:type="pct"/>
                </w:tcPr>
                <w:p w14:paraId="1108F55D" w14:textId="77777777" w:rsidR="0011262F" w:rsidRDefault="0011262F" w:rsidP="00B54007">
                  <w:pPr>
                    <w:pStyle w:val="TableBodyText"/>
                  </w:pPr>
                  <w:r w:rsidRPr="00662641">
                    <w:t>-0.095</w:t>
                  </w:r>
                </w:p>
              </w:tc>
            </w:tr>
            <w:tr w:rsidR="0011262F" w14:paraId="13E8E660" w14:textId="77777777" w:rsidTr="00B54007">
              <w:tc>
                <w:tcPr>
                  <w:tcW w:w="1842" w:type="pct"/>
                  <w:shd w:val="clear" w:color="auto" w:fill="F2F2F2" w:themeFill="background1" w:themeFillShade="F2"/>
                  <w:vAlign w:val="bottom"/>
                </w:tcPr>
                <w:p w14:paraId="32B98F2A" w14:textId="77777777" w:rsidR="0011262F" w:rsidRDefault="0011262F" w:rsidP="00B54007">
                  <w:pPr>
                    <w:pStyle w:val="TableBodyText"/>
                    <w:jc w:val="left"/>
                  </w:pPr>
                  <w:r w:rsidRPr="00C358C1">
                    <w:t>Industry x Assets</w:t>
                  </w:r>
                </w:p>
              </w:tc>
              <w:tc>
                <w:tcPr>
                  <w:tcW w:w="632" w:type="pct"/>
                  <w:shd w:val="clear" w:color="auto" w:fill="F2F2F2" w:themeFill="background1" w:themeFillShade="F2"/>
                </w:tcPr>
                <w:p w14:paraId="13B60CB6" w14:textId="77777777" w:rsidR="0011262F" w:rsidRDefault="0011262F" w:rsidP="00B54007">
                  <w:pPr>
                    <w:pStyle w:val="TableBodyText"/>
                    <w:ind w:right="28"/>
                  </w:pPr>
                  <w:r w:rsidRPr="00662641">
                    <w:t>0.160</w:t>
                  </w:r>
                </w:p>
              </w:tc>
              <w:tc>
                <w:tcPr>
                  <w:tcW w:w="632" w:type="pct"/>
                  <w:shd w:val="clear" w:color="auto" w:fill="F2F2F2" w:themeFill="background1" w:themeFillShade="F2"/>
                </w:tcPr>
                <w:p w14:paraId="4A125C69" w14:textId="77777777" w:rsidR="0011262F" w:rsidRDefault="0011262F" w:rsidP="00B54007">
                  <w:pPr>
                    <w:pStyle w:val="TableBodyText"/>
                    <w:ind w:right="28"/>
                  </w:pPr>
                  <w:r w:rsidRPr="00662641">
                    <w:t>0.063</w:t>
                  </w:r>
                </w:p>
              </w:tc>
              <w:tc>
                <w:tcPr>
                  <w:tcW w:w="632" w:type="pct"/>
                  <w:shd w:val="clear" w:color="auto" w:fill="F2F2F2" w:themeFill="background1" w:themeFillShade="F2"/>
                </w:tcPr>
                <w:p w14:paraId="3D700E1F" w14:textId="77777777" w:rsidR="0011262F" w:rsidRDefault="0011262F" w:rsidP="00B54007">
                  <w:pPr>
                    <w:pStyle w:val="TableBodyText"/>
                    <w:ind w:right="28"/>
                  </w:pPr>
                  <w:r w:rsidRPr="00662641">
                    <w:t>0.034</w:t>
                  </w:r>
                </w:p>
              </w:tc>
              <w:tc>
                <w:tcPr>
                  <w:tcW w:w="632" w:type="pct"/>
                  <w:shd w:val="clear" w:color="auto" w:fill="F2F2F2" w:themeFill="background1" w:themeFillShade="F2"/>
                </w:tcPr>
                <w:p w14:paraId="0EDA9D45" w14:textId="77777777" w:rsidR="0011262F" w:rsidRDefault="0011262F" w:rsidP="00B54007">
                  <w:pPr>
                    <w:pStyle w:val="TableBodyText"/>
                    <w:ind w:right="28"/>
                  </w:pPr>
                  <w:r w:rsidRPr="00662641">
                    <w:t>0.163</w:t>
                  </w:r>
                </w:p>
              </w:tc>
              <w:tc>
                <w:tcPr>
                  <w:tcW w:w="630" w:type="pct"/>
                  <w:shd w:val="clear" w:color="auto" w:fill="F2F2F2" w:themeFill="background1" w:themeFillShade="F2"/>
                </w:tcPr>
                <w:p w14:paraId="73D02A05" w14:textId="77777777" w:rsidR="0011262F" w:rsidRDefault="0011262F" w:rsidP="00B54007">
                  <w:pPr>
                    <w:pStyle w:val="TableBodyText"/>
                  </w:pPr>
                  <w:r w:rsidRPr="00662641">
                    <w:t>0.277</w:t>
                  </w:r>
                </w:p>
              </w:tc>
            </w:tr>
            <w:tr w:rsidR="0011262F" w14:paraId="77BE227F" w14:textId="77777777" w:rsidTr="00B54007">
              <w:tc>
                <w:tcPr>
                  <w:tcW w:w="1842" w:type="pct"/>
                  <w:shd w:val="clear" w:color="auto" w:fill="auto"/>
                  <w:vAlign w:val="bottom"/>
                </w:tcPr>
                <w:p w14:paraId="68DA9B5B" w14:textId="77777777" w:rsidR="0011262F" w:rsidRDefault="0011262F" w:rsidP="00B54007">
                  <w:pPr>
                    <w:pStyle w:val="TableBodyText"/>
                    <w:jc w:val="left"/>
                  </w:pPr>
                  <w:r w:rsidRPr="00C358C1">
                    <w:t>Public x Assets</w:t>
                  </w:r>
                </w:p>
              </w:tc>
              <w:tc>
                <w:tcPr>
                  <w:tcW w:w="632" w:type="pct"/>
                </w:tcPr>
                <w:p w14:paraId="2586F1E3" w14:textId="77777777" w:rsidR="0011262F" w:rsidRDefault="0011262F" w:rsidP="00B54007">
                  <w:pPr>
                    <w:pStyle w:val="TableBodyText"/>
                    <w:ind w:right="28"/>
                  </w:pPr>
                  <w:r w:rsidRPr="00662641">
                    <w:t>0.076</w:t>
                  </w:r>
                </w:p>
              </w:tc>
              <w:tc>
                <w:tcPr>
                  <w:tcW w:w="632" w:type="pct"/>
                  <w:shd w:val="clear" w:color="auto" w:fill="auto"/>
                </w:tcPr>
                <w:p w14:paraId="44FA66A9" w14:textId="77777777" w:rsidR="0011262F" w:rsidRDefault="0011262F" w:rsidP="00B54007">
                  <w:pPr>
                    <w:pStyle w:val="TableBodyText"/>
                    <w:ind w:right="28"/>
                  </w:pPr>
                  <w:r w:rsidRPr="00662641">
                    <w:t>0.103</w:t>
                  </w:r>
                </w:p>
              </w:tc>
              <w:tc>
                <w:tcPr>
                  <w:tcW w:w="632" w:type="pct"/>
                  <w:shd w:val="clear" w:color="auto" w:fill="auto"/>
                </w:tcPr>
                <w:p w14:paraId="55412906" w14:textId="77777777" w:rsidR="0011262F" w:rsidRDefault="0011262F" w:rsidP="00B54007">
                  <w:pPr>
                    <w:pStyle w:val="TableBodyText"/>
                    <w:ind w:right="28"/>
                  </w:pPr>
                  <w:r w:rsidRPr="00662641">
                    <w:t>-0.127</w:t>
                  </w:r>
                </w:p>
              </w:tc>
              <w:tc>
                <w:tcPr>
                  <w:tcW w:w="632" w:type="pct"/>
                </w:tcPr>
                <w:p w14:paraId="3FCFBDE5" w14:textId="77777777" w:rsidR="0011262F" w:rsidRDefault="0011262F" w:rsidP="00B54007">
                  <w:pPr>
                    <w:pStyle w:val="TableBodyText"/>
                    <w:ind w:right="28"/>
                  </w:pPr>
                  <w:r w:rsidRPr="00662641">
                    <w:t>0.077</w:t>
                  </w:r>
                </w:p>
              </w:tc>
              <w:tc>
                <w:tcPr>
                  <w:tcW w:w="630" w:type="pct"/>
                </w:tcPr>
                <w:p w14:paraId="1FB4D78E" w14:textId="77777777" w:rsidR="0011262F" w:rsidRDefault="0011262F" w:rsidP="00B54007">
                  <w:pPr>
                    <w:pStyle w:val="TableBodyText"/>
                  </w:pPr>
                  <w:r w:rsidRPr="00662641">
                    <w:t>0.274</w:t>
                  </w:r>
                </w:p>
              </w:tc>
            </w:tr>
            <w:tr w:rsidR="0011262F" w14:paraId="201F6E1A" w14:textId="77777777" w:rsidTr="00B54007">
              <w:tc>
                <w:tcPr>
                  <w:tcW w:w="1842" w:type="pct"/>
                  <w:shd w:val="clear" w:color="auto" w:fill="F2F2F2" w:themeFill="background1" w:themeFillShade="F2"/>
                  <w:vAlign w:val="bottom"/>
                </w:tcPr>
                <w:p w14:paraId="543E6004" w14:textId="77777777" w:rsidR="0011262F" w:rsidRDefault="0011262F" w:rsidP="00B54007">
                  <w:pPr>
                    <w:pStyle w:val="TableBodyText"/>
                    <w:jc w:val="left"/>
                  </w:pPr>
                  <w:r w:rsidRPr="00C358C1">
                    <w:t>Retail x Assets</w:t>
                  </w:r>
                </w:p>
              </w:tc>
              <w:tc>
                <w:tcPr>
                  <w:tcW w:w="632" w:type="pct"/>
                  <w:shd w:val="clear" w:color="auto" w:fill="F2F2F2" w:themeFill="background1" w:themeFillShade="F2"/>
                </w:tcPr>
                <w:p w14:paraId="77F65949" w14:textId="77777777" w:rsidR="0011262F" w:rsidRDefault="0011262F" w:rsidP="00B54007">
                  <w:pPr>
                    <w:pStyle w:val="TableBodyText"/>
                    <w:ind w:right="28"/>
                  </w:pPr>
                  <w:r w:rsidRPr="00662641">
                    <w:t>0.227</w:t>
                  </w:r>
                </w:p>
              </w:tc>
              <w:tc>
                <w:tcPr>
                  <w:tcW w:w="632" w:type="pct"/>
                  <w:shd w:val="clear" w:color="auto" w:fill="F2F2F2" w:themeFill="background1" w:themeFillShade="F2"/>
                </w:tcPr>
                <w:p w14:paraId="40CC2B92" w14:textId="77777777" w:rsidR="0011262F" w:rsidRDefault="0011262F" w:rsidP="00B54007">
                  <w:pPr>
                    <w:pStyle w:val="TableBodyText"/>
                    <w:ind w:right="28"/>
                  </w:pPr>
                  <w:r w:rsidRPr="00662641">
                    <w:t>0.044</w:t>
                  </w:r>
                </w:p>
              </w:tc>
              <w:tc>
                <w:tcPr>
                  <w:tcW w:w="632" w:type="pct"/>
                  <w:shd w:val="clear" w:color="auto" w:fill="F2F2F2" w:themeFill="background1" w:themeFillShade="F2"/>
                </w:tcPr>
                <w:p w14:paraId="73B06929" w14:textId="77777777" w:rsidR="0011262F" w:rsidRDefault="0011262F" w:rsidP="00B54007">
                  <w:pPr>
                    <w:pStyle w:val="TableBodyText"/>
                    <w:ind w:right="28"/>
                  </w:pPr>
                  <w:r w:rsidRPr="00662641">
                    <w:t>0.147</w:t>
                  </w:r>
                </w:p>
              </w:tc>
              <w:tc>
                <w:tcPr>
                  <w:tcW w:w="632" w:type="pct"/>
                  <w:shd w:val="clear" w:color="auto" w:fill="F2F2F2" w:themeFill="background1" w:themeFillShade="F2"/>
                </w:tcPr>
                <w:p w14:paraId="51BF4407" w14:textId="77777777" w:rsidR="0011262F" w:rsidRDefault="0011262F" w:rsidP="00B54007">
                  <w:pPr>
                    <w:pStyle w:val="TableBodyText"/>
                    <w:ind w:right="28"/>
                  </w:pPr>
                  <w:r w:rsidRPr="00662641">
                    <w:t>0.227</w:t>
                  </w:r>
                </w:p>
              </w:tc>
              <w:tc>
                <w:tcPr>
                  <w:tcW w:w="630" w:type="pct"/>
                  <w:shd w:val="clear" w:color="auto" w:fill="F2F2F2" w:themeFill="background1" w:themeFillShade="F2"/>
                </w:tcPr>
                <w:p w14:paraId="31A19D61" w14:textId="77777777" w:rsidR="0011262F" w:rsidRDefault="0011262F" w:rsidP="00B54007">
                  <w:pPr>
                    <w:pStyle w:val="TableBodyText"/>
                  </w:pPr>
                  <w:r w:rsidRPr="00662641">
                    <w:t>0.316</w:t>
                  </w:r>
                </w:p>
              </w:tc>
            </w:tr>
            <w:tr w:rsidR="0011262F" w14:paraId="578573F8" w14:textId="77777777" w:rsidTr="00B54007">
              <w:tc>
                <w:tcPr>
                  <w:tcW w:w="1842" w:type="pct"/>
                  <w:shd w:val="clear" w:color="auto" w:fill="auto"/>
                  <w:vAlign w:val="bottom"/>
                </w:tcPr>
                <w:p w14:paraId="70CFA971" w14:textId="77777777" w:rsidR="0011262F" w:rsidRDefault="0011262F" w:rsidP="00B54007">
                  <w:pPr>
                    <w:pStyle w:val="TableBodyText"/>
                    <w:jc w:val="left"/>
                  </w:pPr>
                  <w:r w:rsidRPr="00C358C1">
                    <w:t>Industry x Member accounts</w:t>
                  </w:r>
                </w:p>
              </w:tc>
              <w:tc>
                <w:tcPr>
                  <w:tcW w:w="632" w:type="pct"/>
                </w:tcPr>
                <w:p w14:paraId="69A4579F" w14:textId="77777777" w:rsidR="0011262F" w:rsidRDefault="0011262F" w:rsidP="00B54007">
                  <w:pPr>
                    <w:pStyle w:val="TableBodyText"/>
                    <w:ind w:right="28"/>
                  </w:pPr>
                  <w:r w:rsidRPr="00662641">
                    <w:t>-0.161</w:t>
                  </w:r>
                </w:p>
              </w:tc>
              <w:tc>
                <w:tcPr>
                  <w:tcW w:w="632" w:type="pct"/>
                  <w:shd w:val="clear" w:color="auto" w:fill="auto"/>
                </w:tcPr>
                <w:p w14:paraId="60C26D77" w14:textId="77777777" w:rsidR="0011262F" w:rsidRDefault="0011262F" w:rsidP="00B54007">
                  <w:pPr>
                    <w:pStyle w:val="TableBodyText"/>
                    <w:ind w:right="28"/>
                  </w:pPr>
                  <w:r w:rsidRPr="00662641">
                    <w:t>0.089</w:t>
                  </w:r>
                </w:p>
              </w:tc>
              <w:tc>
                <w:tcPr>
                  <w:tcW w:w="632" w:type="pct"/>
                  <w:shd w:val="clear" w:color="auto" w:fill="auto"/>
                </w:tcPr>
                <w:p w14:paraId="1DEE4DFE" w14:textId="77777777" w:rsidR="0011262F" w:rsidRDefault="0011262F" w:rsidP="00B54007">
                  <w:pPr>
                    <w:pStyle w:val="TableBodyText"/>
                    <w:ind w:right="28"/>
                  </w:pPr>
                  <w:r w:rsidRPr="00662641">
                    <w:t>-0.335</w:t>
                  </w:r>
                </w:p>
              </w:tc>
              <w:tc>
                <w:tcPr>
                  <w:tcW w:w="632" w:type="pct"/>
                </w:tcPr>
                <w:p w14:paraId="5A32C1FE" w14:textId="77777777" w:rsidR="0011262F" w:rsidRDefault="0011262F" w:rsidP="00B54007">
                  <w:pPr>
                    <w:pStyle w:val="TableBodyText"/>
                    <w:ind w:right="28"/>
                  </w:pPr>
                  <w:r w:rsidRPr="00662641">
                    <w:t>-0.161</w:t>
                  </w:r>
                </w:p>
              </w:tc>
              <w:tc>
                <w:tcPr>
                  <w:tcW w:w="630" w:type="pct"/>
                </w:tcPr>
                <w:p w14:paraId="68491A5E" w14:textId="77777777" w:rsidR="0011262F" w:rsidRDefault="0011262F" w:rsidP="00B54007">
                  <w:pPr>
                    <w:pStyle w:val="TableBodyText"/>
                  </w:pPr>
                  <w:r w:rsidRPr="00662641">
                    <w:t>0.015</w:t>
                  </w:r>
                </w:p>
              </w:tc>
            </w:tr>
            <w:tr w:rsidR="0011262F" w14:paraId="0199B178" w14:textId="77777777" w:rsidTr="00B54007">
              <w:tc>
                <w:tcPr>
                  <w:tcW w:w="1842" w:type="pct"/>
                  <w:shd w:val="clear" w:color="auto" w:fill="F2F2F2" w:themeFill="background1" w:themeFillShade="F2"/>
                  <w:vAlign w:val="bottom"/>
                </w:tcPr>
                <w:p w14:paraId="35BED98B" w14:textId="77777777" w:rsidR="0011262F" w:rsidRDefault="0011262F" w:rsidP="00B54007">
                  <w:pPr>
                    <w:pStyle w:val="TableBodyText"/>
                    <w:jc w:val="left"/>
                  </w:pPr>
                  <w:r w:rsidRPr="00C358C1">
                    <w:t>Public x Member accounts</w:t>
                  </w:r>
                </w:p>
              </w:tc>
              <w:tc>
                <w:tcPr>
                  <w:tcW w:w="632" w:type="pct"/>
                  <w:shd w:val="clear" w:color="auto" w:fill="F2F2F2" w:themeFill="background1" w:themeFillShade="F2"/>
                </w:tcPr>
                <w:p w14:paraId="75AC8B46" w14:textId="77777777" w:rsidR="0011262F" w:rsidRDefault="0011262F" w:rsidP="00B54007">
                  <w:pPr>
                    <w:pStyle w:val="TableBodyText"/>
                    <w:ind w:right="28"/>
                  </w:pPr>
                  <w:r w:rsidRPr="00662641">
                    <w:t>-0.185</w:t>
                  </w:r>
                </w:p>
              </w:tc>
              <w:tc>
                <w:tcPr>
                  <w:tcW w:w="632" w:type="pct"/>
                  <w:shd w:val="clear" w:color="auto" w:fill="F2F2F2" w:themeFill="background1" w:themeFillShade="F2"/>
                </w:tcPr>
                <w:p w14:paraId="7767FE34" w14:textId="77777777" w:rsidR="0011262F" w:rsidRDefault="0011262F" w:rsidP="00B54007">
                  <w:pPr>
                    <w:pStyle w:val="TableBodyText"/>
                    <w:ind w:right="28"/>
                  </w:pPr>
                  <w:r w:rsidRPr="00662641">
                    <w:t>0.153</w:t>
                  </w:r>
                </w:p>
              </w:tc>
              <w:tc>
                <w:tcPr>
                  <w:tcW w:w="632" w:type="pct"/>
                  <w:shd w:val="clear" w:color="auto" w:fill="F2F2F2" w:themeFill="background1" w:themeFillShade="F2"/>
                </w:tcPr>
                <w:p w14:paraId="6B9001CE" w14:textId="77777777" w:rsidR="0011262F" w:rsidRDefault="0011262F" w:rsidP="00B54007">
                  <w:pPr>
                    <w:pStyle w:val="TableBodyText"/>
                    <w:ind w:right="28"/>
                  </w:pPr>
                  <w:r w:rsidRPr="00662641">
                    <w:t>-0.491</w:t>
                  </w:r>
                </w:p>
              </w:tc>
              <w:tc>
                <w:tcPr>
                  <w:tcW w:w="632" w:type="pct"/>
                  <w:shd w:val="clear" w:color="auto" w:fill="F2F2F2" w:themeFill="background1" w:themeFillShade="F2"/>
                </w:tcPr>
                <w:p w14:paraId="0EA231DA" w14:textId="77777777" w:rsidR="0011262F" w:rsidRDefault="0011262F" w:rsidP="00B54007">
                  <w:pPr>
                    <w:pStyle w:val="TableBodyText"/>
                    <w:ind w:right="28"/>
                  </w:pPr>
                  <w:r w:rsidRPr="00662641">
                    <w:t>-0.186</w:t>
                  </w:r>
                </w:p>
              </w:tc>
              <w:tc>
                <w:tcPr>
                  <w:tcW w:w="630" w:type="pct"/>
                  <w:shd w:val="clear" w:color="auto" w:fill="F2F2F2" w:themeFill="background1" w:themeFillShade="F2"/>
                </w:tcPr>
                <w:p w14:paraId="7F5F2EF7" w14:textId="77777777" w:rsidR="0011262F" w:rsidRDefault="0011262F" w:rsidP="00B54007">
                  <w:pPr>
                    <w:pStyle w:val="TableBodyText"/>
                  </w:pPr>
                  <w:r w:rsidRPr="00662641">
                    <w:t>0.129</w:t>
                  </w:r>
                </w:p>
              </w:tc>
            </w:tr>
            <w:tr w:rsidR="0011262F" w14:paraId="42926B35" w14:textId="77777777" w:rsidTr="00B54007">
              <w:tc>
                <w:tcPr>
                  <w:tcW w:w="1842" w:type="pct"/>
                  <w:shd w:val="clear" w:color="auto" w:fill="auto"/>
                  <w:vAlign w:val="bottom"/>
                </w:tcPr>
                <w:p w14:paraId="003A0644" w14:textId="77777777" w:rsidR="0011262F" w:rsidRDefault="0011262F" w:rsidP="00B54007">
                  <w:pPr>
                    <w:pStyle w:val="TableBodyText"/>
                    <w:jc w:val="left"/>
                  </w:pPr>
                  <w:r w:rsidRPr="00C358C1">
                    <w:t>Retail x Member accounts</w:t>
                  </w:r>
                </w:p>
              </w:tc>
              <w:tc>
                <w:tcPr>
                  <w:tcW w:w="632" w:type="pct"/>
                </w:tcPr>
                <w:p w14:paraId="4D0EFEA0" w14:textId="77777777" w:rsidR="0011262F" w:rsidRDefault="0011262F" w:rsidP="00B54007">
                  <w:pPr>
                    <w:pStyle w:val="TableBodyText"/>
                    <w:ind w:right="28"/>
                  </w:pPr>
                  <w:r w:rsidRPr="00662641">
                    <w:t>-0.281</w:t>
                  </w:r>
                </w:p>
              </w:tc>
              <w:tc>
                <w:tcPr>
                  <w:tcW w:w="632" w:type="pct"/>
                  <w:shd w:val="clear" w:color="auto" w:fill="auto"/>
                </w:tcPr>
                <w:p w14:paraId="534B0DA3" w14:textId="77777777" w:rsidR="0011262F" w:rsidRDefault="0011262F" w:rsidP="00B54007">
                  <w:pPr>
                    <w:pStyle w:val="TableBodyText"/>
                    <w:ind w:right="28"/>
                  </w:pPr>
                  <w:r w:rsidRPr="00662641">
                    <w:t>0.047</w:t>
                  </w:r>
                </w:p>
              </w:tc>
              <w:tc>
                <w:tcPr>
                  <w:tcW w:w="632" w:type="pct"/>
                  <w:shd w:val="clear" w:color="auto" w:fill="auto"/>
                </w:tcPr>
                <w:p w14:paraId="0156FB90" w14:textId="77777777" w:rsidR="0011262F" w:rsidRDefault="0011262F" w:rsidP="00B54007">
                  <w:pPr>
                    <w:pStyle w:val="TableBodyText"/>
                    <w:ind w:right="28"/>
                  </w:pPr>
                  <w:r w:rsidRPr="00662641">
                    <w:t>-0.378</w:t>
                  </w:r>
                </w:p>
              </w:tc>
              <w:tc>
                <w:tcPr>
                  <w:tcW w:w="632" w:type="pct"/>
                </w:tcPr>
                <w:p w14:paraId="00FD7286" w14:textId="77777777" w:rsidR="0011262F" w:rsidRDefault="0011262F" w:rsidP="00B54007">
                  <w:pPr>
                    <w:pStyle w:val="TableBodyText"/>
                    <w:ind w:right="28"/>
                  </w:pPr>
                  <w:r w:rsidRPr="00662641">
                    <w:t>-0.279</w:t>
                  </w:r>
                </w:p>
              </w:tc>
              <w:tc>
                <w:tcPr>
                  <w:tcW w:w="630" w:type="pct"/>
                </w:tcPr>
                <w:p w14:paraId="161F1C6E" w14:textId="77777777" w:rsidR="0011262F" w:rsidRDefault="0011262F" w:rsidP="00B54007">
                  <w:pPr>
                    <w:pStyle w:val="TableBodyText"/>
                  </w:pPr>
                  <w:r w:rsidRPr="00662641">
                    <w:t>-0.196</w:t>
                  </w:r>
                </w:p>
              </w:tc>
            </w:tr>
            <w:tr w:rsidR="0011262F" w14:paraId="5C775D09" w14:textId="77777777" w:rsidTr="00B54007">
              <w:tc>
                <w:tcPr>
                  <w:tcW w:w="1842" w:type="pct"/>
                  <w:shd w:val="clear" w:color="auto" w:fill="F2F2F2" w:themeFill="background1" w:themeFillShade="F2"/>
                  <w:vAlign w:val="bottom"/>
                </w:tcPr>
                <w:p w14:paraId="0627A723" w14:textId="77777777" w:rsidR="0011262F" w:rsidRDefault="0011262F" w:rsidP="00B54007">
                  <w:pPr>
                    <w:pStyle w:val="TableBodyText"/>
                    <w:jc w:val="left"/>
                  </w:pPr>
                  <w:r w:rsidRPr="00C358C1">
                    <w:t>Intercept</w:t>
                  </w:r>
                </w:p>
              </w:tc>
              <w:tc>
                <w:tcPr>
                  <w:tcW w:w="632" w:type="pct"/>
                  <w:shd w:val="clear" w:color="auto" w:fill="F2F2F2" w:themeFill="background1" w:themeFillShade="F2"/>
                </w:tcPr>
                <w:p w14:paraId="3A43A176" w14:textId="77777777" w:rsidR="0011262F" w:rsidRDefault="0011262F" w:rsidP="00B54007">
                  <w:pPr>
                    <w:pStyle w:val="TableBodyText"/>
                    <w:ind w:right="28"/>
                  </w:pPr>
                  <w:r w:rsidRPr="00662641">
                    <w:t>-0.872</w:t>
                  </w:r>
                </w:p>
              </w:tc>
              <w:tc>
                <w:tcPr>
                  <w:tcW w:w="632" w:type="pct"/>
                  <w:shd w:val="clear" w:color="auto" w:fill="F2F2F2" w:themeFill="background1" w:themeFillShade="F2"/>
                </w:tcPr>
                <w:p w14:paraId="4F960B1A" w14:textId="77777777" w:rsidR="0011262F" w:rsidRDefault="0011262F" w:rsidP="00B54007">
                  <w:pPr>
                    <w:pStyle w:val="TableBodyText"/>
                    <w:ind w:right="28"/>
                  </w:pPr>
                  <w:r w:rsidRPr="00662641">
                    <w:t>0.131</w:t>
                  </w:r>
                </w:p>
              </w:tc>
              <w:tc>
                <w:tcPr>
                  <w:tcW w:w="632" w:type="pct"/>
                  <w:shd w:val="clear" w:color="auto" w:fill="F2F2F2" w:themeFill="background1" w:themeFillShade="F2"/>
                </w:tcPr>
                <w:p w14:paraId="4A34B91D" w14:textId="77777777" w:rsidR="0011262F" w:rsidRDefault="0011262F" w:rsidP="00B54007">
                  <w:pPr>
                    <w:pStyle w:val="TableBodyText"/>
                    <w:ind w:right="28"/>
                  </w:pPr>
                  <w:r w:rsidRPr="00662641">
                    <w:t>-1.130</w:t>
                  </w:r>
                </w:p>
              </w:tc>
              <w:tc>
                <w:tcPr>
                  <w:tcW w:w="632" w:type="pct"/>
                  <w:shd w:val="clear" w:color="auto" w:fill="F2F2F2" w:themeFill="background1" w:themeFillShade="F2"/>
                </w:tcPr>
                <w:p w14:paraId="63AE711D" w14:textId="77777777" w:rsidR="0011262F" w:rsidRDefault="0011262F" w:rsidP="00B54007">
                  <w:pPr>
                    <w:pStyle w:val="TableBodyText"/>
                    <w:ind w:right="28"/>
                  </w:pPr>
                  <w:r w:rsidRPr="00662641">
                    <w:t>-0.868</w:t>
                  </w:r>
                </w:p>
              </w:tc>
              <w:tc>
                <w:tcPr>
                  <w:tcW w:w="630" w:type="pct"/>
                  <w:shd w:val="clear" w:color="auto" w:fill="F2F2F2" w:themeFill="background1" w:themeFillShade="F2"/>
                </w:tcPr>
                <w:p w14:paraId="36364EBC" w14:textId="77777777" w:rsidR="0011262F" w:rsidRDefault="0011262F" w:rsidP="00B54007">
                  <w:pPr>
                    <w:pStyle w:val="TableBodyText"/>
                  </w:pPr>
                  <w:r w:rsidRPr="00662641">
                    <w:t>-0.599</w:t>
                  </w:r>
                </w:p>
              </w:tc>
            </w:tr>
            <w:tr w:rsidR="0011262F" w14:paraId="7665A45A" w14:textId="77777777" w:rsidTr="00B54007">
              <w:tc>
                <w:tcPr>
                  <w:tcW w:w="1842" w:type="pct"/>
                  <w:shd w:val="clear" w:color="auto" w:fill="auto"/>
                  <w:vAlign w:val="bottom"/>
                </w:tcPr>
                <w:p w14:paraId="6A38FAD5" w14:textId="77777777" w:rsidR="0011262F" w:rsidRDefault="0011262F" w:rsidP="00B54007">
                  <w:pPr>
                    <w:pStyle w:val="TableBodyText"/>
                    <w:jc w:val="left"/>
                  </w:pPr>
                  <w:r w:rsidRPr="00C358C1">
                    <w:t>SD of varying Intercept</w:t>
                  </w:r>
                </w:p>
              </w:tc>
              <w:tc>
                <w:tcPr>
                  <w:tcW w:w="632" w:type="pct"/>
                </w:tcPr>
                <w:p w14:paraId="26FBB20B" w14:textId="77777777" w:rsidR="0011262F" w:rsidRDefault="0011262F" w:rsidP="00B54007">
                  <w:pPr>
                    <w:pStyle w:val="TableBodyText"/>
                    <w:ind w:right="28"/>
                  </w:pPr>
                  <w:r w:rsidRPr="00662641">
                    <w:t>0.996</w:t>
                  </w:r>
                </w:p>
              </w:tc>
              <w:tc>
                <w:tcPr>
                  <w:tcW w:w="632" w:type="pct"/>
                  <w:shd w:val="clear" w:color="auto" w:fill="auto"/>
                </w:tcPr>
                <w:p w14:paraId="20EA22B8" w14:textId="77777777" w:rsidR="0011262F" w:rsidRDefault="0011262F" w:rsidP="00B54007">
                  <w:pPr>
                    <w:pStyle w:val="TableBodyText"/>
                    <w:ind w:right="28"/>
                  </w:pPr>
                  <w:r w:rsidRPr="00662641">
                    <w:t>0.146</w:t>
                  </w:r>
                </w:p>
              </w:tc>
              <w:tc>
                <w:tcPr>
                  <w:tcW w:w="632" w:type="pct"/>
                  <w:shd w:val="clear" w:color="auto" w:fill="auto"/>
                </w:tcPr>
                <w:p w14:paraId="5142B4B3" w14:textId="77777777" w:rsidR="0011262F" w:rsidRDefault="0011262F" w:rsidP="00B54007">
                  <w:pPr>
                    <w:pStyle w:val="TableBodyText"/>
                    <w:ind w:right="28"/>
                  </w:pPr>
                  <w:r w:rsidRPr="00662641">
                    <w:t>0.689</w:t>
                  </w:r>
                </w:p>
              </w:tc>
              <w:tc>
                <w:tcPr>
                  <w:tcW w:w="632" w:type="pct"/>
                </w:tcPr>
                <w:p w14:paraId="071B184A" w14:textId="77777777" w:rsidR="0011262F" w:rsidRDefault="0011262F" w:rsidP="00B54007">
                  <w:pPr>
                    <w:pStyle w:val="TableBodyText"/>
                    <w:ind w:right="28"/>
                  </w:pPr>
                  <w:r w:rsidRPr="00662641">
                    <w:t>1.005</w:t>
                  </w:r>
                </w:p>
              </w:tc>
              <w:tc>
                <w:tcPr>
                  <w:tcW w:w="630" w:type="pct"/>
                </w:tcPr>
                <w:p w14:paraId="357F7985" w14:textId="77777777" w:rsidR="0011262F" w:rsidRDefault="0011262F" w:rsidP="00B54007">
                  <w:pPr>
                    <w:pStyle w:val="TableBodyText"/>
                  </w:pPr>
                  <w:r w:rsidRPr="00662641">
                    <w:t>1.245</w:t>
                  </w:r>
                </w:p>
              </w:tc>
            </w:tr>
            <w:tr w:rsidR="0011262F" w14:paraId="2CC9B70C" w14:textId="77777777" w:rsidTr="00B54007">
              <w:tc>
                <w:tcPr>
                  <w:tcW w:w="1842" w:type="pct"/>
                  <w:shd w:val="clear" w:color="auto" w:fill="F2F2F2" w:themeFill="background1" w:themeFillShade="F2"/>
                  <w:vAlign w:val="bottom"/>
                </w:tcPr>
                <w:p w14:paraId="345F0403" w14:textId="77777777" w:rsidR="0011262F" w:rsidRDefault="0011262F" w:rsidP="00B54007">
                  <w:pPr>
                    <w:pStyle w:val="TableBodyText"/>
                    <w:jc w:val="left"/>
                  </w:pPr>
                  <w:r w:rsidRPr="00C358C1">
                    <w:t xml:space="preserve">SD of varying </w:t>
                  </w:r>
                  <w:r>
                    <w:t xml:space="preserve">slope: </w:t>
                  </w:r>
                  <w:r w:rsidRPr="00C358C1">
                    <w:t>Assets</w:t>
                  </w:r>
                </w:p>
              </w:tc>
              <w:tc>
                <w:tcPr>
                  <w:tcW w:w="632" w:type="pct"/>
                  <w:shd w:val="clear" w:color="auto" w:fill="F2F2F2" w:themeFill="background1" w:themeFillShade="F2"/>
                </w:tcPr>
                <w:p w14:paraId="3C29AF8C" w14:textId="77777777" w:rsidR="0011262F" w:rsidRDefault="0011262F" w:rsidP="00B54007">
                  <w:pPr>
                    <w:pStyle w:val="TableBodyText"/>
                    <w:ind w:right="28"/>
                  </w:pPr>
                  <w:r w:rsidRPr="00662641">
                    <w:t>0.218</w:t>
                  </w:r>
                </w:p>
              </w:tc>
              <w:tc>
                <w:tcPr>
                  <w:tcW w:w="632" w:type="pct"/>
                  <w:shd w:val="clear" w:color="auto" w:fill="F2F2F2" w:themeFill="background1" w:themeFillShade="F2"/>
                </w:tcPr>
                <w:p w14:paraId="26405A23" w14:textId="77777777" w:rsidR="0011262F" w:rsidRDefault="0011262F" w:rsidP="00B54007">
                  <w:pPr>
                    <w:pStyle w:val="TableBodyText"/>
                    <w:ind w:right="28"/>
                  </w:pPr>
                  <w:r w:rsidRPr="00662641">
                    <w:t>0.042</w:t>
                  </w:r>
                </w:p>
              </w:tc>
              <w:tc>
                <w:tcPr>
                  <w:tcW w:w="632" w:type="pct"/>
                  <w:shd w:val="clear" w:color="auto" w:fill="F2F2F2" w:themeFill="background1" w:themeFillShade="F2"/>
                </w:tcPr>
                <w:p w14:paraId="0DCEC71C" w14:textId="77777777" w:rsidR="0011262F" w:rsidRDefault="0011262F" w:rsidP="00B54007">
                  <w:pPr>
                    <w:pStyle w:val="TableBodyText"/>
                    <w:ind w:right="28"/>
                  </w:pPr>
                  <w:r w:rsidRPr="00662641">
                    <w:t>0.129</w:t>
                  </w:r>
                </w:p>
              </w:tc>
              <w:tc>
                <w:tcPr>
                  <w:tcW w:w="632" w:type="pct"/>
                  <w:shd w:val="clear" w:color="auto" w:fill="F2F2F2" w:themeFill="background1" w:themeFillShade="F2"/>
                </w:tcPr>
                <w:p w14:paraId="50B94135" w14:textId="77777777" w:rsidR="0011262F" w:rsidRDefault="0011262F" w:rsidP="00B54007">
                  <w:pPr>
                    <w:pStyle w:val="TableBodyText"/>
                    <w:ind w:right="28"/>
                  </w:pPr>
                  <w:r w:rsidRPr="00662641">
                    <w:t>0.221</w:t>
                  </w:r>
                </w:p>
              </w:tc>
              <w:tc>
                <w:tcPr>
                  <w:tcW w:w="630" w:type="pct"/>
                  <w:shd w:val="clear" w:color="auto" w:fill="F2F2F2" w:themeFill="background1" w:themeFillShade="F2"/>
                </w:tcPr>
                <w:p w14:paraId="6E076565" w14:textId="77777777" w:rsidR="0011262F" w:rsidRDefault="0011262F" w:rsidP="00B54007">
                  <w:pPr>
                    <w:pStyle w:val="TableBodyText"/>
                  </w:pPr>
                  <w:r w:rsidRPr="00662641">
                    <w:t>0.297</w:t>
                  </w:r>
                </w:p>
              </w:tc>
            </w:tr>
            <w:tr w:rsidR="0011262F" w14:paraId="01F8AB1C" w14:textId="77777777" w:rsidTr="00B54007">
              <w:tc>
                <w:tcPr>
                  <w:tcW w:w="1842" w:type="pct"/>
                  <w:tcBorders>
                    <w:bottom w:val="single" w:sz="6" w:space="0" w:color="BFBFBF" w:themeColor="background1" w:themeShade="BF"/>
                  </w:tcBorders>
                  <w:shd w:val="clear" w:color="auto" w:fill="auto"/>
                  <w:vAlign w:val="bottom"/>
                </w:tcPr>
                <w:p w14:paraId="51801BCE" w14:textId="77777777" w:rsidR="0011262F" w:rsidRDefault="0011262F" w:rsidP="00B54007">
                  <w:pPr>
                    <w:pStyle w:val="TableBodyText"/>
                    <w:jc w:val="left"/>
                  </w:pPr>
                  <w:r w:rsidRPr="00C358C1">
                    <w:t xml:space="preserve">SD of varying </w:t>
                  </w:r>
                  <w:r>
                    <w:t xml:space="preserve">slope: </w:t>
                  </w:r>
                  <w:r w:rsidRPr="00C358C1">
                    <w:t xml:space="preserve">Member </w:t>
                  </w:r>
                  <w:r>
                    <w:t>accounts</w:t>
                  </w:r>
                </w:p>
              </w:tc>
              <w:tc>
                <w:tcPr>
                  <w:tcW w:w="632" w:type="pct"/>
                  <w:tcBorders>
                    <w:bottom w:val="single" w:sz="6" w:space="0" w:color="BFBFBF" w:themeColor="background1" w:themeShade="BF"/>
                  </w:tcBorders>
                </w:tcPr>
                <w:p w14:paraId="3AB77C83" w14:textId="77777777" w:rsidR="0011262F" w:rsidRDefault="0011262F" w:rsidP="00B54007">
                  <w:pPr>
                    <w:pStyle w:val="TableBodyText"/>
                    <w:ind w:right="28"/>
                  </w:pPr>
                  <w:r w:rsidRPr="00662641">
                    <w:t>0.209</w:t>
                  </w:r>
                </w:p>
              </w:tc>
              <w:tc>
                <w:tcPr>
                  <w:tcW w:w="632" w:type="pct"/>
                  <w:tcBorders>
                    <w:bottom w:val="single" w:sz="6" w:space="0" w:color="BFBFBF" w:themeColor="background1" w:themeShade="BF"/>
                  </w:tcBorders>
                  <w:shd w:val="clear" w:color="auto" w:fill="auto"/>
                </w:tcPr>
                <w:p w14:paraId="2C307CCA" w14:textId="77777777" w:rsidR="0011262F" w:rsidRDefault="0011262F" w:rsidP="00B54007">
                  <w:pPr>
                    <w:pStyle w:val="TableBodyText"/>
                    <w:ind w:right="28"/>
                  </w:pPr>
                  <w:r w:rsidRPr="00662641">
                    <w:t>0.039</w:t>
                  </w:r>
                </w:p>
              </w:tc>
              <w:tc>
                <w:tcPr>
                  <w:tcW w:w="632" w:type="pct"/>
                  <w:tcBorders>
                    <w:bottom w:val="single" w:sz="6" w:space="0" w:color="BFBFBF" w:themeColor="background1" w:themeShade="BF"/>
                  </w:tcBorders>
                  <w:shd w:val="clear" w:color="auto" w:fill="auto"/>
                </w:tcPr>
                <w:p w14:paraId="5B302AFF" w14:textId="77777777" w:rsidR="0011262F" w:rsidRDefault="0011262F" w:rsidP="00B54007">
                  <w:pPr>
                    <w:pStyle w:val="TableBodyText"/>
                    <w:ind w:right="28"/>
                  </w:pPr>
                  <w:r w:rsidRPr="00662641">
                    <w:t>0.139</w:t>
                  </w:r>
                </w:p>
              </w:tc>
              <w:tc>
                <w:tcPr>
                  <w:tcW w:w="632" w:type="pct"/>
                  <w:tcBorders>
                    <w:bottom w:val="single" w:sz="6" w:space="0" w:color="BFBFBF" w:themeColor="background1" w:themeShade="BF"/>
                  </w:tcBorders>
                </w:tcPr>
                <w:p w14:paraId="61EE5BC4" w14:textId="77777777" w:rsidR="0011262F" w:rsidRDefault="0011262F" w:rsidP="00B54007">
                  <w:pPr>
                    <w:pStyle w:val="TableBodyText"/>
                    <w:ind w:right="28"/>
                  </w:pPr>
                  <w:r w:rsidRPr="00662641">
                    <w:t>0.209</w:t>
                  </w:r>
                </w:p>
              </w:tc>
              <w:tc>
                <w:tcPr>
                  <w:tcW w:w="630" w:type="pct"/>
                  <w:tcBorders>
                    <w:bottom w:val="single" w:sz="6" w:space="0" w:color="BFBFBF" w:themeColor="background1" w:themeShade="BF"/>
                  </w:tcBorders>
                </w:tcPr>
                <w:p w14:paraId="104353F5" w14:textId="77777777" w:rsidR="0011262F" w:rsidRDefault="0011262F" w:rsidP="00B54007">
                  <w:pPr>
                    <w:pStyle w:val="TableBodyText"/>
                  </w:pPr>
                  <w:r w:rsidRPr="00662641">
                    <w:t>0.286</w:t>
                  </w:r>
                </w:p>
              </w:tc>
            </w:tr>
          </w:tbl>
          <w:p w14:paraId="3BC90120" w14:textId="77777777" w:rsidR="0011262F" w:rsidRDefault="0011262F" w:rsidP="00B54007">
            <w:pPr>
              <w:pStyle w:val="Box"/>
            </w:pPr>
          </w:p>
        </w:tc>
      </w:tr>
      <w:tr w:rsidR="0011262F" w14:paraId="11FDC19D" w14:textId="77777777" w:rsidTr="00B54007">
        <w:tc>
          <w:tcPr>
            <w:tcW w:w="5000" w:type="pct"/>
            <w:tcBorders>
              <w:top w:val="nil"/>
              <w:left w:val="nil"/>
              <w:bottom w:val="nil"/>
              <w:right w:val="nil"/>
            </w:tcBorders>
            <w:shd w:val="clear" w:color="auto" w:fill="auto"/>
          </w:tcPr>
          <w:p w14:paraId="2604675A" w14:textId="77777777" w:rsidR="0011262F" w:rsidRDefault="0011262F" w:rsidP="00B54007">
            <w:pPr>
              <w:pStyle w:val="Continued"/>
            </w:pPr>
            <w:r w:rsidRPr="004C4BB2">
              <w:t>(continued next page)</w:t>
            </w:r>
          </w:p>
        </w:tc>
      </w:tr>
      <w:tr w:rsidR="0011262F" w14:paraId="4E711055" w14:textId="77777777" w:rsidTr="00B54007">
        <w:tc>
          <w:tcPr>
            <w:tcW w:w="5000" w:type="pct"/>
            <w:tcBorders>
              <w:top w:val="nil"/>
              <w:left w:val="nil"/>
              <w:bottom w:val="single" w:sz="6" w:space="0" w:color="78A22F"/>
              <w:right w:val="nil"/>
            </w:tcBorders>
            <w:shd w:val="clear" w:color="auto" w:fill="auto"/>
          </w:tcPr>
          <w:p w14:paraId="4EF95650" w14:textId="77777777" w:rsidR="0011262F" w:rsidRDefault="0011262F" w:rsidP="00B54007">
            <w:pPr>
              <w:pStyle w:val="Box"/>
              <w:spacing w:before="0" w:line="120" w:lineRule="exact"/>
            </w:pPr>
          </w:p>
        </w:tc>
      </w:tr>
      <w:tr w:rsidR="0011262F" w:rsidRPr="000863A5" w14:paraId="3D9E45EA" w14:textId="77777777" w:rsidTr="00B54007">
        <w:tc>
          <w:tcPr>
            <w:tcW w:w="5000" w:type="pct"/>
            <w:tcBorders>
              <w:top w:val="single" w:sz="6" w:space="0" w:color="78A22F"/>
              <w:left w:val="nil"/>
              <w:bottom w:val="nil"/>
              <w:right w:val="nil"/>
            </w:tcBorders>
          </w:tcPr>
          <w:p w14:paraId="628C5B7A" w14:textId="77777777" w:rsidR="0011262F" w:rsidRPr="00626D32" w:rsidRDefault="0011262F" w:rsidP="00B54007">
            <w:pPr>
              <w:pStyle w:val="BoxSpaceBelow"/>
            </w:pPr>
          </w:p>
        </w:tc>
      </w:tr>
    </w:tbl>
    <w:p w14:paraId="7BECFFBD" w14:textId="77777777" w:rsidR="0011262F" w:rsidRDefault="0011262F" w:rsidP="0011262F">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1262F" w14:paraId="230A01B8" w14:textId="77777777" w:rsidTr="00B54007">
        <w:trPr>
          <w:tblHeader/>
        </w:trPr>
        <w:tc>
          <w:tcPr>
            <w:tcW w:w="5000" w:type="pct"/>
            <w:tcBorders>
              <w:top w:val="single" w:sz="6" w:space="0" w:color="78A22F"/>
              <w:left w:val="nil"/>
              <w:bottom w:val="nil"/>
              <w:right w:val="nil"/>
            </w:tcBorders>
            <w:shd w:val="clear" w:color="auto" w:fill="auto"/>
          </w:tcPr>
          <w:p w14:paraId="4E1BFEC7" w14:textId="77777777" w:rsidR="0011262F" w:rsidRPr="00784A05" w:rsidRDefault="0011262F" w:rsidP="00B54007">
            <w:pPr>
              <w:pStyle w:val="TableTitle"/>
            </w:pPr>
            <w:r>
              <w:rPr>
                <w:b w:val="0"/>
              </w:rPr>
              <w:t xml:space="preserve">Table </w:t>
            </w:r>
            <w:proofErr w:type="spellStart"/>
            <w:r>
              <w:rPr>
                <w:b w:val="0"/>
              </w:rPr>
              <w:t>E.2</w:t>
            </w:r>
            <w:proofErr w:type="spellEnd"/>
            <w:r>
              <w:tab/>
            </w:r>
            <w:r w:rsidRPr="004C4BB2">
              <w:rPr>
                <w:b w:val="0"/>
                <w:sz w:val="18"/>
                <w:szCs w:val="18"/>
              </w:rPr>
              <w:t>(continued)</w:t>
            </w:r>
          </w:p>
        </w:tc>
      </w:tr>
      <w:tr w:rsidR="0011262F" w14:paraId="71C6B77F" w14:textId="77777777" w:rsidTr="00B54007">
        <w:tc>
          <w:tcPr>
            <w:tcW w:w="5000" w:type="pct"/>
            <w:tcBorders>
              <w:top w:val="nil"/>
              <w:left w:val="nil"/>
              <w:bottom w:val="nil"/>
              <w:right w:val="nil"/>
            </w:tcBorders>
            <w:shd w:val="clear" w:color="auto" w:fill="auto"/>
          </w:tcPr>
          <w:tbl>
            <w:tblPr>
              <w:tblW w:w="8527" w:type="dxa"/>
              <w:tblCellMar>
                <w:top w:w="28" w:type="dxa"/>
                <w:left w:w="0" w:type="dxa"/>
                <w:right w:w="0" w:type="dxa"/>
              </w:tblCellMar>
              <w:tblLook w:val="0000" w:firstRow="0" w:lastRow="0" w:firstColumn="0" w:lastColumn="0" w:noHBand="0" w:noVBand="0"/>
            </w:tblPr>
            <w:tblGrid>
              <w:gridCol w:w="3141"/>
              <w:gridCol w:w="1078"/>
              <w:gridCol w:w="1078"/>
              <w:gridCol w:w="1078"/>
              <w:gridCol w:w="1078"/>
              <w:gridCol w:w="1074"/>
            </w:tblGrid>
            <w:tr w:rsidR="0011262F" w14:paraId="4B360833" w14:textId="77777777" w:rsidTr="00B54007">
              <w:tc>
                <w:tcPr>
                  <w:tcW w:w="1842" w:type="pct"/>
                  <w:tcBorders>
                    <w:top w:val="single" w:sz="4" w:space="0" w:color="BFBFBF"/>
                    <w:bottom w:val="single" w:sz="6" w:space="0" w:color="BFBFBF" w:themeColor="background1" w:themeShade="BF"/>
                  </w:tcBorders>
                  <w:shd w:val="clear" w:color="auto" w:fill="auto"/>
                  <w:vAlign w:val="bottom"/>
                </w:tcPr>
                <w:p w14:paraId="51F0B91F" w14:textId="77777777" w:rsidR="0011262F" w:rsidRDefault="0011262F" w:rsidP="00B54007">
                  <w:pPr>
                    <w:pStyle w:val="TableColumnHeading"/>
                    <w:jc w:val="left"/>
                    <w:rPr>
                      <w:b/>
                    </w:rPr>
                  </w:pPr>
                  <w:r>
                    <w:t>Parameter</w:t>
                  </w:r>
                </w:p>
              </w:tc>
              <w:tc>
                <w:tcPr>
                  <w:tcW w:w="632" w:type="pct"/>
                  <w:tcBorders>
                    <w:top w:val="single" w:sz="4" w:space="0" w:color="BFBFBF"/>
                    <w:bottom w:val="single" w:sz="6" w:space="0" w:color="BFBFBF" w:themeColor="background1" w:themeShade="BF"/>
                  </w:tcBorders>
                  <w:vAlign w:val="bottom"/>
                </w:tcPr>
                <w:p w14:paraId="1AFACCD4" w14:textId="77777777" w:rsidR="0011262F" w:rsidRDefault="0011262F" w:rsidP="00B54007">
                  <w:pPr>
                    <w:pStyle w:val="TableColumnHeading"/>
                  </w:pPr>
                  <w:r>
                    <w:t>Mean</w:t>
                  </w:r>
                </w:p>
              </w:tc>
              <w:tc>
                <w:tcPr>
                  <w:tcW w:w="632" w:type="pct"/>
                  <w:tcBorders>
                    <w:top w:val="single" w:sz="4" w:space="0" w:color="BFBFBF"/>
                    <w:bottom w:val="single" w:sz="6" w:space="0" w:color="BFBFBF" w:themeColor="background1" w:themeShade="BF"/>
                  </w:tcBorders>
                  <w:shd w:val="clear" w:color="auto" w:fill="auto"/>
                  <w:vAlign w:val="bottom"/>
                </w:tcPr>
                <w:p w14:paraId="2290B071" w14:textId="77777777" w:rsidR="0011262F" w:rsidRDefault="0011262F" w:rsidP="00B54007">
                  <w:pPr>
                    <w:pStyle w:val="TableColumnHeading"/>
                  </w:pPr>
                  <w:r>
                    <w:t>Standard deviation</w:t>
                  </w:r>
                </w:p>
              </w:tc>
              <w:tc>
                <w:tcPr>
                  <w:tcW w:w="632" w:type="pct"/>
                  <w:tcBorders>
                    <w:top w:val="single" w:sz="4" w:space="0" w:color="BFBFBF"/>
                    <w:bottom w:val="single" w:sz="6" w:space="0" w:color="BFBFBF" w:themeColor="background1" w:themeShade="BF"/>
                  </w:tcBorders>
                  <w:shd w:val="clear" w:color="auto" w:fill="auto"/>
                  <w:vAlign w:val="bottom"/>
                </w:tcPr>
                <w:p w14:paraId="23CDA735" w14:textId="77777777" w:rsidR="0011262F" w:rsidRDefault="0011262F" w:rsidP="00B54007">
                  <w:pPr>
                    <w:pStyle w:val="TableColumnHeading"/>
                  </w:pPr>
                  <w:r>
                    <w:t>2.5 percentile</w:t>
                  </w:r>
                </w:p>
              </w:tc>
              <w:tc>
                <w:tcPr>
                  <w:tcW w:w="632" w:type="pct"/>
                  <w:tcBorders>
                    <w:top w:val="single" w:sz="4" w:space="0" w:color="BFBFBF"/>
                    <w:bottom w:val="single" w:sz="6" w:space="0" w:color="BFBFBF" w:themeColor="background1" w:themeShade="BF"/>
                  </w:tcBorders>
                  <w:vAlign w:val="bottom"/>
                </w:tcPr>
                <w:p w14:paraId="23947306" w14:textId="77777777" w:rsidR="0011262F" w:rsidRDefault="0011262F" w:rsidP="00B54007">
                  <w:pPr>
                    <w:pStyle w:val="TableColumnHeading"/>
                  </w:pPr>
                  <w:r>
                    <w:t>Median</w:t>
                  </w:r>
                </w:p>
              </w:tc>
              <w:tc>
                <w:tcPr>
                  <w:tcW w:w="630" w:type="pct"/>
                  <w:tcBorders>
                    <w:top w:val="single" w:sz="4" w:space="0" w:color="BFBFBF"/>
                    <w:bottom w:val="single" w:sz="6" w:space="0" w:color="BFBFBF" w:themeColor="background1" w:themeShade="BF"/>
                  </w:tcBorders>
                  <w:vAlign w:val="bottom"/>
                </w:tcPr>
                <w:p w14:paraId="110D6DB2" w14:textId="77777777" w:rsidR="0011262F" w:rsidRDefault="0011262F" w:rsidP="00B54007">
                  <w:pPr>
                    <w:pStyle w:val="TableColumnHeading"/>
                  </w:pPr>
                  <w:r>
                    <w:t>97.5 percentile</w:t>
                  </w:r>
                </w:p>
              </w:tc>
            </w:tr>
            <w:tr w:rsidR="0011262F" w14:paraId="7FD02DA3" w14:textId="77777777" w:rsidTr="00B54007">
              <w:tc>
                <w:tcPr>
                  <w:tcW w:w="1842" w:type="pct"/>
                  <w:tcBorders>
                    <w:top w:val="single" w:sz="6" w:space="0" w:color="BFBFBF" w:themeColor="background1" w:themeShade="BF"/>
                  </w:tcBorders>
                  <w:shd w:val="clear" w:color="auto" w:fill="BFBFBF" w:themeFill="background1" w:themeFillShade="BF"/>
                </w:tcPr>
                <w:p w14:paraId="72E571C1" w14:textId="77777777" w:rsidR="0011262F" w:rsidRPr="0099011F" w:rsidRDefault="0011262F" w:rsidP="00B54007">
                  <w:pPr>
                    <w:pStyle w:val="TableBodyText"/>
                    <w:jc w:val="left"/>
                    <w:rPr>
                      <w:b/>
                    </w:rPr>
                  </w:pPr>
                  <w:r w:rsidRPr="0099011F">
                    <w:rPr>
                      <w:b/>
                    </w:rPr>
                    <w:t>Investment</w:t>
                  </w:r>
                </w:p>
              </w:tc>
              <w:tc>
                <w:tcPr>
                  <w:tcW w:w="632" w:type="pct"/>
                  <w:tcBorders>
                    <w:top w:val="single" w:sz="6" w:space="0" w:color="BFBFBF" w:themeColor="background1" w:themeShade="BF"/>
                  </w:tcBorders>
                  <w:shd w:val="clear" w:color="auto" w:fill="BFBFBF" w:themeFill="background1" w:themeFillShade="BF"/>
                </w:tcPr>
                <w:p w14:paraId="6749E229" w14:textId="77777777" w:rsidR="0011262F" w:rsidRDefault="0011262F" w:rsidP="00B54007">
                  <w:pPr>
                    <w:pStyle w:val="TableBodyText"/>
                  </w:pPr>
                </w:p>
              </w:tc>
              <w:tc>
                <w:tcPr>
                  <w:tcW w:w="632" w:type="pct"/>
                  <w:tcBorders>
                    <w:top w:val="single" w:sz="6" w:space="0" w:color="BFBFBF" w:themeColor="background1" w:themeShade="BF"/>
                  </w:tcBorders>
                  <w:shd w:val="clear" w:color="auto" w:fill="BFBFBF" w:themeFill="background1" w:themeFillShade="BF"/>
                </w:tcPr>
                <w:p w14:paraId="18763236" w14:textId="77777777" w:rsidR="0011262F" w:rsidRDefault="0011262F" w:rsidP="00B54007">
                  <w:pPr>
                    <w:pStyle w:val="TableBodyText"/>
                  </w:pPr>
                </w:p>
              </w:tc>
              <w:tc>
                <w:tcPr>
                  <w:tcW w:w="632" w:type="pct"/>
                  <w:tcBorders>
                    <w:top w:val="single" w:sz="6" w:space="0" w:color="BFBFBF" w:themeColor="background1" w:themeShade="BF"/>
                  </w:tcBorders>
                  <w:shd w:val="clear" w:color="auto" w:fill="BFBFBF" w:themeFill="background1" w:themeFillShade="BF"/>
                </w:tcPr>
                <w:p w14:paraId="09710A00" w14:textId="77777777" w:rsidR="0011262F" w:rsidRDefault="0011262F" w:rsidP="00B54007">
                  <w:pPr>
                    <w:pStyle w:val="TableBodyText"/>
                    <w:ind w:right="28"/>
                  </w:pPr>
                </w:p>
              </w:tc>
              <w:tc>
                <w:tcPr>
                  <w:tcW w:w="632" w:type="pct"/>
                  <w:tcBorders>
                    <w:top w:val="single" w:sz="6" w:space="0" w:color="BFBFBF" w:themeColor="background1" w:themeShade="BF"/>
                  </w:tcBorders>
                  <w:shd w:val="clear" w:color="auto" w:fill="BFBFBF" w:themeFill="background1" w:themeFillShade="BF"/>
                </w:tcPr>
                <w:p w14:paraId="5099674F" w14:textId="77777777" w:rsidR="0011262F" w:rsidRDefault="0011262F" w:rsidP="00B54007">
                  <w:pPr>
                    <w:pStyle w:val="TableBodyText"/>
                    <w:ind w:right="28"/>
                  </w:pPr>
                </w:p>
              </w:tc>
              <w:tc>
                <w:tcPr>
                  <w:tcW w:w="630" w:type="pct"/>
                  <w:tcBorders>
                    <w:top w:val="single" w:sz="6" w:space="0" w:color="BFBFBF" w:themeColor="background1" w:themeShade="BF"/>
                  </w:tcBorders>
                  <w:shd w:val="clear" w:color="auto" w:fill="BFBFBF" w:themeFill="background1" w:themeFillShade="BF"/>
                </w:tcPr>
                <w:p w14:paraId="281D1C37" w14:textId="77777777" w:rsidR="0011262F" w:rsidRDefault="0011262F" w:rsidP="00B54007">
                  <w:pPr>
                    <w:pStyle w:val="TableBodyText"/>
                    <w:ind w:right="28"/>
                  </w:pPr>
                </w:p>
              </w:tc>
            </w:tr>
            <w:tr w:rsidR="0011262F" w14:paraId="4FCDCB5B" w14:textId="77777777" w:rsidTr="00B54007">
              <w:tc>
                <w:tcPr>
                  <w:tcW w:w="1842" w:type="pct"/>
                  <w:shd w:val="clear" w:color="auto" w:fill="auto"/>
                  <w:vAlign w:val="bottom"/>
                </w:tcPr>
                <w:p w14:paraId="7073C73D" w14:textId="77777777" w:rsidR="0011262F" w:rsidRDefault="0011262F" w:rsidP="00B54007">
                  <w:pPr>
                    <w:pStyle w:val="TableBodyText"/>
                    <w:jc w:val="left"/>
                  </w:pPr>
                  <w:r w:rsidRPr="00C358C1">
                    <w:t>Assets</w:t>
                  </w:r>
                </w:p>
              </w:tc>
              <w:tc>
                <w:tcPr>
                  <w:tcW w:w="632" w:type="pct"/>
                </w:tcPr>
                <w:p w14:paraId="24AF6746" w14:textId="77777777" w:rsidR="0011262F" w:rsidRDefault="0011262F" w:rsidP="00B54007">
                  <w:pPr>
                    <w:pStyle w:val="TableBodyText"/>
                    <w:ind w:right="28"/>
                  </w:pPr>
                  <w:r w:rsidRPr="00677285">
                    <w:t>0.714</w:t>
                  </w:r>
                </w:p>
              </w:tc>
              <w:tc>
                <w:tcPr>
                  <w:tcW w:w="632" w:type="pct"/>
                  <w:shd w:val="clear" w:color="auto" w:fill="auto"/>
                </w:tcPr>
                <w:p w14:paraId="7819A27F" w14:textId="77777777" w:rsidR="0011262F" w:rsidRDefault="0011262F" w:rsidP="00B54007">
                  <w:pPr>
                    <w:pStyle w:val="TableBodyText"/>
                    <w:ind w:right="28"/>
                  </w:pPr>
                  <w:r w:rsidRPr="00677285">
                    <w:t>0.043</w:t>
                  </w:r>
                </w:p>
              </w:tc>
              <w:tc>
                <w:tcPr>
                  <w:tcW w:w="632" w:type="pct"/>
                  <w:shd w:val="clear" w:color="auto" w:fill="auto"/>
                </w:tcPr>
                <w:p w14:paraId="0A7BD993" w14:textId="77777777" w:rsidR="0011262F" w:rsidRDefault="0011262F" w:rsidP="00B54007">
                  <w:pPr>
                    <w:pStyle w:val="TableBodyText"/>
                    <w:ind w:right="28"/>
                  </w:pPr>
                  <w:r w:rsidRPr="00677285">
                    <w:t>0.628</w:t>
                  </w:r>
                </w:p>
              </w:tc>
              <w:tc>
                <w:tcPr>
                  <w:tcW w:w="632" w:type="pct"/>
                </w:tcPr>
                <w:p w14:paraId="4C56A48F" w14:textId="77777777" w:rsidR="0011262F" w:rsidRDefault="0011262F" w:rsidP="00B54007">
                  <w:pPr>
                    <w:pStyle w:val="TableBodyText"/>
                    <w:ind w:right="28"/>
                  </w:pPr>
                  <w:r w:rsidRPr="00677285">
                    <w:t>0.716</w:t>
                  </w:r>
                </w:p>
              </w:tc>
              <w:tc>
                <w:tcPr>
                  <w:tcW w:w="630" w:type="pct"/>
                </w:tcPr>
                <w:p w14:paraId="32F3D8B8" w14:textId="77777777" w:rsidR="0011262F" w:rsidRDefault="0011262F" w:rsidP="00B54007">
                  <w:pPr>
                    <w:pStyle w:val="TableBodyText"/>
                  </w:pPr>
                  <w:r w:rsidRPr="00677285">
                    <w:t>0.798</w:t>
                  </w:r>
                </w:p>
              </w:tc>
            </w:tr>
            <w:tr w:rsidR="0011262F" w14:paraId="39CC4129" w14:textId="77777777" w:rsidTr="00B54007">
              <w:tc>
                <w:tcPr>
                  <w:tcW w:w="1842" w:type="pct"/>
                  <w:shd w:val="clear" w:color="auto" w:fill="F2F2F2" w:themeFill="background1" w:themeFillShade="F2"/>
                  <w:vAlign w:val="bottom"/>
                </w:tcPr>
                <w:p w14:paraId="24FF4AF6" w14:textId="77777777" w:rsidR="0011262F" w:rsidRDefault="0011262F" w:rsidP="00B54007">
                  <w:pPr>
                    <w:pStyle w:val="TableBodyText"/>
                    <w:jc w:val="left"/>
                  </w:pPr>
                  <w:r w:rsidRPr="00C358C1">
                    <w:t>Number of investment options</w:t>
                  </w:r>
                </w:p>
              </w:tc>
              <w:tc>
                <w:tcPr>
                  <w:tcW w:w="632" w:type="pct"/>
                  <w:shd w:val="clear" w:color="auto" w:fill="F2F2F2" w:themeFill="background1" w:themeFillShade="F2"/>
                </w:tcPr>
                <w:p w14:paraId="70EB7E3B" w14:textId="77777777" w:rsidR="0011262F" w:rsidRDefault="0011262F" w:rsidP="00B54007">
                  <w:pPr>
                    <w:pStyle w:val="TableBodyText"/>
                    <w:ind w:right="28"/>
                  </w:pPr>
                  <w:r w:rsidRPr="00677285">
                    <w:t>-0.019</w:t>
                  </w:r>
                </w:p>
              </w:tc>
              <w:tc>
                <w:tcPr>
                  <w:tcW w:w="632" w:type="pct"/>
                  <w:shd w:val="clear" w:color="auto" w:fill="F2F2F2" w:themeFill="background1" w:themeFillShade="F2"/>
                </w:tcPr>
                <w:p w14:paraId="1556867C" w14:textId="77777777" w:rsidR="0011262F" w:rsidRDefault="0011262F" w:rsidP="00B54007">
                  <w:pPr>
                    <w:pStyle w:val="TableBodyText"/>
                    <w:ind w:right="28"/>
                  </w:pPr>
                  <w:r w:rsidRPr="00677285">
                    <w:t>0.020</w:t>
                  </w:r>
                </w:p>
              </w:tc>
              <w:tc>
                <w:tcPr>
                  <w:tcW w:w="632" w:type="pct"/>
                  <w:shd w:val="clear" w:color="auto" w:fill="F2F2F2" w:themeFill="background1" w:themeFillShade="F2"/>
                </w:tcPr>
                <w:p w14:paraId="33721000" w14:textId="77777777" w:rsidR="0011262F" w:rsidRDefault="0011262F" w:rsidP="00B54007">
                  <w:pPr>
                    <w:pStyle w:val="TableBodyText"/>
                    <w:ind w:right="28"/>
                  </w:pPr>
                  <w:r w:rsidRPr="00677285">
                    <w:t>-0.060</w:t>
                  </w:r>
                </w:p>
              </w:tc>
              <w:tc>
                <w:tcPr>
                  <w:tcW w:w="632" w:type="pct"/>
                  <w:shd w:val="clear" w:color="auto" w:fill="F2F2F2" w:themeFill="background1" w:themeFillShade="F2"/>
                </w:tcPr>
                <w:p w14:paraId="39DC9862" w14:textId="77777777" w:rsidR="0011262F" w:rsidRDefault="0011262F" w:rsidP="00B54007">
                  <w:pPr>
                    <w:pStyle w:val="TableBodyText"/>
                    <w:ind w:right="28"/>
                  </w:pPr>
                  <w:r w:rsidRPr="00677285">
                    <w:t>-0.018</w:t>
                  </w:r>
                </w:p>
              </w:tc>
              <w:tc>
                <w:tcPr>
                  <w:tcW w:w="630" w:type="pct"/>
                  <w:shd w:val="clear" w:color="auto" w:fill="F2F2F2" w:themeFill="background1" w:themeFillShade="F2"/>
                </w:tcPr>
                <w:p w14:paraId="5ECEACE9" w14:textId="77777777" w:rsidR="0011262F" w:rsidRDefault="0011262F" w:rsidP="00B54007">
                  <w:pPr>
                    <w:pStyle w:val="TableBodyText"/>
                  </w:pPr>
                  <w:r w:rsidRPr="00677285">
                    <w:t>0.018</w:t>
                  </w:r>
                </w:p>
              </w:tc>
            </w:tr>
            <w:tr w:rsidR="0011262F" w14:paraId="6DB2CED3" w14:textId="77777777" w:rsidTr="00B54007">
              <w:tc>
                <w:tcPr>
                  <w:tcW w:w="1842" w:type="pct"/>
                  <w:shd w:val="clear" w:color="auto" w:fill="auto"/>
                  <w:vAlign w:val="bottom"/>
                </w:tcPr>
                <w:p w14:paraId="6BEC858D" w14:textId="77777777" w:rsidR="0011262F" w:rsidRDefault="0011262F" w:rsidP="00B54007">
                  <w:pPr>
                    <w:pStyle w:val="TableBodyText"/>
                    <w:jc w:val="left"/>
                  </w:pPr>
                  <w:r w:rsidRPr="00C358C1">
                    <w:t>Net contributions</w:t>
                  </w:r>
                </w:p>
              </w:tc>
              <w:tc>
                <w:tcPr>
                  <w:tcW w:w="632" w:type="pct"/>
                </w:tcPr>
                <w:p w14:paraId="6BCC733F" w14:textId="77777777" w:rsidR="0011262F" w:rsidRDefault="0011262F" w:rsidP="00B54007">
                  <w:pPr>
                    <w:pStyle w:val="TableBodyText"/>
                    <w:ind w:right="28"/>
                  </w:pPr>
                  <w:r w:rsidRPr="00677285">
                    <w:t>-0.013</w:t>
                  </w:r>
                </w:p>
              </w:tc>
              <w:tc>
                <w:tcPr>
                  <w:tcW w:w="632" w:type="pct"/>
                  <w:shd w:val="clear" w:color="auto" w:fill="auto"/>
                </w:tcPr>
                <w:p w14:paraId="1D6E3000" w14:textId="77777777" w:rsidR="0011262F" w:rsidRDefault="0011262F" w:rsidP="00B54007">
                  <w:pPr>
                    <w:pStyle w:val="TableBodyText"/>
                    <w:ind w:right="28"/>
                  </w:pPr>
                  <w:r w:rsidRPr="00677285">
                    <w:t>0.014</w:t>
                  </w:r>
                </w:p>
              </w:tc>
              <w:tc>
                <w:tcPr>
                  <w:tcW w:w="632" w:type="pct"/>
                  <w:shd w:val="clear" w:color="auto" w:fill="auto"/>
                </w:tcPr>
                <w:p w14:paraId="27342A12" w14:textId="77777777" w:rsidR="0011262F" w:rsidRDefault="0011262F" w:rsidP="00B54007">
                  <w:pPr>
                    <w:pStyle w:val="TableBodyText"/>
                    <w:ind w:right="28"/>
                  </w:pPr>
                  <w:r w:rsidRPr="00677285">
                    <w:t>-0.041</w:t>
                  </w:r>
                </w:p>
              </w:tc>
              <w:tc>
                <w:tcPr>
                  <w:tcW w:w="632" w:type="pct"/>
                </w:tcPr>
                <w:p w14:paraId="173EC59D" w14:textId="77777777" w:rsidR="0011262F" w:rsidRDefault="0011262F" w:rsidP="00B54007">
                  <w:pPr>
                    <w:pStyle w:val="TableBodyText"/>
                    <w:ind w:right="28"/>
                  </w:pPr>
                  <w:r w:rsidRPr="00677285">
                    <w:t>-0.013</w:t>
                  </w:r>
                </w:p>
              </w:tc>
              <w:tc>
                <w:tcPr>
                  <w:tcW w:w="630" w:type="pct"/>
                </w:tcPr>
                <w:p w14:paraId="5E2FE00A" w14:textId="77777777" w:rsidR="0011262F" w:rsidRDefault="0011262F" w:rsidP="00B54007">
                  <w:pPr>
                    <w:pStyle w:val="TableBodyText"/>
                  </w:pPr>
                  <w:r w:rsidRPr="00677285">
                    <w:t>0.015</w:t>
                  </w:r>
                </w:p>
              </w:tc>
            </w:tr>
            <w:tr w:rsidR="0011262F" w14:paraId="011CA8E6" w14:textId="77777777" w:rsidTr="00B54007">
              <w:tc>
                <w:tcPr>
                  <w:tcW w:w="1842" w:type="pct"/>
                  <w:shd w:val="clear" w:color="auto" w:fill="F2F2F2" w:themeFill="background1" w:themeFillShade="F2"/>
                  <w:vAlign w:val="bottom"/>
                </w:tcPr>
                <w:p w14:paraId="7FB563C4" w14:textId="77777777" w:rsidR="0011262F" w:rsidRDefault="0011262F" w:rsidP="00B54007">
                  <w:pPr>
                    <w:pStyle w:val="TableBodyText"/>
                    <w:jc w:val="left"/>
                  </w:pPr>
                  <w:r w:rsidRPr="00C358C1">
                    <w:t>Net rollovers</w:t>
                  </w:r>
                </w:p>
              </w:tc>
              <w:tc>
                <w:tcPr>
                  <w:tcW w:w="632" w:type="pct"/>
                  <w:shd w:val="clear" w:color="auto" w:fill="F2F2F2" w:themeFill="background1" w:themeFillShade="F2"/>
                </w:tcPr>
                <w:p w14:paraId="6CC164CA" w14:textId="77777777" w:rsidR="0011262F" w:rsidRDefault="0011262F" w:rsidP="00B54007">
                  <w:pPr>
                    <w:pStyle w:val="TableBodyText"/>
                    <w:ind w:right="28"/>
                  </w:pPr>
                  <w:r w:rsidRPr="00677285">
                    <w:t>-0.013</w:t>
                  </w:r>
                </w:p>
              </w:tc>
              <w:tc>
                <w:tcPr>
                  <w:tcW w:w="632" w:type="pct"/>
                  <w:shd w:val="clear" w:color="auto" w:fill="F2F2F2" w:themeFill="background1" w:themeFillShade="F2"/>
                </w:tcPr>
                <w:p w14:paraId="52448CB2" w14:textId="77777777" w:rsidR="0011262F" w:rsidRDefault="0011262F" w:rsidP="00B54007">
                  <w:pPr>
                    <w:pStyle w:val="TableBodyText"/>
                    <w:ind w:right="28"/>
                  </w:pPr>
                  <w:r w:rsidRPr="00677285">
                    <w:t>0.008</w:t>
                  </w:r>
                </w:p>
              </w:tc>
              <w:tc>
                <w:tcPr>
                  <w:tcW w:w="632" w:type="pct"/>
                  <w:shd w:val="clear" w:color="auto" w:fill="F2F2F2" w:themeFill="background1" w:themeFillShade="F2"/>
                </w:tcPr>
                <w:p w14:paraId="2AD6777C" w14:textId="77777777" w:rsidR="0011262F" w:rsidRDefault="0011262F" w:rsidP="00B54007">
                  <w:pPr>
                    <w:pStyle w:val="TableBodyText"/>
                    <w:ind w:right="28"/>
                  </w:pPr>
                  <w:r w:rsidRPr="00677285">
                    <w:t>-0.030</w:t>
                  </w:r>
                </w:p>
              </w:tc>
              <w:tc>
                <w:tcPr>
                  <w:tcW w:w="632" w:type="pct"/>
                  <w:shd w:val="clear" w:color="auto" w:fill="F2F2F2" w:themeFill="background1" w:themeFillShade="F2"/>
                </w:tcPr>
                <w:p w14:paraId="00B29C54" w14:textId="77777777" w:rsidR="0011262F" w:rsidRDefault="0011262F" w:rsidP="00B54007">
                  <w:pPr>
                    <w:pStyle w:val="TableBodyText"/>
                    <w:ind w:right="28"/>
                  </w:pPr>
                  <w:r w:rsidRPr="00677285">
                    <w:t>-0.014</w:t>
                  </w:r>
                </w:p>
              </w:tc>
              <w:tc>
                <w:tcPr>
                  <w:tcW w:w="630" w:type="pct"/>
                  <w:shd w:val="clear" w:color="auto" w:fill="F2F2F2" w:themeFill="background1" w:themeFillShade="F2"/>
                </w:tcPr>
                <w:p w14:paraId="5F23F28B" w14:textId="77777777" w:rsidR="0011262F" w:rsidRDefault="0011262F" w:rsidP="00B54007">
                  <w:pPr>
                    <w:pStyle w:val="TableBodyText"/>
                  </w:pPr>
                  <w:r w:rsidRPr="00677285">
                    <w:t>0.004</w:t>
                  </w:r>
                </w:p>
              </w:tc>
            </w:tr>
            <w:tr w:rsidR="0011262F" w14:paraId="075B2490" w14:textId="77777777" w:rsidTr="00B54007">
              <w:tc>
                <w:tcPr>
                  <w:tcW w:w="1842" w:type="pct"/>
                  <w:shd w:val="clear" w:color="auto" w:fill="auto"/>
                  <w:vAlign w:val="bottom"/>
                </w:tcPr>
                <w:p w14:paraId="43883BCC" w14:textId="77777777" w:rsidR="0011262F" w:rsidRDefault="0011262F" w:rsidP="00B54007">
                  <w:pPr>
                    <w:pStyle w:val="TableBodyText"/>
                    <w:jc w:val="left"/>
                  </w:pPr>
                  <w:r w:rsidRPr="00C358C1">
                    <w:t>Industry</w:t>
                  </w:r>
                </w:p>
              </w:tc>
              <w:tc>
                <w:tcPr>
                  <w:tcW w:w="632" w:type="pct"/>
                </w:tcPr>
                <w:p w14:paraId="5C6ADC72" w14:textId="77777777" w:rsidR="0011262F" w:rsidRDefault="0011262F" w:rsidP="00B54007">
                  <w:pPr>
                    <w:pStyle w:val="TableBodyText"/>
                    <w:ind w:right="28"/>
                  </w:pPr>
                  <w:r w:rsidRPr="00677285">
                    <w:t>-0.881</w:t>
                  </w:r>
                </w:p>
              </w:tc>
              <w:tc>
                <w:tcPr>
                  <w:tcW w:w="632" w:type="pct"/>
                  <w:shd w:val="clear" w:color="auto" w:fill="auto"/>
                </w:tcPr>
                <w:p w14:paraId="0A97F6D5" w14:textId="77777777" w:rsidR="0011262F" w:rsidRDefault="0011262F" w:rsidP="00B54007">
                  <w:pPr>
                    <w:pStyle w:val="TableBodyText"/>
                    <w:ind w:right="28"/>
                  </w:pPr>
                  <w:r w:rsidRPr="00677285">
                    <w:t>0.317</w:t>
                  </w:r>
                </w:p>
              </w:tc>
              <w:tc>
                <w:tcPr>
                  <w:tcW w:w="632" w:type="pct"/>
                  <w:shd w:val="clear" w:color="auto" w:fill="auto"/>
                </w:tcPr>
                <w:p w14:paraId="02E4EEB2" w14:textId="77777777" w:rsidR="0011262F" w:rsidRDefault="0011262F" w:rsidP="00B54007">
                  <w:pPr>
                    <w:pStyle w:val="TableBodyText"/>
                    <w:ind w:right="28"/>
                  </w:pPr>
                  <w:r w:rsidRPr="00677285">
                    <w:t>-1.496</w:t>
                  </w:r>
                </w:p>
              </w:tc>
              <w:tc>
                <w:tcPr>
                  <w:tcW w:w="632" w:type="pct"/>
                </w:tcPr>
                <w:p w14:paraId="23A5E7AD" w14:textId="77777777" w:rsidR="0011262F" w:rsidRDefault="0011262F" w:rsidP="00B54007">
                  <w:pPr>
                    <w:pStyle w:val="TableBodyText"/>
                    <w:ind w:right="28"/>
                  </w:pPr>
                  <w:r w:rsidRPr="00677285">
                    <w:t>-0.872</w:t>
                  </w:r>
                </w:p>
              </w:tc>
              <w:tc>
                <w:tcPr>
                  <w:tcW w:w="630" w:type="pct"/>
                </w:tcPr>
                <w:p w14:paraId="2EB5967E" w14:textId="77777777" w:rsidR="0011262F" w:rsidRDefault="0011262F" w:rsidP="00B54007">
                  <w:pPr>
                    <w:pStyle w:val="TableBodyText"/>
                  </w:pPr>
                  <w:r w:rsidRPr="00677285">
                    <w:t>-0.294</w:t>
                  </w:r>
                </w:p>
              </w:tc>
            </w:tr>
            <w:tr w:rsidR="0011262F" w14:paraId="1C1144FD" w14:textId="77777777" w:rsidTr="00B54007">
              <w:tc>
                <w:tcPr>
                  <w:tcW w:w="1842" w:type="pct"/>
                  <w:shd w:val="clear" w:color="auto" w:fill="F2F2F2" w:themeFill="background1" w:themeFillShade="F2"/>
                  <w:vAlign w:val="bottom"/>
                </w:tcPr>
                <w:p w14:paraId="4E96520C" w14:textId="77777777" w:rsidR="0011262F" w:rsidRDefault="0011262F" w:rsidP="00B54007">
                  <w:pPr>
                    <w:pStyle w:val="TableBodyText"/>
                    <w:jc w:val="left"/>
                  </w:pPr>
                  <w:r w:rsidRPr="00C358C1">
                    <w:t>Public</w:t>
                  </w:r>
                </w:p>
              </w:tc>
              <w:tc>
                <w:tcPr>
                  <w:tcW w:w="632" w:type="pct"/>
                  <w:shd w:val="clear" w:color="auto" w:fill="F2F2F2" w:themeFill="background1" w:themeFillShade="F2"/>
                </w:tcPr>
                <w:p w14:paraId="77D676DD" w14:textId="77777777" w:rsidR="0011262F" w:rsidRDefault="0011262F" w:rsidP="00B54007">
                  <w:pPr>
                    <w:pStyle w:val="TableBodyText"/>
                    <w:ind w:right="28"/>
                  </w:pPr>
                  <w:r w:rsidRPr="00677285">
                    <w:t>1.078</w:t>
                  </w:r>
                </w:p>
              </w:tc>
              <w:tc>
                <w:tcPr>
                  <w:tcW w:w="632" w:type="pct"/>
                  <w:shd w:val="clear" w:color="auto" w:fill="F2F2F2" w:themeFill="background1" w:themeFillShade="F2"/>
                </w:tcPr>
                <w:p w14:paraId="799AFAB0" w14:textId="77777777" w:rsidR="0011262F" w:rsidRDefault="0011262F" w:rsidP="00B54007">
                  <w:pPr>
                    <w:pStyle w:val="TableBodyText"/>
                    <w:ind w:right="28"/>
                  </w:pPr>
                  <w:r w:rsidRPr="00677285">
                    <w:t>0.411</w:t>
                  </w:r>
                </w:p>
              </w:tc>
              <w:tc>
                <w:tcPr>
                  <w:tcW w:w="632" w:type="pct"/>
                  <w:shd w:val="clear" w:color="auto" w:fill="F2F2F2" w:themeFill="background1" w:themeFillShade="F2"/>
                </w:tcPr>
                <w:p w14:paraId="49901C43" w14:textId="77777777" w:rsidR="0011262F" w:rsidRDefault="0011262F" w:rsidP="00B54007">
                  <w:pPr>
                    <w:pStyle w:val="TableBodyText"/>
                    <w:ind w:right="28"/>
                  </w:pPr>
                  <w:r w:rsidRPr="00677285">
                    <w:t>0.347</w:t>
                  </w:r>
                </w:p>
              </w:tc>
              <w:tc>
                <w:tcPr>
                  <w:tcW w:w="632" w:type="pct"/>
                  <w:shd w:val="clear" w:color="auto" w:fill="F2F2F2" w:themeFill="background1" w:themeFillShade="F2"/>
                </w:tcPr>
                <w:p w14:paraId="38990697" w14:textId="77777777" w:rsidR="0011262F" w:rsidRDefault="0011262F" w:rsidP="00B54007">
                  <w:pPr>
                    <w:pStyle w:val="TableBodyText"/>
                    <w:ind w:right="28"/>
                  </w:pPr>
                  <w:r w:rsidRPr="00677285">
                    <w:t>1.076</w:t>
                  </w:r>
                </w:p>
              </w:tc>
              <w:tc>
                <w:tcPr>
                  <w:tcW w:w="630" w:type="pct"/>
                  <w:shd w:val="clear" w:color="auto" w:fill="F2F2F2" w:themeFill="background1" w:themeFillShade="F2"/>
                </w:tcPr>
                <w:p w14:paraId="619E96EF" w14:textId="77777777" w:rsidR="0011262F" w:rsidRDefault="0011262F" w:rsidP="00B54007">
                  <w:pPr>
                    <w:pStyle w:val="TableBodyText"/>
                  </w:pPr>
                  <w:r w:rsidRPr="00677285">
                    <w:t>1.875</w:t>
                  </w:r>
                </w:p>
              </w:tc>
            </w:tr>
            <w:tr w:rsidR="0011262F" w14:paraId="570A4E48" w14:textId="77777777" w:rsidTr="00B54007">
              <w:tc>
                <w:tcPr>
                  <w:tcW w:w="1842" w:type="pct"/>
                  <w:shd w:val="clear" w:color="auto" w:fill="auto"/>
                  <w:vAlign w:val="bottom"/>
                </w:tcPr>
                <w:p w14:paraId="5D90628B" w14:textId="77777777" w:rsidR="0011262F" w:rsidRDefault="0011262F" w:rsidP="00B54007">
                  <w:pPr>
                    <w:pStyle w:val="TableBodyText"/>
                    <w:jc w:val="left"/>
                  </w:pPr>
                  <w:r w:rsidRPr="00C358C1">
                    <w:t>Retail</w:t>
                  </w:r>
                </w:p>
              </w:tc>
              <w:tc>
                <w:tcPr>
                  <w:tcW w:w="632" w:type="pct"/>
                </w:tcPr>
                <w:p w14:paraId="07215706" w14:textId="77777777" w:rsidR="0011262F" w:rsidRDefault="0011262F" w:rsidP="00B54007">
                  <w:pPr>
                    <w:pStyle w:val="TableBodyText"/>
                    <w:ind w:right="28"/>
                  </w:pPr>
                  <w:r w:rsidRPr="00677285">
                    <w:t>0.616</w:t>
                  </w:r>
                </w:p>
              </w:tc>
              <w:tc>
                <w:tcPr>
                  <w:tcW w:w="632" w:type="pct"/>
                  <w:shd w:val="clear" w:color="auto" w:fill="auto"/>
                </w:tcPr>
                <w:p w14:paraId="25144391" w14:textId="77777777" w:rsidR="0011262F" w:rsidRDefault="0011262F" w:rsidP="00B54007">
                  <w:pPr>
                    <w:pStyle w:val="TableBodyText"/>
                    <w:ind w:right="28"/>
                  </w:pPr>
                  <w:r w:rsidRPr="00677285">
                    <w:t>0.196</w:t>
                  </w:r>
                </w:p>
              </w:tc>
              <w:tc>
                <w:tcPr>
                  <w:tcW w:w="632" w:type="pct"/>
                  <w:shd w:val="clear" w:color="auto" w:fill="auto"/>
                </w:tcPr>
                <w:p w14:paraId="1570E8F8" w14:textId="77777777" w:rsidR="0011262F" w:rsidRDefault="0011262F" w:rsidP="00B54007">
                  <w:pPr>
                    <w:pStyle w:val="TableBodyText"/>
                    <w:ind w:right="28"/>
                  </w:pPr>
                  <w:r w:rsidRPr="00677285">
                    <w:t>0.226</w:t>
                  </w:r>
                </w:p>
              </w:tc>
              <w:tc>
                <w:tcPr>
                  <w:tcW w:w="632" w:type="pct"/>
                </w:tcPr>
                <w:p w14:paraId="27A63D06" w14:textId="77777777" w:rsidR="0011262F" w:rsidRDefault="0011262F" w:rsidP="00B54007">
                  <w:pPr>
                    <w:pStyle w:val="TableBodyText"/>
                    <w:ind w:right="28"/>
                  </w:pPr>
                  <w:r w:rsidRPr="00677285">
                    <w:t>0.619</w:t>
                  </w:r>
                </w:p>
              </w:tc>
              <w:tc>
                <w:tcPr>
                  <w:tcW w:w="630" w:type="pct"/>
                </w:tcPr>
                <w:p w14:paraId="2F7FDB3C" w14:textId="77777777" w:rsidR="0011262F" w:rsidRDefault="0011262F" w:rsidP="00B54007">
                  <w:pPr>
                    <w:pStyle w:val="TableBodyText"/>
                  </w:pPr>
                  <w:r w:rsidRPr="00677285">
                    <w:t>0.993</w:t>
                  </w:r>
                </w:p>
              </w:tc>
            </w:tr>
            <w:tr w:rsidR="0011262F" w14:paraId="55105DC4" w14:textId="77777777" w:rsidTr="00B54007">
              <w:tc>
                <w:tcPr>
                  <w:tcW w:w="1842" w:type="pct"/>
                  <w:shd w:val="clear" w:color="auto" w:fill="F2F2F2" w:themeFill="background1" w:themeFillShade="F2"/>
                  <w:vAlign w:val="bottom"/>
                </w:tcPr>
                <w:p w14:paraId="416A16EB" w14:textId="77777777" w:rsidR="0011262F" w:rsidRDefault="0011262F" w:rsidP="00B54007">
                  <w:pPr>
                    <w:pStyle w:val="TableBodyText"/>
                    <w:jc w:val="left"/>
                  </w:pPr>
                  <w:proofErr w:type="spellStart"/>
                  <w:r w:rsidRPr="00C358C1">
                    <w:t>Aus</w:t>
                  </w:r>
                  <w:proofErr w:type="spellEnd"/>
                  <w:r w:rsidRPr="00C358C1">
                    <w:t xml:space="preserve"> fixed in</w:t>
                  </w:r>
                  <w:r>
                    <w:t>come</w:t>
                  </w:r>
                </w:p>
              </w:tc>
              <w:tc>
                <w:tcPr>
                  <w:tcW w:w="632" w:type="pct"/>
                  <w:shd w:val="clear" w:color="auto" w:fill="F2F2F2" w:themeFill="background1" w:themeFillShade="F2"/>
                </w:tcPr>
                <w:p w14:paraId="1DFE0B64" w14:textId="77777777" w:rsidR="0011262F" w:rsidRDefault="0011262F" w:rsidP="00B54007">
                  <w:pPr>
                    <w:pStyle w:val="TableBodyText"/>
                    <w:ind w:right="28"/>
                  </w:pPr>
                  <w:r w:rsidRPr="00677285">
                    <w:t>-0.019</w:t>
                  </w:r>
                </w:p>
              </w:tc>
              <w:tc>
                <w:tcPr>
                  <w:tcW w:w="632" w:type="pct"/>
                  <w:shd w:val="clear" w:color="auto" w:fill="F2F2F2" w:themeFill="background1" w:themeFillShade="F2"/>
                </w:tcPr>
                <w:p w14:paraId="3607C2E3" w14:textId="77777777" w:rsidR="0011262F" w:rsidRDefault="0011262F" w:rsidP="00B54007">
                  <w:pPr>
                    <w:pStyle w:val="TableBodyText"/>
                    <w:ind w:right="28"/>
                  </w:pPr>
                  <w:r w:rsidRPr="00677285">
                    <w:t>0.012</w:t>
                  </w:r>
                </w:p>
              </w:tc>
              <w:tc>
                <w:tcPr>
                  <w:tcW w:w="632" w:type="pct"/>
                  <w:shd w:val="clear" w:color="auto" w:fill="F2F2F2" w:themeFill="background1" w:themeFillShade="F2"/>
                </w:tcPr>
                <w:p w14:paraId="62CC43D9" w14:textId="77777777" w:rsidR="0011262F" w:rsidRDefault="0011262F" w:rsidP="00B54007">
                  <w:pPr>
                    <w:pStyle w:val="TableBodyText"/>
                    <w:ind w:right="28"/>
                  </w:pPr>
                  <w:r w:rsidRPr="00677285">
                    <w:t>-0.041</w:t>
                  </w:r>
                </w:p>
              </w:tc>
              <w:tc>
                <w:tcPr>
                  <w:tcW w:w="632" w:type="pct"/>
                  <w:shd w:val="clear" w:color="auto" w:fill="F2F2F2" w:themeFill="background1" w:themeFillShade="F2"/>
                </w:tcPr>
                <w:p w14:paraId="5153BD50" w14:textId="77777777" w:rsidR="0011262F" w:rsidRDefault="0011262F" w:rsidP="00B54007">
                  <w:pPr>
                    <w:pStyle w:val="TableBodyText"/>
                    <w:ind w:right="28"/>
                  </w:pPr>
                  <w:r w:rsidRPr="00677285">
                    <w:t>-0.019</w:t>
                  </w:r>
                </w:p>
              </w:tc>
              <w:tc>
                <w:tcPr>
                  <w:tcW w:w="630" w:type="pct"/>
                  <w:shd w:val="clear" w:color="auto" w:fill="F2F2F2" w:themeFill="background1" w:themeFillShade="F2"/>
                </w:tcPr>
                <w:p w14:paraId="14928BF8" w14:textId="77777777" w:rsidR="0011262F" w:rsidRDefault="0011262F" w:rsidP="00B54007">
                  <w:pPr>
                    <w:pStyle w:val="TableBodyText"/>
                  </w:pPr>
                  <w:r w:rsidRPr="00677285">
                    <w:t>0.006</w:t>
                  </w:r>
                </w:p>
              </w:tc>
            </w:tr>
            <w:tr w:rsidR="0011262F" w14:paraId="43747985" w14:textId="77777777" w:rsidTr="00B54007">
              <w:tc>
                <w:tcPr>
                  <w:tcW w:w="1842" w:type="pct"/>
                  <w:shd w:val="clear" w:color="auto" w:fill="auto"/>
                  <w:vAlign w:val="bottom"/>
                </w:tcPr>
                <w:p w14:paraId="6FEA1CA4" w14:textId="77777777" w:rsidR="0011262F" w:rsidRDefault="0011262F" w:rsidP="00B54007">
                  <w:pPr>
                    <w:pStyle w:val="TableBodyText"/>
                    <w:jc w:val="left"/>
                  </w:pPr>
                  <w:r w:rsidRPr="00C358C1">
                    <w:t>International fixed in</w:t>
                  </w:r>
                  <w:r>
                    <w:t>come</w:t>
                  </w:r>
                </w:p>
              </w:tc>
              <w:tc>
                <w:tcPr>
                  <w:tcW w:w="632" w:type="pct"/>
                </w:tcPr>
                <w:p w14:paraId="0359A3C3" w14:textId="77777777" w:rsidR="0011262F" w:rsidRDefault="0011262F" w:rsidP="00B54007">
                  <w:pPr>
                    <w:pStyle w:val="TableBodyText"/>
                    <w:ind w:right="28"/>
                  </w:pPr>
                  <w:r w:rsidRPr="00677285">
                    <w:t>-0.006</w:t>
                  </w:r>
                </w:p>
              </w:tc>
              <w:tc>
                <w:tcPr>
                  <w:tcW w:w="632" w:type="pct"/>
                  <w:shd w:val="clear" w:color="auto" w:fill="auto"/>
                </w:tcPr>
                <w:p w14:paraId="20EC1DC6" w14:textId="77777777" w:rsidR="0011262F" w:rsidRDefault="0011262F" w:rsidP="00B54007">
                  <w:pPr>
                    <w:pStyle w:val="TableBodyText"/>
                    <w:ind w:right="28"/>
                  </w:pPr>
                  <w:r w:rsidRPr="00677285">
                    <w:t>0.010</w:t>
                  </w:r>
                </w:p>
              </w:tc>
              <w:tc>
                <w:tcPr>
                  <w:tcW w:w="632" w:type="pct"/>
                  <w:shd w:val="clear" w:color="auto" w:fill="auto"/>
                </w:tcPr>
                <w:p w14:paraId="1D3EF5AC" w14:textId="77777777" w:rsidR="0011262F" w:rsidRDefault="0011262F" w:rsidP="00B54007">
                  <w:pPr>
                    <w:pStyle w:val="TableBodyText"/>
                    <w:ind w:right="28"/>
                  </w:pPr>
                  <w:r w:rsidRPr="00677285">
                    <w:t>-0.025</w:t>
                  </w:r>
                </w:p>
              </w:tc>
              <w:tc>
                <w:tcPr>
                  <w:tcW w:w="632" w:type="pct"/>
                </w:tcPr>
                <w:p w14:paraId="13637891" w14:textId="77777777" w:rsidR="0011262F" w:rsidRDefault="0011262F" w:rsidP="00B54007">
                  <w:pPr>
                    <w:pStyle w:val="TableBodyText"/>
                    <w:ind w:right="28"/>
                  </w:pPr>
                  <w:r w:rsidRPr="00677285">
                    <w:t>-0.006</w:t>
                  </w:r>
                </w:p>
              </w:tc>
              <w:tc>
                <w:tcPr>
                  <w:tcW w:w="630" w:type="pct"/>
                </w:tcPr>
                <w:p w14:paraId="6A15052D" w14:textId="77777777" w:rsidR="0011262F" w:rsidRDefault="0011262F" w:rsidP="00B54007">
                  <w:pPr>
                    <w:pStyle w:val="TableBodyText"/>
                  </w:pPr>
                  <w:r w:rsidRPr="00677285">
                    <w:t>0.013</w:t>
                  </w:r>
                </w:p>
              </w:tc>
            </w:tr>
            <w:tr w:rsidR="0011262F" w14:paraId="024BDF95" w14:textId="77777777" w:rsidTr="00B54007">
              <w:tc>
                <w:tcPr>
                  <w:tcW w:w="1842" w:type="pct"/>
                  <w:shd w:val="clear" w:color="auto" w:fill="F2F2F2" w:themeFill="background1" w:themeFillShade="F2"/>
                  <w:vAlign w:val="bottom"/>
                </w:tcPr>
                <w:p w14:paraId="6666CBEA" w14:textId="77777777" w:rsidR="0011262F" w:rsidRDefault="0011262F" w:rsidP="00B54007">
                  <w:pPr>
                    <w:pStyle w:val="TableBodyText"/>
                    <w:jc w:val="left"/>
                  </w:pPr>
                  <w:proofErr w:type="spellStart"/>
                  <w:r w:rsidRPr="00C358C1">
                    <w:t>Aus</w:t>
                  </w:r>
                  <w:proofErr w:type="spellEnd"/>
                  <w:r w:rsidRPr="00C358C1">
                    <w:t xml:space="preserve"> equity</w:t>
                  </w:r>
                </w:p>
              </w:tc>
              <w:tc>
                <w:tcPr>
                  <w:tcW w:w="632" w:type="pct"/>
                  <w:shd w:val="clear" w:color="auto" w:fill="F2F2F2" w:themeFill="background1" w:themeFillShade="F2"/>
                </w:tcPr>
                <w:p w14:paraId="10A9BFBB" w14:textId="77777777" w:rsidR="0011262F" w:rsidRDefault="0011262F" w:rsidP="00B54007">
                  <w:pPr>
                    <w:pStyle w:val="TableBodyText"/>
                    <w:ind w:right="28"/>
                  </w:pPr>
                  <w:r w:rsidRPr="00677285">
                    <w:t>0.010</w:t>
                  </w:r>
                </w:p>
              </w:tc>
              <w:tc>
                <w:tcPr>
                  <w:tcW w:w="632" w:type="pct"/>
                  <w:shd w:val="clear" w:color="auto" w:fill="F2F2F2" w:themeFill="background1" w:themeFillShade="F2"/>
                </w:tcPr>
                <w:p w14:paraId="5B2D15BD" w14:textId="77777777" w:rsidR="0011262F" w:rsidRDefault="0011262F" w:rsidP="00B54007">
                  <w:pPr>
                    <w:pStyle w:val="TableBodyText"/>
                    <w:ind w:right="28"/>
                  </w:pPr>
                  <w:r w:rsidRPr="00677285">
                    <w:t>0.013</w:t>
                  </w:r>
                </w:p>
              </w:tc>
              <w:tc>
                <w:tcPr>
                  <w:tcW w:w="632" w:type="pct"/>
                  <w:shd w:val="clear" w:color="auto" w:fill="F2F2F2" w:themeFill="background1" w:themeFillShade="F2"/>
                </w:tcPr>
                <w:p w14:paraId="6BA7E553" w14:textId="77777777" w:rsidR="0011262F" w:rsidRDefault="0011262F" w:rsidP="00B54007">
                  <w:pPr>
                    <w:pStyle w:val="TableBodyText"/>
                    <w:ind w:right="28"/>
                  </w:pPr>
                  <w:r w:rsidRPr="00677285">
                    <w:t>-0.014</w:t>
                  </w:r>
                </w:p>
              </w:tc>
              <w:tc>
                <w:tcPr>
                  <w:tcW w:w="632" w:type="pct"/>
                  <w:shd w:val="clear" w:color="auto" w:fill="F2F2F2" w:themeFill="background1" w:themeFillShade="F2"/>
                </w:tcPr>
                <w:p w14:paraId="2315900C" w14:textId="77777777" w:rsidR="0011262F" w:rsidRDefault="0011262F" w:rsidP="00B54007">
                  <w:pPr>
                    <w:pStyle w:val="TableBodyText"/>
                    <w:ind w:right="28"/>
                  </w:pPr>
                  <w:r w:rsidRPr="00677285">
                    <w:t>0.010</w:t>
                  </w:r>
                </w:p>
              </w:tc>
              <w:tc>
                <w:tcPr>
                  <w:tcW w:w="630" w:type="pct"/>
                  <w:shd w:val="clear" w:color="auto" w:fill="F2F2F2" w:themeFill="background1" w:themeFillShade="F2"/>
                </w:tcPr>
                <w:p w14:paraId="0D43EF9C" w14:textId="77777777" w:rsidR="0011262F" w:rsidRDefault="0011262F" w:rsidP="00B54007">
                  <w:pPr>
                    <w:pStyle w:val="TableBodyText"/>
                  </w:pPr>
                  <w:r w:rsidRPr="00677285">
                    <w:t>0.036</w:t>
                  </w:r>
                </w:p>
              </w:tc>
            </w:tr>
            <w:tr w:rsidR="0011262F" w14:paraId="7531EA91" w14:textId="77777777" w:rsidTr="00B54007">
              <w:tc>
                <w:tcPr>
                  <w:tcW w:w="1842" w:type="pct"/>
                  <w:shd w:val="clear" w:color="auto" w:fill="auto"/>
                  <w:vAlign w:val="bottom"/>
                </w:tcPr>
                <w:p w14:paraId="33CD1B8A" w14:textId="77777777" w:rsidR="0011262F" w:rsidRDefault="0011262F" w:rsidP="00B54007">
                  <w:pPr>
                    <w:pStyle w:val="TableBodyText"/>
                    <w:jc w:val="left"/>
                  </w:pPr>
                  <w:r w:rsidRPr="00C358C1">
                    <w:t>International equity</w:t>
                  </w:r>
                </w:p>
              </w:tc>
              <w:tc>
                <w:tcPr>
                  <w:tcW w:w="632" w:type="pct"/>
                </w:tcPr>
                <w:p w14:paraId="5EA650C1" w14:textId="77777777" w:rsidR="0011262F" w:rsidRDefault="0011262F" w:rsidP="00B54007">
                  <w:pPr>
                    <w:pStyle w:val="TableBodyText"/>
                    <w:ind w:right="28"/>
                  </w:pPr>
                  <w:r w:rsidRPr="00677285">
                    <w:t>-0.022</w:t>
                  </w:r>
                </w:p>
              </w:tc>
              <w:tc>
                <w:tcPr>
                  <w:tcW w:w="632" w:type="pct"/>
                  <w:shd w:val="clear" w:color="auto" w:fill="auto"/>
                </w:tcPr>
                <w:p w14:paraId="2D74E1DE" w14:textId="77777777" w:rsidR="0011262F" w:rsidRDefault="0011262F" w:rsidP="00B54007">
                  <w:pPr>
                    <w:pStyle w:val="TableBodyText"/>
                    <w:ind w:right="28"/>
                  </w:pPr>
                  <w:r w:rsidRPr="00677285">
                    <w:t>0.015</w:t>
                  </w:r>
                </w:p>
              </w:tc>
              <w:tc>
                <w:tcPr>
                  <w:tcW w:w="632" w:type="pct"/>
                  <w:shd w:val="clear" w:color="auto" w:fill="auto"/>
                </w:tcPr>
                <w:p w14:paraId="7809CEBF" w14:textId="77777777" w:rsidR="0011262F" w:rsidRDefault="0011262F" w:rsidP="00B54007">
                  <w:pPr>
                    <w:pStyle w:val="TableBodyText"/>
                    <w:ind w:right="28"/>
                  </w:pPr>
                  <w:r w:rsidRPr="00677285">
                    <w:t>-0.050</w:t>
                  </w:r>
                </w:p>
              </w:tc>
              <w:tc>
                <w:tcPr>
                  <w:tcW w:w="632" w:type="pct"/>
                </w:tcPr>
                <w:p w14:paraId="2B4D7212" w14:textId="77777777" w:rsidR="0011262F" w:rsidRDefault="0011262F" w:rsidP="00B54007">
                  <w:pPr>
                    <w:pStyle w:val="TableBodyText"/>
                    <w:ind w:right="28"/>
                  </w:pPr>
                  <w:r w:rsidRPr="00677285">
                    <w:t>-0.021</w:t>
                  </w:r>
                </w:p>
              </w:tc>
              <w:tc>
                <w:tcPr>
                  <w:tcW w:w="630" w:type="pct"/>
                </w:tcPr>
                <w:p w14:paraId="551DD99B" w14:textId="77777777" w:rsidR="0011262F" w:rsidRDefault="0011262F" w:rsidP="00B54007">
                  <w:pPr>
                    <w:pStyle w:val="TableBodyText"/>
                  </w:pPr>
                  <w:r w:rsidRPr="00677285">
                    <w:t>0.006</w:t>
                  </w:r>
                </w:p>
              </w:tc>
            </w:tr>
            <w:tr w:rsidR="0011262F" w14:paraId="618B1FF7" w14:textId="77777777" w:rsidTr="00B54007">
              <w:tc>
                <w:tcPr>
                  <w:tcW w:w="1842" w:type="pct"/>
                  <w:shd w:val="clear" w:color="auto" w:fill="F2F2F2" w:themeFill="background1" w:themeFillShade="F2"/>
                  <w:vAlign w:val="bottom"/>
                </w:tcPr>
                <w:p w14:paraId="1700C606" w14:textId="77777777" w:rsidR="0011262F" w:rsidRDefault="0011262F" w:rsidP="00B54007">
                  <w:pPr>
                    <w:pStyle w:val="TableBodyText"/>
                    <w:jc w:val="left"/>
                  </w:pPr>
                  <w:r w:rsidRPr="00C358C1">
                    <w:t>Listed Property</w:t>
                  </w:r>
                </w:p>
              </w:tc>
              <w:tc>
                <w:tcPr>
                  <w:tcW w:w="632" w:type="pct"/>
                  <w:shd w:val="clear" w:color="auto" w:fill="F2F2F2" w:themeFill="background1" w:themeFillShade="F2"/>
                </w:tcPr>
                <w:p w14:paraId="13B985B6" w14:textId="77777777" w:rsidR="0011262F" w:rsidRDefault="0011262F" w:rsidP="00B54007">
                  <w:pPr>
                    <w:pStyle w:val="TableBodyText"/>
                    <w:ind w:right="28"/>
                  </w:pPr>
                  <w:r w:rsidRPr="00677285">
                    <w:t>0.013</w:t>
                  </w:r>
                </w:p>
              </w:tc>
              <w:tc>
                <w:tcPr>
                  <w:tcW w:w="632" w:type="pct"/>
                  <w:shd w:val="clear" w:color="auto" w:fill="F2F2F2" w:themeFill="background1" w:themeFillShade="F2"/>
                </w:tcPr>
                <w:p w14:paraId="4F4B4D11" w14:textId="77777777" w:rsidR="0011262F" w:rsidRDefault="0011262F" w:rsidP="00B54007">
                  <w:pPr>
                    <w:pStyle w:val="TableBodyText"/>
                    <w:ind w:right="28"/>
                  </w:pPr>
                  <w:r w:rsidRPr="00677285">
                    <w:t>0.008</w:t>
                  </w:r>
                </w:p>
              </w:tc>
              <w:tc>
                <w:tcPr>
                  <w:tcW w:w="632" w:type="pct"/>
                  <w:shd w:val="clear" w:color="auto" w:fill="F2F2F2" w:themeFill="background1" w:themeFillShade="F2"/>
                </w:tcPr>
                <w:p w14:paraId="16D856A0" w14:textId="77777777" w:rsidR="0011262F" w:rsidRDefault="0011262F" w:rsidP="00B54007">
                  <w:pPr>
                    <w:pStyle w:val="TableBodyText"/>
                    <w:ind w:right="28"/>
                  </w:pPr>
                  <w:r w:rsidRPr="00677285">
                    <w:t>-0.003</w:t>
                  </w:r>
                </w:p>
              </w:tc>
              <w:tc>
                <w:tcPr>
                  <w:tcW w:w="632" w:type="pct"/>
                  <w:shd w:val="clear" w:color="auto" w:fill="F2F2F2" w:themeFill="background1" w:themeFillShade="F2"/>
                </w:tcPr>
                <w:p w14:paraId="047FFC9D" w14:textId="77777777" w:rsidR="0011262F" w:rsidRDefault="0011262F" w:rsidP="00B54007">
                  <w:pPr>
                    <w:pStyle w:val="TableBodyText"/>
                    <w:ind w:right="28"/>
                  </w:pPr>
                  <w:r w:rsidRPr="00677285">
                    <w:t>0.013</w:t>
                  </w:r>
                </w:p>
              </w:tc>
              <w:tc>
                <w:tcPr>
                  <w:tcW w:w="630" w:type="pct"/>
                  <w:shd w:val="clear" w:color="auto" w:fill="F2F2F2" w:themeFill="background1" w:themeFillShade="F2"/>
                </w:tcPr>
                <w:p w14:paraId="3D0AC743" w14:textId="77777777" w:rsidR="0011262F" w:rsidRDefault="0011262F" w:rsidP="00B54007">
                  <w:pPr>
                    <w:pStyle w:val="TableBodyText"/>
                  </w:pPr>
                  <w:r w:rsidRPr="00677285">
                    <w:t>0.028</w:t>
                  </w:r>
                </w:p>
              </w:tc>
            </w:tr>
            <w:tr w:rsidR="0011262F" w14:paraId="3D7C1ECA" w14:textId="77777777" w:rsidTr="00B54007">
              <w:tc>
                <w:tcPr>
                  <w:tcW w:w="1842" w:type="pct"/>
                  <w:shd w:val="clear" w:color="auto" w:fill="auto"/>
                  <w:vAlign w:val="bottom"/>
                </w:tcPr>
                <w:p w14:paraId="315643A3" w14:textId="77777777" w:rsidR="0011262F" w:rsidRDefault="0011262F" w:rsidP="00B54007">
                  <w:pPr>
                    <w:pStyle w:val="TableBodyText"/>
                    <w:jc w:val="left"/>
                  </w:pPr>
                  <w:r w:rsidRPr="00C358C1">
                    <w:t>Unlisted property</w:t>
                  </w:r>
                </w:p>
              </w:tc>
              <w:tc>
                <w:tcPr>
                  <w:tcW w:w="632" w:type="pct"/>
                </w:tcPr>
                <w:p w14:paraId="556D962F" w14:textId="77777777" w:rsidR="0011262F" w:rsidRDefault="0011262F" w:rsidP="00B54007">
                  <w:pPr>
                    <w:pStyle w:val="TableBodyText"/>
                    <w:ind w:right="28"/>
                  </w:pPr>
                  <w:r w:rsidRPr="00677285">
                    <w:t>0.053</w:t>
                  </w:r>
                </w:p>
              </w:tc>
              <w:tc>
                <w:tcPr>
                  <w:tcW w:w="632" w:type="pct"/>
                  <w:shd w:val="clear" w:color="auto" w:fill="auto"/>
                </w:tcPr>
                <w:p w14:paraId="68277E56" w14:textId="77777777" w:rsidR="0011262F" w:rsidRDefault="0011262F" w:rsidP="00B54007">
                  <w:pPr>
                    <w:pStyle w:val="TableBodyText"/>
                    <w:ind w:right="28"/>
                  </w:pPr>
                  <w:r w:rsidRPr="00677285">
                    <w:t>0.013</w:t>
                  </w:r>
                </w:p>
              </w:tc>
              <w:tc>
                <w:tcPr>
                  <w:tcW w:w="632" w:type="pct"/>
                  <w:shd w:val="clear" w:color="auto" w:fill="auto"/>
                </w:tcPr>
                <w:p w14:paraId="4E268D59" w14:textId="77777777" w:rsidR="0011262F" w:rsidRDefault="0011262F" w:rsidP="00B54007">
                  <w:pPr>
                    <w:pStyle w:val="TableBodyText"/>
                    <w:ind w:right="28"/>
                  </w:pPr>
                  <w:r w:rsidRPr="00677285">
                    <w:t>0.026</w:t>
                  </w:r>
                </w:p>
              </w:tc>
              <w:tc>
                <w:tcPr>
                  <w:tcW w:w="632" w:type="pct"/>
                </w:tcPr>
                <w:p w14:paraId="38095C95" w14:textId="77777777" w:rsidR="0011262F" w:rsidRDefault="0011262F" w:rsidP="00B54007">
                  <w:pPr>
                    <w:pStyle w:val="TableBodyText"/>
                    <w:ind w:right="28"/>
                  </w:pPr>
                  <w:r w:rsidRPr="00677285">
                    <w:t>0.053</w:t>
                  </w:r>
                </w:p>
              </w:tc>
              <w:tc>
                <w:tcPr>
                  <w:tcW w:w="630" w:type="pct"/>
                </w:tcPr>
                <w:p w14:paraId="5A31A462" w14:textId="77777777" w:rsidR="0011262F" w:rsidRDefault="0011262F" w:rsidP="00B54007">
                  <w:pPr>
                    <w:pStyle w:val="TableBodyText"/>
                  </w:pPr>
                  <w:r w:rsidRPr="00677285">
                    <w:t>0.077</w:t>
                  </w:r>
                </w:p>
              </w:tc>
            </w:tr>
            <w:tr w:rsidR="0011262F" w14:paraId="4ACE9F4A" w14:textId="77777777" w:rsidTr="00B54007">
              <w:tc>
                <w:tcPr>
                  <w:tcW w:w="1842" w:type="pct"/>
                  <w:shd w:val="clear" w:color="auto" w:fill="F2F2F2" w:themeFill="background1" w:themeFillShade="F2"/>
                  <w:vAlign w:val="bottom"/>
                </w:tcPr>
                <w:p w14:paraId="5DB60765" w14:textId="77777777" w:rsidR="0011262F" w:rsidRDefault="0011262F" w:rsidP="00B54007">
                  <w:pPr>
                    <w:pStyle w:val="TableBodyText"/>
                    <w:jc w:val="left"/>
                  </w:pPr>
                  <w:r w:rsidRPr="00C358C1">
                    <w:t>Other</w:t>
                  </w:r>
                </w:p>
              </w:tc>
              <w:tc>
                <w:tcPr>
                  <w:tcW w:w="632" w:type="pct"/>
                  <w:shd w:val="clear" w:color="auto" w:fill="F2F2F2" w:themeFill="background1" w:themeFillShade="F2"/>
                </w:tcPr>
                <w:p w14:paraId="2B4689A1" w14:textId="77777777" w:rsidR="0011262F" w:rsidRDefault="0011262F" w:rsidP="00B54007">
                  <w:pPr>
                    <w:pStyle w:val="TableBodyText"/>
                    <w:ind w:right="28"/>
                  </w:pPr>
                  <w:r w:rsidRPr="00677285">
                    <w:t>-0.064</w:t>
                  </w:r>
                </w:p>
              </w:tc>
              <w:tc>
                <w:tcPr>
                  <w:tcW w:w="632" w:type="pct"/>
                  <w:shd w:val="clear" w:color="auto" w:fill="F2F2F2" w:themeFill="background1" w:themeFillShade="F2"/>
                </w:tcPr>
                <w:p w14:paraId="4C1ABA75" w14:textId="77777777" w:rsidR="0011262F" w:rsidRDefault="0011262F" w:rsidP="00B54007">
                  <w:pPr>
                    <w:pStyle w:val="TableBodyText"/>
                    <w:ind w:right="28"/>
                  </w:pPr>
                  <w:r w:rsidRPr="00677285">
                    <w:t>0.082</w:t>
                  </w:r>
                </w:p>
              </w:tc>
              <w:tc>
                <w:tcPr>
                  <w:tcW w:w="632" w:type="pct"/>
                  <w:shd w:val="clear" w:color="auto" w:fill="F2F2F2" w:themeFill="background1" w:themeFillShade="F2"/>
                </w:tcPr>
                <w:p w14:paraId="386FF398" w14:textId="77777777" w:rsidR="0011262F" w:rsidRDefault="0011262F" w:rsidP="00B54007">
                  <w:pPr>
                    <w:pStyle w:val="TableBodyText"/>
                    <w:ind w:right="28"/>
                  </w:pPr>
                  <w:r w:rsidRPr="00677285">
                    <w:t>-0.224</w:t>
                  </w:r>
                </w:p>
              </w:tc>
              <w:tc>
                <w:tcPr>
                  <w:tcW w:w="632" w:type="pct"/>
                  <w:shd w:val="clear" w:color="auto" w:fill="F2F2F2" w:themeFill="background1" w:themeFillShade="F2"/>
                </w:tcPr>
                <w:p w14:paraId="39E0E6EF" w14:textId="77777777" w:rsidR="0011262F" w:rsidRDefault="0011262F" w:rsidP="00B54007">
                  <w:pPr>
                    <w:pStyle w:val="TableBodyText"/>
                    <w:ind w:right="28"/>
                  </w:pPr>
                  <w:r w:rsidRPr="00677285">
                    <w:t>-0.067</w:t>
                  </w:r>
                </w:p>
              </w:tc>
              <w:tc>
                <w:tcPr>
                  <w:tcW w:w="630" w:type="pct"/>
                  <w:shd w:val="clear" w:color="auto" w:fill="F2F2F2" w:themeFill="background1" w:themeFillShade="F2"/>
                </w:tcPr>
                <w:p w14:paraId="04083B11" w14:textId="77777777" w:rsidR="0011262F" w:rsidRDefault="0011262F" w:rsidP="00B54007">
                  <w:pPr>
                    <w:pStyle w:val="TableBodyText"/>
                  </w:pPr>
                  <w:r w:rsidRPr="00677285">
                    <w:t>0.090</w:t>
                  </w:r>
                </w:p>
              </w:tc>
            </w:tr>
            <w:tr w:rsidR="0011262F" w14:paraId="3F08E112" w14:textId="77777777" w:rsidTr="00B54007">
              <w:tc>
                <w:tcPr>
                  <w:tcW w:w="1842" w:type="pct"/>
                  <w:shd w:val="clear" w:color="auto" w:fill="auto"/>
                  <w:vAlign w:val="bottom"/>
                </w:tcPr>
                <w:p w14:paraId="73C1C8D9" w14:textId="77777777" w:rsidR="0011262F" w:rsidRDefault="0011262F" w:rsidP="00B54007">
                  <w:pPr>
                    <w:pStyle w:val="TableBodyText"/>
                    <w:jc w:val="left"/>
                  </w:pPr>
                  <w:r w:rsidRPr="00C358C1">
                    <w:t xml:space="preserve">Post reporting change </w:t>
                  </w:r>
                  <w:r>
                    <w:t>(PRC)</w:t>
                  </w:r>
                </w:p>
              </w:tc>
              <w:tc>
                <w:tcPr>
                  <w:tcW w:w="632" w:type="pct"/>
                </w:tcPr>
                <w:p w14:paraId="6C432D68" w14:textId="77777777" w:rsidR="0011262F" w:rsidRDefault="0011262F" w:rsidP="00B54007">
                  <w:pPr>
                    <w:pStyle w:val="TableBodyText"/>
                    <w:ind w:right="28"/>
                  </w:pPr>
                  <w:r w:rsidRPr="00677285">
                    <w:t>0.306</w:t>
                  </w:r>
                </w:p>
              </w:tc>
              <w:tc>
                <w:tcPr>
                  <w:tcW w:w="632" w:type="pct"/>
                  <w:shd w:val="clear" w:color="auto" w:fill="auto"/>
                </w:tcPr>
                <w:p w14:paraId="6831E34B" w14:textId="77777777" w:rsidR="0011262F" w:rsidRDefault="0011262F" w:rsidP="00B54007">
                  <w:pPr>
                    <w:pStyle w:val="TableBodyText"/>
                    <w:ind w:right="28"/>
                  </w:pPr>
                  <w:r w:rsidRPr="00677285">
                    <w:t>0.158</w:t>
                  </w:r>
                </w:p>
              </w:tc>
              <w:tc>
                <w:tcPr>
                  <w:tcW w:w="632" w:type="pct"/>
                  <w:shd w:val="clear" w:color="auto" w:fill="auto"/>
                </w:tcPr>
                <w:p w14:paraId="5CE99F78" w14:textId="77777777" w:rsidR="0011262F" w:rsidRDefault="0011262F" w:rsidP="00B54007">
                  <w:pPr>
                    <w:pStyle w:val="TableBodyText"/>
                    <w:ind w:right="28"/>
                  </w:pPr>
                  <w:r w:rsidRPr="00677285">
                    <w:t>-0.003</w:t>
                  </w:r>
                </w:p>
              </w:tc>
              <w:tc>
                <w:tcPr>
                  <w:tcW w:w="632" w:type="pct"/>
                </w:tcPr>
                <w:p w14:paraId="099795AA" w14:textId="77777777" w:rsidR="0011262F" w:rsidRDefault="0011262F" w:rsidP="00B54007">
                  <w:pPr>
                    <w:pStyle w:val="TableBodyText"/>
                    <w:ind w:right="28"/>
                  </w:pPr>
                  <w:r w:rsidRPr="00677285">
                    <w:t>0.305</w:t>
                  </w:r>
                </w:p>
              </w:tc>
              <w:tc>
                <w:tcPr>
                  <w:tcW w:w="630" w:type="pct"/>
                </w:tcPr>
                <w:p w14:paraId="175550C9" w14:textId="77777777" w:rsidR="0011262F" w:rsidRDefault="0011262F" w:rsidP="00B54007">
                  <w:pPr>
                    <w:pStyle w:val="TableBodyText"/>
                  </w:pPr>
                  <w:r w:rsidRPr="00677285">
                    <w:t>0.608</w:t>
                  </w:r>
                </w:p>
              </w:tc>
            </w:tr>
            <w:tr w:rsidR="0011262F" w14:paraId="47E61D49" w14:textId="77777777" w:rsidTr="00B54007">
              <w:tc>
                <w:tcPr>
                  <w:tcW w:w="1842" w:type="pct"/>
                  <w:shd w:val="clear" w:color="auto" w:fill="F2F2F2" w:themeFill="background1" w:themeFillShade="F2"/>
                  <w:vAlign w:val="bottom"/>
                </w:tcPr>
                <w:p w14:paraId="52AF5644" w14:textId="77777777" w:rsidR="0011262F" w:rsidRDefault="0011262F" w:rsidP="00B54007">
                  <w:pPr>
                    <w:pStyle w:val="TableBodyText"/>
                    <w:jc w:val="left"/>
                  </w:pPr>
                  <w:r w:rsidRPr="00C358C1">
                    <w:t>Industry x Assets</w:t>
                  </w:r>
                </w:p>
              </w:tc>
              <w:tc>
                <w:tcPr>
                  <w:tcW w:w="632" w:type="pct"/>
                  <w:shd w:val="clear" w:color="auto" w:fill="F2F2F2" w:themeFill="background1" w:themeFillShade="F2"/>
                </w:tcPr>
                <w:p w14:paraId="2B8D49AB" w14:textId="77777777" w:rsidR="0011262F" w:rsidRDefault="0011262F" w:rsidP="00B54007">
                  <w:pPr>
                    <w:pStyle w:val="TableBodyText"/>
                    <w:ind w:right="28"/>
                  </w:pPr>
                  <w:r w:rsidRPr="00677285">
                    <w:t>0.211</w:t>
                  </w:r>
                </w:p>
              </w:tc>
              <w:tc>
                <w:tcPr>
                  <w:tcW w:w="632" w:type="pct"/>
                  <w:shd w:val="clear" w:color="auto" w:fill="F2F2F2" w:themeFill="background1" w:themeFillShade="F2"/>
                </w:tcPr>
                <w:p w14:paraId="664FEC3A" w14:textId="77777777" w:rsidR="0011262F" w:rsidRDefault="0011262F" w:rsidP="00B54007">
                  <w:pPr>
                    <w:pStyle w:val="TableBodyText"/>
                    <w:ind w:right="28"/>
                  </w:pPr>
                  <w:r w:rsidRPr="00677285">
                    <w:t>0.066</w:t>
                  </w:r>
                </w:p>
              </w:tc>
              <w:tc>
                <w:tcPr>
                  <w:tcW w:w="632" w:type="pct"/>
                  <w:shd w:val="clear" w:color="auto" w:fill="F2F2F2" w:themeFill="background1" w:themeFillShade="F2"/>
                </w:tcPr>
                <w:p w14:paraId="2326555F" w14:textId="77777777" w:rsidR="0011262F" w:rsidRDefault="0011262F" w:rsidP="00B54007">
                  <w:pPr>
                    <w:pStyle w:val="TableBodyText"/>
                    <w:ind w:right="28"/>
                  </w:pPr>
                  <w:r w:rsidRPr="00677285">
                    <w:t>0.088</w:t>
                  </w:r>
                </w:p>
              </w:tc>
              <w:tc>
                <w:tcPr>
                  <w:tcW w:w="632" w:type="pct"/>
                  <w:shd w:val="clear" w:color="auto" w:fill="F2F2F2" w:themeFill="background1" w:themeFillShade="F2"/>
                </w:tcPr>
                <w:p w14:paraId="10A5F15C" w14:textId="77777777" w:rsidR="0011262F" w:rsidRDefault="0011262F" w:rsidP="00B54007">
                  <w:pPr>
                    <w:pStyle w:val="TableBodyText"/>
                    <w:ind w:right="28"/>
                  </w:pPr>
                  <w:r w:rsidRPr="00677285">
                    <w:t>0.210</w:t>
                  </w:r>
                </w:p>
              </w:tc>
              <w:tc>
                <w:tcPr>
                  <w:tcW w:w="630" w:type="pct"/>
                  <w:shd w:val="clear" w:color="auto" w:fill="F2F2F2" w:themeFill="background1" w:themeFillShade="F2"/>
                </w:tcPr>
                <w:p w14:paraId="492913B7" w14:textId="77777777" w:rsidR="0011262F" w:rsidRDefault="0011262F" w:rsidP="00B54007">
                  <w:pPr>
                    <w:pStyle w:val="TableBodyText"/>
                  </w:pPr>
                  <w:r w:rsidRPr="00677285">
                    <w:t>0.338</w:t>
                  </w:r>
                </w:p>
              </w:tc>
            </w:tr>
            <w:tr w:rsidR="0011262F" w14:paraId="5DBEBE4A" w14:textId="77777777" w:rsidTr="00B54007">
              <w:tc>
                <w:tcPr>
                  <w:tcW w:w="1842" w:type="pct"/>
                  <w:shd w:val="clear" w:color="auto" w:fill="auto"/>
                  <w:vAlign w:val="bottom"/>
                </w:tcPr>
                <w:p w14:paraId="61FE5023" w14:textId="77777777" w:rsidR="0011262F" w:rsidRDefault="0011262F" w:rsidP="00B54007">
                  <w:pPr>
                    <w:pStyle w:val="TableBodyText"/>
                    <w:jc w:val="left"/>
                  </w:pPr>
                  <w:r w:rsidRPr="00C358C1">
                    <w:t>Public x Assets</w:t>
                  </w:r>
                </w:p>
              </w:tc>
              <w:tc>
                <w:tcPr>
                  <w:tcW w:w="632" w:type="pct"/>
                </w:tcPr>
                <w:p w14:paraId="745527A7" w14:textId="77777777" w:rsidR="0011262F" w:rsidRDefault="0011262F" w:rsidP="00B54007">
                  <w:pPr>
                    <w:pStyle w:val="TableBodyText"/>
                    <w:ind w:right="28"/>
                  </w:pPr>
                  <w:r w:rsidRPr="00677285">
                    <w:t>-0.155</w:t>
                  </w:r>
                </w:p>
              </w:tc>
              <w:tc>
                <w:tcPr>
                  <w:tcW w:w="632" w:type="pct"/>
                  <w:shd w:val="clear" w:color="auto" w:fill="auto"/>
                </w:tcPr>
                <w:p w14:paraId="01DF22D0" w14:textId="77777777" w:rsidR="0011262F" w:rsidRDefault="0011262F" w:rsidP="00B54007">
                  <w:pPr>
                    <w:pStyle w:val="TableBodyText"/>
                    <w:ind w:right="28"/>
                  </w:pPr>
                  <w:r w:rsidRPr="00677285">
                    <w:t>0.075</w:t>
                  </w:r>
                </w:p>
              </w:tc>
              <w:tc>
                <w:tcPr>
                  <w:tcW w:w="632" w:type="pct"/>
                  <w:shd w:val="clear" w:color="auto" w:fill="auto"/>
                </w:tcPr>
                <w:p w14:paraId="684743D3" w14:textId="77777777" w:rsidR="0011262F" w:rsidRDefault="0011262F" w:rsidP="00B54007">
                  <w:pPr>
                    <w:pStyle w:val="TableBodyText"/>
                    <w:ind w:right="28"/>
                  </w:pPr>
                  <w:r w:rsidRPr="00677285">
                    <w:t>-0.296</w:t>
                  </w:r>
                </w:p>
              </w:tc>
              <w:tc>
                <w:tcPr>
                  <w:tcW w:w="632" w:type="pct"/>
                </w:tcPr>
                <w:p w14:paraId="1101F3B0" w14:textId="77777777" w:rsidR="0011262F" w:rsidRDefault="0011262F" w:rsidP="00B54007">
                  <w:pPr>
                    <w:pStyle w:val="TableBodyText"/>
                    <w:ind w:right="28"/>
                  </w:pPr>
                  <w:r w:rsidRPr="00677285">
                    <w:t>-0.154</w:t>
                  </w:r>
                </w:p>
              </w:tc>
              <w:tc>
                <w:tcPr>
                  <w:tcW w:w="630" w:type="pct"/>
                </w:tcPr>
                <w:p w14:paraId="12EE5EFD" w14:textId="77777777" w:rsidR="0011262F" w:rsidRDefault="0011262F" w:rsidP="00B54007">
                  <w:pPr>
                    <w:pStyle w:val="TableBodyText"/>
                  </w:pPr>
                  <w:r w:rsidRPr="00677285">
                    <w:t>-0.020</w:t>
                  </w:r>
                </w:p>
              </w:tc>
            </w:tr>
            <w:tr w:rsidR="0011262F" w14:paraId="0F4AC66A" w14:textId="77777777" w:rsidTr="00B54007">
              <w:tc>
                <w:tcPr>
                  <w:tcW w:w="1842" w:type="pct"/>
                  <w:shd w:val="clear" w:color="auto" w:fill="F2F2F2" w:themeFill="background1" w:themeFillShade="F2"/>
                  <w:vAlign w:val="bottom"/>
                </w:tcPr>
                <w:p w14:paraId="7997076D" w14:textId="77777777" w:rsidR="0011262F" w:rsidRDefault="0011262F" w:rsidP="00B54007">
                  <w:pPr>
                    <w:pStyle w:val="TableBodyText"/>
                    <w:jc w:val="left"/>
                  </w:pPr>
                  <w:r w:rsidRPr="00C358C1">
                    <w:t>Retail x Assets</w:t>
                  </w:r>
                </w:p>
              </w:tc>
              <w:tc>
                <w:tcPr>
                  <w:tcW w:w="632" w:type="pct"/>
                  <w:shd w:val="clear" w:color="auto" w:fill="F2F2F2" w:themeFill="background1" w:themeFillShade="F2"/>
                </w:tcPr>
                <w:p w14:paraId="3204EC0A" w14:textId="77777777" w:rsidR="0011262F" w:rsidRDefault="0011262F" w:rsidP="00B54007">
                  <w:pPr>
                    <w:pStyle w:val="TableBodyText"/>
                    <w:ind w:right="28"/>
                  </w:pPr>
                  <w:r w:rsidRPr="00677285">
                    <w:t>-0.191</w:t>
                  </w:r>
                </w:p>
              </w:tc>
              <w:tc>
                <w:tcPr>
                  <w:tcW w:w="632" w:type="pct"/>
                  <w:shd w:val="clear" w:color="auto" w:fill="F2F2F2" w:themeFill="background1" w:themeFillShade="F2"/>
                </w:tcPr>
                <w:p w14:paraId="01E016D3" w14:textId="77777777" w:rsidR="0011262F" w:rsidRDefault="0011262F" w:rsidP="00B54007">
                  <w:pPr>
                    <w:pStyle w:val="TableBodyText"/>
                    <w:ind w:right="28"/>
                  </w:pPr>
                  <w:r w:rsidRPr="00677285">
                    <w:t>0.044</w:t>
                  </w:r>
                </w:p>
              </w:tc>
              <w:tc>
                <w:tcPr>
                  <w:tcW w:w="632" w:type="pct"/>
                  <w:shd w:val="clear" w:color="auto" w:fill="F2F2F2" w:themeFill="background1" w:themeFillShade="F2"/>
                </w:tcPr>
                <w:p w14:paraId="0CD8524E" w14:textId="77777777" w:rsidR="0011262F" w:rsidRDefault="0011262F" w:rsidP="00B54007">
                  <w:pPr>
                    <w:pStyle w:val="TableBodyText"/>
                    <w:ind w:right="28"/>
                  </w:pPr>
                  <w:r w:rsidRPr="00677285">
                    <w:t>-0.279</w:t>
                  </w:r>
                </w:p>
              </w:tc>
              <w:tc>
                <w:tcPr>
                  <w:tcW w:w="632" w:type="pct"/>
                  <w:shd w:val="clear" w:color="auto" w:fill="F2F2F2" w:themeFill="background1" w:themeFillShade="F2"/>
                </w:tcPr>
                <w:p w14:paraId="61DA2FE9" w14:textId="77777777" w:rsidR="0011262F" w:rsidRDefault="0011262F" w:rsidP="00B54007">
                  <w:pPr>
                    <w:pStyle w:val="TableBodyText"/>
                    <w:ind w:right="28"/>
                  </w:pPr>
                  <w:r w:rsidRPr="00677285">
                    <w:t>-0.191</w:t>
                  </w:r>
                </w:p>
              </w:tc>
              <w:tc>
                <w:tcPr>
                  <w:tcW w:w="630" w:type="pct"/>
                  <w:shd w:val="clear" w:color="auto" w:fill="F2F2F2" w:themeFill="background1" w:themeFillShade="F2"/>
                </w:tcPr>
                <w:p w14:paraId="0A6CE99C" w14:textId="77777777" w:rsidR="0011262F" w:rsidRDefault="0011262F" w:rsidP="00B54007">
                  <w:pPr>
                    <w:pStyle w:val="TableBodyText"/>
                  </w:pPr>
                  <w:r w:rsidRPr="00677285">
                    <w:t>-0.101</w:t>
                  </w:r>
                </w:p>
              </w:tc>
            </w:tr>
            <w:tr w:rsidR="0011262F" w14:paraId="390AA710" w14:textId="77777777" w:rsidTr="00B54007">
              <w:tc>
                <w:tcPr>
                  <w:tcW w:w="1842" w:type="pct"/>
                  <w:shd w:val="clear" w:color="auto" w:fill="auto"/>
                  <w:vAlign w:val="bottom"/>
                </w:tcPr>
                <w:p w14:paraId="42AA8196" w14:textId="77777777" w:rsidR="0011262F" w:rsidRDefault="0011262F" w:rsidP="00B54007">
                  <w:pPr>
                    <w:pStyle w:val="TableBodyText"/>
                    <w:jc w:val="left"/>
                  </w:pPr>
                  <w:r w:rsidRPr="00C358C1">
                    <w:t>Industry x Other</w:t>
                  </w:r>
                </w:p>
              </w:tc>
              <w:tc>
                <w:tcPr>
                  <w:tcW w:w="632" w:type="pct"/>
                </w:tcPr>
                <w:p w14:paraId="223A305C" w14:textId="77777777" w:rsidR="0011262F" w:rsidRDefault="0011262F" w:rsidP="00B54007">
                  <w:pPr>
                    <w:pStyle w:val="TableBodyText"/>
                    <w:ind w:right="28"/>
                  </w:pPr>
                  <w:r w:rsidRPr="00677285">
                    <w:t>0.062</w:t>
                  </w:r>
                </w:p>
              </w:tc>
              <w:tc>
                <w:tcPr>
                  <w:tcW w:w="632" w:type="pct"/>
                  <w:shd w:val="clear" w:color="auto" w:fill="auto"/>
                </w:tcPr>
                <w:p w14:paraId="2D5DFD3C" w14:textId="77777777" w:rsidR="0011262F" w:rsidRDefault="0011262F" w:rsidP="00B54007">
                  <w:pPr>
                    <w:pStyle w:val="TableBodyText"/>
                    <w:ind w:right="28"/>
                  </w:pPr>
                  <w:r w:rsidRPr="00677285">
                    <w:t>0.108</w:t>
                  </w:r>
                </w:p>
              </w:tc>
              <w:tc>
                <w:tcPr>
                  <w:tcW w:w="632" w:type="pct"/>
                  <w:shd w:val="clear" w:color="auto" w:fill="auto"/>
                </w:tcPr>
                <w:p w14:paraId="09C8A90A" w14:textId="77777777" w:rsidR="0011262F" w:rsidRDefault="0011262F" w:rsidP="00B54007">
                  <w:pPr>
                    <w:pStyle w:val="TableBodyText"/>
                    <w:ind w:right="28"/>
                  </w:pPr>
                  <w:r w:rsidRPr="00677285">
                    <w:t>-0.149</w:t>
                  </w:r>
                </w:p>
              </w:tc>
              <w:tc>
                <w:tcPr>
                  <w:tcW w:w="632" w:type="pct"/>
                </w:tcPr>
                <w:p w14:paraId="7209879F" w14:textId="77777777" w:rsidR="0011262F" w:rsidRDefault="0011262F" w:rsidP="00B54007">
                  <w:pPr>
                    <w:pStyle w:val="TableBodyText"/>
                    <w:ind w:right="28"/>
                  </w:pPr>
                  <w:r w:rsidRPr="00677285">
                    <w:t>0.059</w:t>
                  </w:r>
                </w:p>
              </w:tc>
              <w:tc>
                <w:tcPr>
                  <w:tcW w:w="630" w:type="pct"/>
                </w:tcPr>
                <w:p w14:paraId="72A4D84B" w14:textId="77777777" w:rsidR="0011262F" w:rsidRDefault="0011262F" w:rsidP="00B54007">
                  <w:pPr>
                    <w:pStyle w:val="TableBodyText"/>
                  </w:pPr>
                  <w:r w:rsidRPr="00677285">
                    <w:t>0.270</w:t>
                  </w:r>
                </w:p>
              </w:tc>
            </w:tr>
            <w:tr w:rsidR="0011262F" w14:paraId="2CEEEBF6" w14:textId="77777777" w:rsidTr="00B54007">
              <w:tc>
                <w:tcPr>
                  <w:tcW w:w="1842" w:type="pct"/>
                  <w:shd w:val="clear" w:color="auto" w:fill="F2F2F2" w:themeFill="background1" w:themeFillShade="F2"/>
                  <w:vAlign w:val="bottom"/>
                </w:tcPr>
                <w:p w14:paraId="68B7E75A" w14:textId="77777777" w:rsidR="0011262F" w:rsidRDefault="0011262F" w:rsidP="00B54007">
                  <w:pPr>
                    <w:pStyle w:val="TableBodyText"/>
                    <w:jc w:val="left"/>
                  </w:pPr>
                  <w:r w:rsidRPr="00C358C1">
                    <w:t>Public x Other</w:t>
                  </w:r>
                </w:p>
              </w:tc>
              <w:tc>
                <w:tcPr>
                  <w:tcW w:w="632" w:type="pct"/>
                  <w:shd w:val="clear" w:color="auto" w:fill="F2F2F2" w:themeFill="background1" w:themeFillShade="F2"/>
                </w:tcPr>
                <w:p w14:paraId="72336007" w14:textId="77777777" w:rsidR="0011262F" w:rsidRDefault="0011262F" w:rsidP="00B54007">
                  <w:pPr>
                    <w:pStyle w:val="TableBodyText"/>
                    <w:ind w:right="28"/>
                  </w:pPr>
                  <w:r w:rsidRPr="00677285">
                    <w:t>-0.038</w:t>
                  </w:r>
                </w:p>
              </w:tc>
              <w:tc>
                <w:tcPr>
                  <w:tcW w:w="632" w:type="pct"/>
                  <w:shd w:val="clear" w:color="auto" w:fill="F2F2F2" w:themeFill="background1" w:themeFillShade="F2"/>
                </w:tcPr>
                <w:p w14:paraId="37F7E1CE" w14:textId="77777777" w:rsidR="0011262F" w:rsidRDefault="0011262F" w:rsidP="00B54007">
                  <w:pPr>
                    <w:pStyle w:val="TableBodyText"/>
                    <w:ind w:right="28"/>
                  </w:pPr>
                  <w:r w:rsidRPr="00677285">
                    <w:t>0.138</w:t>
                  </w:r>
                </w:p>
              </w:tc>
              <w:tc>
                <w:tcPr>
                  <w:tcW w:w="632" w:type="pct"/>
                  <w:shd w:val="clear" w:color="auto" w:fill="F2F2F2" w:themeFill="background1" w:themeFillShade="F2"/>
                </w:tcPr>
                <w:p w14:paraId="3B9E8004" w14:textId="77777777" w:rsidR="0011262F" w:rsidRDefault="0011262F" w:rsidP="00B54007">
                  <w:pPr>
                    <w:pStyle w:val="TableBodyText"/>
                    <w:ind w:right="28"/>
                  </w:pPr>
                  <w:r w:rsidRPr="00677285">
                    <w:t>-0.308</w:t>
                  </w:r>
                </w:p>
              </w:tc>
              <w:tc>
                <w:tcPr>
                  <w:tcW w:w="632" w:type="pct"/>
                  <w:shd w:val="clear" w:color="auto" w:fill="F2F2F2" w:themeFill="background1" w:themeFillShade="F2"/>
                </w:tcPr>
                <w:p w14:paraId="4AA1EDAC" w14:textId="77777777" w:rsidR="0011262F" w:rsidRDefault="0011262F" w:rsidP="00B54007">
                  <w:pPr>
                    <w:pStyle w:val="TableBodyText"/>
                    <w:ind w:right="28"/>
                  </w:pPr>
                  <w:r w:rsidRPr="00677285">
                    <w:t>-0.039</w:t>
                  </w:r>
                </w:p>
              </w:tc>
              <w:tc>
                <w:tcPr>
                  <w:tcW w:w="630" w:type="pct"/>
                  <w:shd w:val="clear" w:color="auto" w:fill="F2F2F2" w:themeFill="background1" w:themeFillShade="F2"/>
                </w:tcPr>
                <w:p w14:paraId="4127BF9E" w14:textId="77777777" w:rsidR="0011262F" w:rsidRDefault="0011262F" w:rsidP="00B54007">
                  <w:pPr>
                    <w:pStyle w:val="TableBodyText"/>
                  </w:pPr>
                  <w:r w:rsidRPr="00677285">
                    <w:t>0.233</w:t>
                  </w:r>
                </w:p>
              </w:tc>
            </w:tr>
            <w:tr w:rsidR="0011262F" w14:paraId="65BAC0A4" w14:textId="77777777" w:rsidTr="00B54007">
              <w:tc>
                <w:tcPr>
                  <w:tcW w:w="1842" w:type="pct"/>
                  <w:shd w:val="clear" w:color="auto" w:fill="auto"/>
                  <w:vAlign w:val="bottom"/>
                </w:tcPr>
                <w:p w14:paraId="64DF14DB" w14:textId="77777777" w:rsidR="0011262F" w:rsidRDefault="0011262F" w:rsidP="00B54007">
                  <w:pPr>
                    <w:pStyle w:val="TableBodyText"/>
                    <w:jc w:val="left"/>
                  </w:pPr>
                  <w:r w:rsidRPr="00C358C1">
                    <w:t>Retail x Other</w:t>
                  </w:r>
                </w:p>
              </w:tc>
              <w:tc>
                <w:tcPr>
                  <w:tcW w:w="632" w:type="pct"/>
                </w:tcPr>
                <w:p w14:paraId="5D300341" w14:textId="77777777" w:rsidR="0011262F" w:rsidRDefault="0011262F" w:rsidP="00B54007">
                  <w:pPr>
                    <w:pStyle w:val="TableBodyText"/>
                    <w:ind w:right="28"/>
                  </w:pPr>
                  <w:r w:rsidRPr="00677285">
                    <w:t>0.115</w:t>
                  </w:r>
                </w:p>
              </w:tc>
              <w:tc>
                <w:tcPr>
                  <w:tcW w:w="632" w:type="pct"/>
                  <w:shd w:val="clear" w:color="auto" w:fill="auto"/>
                </w:tcPr>
                <w:p w14:paraId="15F9AB75" w14:textId="77777777" w:rsidR="0011262F" w:rsidRDefault="0011262F" w:rsidP="00B54007">
                  <w:pPr>
                    <w:pStyle w:val="TableBodyText"/>
                    <w:ind w:right="28"/>
                  </w:pPr>
                  <w:r w:rsidRPr="00677285">
                    <w:t>0.103</w:t>
                  </w:r>
                </w:p>
              </w:tc>
              <w:tc>
                <w:tcPr>
                  <w:tcW w:w="632" w:type="pct"/>
                  <w:shd w:val="clear" w:color="auto" w:fill="auto"/>
                </w:tcPr>
                <w:p w14:paraId="26336EFD" w14:textId="77777777" w:rsidR="0011262F" w:rsidRDefault="0011262F" w:rsidP="00B54007">
                  <w:pPr>
                    <w:pStyle w:val="TableBodyText"/>
                    <w:ind w:right="28"/>
                  </w:pPr>
                  <w:r w:rsidRPr="00677285">
                    <w:t>-0.090</w:t>
                  </w:r>
                </w:p>
              </w:tc>
              <w:tc>
                <w:tcPr>
                  <w:tcW w:w="632" w:type="pct"/>
                </w:tcPr>
                <w:p w14:paraId="1E359E54" w14:textId="77777777" w:rsidR="0011262F" w:rsidRDefault="0011262F" w:rsidP="00B54007">
                  <w:pPr>
                    <w:pStyle w:val="TableBodyText"/>
                    <w:ind w:right="28"/>
                  </w:pPr>
                  <w:r w:rsidRPr="00677285">
                    <w:t>0.116</w:t>
                  </w:r>
                </w:p>
              </w:tc>
              <w:tc>
                <w:tcPr>
                  <w:tcW w:w="630" w:type="pct"/>
                </w:tcPr>
                <w:p w14:paraId="0A07BBC2" w14:textId="77777777" w:rsidR="0011262F" w:rsidRDefault="0011262F" w:rsidP="00B54007">
                  <w:pPr>
                    <w:pStyle w:val="TableBodyText"/>
                  </w:pPr>
                  <w:r w:rsidRPr="00677285">
                    <w:t>0.315</w:t>
                  </w:r>
                </w:p>
              </w:tc>
            </w:tr>
            <w:tr w:rsidR="0011262F" w14:paraId="1BA5B16E" w14:textId="77777777" w:rsidTr="00B54007">
              <w:tc>
                <w:tcPr>
                  <w:tcW w:w="1842" w:type="pct"/>
                  <w:shd w:val="clear" w:color="auto" w:fill="F2F2F2" w:themeFill="background1" w:themeFillShade="F2"/>
                  <w:vAlign w:val="bottom"/>
                </w:tcPr>
                <w:p w14:paraId="487D3223" w14:textId="77777777" w:rsidR="0011262F" w:rsidRDefault="0011262F" w:rsidP="00B54007">
                  <w:pPr>
                    <w:pStyle w:val="TableBodyText"/>
                    <w:jc w:val="left"/>
                  </w:pPr>
                  <w:r w:rsidRPr="00C358C1">
                    <w:t xml:space="preserve">PRC x </w:t>
                  </w:r>
                  <w:proofErr w:type="spellStart"/>
                  <w:r w:rsidRPr="00C358C1">
                    <w:t>Aus</w:t>
                  </w:r>
                  <w:proofErr w:type="spellEnd"/>
                  <w:r w:rsidRPr="00C358C1">
                    <w:t xml:space="preserve"> fixed in</w:t>
                  </w:r>
                  <w:r>
                    <w:t>come</w:t>
                  </w:r>
                </w:p>
              </w:tc>
              <w:tc>
                <w:tcPr>
                  <w:tcW w:w="632" w:type="pct"/>
                  <w:shd w:val="clear" w:color="auto" w:fill="F2F2F2" w:themeFill="background1" w:themeFillShade="F2"/>
                </w:tcPr>
                <w:p w14:paraId="05F94B66" w14:textId="77777777" w:rsidR="0011262F" w:rsidRDefault="0011262F" w:rsidP="00B54007">
                  <w:pPr>
                    <w:pStyle w:val="TableBodyText"/>
                    <w:ind w:right="28"/>
                  </w:pPr>
                  <w:r w:rsidRPr="00677285">
                    <w:t>-0.065</w:t>
                  </w:r>
                </w:p>
              </w:tc>
              <w:tc>
                <w:tcPr>
                  <w:tcW w:w="632" w:type="pct"/>
                  <w:shd w:val="clear" w:color="auto" w:fill="F2F2F2" w:themeFill="background1" w:themeFillShade="F2"/>
                </w:tcPr>
                <w:p w14:paraId="47CE43FF" w14:textId="77777777" w:rsidR="0011262F" w:rsidRDefault="0011262F" w:rsidP="00B54007">
                  <w:pPr>
                    <w:pStyle w:val="TableBodyText"/>
                    <w:ind w:right="28"/>
                  </w:pPr>
                  <w:r w:rsidRPr="00677285">
                    <w:t>0.040</w:t>
                  </w:r>
                </w:p>
              </w:tc>
              <w:tc>
                <w:tcPr>
                  <w:tcW w:w="632" w:type="pct"/>
                  <w:shd w:val="clear" w:color="auto" w:fill="F2F2F2" w:themeFill="background1" w:themeFillShade="F2"/>
                </w:tcPr>
                <w:p w14:paraId="4F137377" w14:textId="77777777" w:rsidR="0011262F" w:rsidRDefault="0011262F" w:rsidP="00B54007">
                  <w:pPr>
                    <w:pStyle w:val="TableBodyText"/>
                    <w:ind w:right="28"/>
                  </w:pPr>
                  <w:r w:rsidRPr="00677285">
                    <w:t>-0.143</w:t>
                  </w:r>
                </w:p>
              </w:tc>
              <w:tc>
                <w:tcPr>
                  <w:tcW w:w="632" w:type="pct"/>
                  <w:shd w:val="clear" w:color="auto" w:fill="F2F2F2" w:themeFill="background1" w:themeFillShade="F2"/>
                </w:tcPr>
                <w:p w14:paraId="3841704D" w14:textId="77777777" w:rsidR="0011262F" w:rsidRDefault="0011262F" w:rsidP="00B54007">
                  <w:pPr>
                    <w:pStyle w:val="TableBodyText"/>
                    <w:ind w:right="28"/>
                  </w:pPr>
                  <w:r w:rsidRPr="00677285">
                    <w:t>-0.066</w:t>
                  </w:r>
                </w:p>
              </w:tc>
              <w:tc>
                <w:tcPr>
                  <w:tcW w:w="630" w:type="pct"/>
                  <w:shd w:val="clear" w:color="auto" w:fill="F2F2F2" w:themeFill="background1" w:themeFillShade="F2"/>
                </w:tcPr>
                <w:p w14:paraId="417E0C2B" w14:textId="77777777" w:rsidR="0011262F" w:rsidRDefault="0011262F" w:rsidP="00B54007">
                  <w:pPr>
                    <w:pStyle w:val="TableBodyText"/>
                  </w:pPr>
                  <w:r w:rsidRPr="00677285">
                    <w:t>0.013</w:t>
                  </w:r>
                </w:p>
              </w:tc>
            </w:tr>
            <w:tr w:rsidR="0011262F" w14:paraId="5D592ADC" w14:textId="77777777" w:rsidTr="00B54007">
              <w:tc>
                <w:tcPr>
                  <w:tcW w:w="1842" w:type="pct"/>
                  <w:shd w:val="clear" w:color="auto" w:fill="auto"/>
                  <w:vAlign w:val="bottom"/>
                </w:tcPr>
                <w:p w14:paraId="3E947A57" w14:textId="77777777" w:rsidR="0011262F" w:rsidRDefault="0011262F" w:rsidP="00B54007">
                  <w:pPr>
                    <w:pStyle w:val="TableBodyText"/>
                    <w:jc w:val="left"/>
                  </w:pPr>
                  <w:r w:rsidRPr="00C358C1">
                    <w:t>PRC x International fixed in</w:t>
                  </w:r>
                  <w:r>
                    <w:t>come</w:t>
                  </w:r>
                </w:p>
              </w:tc>
              <w:tc>
                <w:tcPr>
                  <w:tcW w:w="632" w:type="pct"/>
                </w:tcPr>
                <w:p w14:paraId="612629FB" w14:textId="77777777" w:rsidR="0011262F" w:rsidRDefault="0011262F" w:rsidP="00B54007">
                  <w:pPr>
                    <w:pStyle w:val="TableBodyText"/>
                    <w:ind w:right="28"/>
                  </w:pPr>
                  <w:r w:rsidRPr="00677285">
                    <w:t>0.068</w:t>
                  </w:r>
                </w:p>
              </w:tc>
              <w:tc>
                <w:tcPr>
                  <w:tcW w:w="632" w:type="pct"/>
                  <w:shd w:val="clear" w:color="auto" w:fill="auto"/>
                </w:tcPr>
                <w:p w14:paraId="10255BE0" w14:textId="77777777" w:rsidR="0011262F" w:rsidRDefault="0011262F" w:rsidP="00B54007">
                  <w:pPr>
                    <w:pStyle w:val="TableBodyText"/>
                    <w:ind w:right="28"/>
                  </w:pPr>
                  <w:r w:rsidRPr="00677285">
                    <w:t>0.038</w:t>
                  </w:r>
                </w:p>
              </w:tc>
              <w:tc>
                <w:tcPr>
                  <w:tcW w:w="632" w:type="pct"/>
                  <w:shd w:val="clear" w:color="auto" w:fill="auto"/>
                </w:tcPr>
                <w:p w14:paraId="0442641D" w14:textId="77777777" w:rsidR="0011262F" w:rsidRDefault="0011262F" w:rsidP="00B54007">
                  <w:pPr>
                    <w:pStyle w:val="TableBodyText"/>
                    <w:ind w:right="28"/>
                  </w:pPr>
                  <w:r w:rsidRPr="00677285">
                    <w:t>-0.003</w:t>
                  </w:r>
                </w:p>
              </w:tc>
              <w:tc>
                <w:tcPr>
                  <w:tcW w:w="632" w:type="pct"/>
                </w:tcPr>
                <w:p w14:paraId="020767CF" w14:textId="77777777" w:rsidR="0011262F" w:rsidRDefault="0011262F" w:rsidP="00B54007">
                  <w:pPr>
                    <w:pStyle w:val="TableBodyText"/>
                    <w:ind w:right="28"/>
                  </w:pPr>
                  <w:r w:rsidRPr="00677285">
                    <w:t>0.067</w:t>
                  </w:r>
                </w:p>
              </w:tc>
              <w:tc>
                <w:tcPr>
                  <w:tcW w:w="630" w:type="pct"/>
                </w:tcPr>
                <w:p w14:paraId="7126174F" w14:textId="77777777" w:rsidR="0011262F" w:rsidRDefault="0011262F" w:rsidP="00B54007">
                  <w:pPr>
                    <w:pStyle w:val="TableBodyText"/>
                  </w:pPr>
                  <w:r w:rsidRPr="00677285">
                    <w:t>0.148</w:t>
                  </w:r>
                </w:p>
              </w:tc>
            </w:tr>
            <w:tr w:rsidR="0011262F" w14:paraId="05487F01" w14:textId="77777777" w:rsidTr="00B54007">
              <w:tc>
                <w:tcPr>
                  <w:tcW w:w="1842" w:type="pct"/>
                  <w:shd w:val="clear" w:color="auto" w:fill="F2F2F2" w:themeFill="background1" w:themeFillShade="F2"/>
                  <w:vAlign w:val="bottom"/>
                </w:tcPr>
                <w:p w14:paraId="40CE1FC0" w14:textId="77777777" w:rsidR="0011262F" w:rsidRDefault="0011262F" w:rsidP="00B54007">
                  <w:pPr>
                    <w:pStyle w:val="TableBodyText"/>
                    <w:jc w:val="left"/>
                  </w:pPr>
                  <w:r w:rsidRPr="00C358C1">
                    <w:t xml:space="preserve">PRC x </w:t>
                  </w:r>
                  <w:proofErr w:type="spellStart"/>
                  <w:r w:rsidRPr="00C358C1">
                    <w:t>Aus</w:t>
                  </w:r>
                  <w:proofErr w:type="spellEnd"/>
                  <w:r w:rsidRPr="00C358C1">
                    <w:t xml:space="preserve"> equity</w:t>
                  </w:r>
                </w:p>
              </w:tc>
              <w:tc>
                <w:tcPr>
                  <w:tcW w:w="632" w:type="pct"/>
                  <w:shd w:val="clear" w:color="auto" w:fill="F2F2F2" w:themeFill="background1" w:themeFillShade="F2"/>
                </w:tcPr>
                <w:p w14:paraId="3EA4DCD2" w14:textId="77777777" w:rsidR="0011262F" w:rsidRDefault="0011262F" w:rsidP="00B54007">
                  <w:pPr>
                    <w:pStyle w:val="TableBodyText"/>
                    <w:ind w:right="28"/>
                  </w:pPr>
                  <w:r w:rsidRPr="00677285">
                    <w:t>0.010</w:t>
                  </w:r>
                </w:p>
              </w:tc>
              <w:tc>
                <w:tcPr>
                  <w:tcW w:w="632" w:type="pct"/>
                  <w:shd w:val="clear" w:color="auto" w:fill="F2F2F2" w:themeFill="background1" w:themeFillShade="F2"/>
                </w:tcPr>
                <w:p w14:paraId="55B8367C" w14:textId="77777777" w:rsidR="0011262F" w:rsidRDefault="0011262F" w:rsidP="00B54007">
                  <w:pPr>
                    <w:pStyle w:val="TableBodyText"/>
                    <w:ind w:right="28"/>
                  </w:pPr>
                  <w:r w:rsidRPr="00677285">
                    <w:t>0.038</w:t>
                  </w:r>
                </w:p>
              </w:tc>
              <w:tc>
                <w:tcPr>
                  <w:tcW w:w="632" w:type="pct"/>
                  <w:shd w:val="clear" w:color="auto" w:fill="F2F2F2" w:themeFill="background1" w:themeFillShade="F2"/>
                </w:tcPr>
                <w:p w14:paraId="170F16DB" w14:textId="77777777" w:rsidR="0011262F" w:rsidRDefault="0011262F" w:rsidP="00B54007">
                  <w:pPr>
                    <w:pStyle w:val="TableBodyText"/>
                    <w:ind w:right="28"/>
                  </w:pPr>
                  <w:r w:rsidRPr="00677285">
                    <w:t>-0.062</w:t>
                  </w:r>
                </w:p>
              </w:tc>
              <w:tc>
                <w:tcPr>
                  <w:tcW w:w="632" w:type="pct"/>
                  <w:shd w:val="clear" w:color="auto" w:fill="F2F2F2" w:themeFill="background1" w:themeFillShade="F2"/>
                </w:tcPr>
                <w:p w14:paraId="38EC80F0" w14:textId="77777777" w:rsidR="0011262F" w:rsidRDefault="0011262F" w:rsidP="00B54007">
                  <w:pPr>
                    <w:pStyle w:val="TableBodyText"/>
                    <w:ind w:right="28"/>
                  </w:pPr>
                  <w:r w:rsidRPr="00677285">
                    <w:t>0.011</w:t>
                  </w:r>
                </w:p>
              </w:tc>
              <w:tc>
                <w:tcPr>
                  <w:tcW w:w="630" w:type="pct"/>
                  <w:shd w:val="clear" w:color="auto" w:fill="F2F2F2" w:themeFill="background1" w:themeFillShade="F2"/>
                </w:tcPr>
                <w:p w14:paraId="641B4590" w14:textId="77777777" w:rsidR="0011262F" w:rsidRDefault="0011262F" w:rsidP="00B54007">
                  <w:pPr>
                    <w:pStyle w:val="TableBodyText"/>
                  </w:pPr>
                  <w:r w:rsidRPr="00677285">
                    <w:t>0.086</w:t>
                  </w:r>
                </w:p>
              </w:tc>
            </w:tr>
            <w:tr w:rsidR="0011262F" w14:paraId="64804AC2" w14:textId="77777777" w:rsidTr="00B54007">
              <w:tc>
                <w:tcPr>
                  <w:tcW w:w="1842" w:type="pct"/>
                  <w:shd w:val="clear" w:color="auto" w:fill="auto"/>
                  <w:vAlign w:val="bottom"/>
                </w:tcPr>
                <w:p w14:paraId="493D0D19" w14:textId="77777777" w:rsidR="0011262F" w:rsidRDefault="0011262F" w:rsidP="00B54007">
                  <w:pPr>
                    <w:pStyle w:val="TableBodyText"/>
                    <w:jc w:val="left"/>
                  </w:pPr>
                  <w:r w:rsidRPr="00C358C1">
                    <w:t>PRC x International equity</w:t>
                  </w:r>
                </w:p>
              </w:tc>
              <w:tc>
                <w:tcPr>
                  <w:tcW w:w="632" w:type="pct"/>
                </w:tcPr>
                <w:p w14:paraId="462C59B7" w14:textId="77777777" w:rsidR="0011262F" w:rsidRDefault="0011262F" w:rsidP="00B54007">
                  <w:pPr>
                    <w:pStyle w:val="TableBodyText"/>
                    <w:ind w:right="28"/>
                  </w:pPr>
                  <w:r w:rsidRPr="00677285">
                    <w:t>-0.114</w:t>
                  </w:r>
                </w:p>
              </w:tc>
              <w:tc>
                <w:tcPr>
                  <w:tcW w:w="632" w:type="pct"/>
                  <w:shd w:val="clear" w:color="auto" w:fill="auto"/>
                </w:tcPr>
                <w:p w14:paraId="2E7A8EF5" w14:textId="77777777" w:rsidR="0011262F" w:rsidRDefault="0011262F" w:rsidP="00B54007">
                  <w:pPr>
                    <w:pStyle w:val="TableBodyText"/>
                    <w:ind w:right="28"/>
                  </w:pPr>
                  <w:r w:rsidRPr="00677285">
                    <w:t>0.035</w:t>
                  </w:r>
                </w:p>
              </w:tc>
              <w:tc>
                <w:tcPr>
                  <w:tcW w:w="632" w:type="pct"/>
                  <w:shd w:val="clear" w:color="auto" w:fill="auto"/>
                </w:tcPr>
                <w:p w14:paraId="2ECB1FCD" w14:textId="77777777" w:rsidR="0011262F" w:rsidRDefault="0011262F" w:rsidP="00B54007">
                  <w:pPr>
                    <w:pStyle w:val="TableBodyText"/>
                    <w:ind w:right="28"/>
                  </w:pPr>
                  <w:r w:rsidRPr="00677285">
                    <w:t>-0.180</w:t>
                  </w:r>
                </w:p>
              </w:tc>
              <w:tc>
                <w:tcPr>
                  <w:tcW w:w="632" w:type="pct"/>
                </w:tcPr>
                <w:p w14:paraId="418FCA4C" w14:textId="77777777" w:rsidR="0011262F" w:rsidRDefault="0011262F" w:rsidP="00B54007">
                  <w:pPr>
                    <w:pStyle w:val="TableBodyText"/>
                    <w:ind w:right="28"/>
                  </w:pPr>
                  <w:r w:rsidRPr="00677285">
                    <w:t>-0.113</w:t>
                  </w:r>
                </w:p>
              </w:tc>
              <w:tc>
                <w:tcPr>
                  <w:tcW w:w="630" w:type="pct"/>
                </w:tcPr>
                <w:p w14:paraId="4450A2BF" w14:textId="77777777" w:rsidR="0011262F" w:rsidRDefault="0011262F" w:rsidP="00B54007">
                  <w:pPr>
                    <w:pStyle w:val="TableBodyText"/>
                  </w:pPr>
                  <w:r w:rsidRPr="00677285">
                    <w:t>-0.043</w:t>
                  </w:r>
                </w:p>
              </w:tc>
            </w:tr>
            <w:tr w:rsidR="0011262F" w14:paraId="773A92DA" w14:textId="77777777" w:rsidTr="00B54007">
              <w:tc>
                <w:tcPr>
                  <w:tcW w:w="1842" w:type="pct"/>
                  <w:shd w:val="clear" w:color="auto" w:fill="F2F2F2" w:themeFill="background1" w:themeFillShade="F2"/>
                  <w:vAlign w:val="bottom"/>
                </w:tcPr>
                <w:p w14:paraId="28C0D85C" w14:textId="77777777" w:rsidR="0011262F" w:rsidRDefault="0011262F" w:rsidP="00B54007">
                  <w:pPr>
                    <w:pStyle w:val="TableBodyText"/>
                    <w:jc w:val="left"/>
                  </w:pPr>
                  <w:r w:rsidRPr="00C358C1">
                    <w:t>PRC x Listed Property</w:t>
                  </w:r>
                </w:p>
              </w:tc>
              <w:tc>
                <w:tcPr>
                  <w:tcW w:w="632" w:type="pct"/>
                  <w:shd w:val="clear" w:color="auto" w:fill="F2F2F2" w:themeFill="background1" w:themeFillShade="F2"/>
                </w:tcPr>
                <w:p w14:paraId="0938F9C6" w14:textId="77777777" w:rsidR="0011262F" w:rsidRDefault="0011262F" w:rsidP="00B54007">
                  <w:pPr>
                    <w:pStyle w:val="TableBodyText"/>
                    <w:ind w:right="28"/>
                  </w:pPr>
                  <w:r w:rsidRPr="00677285">
                    <w:t>0.076</w:t>
                  </w:r>
                </w:p>
              </w:tc>
              <w:tc>
                <w:tcPr>
                  <w:tcW w:w="632" w:type="pct"/>
                  <w:shd w:val="clear" w:color="auto" w:fill="F2F2F2" w:themeFill="background1" w:themeFillShade="F2"/>
                </w:tcPr>
                <w:p w14:paraId="69D2C4D1" w14:textId="77777777" w:rsidR="0011262F" w:rsidRDefault="0011262F" w:rsidP="00B54007">
                  <w:pPr>
                    <w:pStyle w:val="TableBodyText"/>
                    <w:ind w:right="28"/>
                  </w:pPr>
                  <w:r w:rsidRPr="00677285">
                    <w:t>0.042</w:t>
                  </w:r>
                </w:p>
              </w:tc>
              <w:tc>
                <w:tcPr>
                  <w:tcW w:w="632" w:type="pct"/>
                  <w:shd w:val="clear" w:color="auto" w:fill="F2F2F2" w:themeFill="background1" w:themeFillShade="F2"/>
                </w:tcPr>
                <w:p w14:paraId="55D5865A" w14:textId="77777777" w:rsidR="0011262F" w:rsidRDefault="0011262F" w:rsidP="00B54007">
                  <w:pPr>
                    <w:pStyle w:val="TableBodyText"/>
                    <w:ind w:right="28"/>
                  </w:pPr>
                  <w:r w:rsidRPr="00677285">
                    <w:t>-0.008</w:t>
                  </w:r>
                </w:p>
              </w:tc>
              <w:tc>
                <w:tcPr>
                  <w:tcW w:w="632" w:type="pct"/>
                  <w:shd w:val="clear" w:color="auto" w:fill="F2F2F2" w:themeFill="background1" w:themeFillShade="F2"/>
                </w:tcPr>
                <w:p w14:paraId="7B901145" w14:textId="77777777" w:rsidR="0011262F" w:rsidRDefault="0011262F" w:rsidP="00B54007">
                  <w:pPr>
                    <w:pStyle w:val="TableBodyText"/>
                    <w:ind w:right="28"/>
                  </w:pPr>
                  <w:r w:rsidRPr="00677285">
                    <w:t>0.076</w:t>
                  </w:r>
                </w:p>
              </w:tc>
              <w:tc>
                <w:tcPr>
                  <w:tcW w:w="630" w:type="pct"/>
                  <w:shd w:val="clear" w:color="auto" w:fill="F2F2F2" w:themeFill="background1" w:themeFillShade="F2"/>
                </w:tcPr>
                <w:p w14:paraId="60F37774" w14:textId="77777777" w:rsidR="0011262F" w:rsidRDefault="0011262F" w:rsidP="00B54007">
                  <w:pPr>
                    <w:pStyle w:val="TableBodyText"/>
                  </w:pPr>
                  <w:r w:rsidRPr="00677285">
                    <w:t>0.159</w:t>
                  </w:r>
                </w:p>
              </w:tc>
            </w:tr>
            <w:tr w:rsidR="0011262F" w14:paraId="6ECD9C18" w14:textId="77777777" w:rsidTr="00B54007">
              <w:tc>
                <w:tcPr>
                  <w:tcW w:w="1842" w:type="pct"/>
                  <w:shd w:val="clear" w:color="auto" w:fill="auto"/>
                  <w:vAlign w:val="bottom"/>
                </w:tcPr>
                <w:p w14:paraId="1D209CC0" w14:textId="77777777" w:rsidR="0011262F" w:rsidRDefault="0011262F" w:rsidP="00B54007">
                  <w:pPr>
                    <w:pStyle w:val="TableBodyText"/>
                    <w:jc w:val="left"/>
                  </w:pPr>
                  <w:r w:rsidRPr="00C358C1">
                    <w:t>PRC x Unlisted property</w:t>
                  </w:r>
                </w:p>
              </w:tc>
              <w:tc>
                <w:tcPr>
                  <w:tcW w:w="632" w:type="pct"/>
                </w:tcPr>
                <w:p w14:paraId="072A266E" w14:textId="77777777" w:rsidR="0011262F" w:rsidRDefault="0011262F" w:rsidP="00B54007">
                  <w:pPr>
                    <w:pStyle w:val="TableBodyText"/>
                    <w:ind w:right="28"/>
                  </w:pPr>
                  <w:r w:rsidRPr="00677285">
                    <w:t>-0.129</w:t>
                  </w:r>
                </w:p>
              </w:tc>
              <w:tc>
                <w:tcPr>
                  <w:tcW w:w="632" w:type="pct"/>
                  <w:shd w:val="clear" w:color="auto" w:fill="auto"/>
                </w:tcPr>
                <w:p w14:paraId="7710F1AB" w14:textId="77777777" w:rsidR="0011262F" w:rsidRDefault="0011262F" w:rsidP="00B54007">
                  <w:pPr>
                    <w:pStyle w:val="TableBodyText"/>
                    <w:ind w:right="28"/>
                  </w:pPr>
                  <w:r w:rsidRPr="00677285">
                    <w:t>0.041</w:t>
                  </w:r>
                </w:p>
              </w:tc>
              <w:tc>
                <w:tcPr>
                  <w:tcW w:w="632" w:type="pct"/>
                  <w:shd w:val="clear" w:color="auto" w:fill="auto"/>
                </w:tcPr>
                <w:p w14:paraId="601437A9" w14:textId="77777777" w:rsidR="0011262F" w:rsidRDefault="0011262F" w:rsidP="00B54007">
                  <w:pPr>
                    <w:pStyle w:val="TableBodyText"/>
                    <w:ind w:right="28"/>
                  </w:pPr>
                  <w:r w:rsidRPr="00677285">
                    <w:t>-0.207</w:t>
                  </w:r>
                </w:p>
              </w:tc>
              <w:tc>
                <w:tcPr>
                  <w:tcW w:w="632" w:type="pct"/>
                </w:tcPr>
                <w:p w14:paraId="02A8490E" w14:textId="77777777" w:rsidR="0011262F" w:rsidRDefault="0011262F" w:rsidP="00B54007">
                  <w:pPr>
                    <w:pStyle w:val="TableBodyText"/>
                    <w:ind w:right="28"/>
                  </w:pPr>
                  <w:r w:rsidRPr="00677285">
                    <w:t>-0.129</w:t>
                  </w:r>
                </w:p>
              </w:tc>
              <w:tc>
                <w:tcPr>
                  <w:tcW w:w="630" w:type="pct"/>
                </w:tcPr>
                <w:p w14:paraId="0D075ED4" w14:textId="77777777" w:rsidR="0011262F" w:rsidRDefault="0011262F" w:rsidP="00B54007">
                  <w:pPr>
                    <w:pStyle w:val="TableBodyText"/>
                  </w:pPr>
                  <w:r w:rsidRPr="00677285">
                    <w:t>-0.050</w:t>
                  </w:r>
                </w:p>
              </w:tc>
            </w:tr>
            <w:tr w:rsidR="0011262F" w14:paraId="75C79D4E" w14:textId="77777777" w:rsidTr="00B54007">
              <w:tc>
                <w:tcPr>
                  <w:tcW w:w="1842" w:type="pct"/>
                  <w:shd w:val="clear" w:color="auto" w:fill="F2F2F2" w:themeFill="background1" w:themeFillShade="F2"/>
                  <w:vAlign w:val="bottom"/>
                </w:tcPr>
                <w:p w14:paraId="60EA3493" w14:textId="77777777" w:rsidR="0011262F" w:rsidRDefault="0011262F" w:rsidP="00B54007">
                  <w:pPr>
                    <w:pStyle w:val="TableBodyText"/>
                    <w:jc w:val="left"/>
                  </w:pPr>
                  <w:r w:rsidRPr="00C358C1">
                    <w:t>PRC x Other</w:t>
                  </w:r>
                </w:p>
              </w:tc>
              <w:tc>
                <w:tcPr>
                  <w:tcW w:w="632" w:type="pct"/>
                  <w:shd w:val="clear" w:color="auto" w:fill="F2F2F2" w:themeFill="background1" w:themeFillShade="F2"/>
                </w:tcPr>
                <w:p w14:paraId="13EFE3AA" w14:textId="77777777" w:rsidR="0011262F" w:rsidRDefault="0011262F" w:rsidP="00B54007">
                  <w:pPr>
                    <w:pStyle w:val="TableBodyText"/>
                    <w:ind w:right="28"/>
                  </w:pPr>
                  <w:r w:rsidRPr="00677285">
                    <w:t>-0.049</w:t>
                  </w:r>
                </w:p>
              </w:tc>
              <w:tc>
                <w:tcPr>
                  <w:tcW w:w="632" w:type="pct"/>
                  <w:shd w:val="clear" w:color="auto" w:fill="F2F2F2" w:themeFill="background1" w:themeFillShade="F2"/>
                </w:tcPr>
                <w:p w14:paraId="74FDB8B0" w14:textId="77777777" w:rsidR="0011262F" w:rsidRDefault="0011262F" w:rsidP="00B54007">
                  <w:pPr>
                    <w:pStyle w:val="TableBodyText"/>
                    <w:ind w:right="28"/>
                  </w:pPr>
                  <w:r w:rsidRPr="00677285">
                    <w:t>0.055</w:t>
                  </w:r>
                </w:p>
              </w:tc>
              <w:tc>
                <w:tcPr>
                  <w:tcW w:w="632" w:type="pct"/>
                  <w:shd w:val="clear" w:color="auto" w:fill="F2F2F2" w:themeFill="background1" w:themeFillShade="F2"/>
                </w:tcPr>
                <w:p w14:paraId="44A3202A" w14:textId="77777777" w:rsidR="0011262F" w:rsidRDefault="0011262F" w:rsidP="00B54007">
                  <w:pPr>
                    <w:pStyle w:val="TableBodyText"/>
                    <w:ind w:right="28"/>
                  </w:pPr>
                  <w:r w:rsidRPr="00677285">
                    <w:t>-0.156</w:t>
                  </w:r>
                </w:p>
              </w:tc>
              <w:tc>
                <w:tcPr>
                  <w:tcW w:w="632" w:type="pct"/>
                  <w:shd w:val="clear" w:color="auto" w:fill="F2F2F2" w:themeFill="background1" w:themeFillShade="F2"/>
                </w:tcPr>
                <w:p w14:paraId="4115B836" w14:textId="77777777" w:rsidR="0011262F" w:rsidRDefault="0011262F" w:rsidP="00B54007">
                  <w:pPr>
                    <w:pStyle w:val="TableBodyText"/>
                    <w:ind w:right="28"/>
                  </w:pPr>
                  <w:r w:rsidRPr="00677285">
                    <w:t>-0.052</w:t>
                  </w:r>
                </w:p>
              </w:tc>
              <w:tc>
                <w:tcPr>
                  <w:tcW w:w="630" w:type="pct"/>
                  <w:shd w:val="clear" w:color="auto" w:fill="F2F2F2" w:themeFill="background1" w:themeFillShade="F2"/>
                </w:tcPr>
                <w:p w14:paraId="7948B7FF" w14:textId="77777777" w:rsidR="0011262F" w:rsidRDefault="0011262F" w:rsidP="00B54007">
                  <w:pPr>
                    <w:pStyle w:val="TableBodyText"/>
                  </w:pPr>
                  <w:r w:rsidRPr="00677285">
                    <w:t>0.063</w:t>
                  </w:r>
                </w:p>
              </w:tc>
            </w:tr>
            <w:tr w:rsidR="0011262F" w14:paraId="6A670B2C" w14:textId="77777777" w:rsidTr="00B54007">
              <w:tc>
                <w:tcPr>
                  <w:tcW w:w="1842" w:type="pct"/>
                  <w:shd w:val="clear" w:color="auto" w:fill="auto"/>
                  <w:vAlign w:val="bottom"/>
                </w:tcPr>
                <w:p w14:paraId="05EABA4B" w14:textId="77777777" w:rsidR="0011262F" w:rsidRDefault="0011262F" w:rsidP="00B54007">
                  <w:pPr>
                    <w:pStyle w:val="TableBodyText"/>
                    <w:jc w:val="left"/>
                  </w:pPr>
                  <w:r w:rsidRPr="00C358C1">
                    <w:t>Intercept</w:t>
                  </w:r>
                </w:p>
              </w:tc>
              <w:tc>
                <w:tcPr>
                  <w:tcW w:w="632" w:type="pct"/>
                </w:tcPr>
                <w:p w14:paraId="18F97397" w14:textId="77777777" w:rsidR="0011262F" w:rsidRDefault="0011262F" w:rsidP="00B54007">
                  <w:pPr>
                    <w:pStyle w:val="TableBodyText"/>
                    <w:ind w:right="28"/>
                  </w:pPr>
                  <w:r w:rsidRPr="00677285">
                    <w:t>-1.682</w:t>
                  </w:r>
                </w:p>
              </w:tc>
              <w:tc>
                <w:tcPr>
                  <w:tcW w:w="632" w:type="pct"/>
                  <w:shd w:val="clear" w:color="auto" w:fill="auto"/>
                </w:tcPr>
                <w:p w14:paraId="34D41F01" w14:textId="77777777" w:rsidR="0011262F" w:rsidRDefault="0011262F" w:rsidP="00B54007">
                  <w:pPr>
                    <w:pStyle w:val="TableBodyText"/>
                    <w:ind w:right="28"/>
                  </w:pPr>
                  <w:r w:rsidRPr="00677285">
                    <w:t>0.190</w:t>
                  </w:r>
                </w:p>
              </w:tc>
              <w:tc>
                <w:tcPr>
                  <w:tcW w:w="632" w:type="pct"/>
                  <w:shd w:val="clear" w:color="auto" w:fill="auto"/>
                </w:tcPr>
                <w:p w14:paraId="48B63737" w14:textId="77777777" w:rsidR="0011262F" w:rsidRDefault="0011262F" w:rsidP="00B54007">
                  <w:pPr>
                    <w:pStyle w:val="TableBodyText"/>
                    <w:ind w:right="28"/>
                  </w:pPr>
                  <w:r w:rsidRPr="00677285">
                    <w:t>-2.052</w:t>
                  </w:r>
                </w:p>
              </w:tc>
              <w:tc>
                <w:tcPr>
                  <w:tcW w:w="632" w:type="pct"/>
                </w:tcPr>
                <w:p w14:paraId="11710842" w14:textId="77777777" w:rsidR="0011262F" w:rsidRDefault="0011262F" w:rsidP="00B54007">
                  <w:pPr>
                    <w:pStyle w:val="TableBodyText"/>
                    <w:ind w:right="28"/>
                  </w:pPr>
                  <w:r w:rsidRPr="00677285">
                    <w:t>-1.688</w:t>
                  </w:r>
                </w:p>
              </w:tc>
              <w:tc>
                <w:tcPr>
                  <w:tcW w:w="630" w:type="pct"/>
                </w:tcPr>
                <w:p w14:paraId="38568632" w14:textId="77777777" w:rsidR="0011262F" w:rsidRDefault="0011262F" w:rsidP="00B54007">
                  <w:pPr>
                    <w:pStyle w:val="TableBodyText"/>
                  </w:pPr>
                  <w:r w:rsidRPr="00677285">
                    <w:t>-1.296</w:t>
                  </w:r>
                </w:p>
              </w:tc>
            </w:tr>
            <w:tr w:rsidR="0011262F" w14:paraId="43F7962F" w14:textId="77777777" w:rsidTr="00B54007">
              <w:tc>
                <w:tcPr>
                  <w:tcW w:w="1842" w:type="pct"/>
                  <w:shd w:val="clear" w:color="auto" w:fill="F2F2F2" w:themeFill="background1" w:themeFillShade="F2"/>
                  <w:vAlign w:val="bottom"/>
                </w:tcPr>
                <w:p w14:paraId="0E247D1D" w14:textId="77777777" w:rsidR="0011262F" w:rsidRDefault="0011262F" w:rsidP="00B54007">
                  <w:pPr>
                    <w:pStyle w:val="TableBodyText"/>
                    <w:jc w:val="left"/>
                  </w:pPr>
                  <w:r w:rsidRPr="00C358C1">
                    <w:t>SD of varying Intercept</w:t>
                  </w:r>
                </w:p>
              </w:tc>
              <w:tc>
                <w:tcPr>
                  <w:tcW w:w="632" w:type="pct"/>
                  <w:shd w:val="clear" w:color="auto" w:fill="F2F2F2" w:themeFill="background1" w:themeFillShade="F2"/>
                </w:tcPr>
                <w:p w14:paraId="28E08B1E" w14:textId="77777777" w:rsidR="0011262F" w:rsidRDefault="0011262F" w:rsidP="00B54007">
                  <w:pPr>
                    <w:pStyle w:val="TableBodyText"/>
                    <w:ind w:right="28"/>
                  </w:pPr>
                  <w:r w:rsidRPr="00677285">
                    <w:t>0.270</w:t>
                  </w:r>
                </w:p>
              </w:tc>
              <w:tc>
                <w:tcPr>
                  <w:tcW w:w="632" w:type="pct"/>
                  <w:shd w:val="clear" w:color="auto" w:fill="F2F2F2" w:themeFill="background1" w:themeFillShade="F2"/>
                </w:tcPr>
                <w:p w14:paraId="4945BF9C" w14:textId="77777777" w:rsidR="0011262F" w:rsidRDefault="0011262F" w:rsidP="00B54007">
                  <w:pPr>
                    <w:pStyle w:val="TableBodyText"/>
                    <w:ind w:right="28"/>
                  </w:pPr>
                  <w:r w:rsidRPr="00677285">
                    <w:t>0.065</w:t>
                  </w:r>
                </w:p>
              </w:tc>
              <w:tc>
                <w:tcPr>
                  <w:tcW w:w="632" w:type="pct"/>
                  <w:shd w:val="clear" w:color="auto" w:fill="F2F2F2" w:themeFill="background1" w:themeFillShade="F2"/>
                </w:tcPr>
                <w:p w14:paraId="13D4A8FA" w14:textId="77777777" w:rsidR="0011262F" w:rsidRDefault="0011262F" w:rsidP="00B54007">
                  <w:pPr>
                    <w:pStyle w:val="TableBodyText"/>
                    <w:ind w:right="28"/>
                  </w:pPr>
                  <w:r w:rsidRPr="00677285">
                    <w:t>0.148</w:t>
                  </w:r>
                </w:p>
              </w:tc>
              <w:tc>
                <w:tcPr>
                  <w:tcW w:w="632" w:type="pct"/>
                  <w:shd w:val="clear" w:color="auto" w:fill="F2F2F2" w:themeFill="background1" w:themeFillShade="F2"/>
                </w:tcPr>
                <w:p w14:paraId="60634879" w14:textId="77777777" w:rsidR="0011262F" w:rsidRDefault="0011262F" w:rsidP="00B54007">
                  <w:pPr>
                    <w:pStyle w:val="TableBodyText"/>
                    <w:ind w:right="28"/>
                  </w:pPr>
                  <w:r w:rsidRPr="00677285">
                    <w:t>0.268</w:t>
                  </w:r>
                </w:p>
              </w:tc>
              <w:tc>
                <w:tcPr>
                  <w:tcW w:w="630" w:type="pct"/>
                  <w:shd w:val="clear" w:color="auto" w:fill="F2F2F2" w:themeFill="background1" w:themeFillShade="F2"/>
                </w:tcPr>
                <w:p w14:paraId="5BE03900" w14:textId="77777777" w:rsidR="0011262F" w:rsidRDefault="0011262F" w:rsidP="00B54007">
                  <w:pPr>
                    <w:pStyle w:val="TableBodyText"/>
                  </w:pPr>
                  <w:r w:rsidRPr="00677285">
                    <w:t>0.393</w:t>
                  </w:r>
                </w:p>
              </w:tc>
            </w:tr>
            <w:tr w:rsidR="0011262F" w14:paraId="6F6C10FC" w14:textId="77777777" w:rsidTr="00B54007">
              <w:tc>
                <w:tcPr>
                  <w:tcW w:w="1842" w:type="pct"/>
                  <w:shd w:val="clear" w:color="auto" w:fill="auto"/>
                  <w:vAlign w:val="bottom"/>
                </w:tcPr>
                <w:p w14:paraId="0C49531B" w14:textId="77777777" w:rsidR="0011262F" w:rsidRDefault="0011262F" w:rsidP="00B54007">
                  <w:pPr>
                    <w:pStyle w:val="TableBodyText"/>
                    <w:jc w:val="left"/>
                  </w:pPr>
                  <w:r w:rsidRPr="00C358C1">
                    <w:t xml:space="preserve">SD of varying </w:t>
                  </w:r>
                  <w:r>
                    <w:t xml:space="preserve">slope: </w:t>
                  </w:r>
                  <w:r w:rsidRPr="00C358C1">
                    <w:t>Assets</w:t>
                  </w:r>
                </w:p>
              </w:tc>
              <w:tc>
                <w:tcPr>
                  <w:tcW w:w="632" w:type="pct"/>
                </w:tcPr>
                <w:p w14:paraId="7405F7F7" w14:textId="77777777" w:rsidR="0011262F" w:rsidRDefault="0011262F" w:rsidP="00B54007">
                  <w:pPr>
                    <w:pStyle w:val="TableBodyText"/>
                    <w:ind w:right="28"/>
                  </w:pPr>
                  <w:r w:rsidRPr="00677285">
                    <w:t>0.101</w:t>
                  </w:r>
                </w:p>
              </w:tc>
              <w:tc>
                <w:tcPr>
                  <w:tcW w:w="632" w:type="pct"/>
                  <w:shd w:val="clear" w:color="auto" w:fill="auto"/>
                </w:tcPr>
                <w:p w14:paraId="2406B1AC" w14:textId="77777777" w:rsidR="0011262F" w:rsidRDefault="0011262F" w:rsidP="00B54007">
                  <w:pPr>
                    <w:pStyle w:val="TableBodyText"/>
                    <w:ind w:right="28"/>
                  </w:pPr>
                  <w:r w:rsidRPr="00677285">
                    <w:t>0.008</w:t>
                  </w:r>
                </w:p>
              </w:tc>
              <w:tc>
                <w:tcPr>
                  <w:tcW w:w="632" w:type="pct"/>
                  <w:shd w:val="clear" w:color="auto" w:fill="auto"/>
                </w:tcPr>
                <w:p w14:paraId="2FDADF8A" w14:textId="77777777" w:rsidR="0011262F" w:rsidRDefault="0011262F" w:rsidP="00B54007">
                  <w:pPr>
                    <w:pStyle w:val="TableBodyText"/>
                    <w:ind w:right="28"/>
                  </w:pPr>
                  <w:r w:rsidRPr="00677285">
                    <w:t>0.084</w:t>
                  </w:r>
                </w:p>
              </w:tc>
              <w:tc>
                <w:tcPr>
                  <w:tcW w:w="632" w:type="pct"/>
                </w:tcPr>
                <w:p w14:paraId="7ABE729E" w14:textId="77777777" w:rsidR="0011262F" w:rsidRDefault="0011262F" w:rsidP="00B54007">
                  <w:pPr>
                    <w:pStyle w:val="TableBodyText"/>
                    <w:ind w:right="28"/>
                  </w:pPr>
                  <w:r w:rsidRPr="00677285">
                    <w:t>0.101</w:t>
                  </w:r>
                </w:p>
              </w:tc>
              <w:tc>
                <w:tcPr>
                  <w:tcW w:w="630" w:type="pct"/>
                </w:tcPr>
                <w:p w14:paraId="77400E28" w14:textId="77777777" w:rsidR="0011262F" w:rsidRDefault="0011262F" w:rsidP="00B54007">
                  <w:pPr>
                    <w:pStyle w:val="TableBodyText"/>
                  </w:pPr>
                  <w:r w:rsidRPr="00677285">
                    <w:t>0.115</w:t>
                  </w:r>
                </w:p>
              </w:tc>
            </w:tr>
            <w:tr w:rsidR="0011262F" w14:paraId="6C9F21BB" w14:textId="77777777" w:rsidTr="00B54007">
              <w:tc>
                <w:tcPr>
                  <w:tcW w:w="1842" w:type="pct"/>
                  <w:tcBorders>
                    <w:bottom w:val="single" w:sz="6" w:space="0" w:color="BFBFBF" w:themeColor="background1" w:themeShade="BF"/>
                  </w:tcBorders>
                  <w:shd w:val="clear" w:color="auto" w:fill="F2F2F2" w:themeFill="background1" w:themeFillShade="F2"/>
                  <w:vAlign w:val="bottom"/>
                </w:tcPr>
                <w:p w14:paraId="1FD48883" w14:textId="77777777" w:rsidR="0011262F" w:rsidRDefault="0011262F" w:rsidP="00B54007">
                  <w:pPr>
                    <w:pStyle w:val="TableBodyText"/>
                    <w:jc w:val="left"/>
                  </w:pPr>
                  <w:r w:rsidRPr="00C358C1">
                    <w:t xml:space="preserve">SD of varying </w:t>
                  </w:r>
                  <w:r>
                    <w:t xml:space="preserve">slope: </w:t>
                  </w:r>
                  <w:r w:rsidRPr="00C358C1">
                    <w:t>Other</w:t>
                  </w:r>
                </w:p>
              </w:tc>
              <w:tc>
                <w:tcPr>
                  <w:tcW w:w="632" w:type="pct"/>
                  <w:tcBorders>
                    <w:bottom w:val="single" w:sz="6" w:space="0" w:color="BFBFBF" w:themeColor="background1" w:themeShade="BF"/>
                  </w:tcBorders>
                  <w:shd w:val="clear" w:color="auto" w:fill="F2F2F2" w:themeFill="background1" w:themeFillShade="F2"/>
                </w:tcPr>
                <w:p w14:paraId="3785D1E6" w14:textId="77777777" w:rsidR="0011262F" w:rsidRDefault="0011262F" w:rsidP="00B54007">
                  <w:pPr>
                    <w:pStyle w:val="TableBodyText"/>
                    <w:ind w:right="28"/>
                  </w:pPr>
                  <w:r w:rsidRPr="00677285">
                    <w:t>0.430</w:t>
                  </w:r>
                </w:p>
              </w:tc>
              <w:tc>
                <w:tcPr>
                  <w:tcW w:w="632" w:type="pct"/>
                  <w:tcBorders>
                    <w:bottom w:val="single" w:sz="6" w:space="0" w:color="BFBFBF" w:themeColor="background1" w:themeShade="BF"/>
                  </w:tcBorders>
                  <w:shd w:val="clear" w:color="auto" w:fill="F2F2F2" w:themeFill="background1" w:themeFillShade="F2"/>
                </w:tcPr>
                <w:p w14:paraId="23D222E6" w14:textId="77777777" w:rsidR="0011262F" w:rsidRDefault="0011262F" w:rsidP="00B54007">
                  <w:pPr>
                    <w:pStyle w:val="TableBodyText"/>
                    <w:ind w:right="28"/>
                  </w:pPr>
                  <w:r w:rsidRPr="00677285">
                    <w:t>0.047</w:t>
                  </w:r>
                </w:p>
              </w:tc>
              <w:tc>
                <w:tcPr>
                  <w:tcW w:w="632" w:type="pct"/>
                  <w:tcBorders>
                    <w:bottom w:val="single" w:sz="6" w:space="0" w:color="BFBFBF" w:themeColor="background1" w:themeShade="BF"/>
                  </w:tcBorders>
                  <w:shd w:val="clear" w:color="auto" w:fill="F2F2F2" w:themeFill="background1" w:themeFillShade="F2"/>
                </w:tcPr>
                <w:p w14:paraId="4F9189D3" w14:textId="77777777" w:rsidR="0011262F" w:rsidRDefault="0011262F" w:rsidP="00B54007">
                  <w:pPr>
                    <w:pStyle w:val="TableBodyText"/>
                    <w:ind w:right="28"/>
                  </w:pPr>
                  <w:r w:rsidRPr="00677285">
                    <w:t>0.340</w:t>
                  </w:r>
                </w:p>
              </w:tc>
              <w:tc>
                <w:tcPr>
                  <w:tcW w:w="632" w:type="pct"/>
                  <w:tcBorders>
                    <w:bottom w:val="single" w:sz="6" w:space="0" w:color="BFBFBF" w:themeColor="background1" w:themeShade="BF"/>
                  </w:tcBorders>
                  <w:shd w:val="clear" w:color="auto" w:fill="F2F2F2" w:themeFill="background1" w:themeFillShade="F2"/>
                </w:tcPr>
                <w:p w14:paraId="1D614D4E" w14:textId="77777777" w:rsidR="0011262F" w:rsidRDefault="0011262F" w:rsidP="00B54007">
                  <w:pPr>
                    <w:pStyle w:val="TableBodyText"/>
                    <w:ind w:right="28"/>
                  </w:pPr>
                  <w:r w:rsidRPr="00677285">
                    <w:t>0.430</w:t>
                  </w:r>
                </w:p>
              </w:tc>
              <w:tc>
                <w:tcPr>
                  <w:tcW w:w="630" w:type="pct"/>
                  <w:tcBorders>
                    <w:bottom w:val="single" w:sz="6" w:space="0" w:color="BFBFBF" w:themeColor="background1" w:themeShade="BF"/>
                  </w:tcBorders>
                  <w:shd w:val="clear" w:color="auto" w:fill="F2F2F2" w:themeFill="background1" w:themeFillShade="F2"/>
                </w:tcPr>
                <w:p w14:paraId="38DF6129" w14:textId="77777777" w:rsidR="0011262F" w:rsidRDefault="0011262F" w:rsidP="00B54007">
                  <w:pPr>
                    <w:pStyle w:val="TableBodyText"/>
                  </w:pPr>
                  <w:r w:rsidRPr="00677285">
                    <w:t>0.528</w:t>
                  </w:r>
                </w:p>
              </w:tc>
            </w:tr>
          </w:tbl>
          <w:p w14:paraId="2FDDF9D9" w14:textId="77777777" w:rsidR="0011262F" w:rsidRDefault="0011262F" w:rsidP="00B54007">
            <w:pPr>
              <w:pStyle w:val="Box"/>
            </w:pPr>
          </w:p>
        </w:tc>
      </w:tr>
      <w:tr w:rsidR="0011262F" w14:paraId="471F342E" w14:textId="77777777" w:rsidTr="00B54007">
        <w:tc>
          <w:tcPr>
            <w:tcW w:w="5000" w:type="pct"/>
            <w:tcBorders>
              <w:top w:val="nil"/>
              <w:left w:val="nil"/>
              <w:bottom w:val="nil"/>
              <w:right w:val="nil"/>
            </w:tcBorders>
            <w:shd w:val="clear" w:color="auto" w:fill="auto"/>
          </w:tcPr>
          <w:p w14:paraId="6F7A6FC8" w14:textId="77777777" w:rsidR="0011262F" w:rsidRDefault="0011262F" w:rsidP="00B54007">
            <w:pPr>
              <w:pStyle w:val="Continued"/>
            </w:pPr>
            <w:r>
              <w:t>(continued next page)</w:t>
            </w:r>
          </w:p>
        </w:tc>
      </w:tr>
      <w:tr w:rsidR="0011262F" w14:paraId="0EA4B308" w14:textId="77777777" w:rsidTr="00B54007">
        <w:tc>
          <w:tcPr>
            <w:tcW w:w="5000" w:type="pct"/>
            <w:tcBorders>
              <w:top w:val="nil"/>
              <w:left w:val="nil"/>
              <w:bottom w:val="single" w:sz="6" w:space="0" w:color="78A22F"/>
              <w:right w:val="nil"/>
            </w:tcBorders>
            <w:shd w:val="clear" w:color="auto" w:fill="auto"/>
          </w:tcPr>
          <w:p w14:paraId="1321B18A" w14:textId="77777777" w:rsidR="0011262F" w:rsidRDefault="0011262F" w:rsidP="00B54007">
            <w:pPr>
              <w:pStyle w:val="Box"/>
              <w:spacing w:before="0" w:line="120" w:lineRule="exact"/>
            </w:pPr>
          </w:p>
        </w:tc>
      </w:tr>
      <w:tr w:rsidR="0011262F" w:rsidRPr="000863A5" w14:paraId="26A938E9" w14:textId="77777777" w:rsidTr="00B54007">
        <w:tc>
          <w:tcPr>
            <w:tcW w:w="5000" w:type="pct"/>
            <w:tcBorders>
              <w:top w:val="single" w:sz="6" w:space="0" w:color="78A22F"/>
              <w:left w:val="nil"/>
              <w:bottom w:val="nil"/>
              <w:right w:val="nil"/>
            </w:tcBorders>
          </w:tcPr>
          <w:p w14:paraId="5F7500B6" w14:textId="77777777" w:rsidR="0011262F" w:rsidRPr="00626D32" w:rsidRDefault="0011262F" w:rsidP="00B54007">
            <w:pPr>
              <w:pStyle w:val="BoxSpaceBelow"/>
            </w:pPr>
          </w:p>
        </w:tc>
      </w:tr>
    </w:tbl>
    <w:p w14:paraId="44F9009C" w14:textId="77777777" w:rsidR="0011262F" w:rsidRDefault="0011262F" w:rsidP="0011262F">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1262F" w14:paraId="55A596E8" w14:textId="77777777" w:rsidTr="00B54007">
        <w:trPr>
          <w:tblHeader/>
        </w:trPr>
        <w:tc>
          <w:tcPr>
            <w:tcW w:w="5000" w:type="pct"/>
            <w:tcBorders>
              <w:top w:val="single" w:sz="6" w:space="0" w:color="78A22F"/>
              <w:left w:val="nil"/>
              <w:bottom w:val="nil"/>
              <w:right w:val="nil"/>
            </w:tcBorders>
            <w:shd w:val="clear" w:color="auto" w:fill="auto"/>
          </w:tcPr>
          <w:p w14:paraId="1F9942D5" w14:textId="77777777" w:rsidR="0011262F" w:rsidRPr="00784A05" w:rsidRDefault="0011262F" w:rsidP="00B54007">
            <w:pPr>
              <w:pStyle w:val="TableTitle"/>
            </w:pPr>
            <w:r>
              <w:rPr>
                <w:b w:val="0"/>
              </w:rPr>
              <w:t xml:space="preserve">Table </w:t>
            </w:r>
            <w:proofErr w:type="spellStart"/>
            <w:r>
              <w:rPr>
                <w:b w:val="0"/>
              </w:rPr>
              <w:t>E.2</w:t>
            </w:r>
            <w:proofErr w:type="spellEnd"/>
            <w:r>
              <w:tab/>
            </w:r>
            <w:r w:rsidRPr="004B358B">
              <w:rPr>
                <w:b w:val="0"/>
                <w:sz w:val="18"/>
                <w:szCs w:val="18"/>
              </w:rPr>
              <w:t>(continued)</w:t>
            </w:r>
          </w:p>
        </w:tc>
      </w:tr>
      <w:tr w:rsidR="0011262F" w14:paraId="10EE609A" w14:textId="77777777" w:rsidTr="00B54007">
        <w:tc>
          <w:tcPr>
            <w:tcW w:w="5000" w:type="pct"/>
            <w:tcBorders>
              <w:top w:val="nil"/>
              <w:left w:val="nil"/>
              <w:bottom w:val="nil"/>
              <w:right w:val="nil"/>
            </w:tcBorders>
            <w:shd w:val="clear" w:color="auto" w:fill="auto"/>
          </w:tcPr>
          <w:tbl>
            <w:tblPr>
              <w:tblW w:w="8527" w:type="dxa"/>
              <w:tblCellMar>
                <w:top w:w="28" w:type="dxa"/>
                <w:left w:w="0" w:type="dxa"/>
                <w:right w:w="0" w:type="dxa"/>
              </w:tblCellMar>
              <w:tblLook w:val="0000" w:firstRow="0" w:lastRow="0" w:firstColumn="0" w:lastColumn="0" w:noHBand="0" w:noVBand="0"/>
            </w:tblPr>
            <w:tblGrid>
              <w:gridCol w:w="3141"/>
              <w:gridCol w:w="1078"/>
              <w:gridCol w:w="1078"/>
              <w:gridCol w:w="1078"/>
              <w:gridCol w:w="1078"/>
              <w:gridCol w:w="1074"/>
            </w:tblGrid>
            <w:tr w:rsidR="0011262F" w14:paraId="62325CC6" w14:textId="77777777" w:rsidTr="00B54007">
              <w:tc>
                <w:tcPr>
                  <w:tcW w:w="1842" w:type="pct"/>
                  <w:tcBorders>
                    <w:top w:val="single" w:sz="6" w:space="0" w:color="BFBFBF"/>
                    <w:bottom w:val="single" w:sz="6" w:space="0" w:color="BFBFBF"/>
                  </w:tcBorders>
                  <w:shd w:val="clear" w:color="auto" w:fill="auto"/>
                  <w:vAlign w:val="bottom"/>
                </w:tcPr>
                <w:p w14:paraId="4C9B1E98" w14:textId="77777777" w:rsidR="0011262F" w:rsidRDefault="0011262F" w:rsidP="00B54007">
                  <w:pPr>
                    <w:pStyle w:val="TableColumnHeading"/>
                    <w:jc w:val="left"/>
                    <w:rPr>
                      <w:b/>
                    </w:rPr>
                  </w:pPr>
                  <w:r>
                    <w:t>Parameter</w:t>
                  </w:r>
                </w:p>
              </w:tc>
              <w:tc>
                <w:tcPr>
                  <w:tcW w:w="632" w:type="pct"/>
                  <w:tcBorders>
                    <w:top w:val="single" w:sz="6" w:space="0" w:color="BFBFBF"/>
                    <w:bottom w:val="single" w:sz="6" w:space="0" w:color="BFBFBF"/>
                  </w:tcBorders>
                  <w:vAlign w:val="bottom"/>
                </w:tcPr>
                <w:p w14:paraId="75F17EAA" w14:textId="77777777" w:rsidR="0011262F" w:rsidRDefault="0011262F" w:rsidP="00B54007">
                  <w:pPr>
                    <w:pStyle w:val="TableColumnHeading"/>
                  </w:pPr>
                  <w:r>
                    <w:t>Mean</w:t>
                  </w:r>
                </w:p>
              </w:tc>
              <w:tc>
                <w:tcPr>
                  <w:tcW w:w="632" w:type="pct"/>
                  <w:tcBorders>
                    <w:top w:val="single" w:sz="6" w:space="0" w:color="BFBFBF"/>
                    <w:bottom w:val="single" w:sz="6" w:space="0" w:color="BFBFBF"/>
                  </w:tcBorders>
                  <w:shd w:val="clear" w:color="auto" w:fill="auto"/>
                  <w:vAlign w:val="bottom"/>
                </w:tcPr>
                <w:p w14:paraId="4C952A9B" w14:textId="77777777" w:rsidR="0011262F" w:rsidRDefault="0011262F" w:rsidP="00B54007">
                  <w:pPr>
                    <w:pStyle w:val="TableColumnHeading"/>
                  </w:pPr>
                  <w:r>
                    <w:t>Standard deviation</w:t>
                  </w:r>
                </w:p>
              </w:tc>
              <w:tc>
                <w:tcPr>
                  <w:tcW w:w="632" w:type="pct"/>
                  <w:tcBorders>
                    <w:top w:val="single" w:sz="6" w:space="0" w:color="BFBFBF"/>
                    <w:bottom w:val="single" w:sz="6" w:space="0" w:color="BFBFBF"/>
                  </w:tcBorders>
                  <w:shd w:val="clear" w:color="auto" w:fill="auto"/>
                  <w:vAlign w:val="bottom"/>
                </w:tcPr>
                <w:p w14:paraId="1190570D" w14:textId="77777777" w:rsidR="0011262F" w:rsidRDefault="0011262F" w:rsidP="00B54007">
                  <w:pPr>
                    <w:pStyle w:val="TableColumnHeading"/>
                  </w:pPr>
                  <w:r>
                    <w:t>2.5 percentile</w:t>
                  </w:r>
                </w:p>
              </w:tc>
              <w:tc>
                <w:tcPr>
                  <w:tcW w:w="632" w:type="pct"/>
                  <w:tcBorders>
                    <w:top w:val="single" w:sz="6" w:space="0" w:color="BFBFBF"/>
                    <w:bottom w:val="single" w:sz="6" w:space="0" w:color="BFBFBF"/>
                  </w:tcBorders>
                  <w:vAlign w:val="bottom"/>
                </w:tcPr>
                <w:p w14:paraId="69683FEC" w14:textId="77777777" w:rsidR="0011262F" w:rsidRDefault="0011262F" w:rsidP="00B54007">
                  <w:pPr>
                    <w:pStyle w:val="TableColumnHeading"/>
                  </w:pPr>
                  <w:r>
                    <w:t>Median</w:t>
                  </w:r>
                </w:p>
              </w:tc>
              <w:tc>
                <w:tcPr>
                  <w:tcW w:w="630" w:type="pct"/>
                  <w:tcBorders>
                    <w:top w:val="single" w:sz="6" w:space="0" w:color="BFBFBF"/>
                    <w:bottom w:val="single" w:sz="6" w:space="0" w:color="BFBFBF"/>
                  </w:tcBorders>
                  <w:vAlign w:val="bottom"/>
                </w:tcPr>
                <w:p w14:paraId="5F693565" w14:textId="77777777" w:rsidR="0011262F" w:rsidRDefault="0011262F" w:rsidP="00B54007">
                  <w:pPr>
                    <w:pStyle w:val="TableColumnHeading"/>
                  </w:pPr>
                  <w:r>
                    <w:t>97.5 percentile</w:t>
                  </w:r>
                </w:p>
              </w:tc>
            </w:tr>
            <w:tr w:rsidR="0011262F" w14:paraId="3994F593" w14:textId="77777777" w:rsidTr="00B54007">
              <w:tc>
                <w:tcPr>
                  <w:tcW w:w="1842" w:type="pct"/>
                  <w:tcBorders>
                    <w:top w:val="single" w:sz="6" w:space="0" w:color="BFBFBF"/>
                  </w:tcBorders>
                  <w:shd w:val="clear" w:color="auto" w:fill="BFBFBF" w:themeFill="background1" w:themeFillShade="BF"/>
                  <w:vAlign w:val="bottom"/>
                </w:tcPr>
                <w:p w14:paraId="411E0626" w14:textId="77777777" w:rsidR="0011262F" w:rsidRPr="0099011F" w:rsidRDefault="0011262F" w:rsidP="00B54007">
                  <w:pPr>
                    <w:pStyle w:val="TableBodyText"/>
                    <w:jc w:val="left"/>
                    <w:rPr>
                      <w:b/>
                    </w:rPr>
                  </w:pPr>
                  <w:r w:rsidRPr="00C358C1">
                    <w:rPr>
                      <w:b/>
                    </w:rPr>
                    <w:t>Number of investment options</w:t>
                  </w:r>
                </w:p>
              </w:tc>
              <w:tc>
                <w:tcPr>
                  <w:tcW w:w="632" w:type="pct"/>
                  <w:tcBorders>
                    <w:top w:val="single" w:sz="6" w:space="0" w:color="BFBFBF"/>
                  </w:tcBorders>
                  <w:shd w:val="clear" w:color="auto" w:fill="BFBFBF" w:themeFill="background1" w:themeFillShade="BF"/>
                  <w:vAlign w:val="bottom"/>
                </w:tcPr>
                <w:p w14:paraId="37DEC110" w14:textId="77777777" w:rsidR="0011262F" w:rsidRDefault="0011262F" w:rsidP="00B54007">
                  <w:pPr>
                    <w:pStyle w:val="TableBodyText"/>
                  </w:pPr>
                </w:p>
              </w:tc>
              <w:tc>
                <w:tcPr>
                  <w:tcW w:w="632" w:type="pct"/>
                  <w:tcBorders>
                    <w:top w:val="single" w:sz="6" w:space="0" w:color="BFBFBF"/>
                  </w:tcBorders>
                  <w:shd w:val="clear" w:color="auto" w:fill="BFBFBF" w:themeFill="background1" w:themeFillShade="BF"/>
                  <w:vAlign w:val="bottom"/>
                </w:tcPr>
                <w:p w14:paraId="77A153CF" w14:textId="77777777" w:rsidR="0011262F" w:rsidRDefault="0011262F" w:rsidP="00B54007">
                  <w:pPr>
                    <w:pStyle w:val="TableBodyText"/>
                  </w:pPr>
                </w:p>
              </w:tc>
              <w:tc>
                <w:tcPr>
                  <w:tcW w:w="632" w:type="pct"/>
                  <w:tcBorders>
                    <w:top w:val="single" w:sz="6" w:space="0" w:color="BFBFBF"/>
                  </w:tcBorders>
                  <w:shd w:val="clear" w:color="auto" w:fill="BFBFBF" w:themeFill="background1" w:themeFillShade="BF"/>
                  <w:vAlign w:val="bottom"/>
                </w:tcPr>
                <w:p w14:paraId="0319139B" w14:textId="77777777" w:rsidR="0011262F" w:rsidRDefault="0011262F" w:rsidP="00B54007">
                  <w:pPr>
                    <w:pStyle w:val="TableBodyText"/>
                    <w:ind w:right="28"/>
                  </w:pPr>
                </w:p>
              </w:tc>
              <w:tc>
                <w:tcPr>
                  <w:tcW w:w="632" w:type="pct"/>
                  <w:tcBorders>
                    <w:top w:val="single" w:sz="6" w:space="0" w:color="BFBFBF"/>
                  </w:tcBorders>
                  <w:shd w:val="clear" w:color="auto" w:fill="BFBFBF" w:themeFill="background1" w:themeFillShade="BF"/>
                  <w:vAlign w:val="bottom"/>
                </w:tcPr>
                <w:p w14:paraId="7411C7E5" w14:textId="77777777" w:rsidR="0011262F" w:rsidRDefault="0011262F" w:rsidP="00B54007">
                  <w:pPr>
                    <w:pStyle w:val="TableBodyText"/>
                    <w:ind w:right="28"/>
                  </w:pPr>
                </w:p>
              </w:tc>
              <w:tc>
                <w:tcPr>
                  <w:tcW w:w="630" w:type="pct"/>
                  <w:tcBorders>
                    <w:top w:val="single" w:sz="6" w:space="0" w:color="BFBFBF"/>
                  </w:tcBorders>
                  <w:shd w:val="clear" w:color="auto" w:fill="BFBFBF" w:themeFill="background1" w:themeFillShade="BF"/>
                  <w:vAlign w:val="bottom"/>
                </w:tcPr>
                <w:p w14:paraId="692E8AF0" w14:textId="77777777" w:rsidR="0011262F" w:rsidRDefault="0011262F" w:rsidP="00B54007">
                  <w:pPr>
                    <w:pStyle w:val="TableBodyText"/>
                    <w:ind w:right="28"/>
                  </w:pPr>
                </w:p>
              </w:tc>
            </w:tr>
            <w:tr w:rsidR="0011262F" w14:paraId="24BC3D5E" w14:textId="77777777" w:rsidTr="00B54007">
              <w:tc>
                <w:tcPr>
                  <w:tcW w:w="1842" w:type="pct"/>
                  <w:shd w:val="clear" w:color="auto" w:fill="auto"/>
                  <w:vAlign w:val="bottom"/>
                </w:tcPr>
                <w:p w14:paraId="229DE0D2" w14:textId="77777777" w:rsidR="0011262F" w:rsidRDefault="0011262F" w:rsidP="00B54007">
                  <w:pPr>
                    <w:pStyle w:val="TableBodyText"/>
                    <w:jc w:val="left"/>
                  </w:pPr>
                  <w:r w:rsidRPr="00C358C1">
                    <w:t>Assets</w:t>
                  </w:r>
                </w:p>
              </w:tc>
              <w:tc>
                <w:tcPr>
                  <w:tcW w:w="632" w:type="pct"/>
                </w:tcPr>
                <w:p w14:paraId="1DC698A8" w14:textId="77777777" w:rsidR="0011262F" w:rsidRDefault="0011262F" w:rsidP="00B54007">
                  <w:pPr>
                    <w:pStyle w:val="TableBodyText"/>
                    <w:ind w:right="28"/>
                  </w:pPr>
                  <w:r w:rsidRPr="00EC4B4E">
                    <w:t>0.036</w:t>
                  </w:r>
                </w:p>
              </w:tc>
              <w:tc>
                <w:tcPr>
                  <w:tcW w:w="632" w:type="pct"/>
                  <w:shd w:val="clear" w:color="auto" w:fill="auto"/>
                </w:tcPr>
                <w:p w14:paraId="66DB19A1" w14:textId="77777777" w:rsidR="0011262F" w:rsidRDefault="0011262F" w:rsidP="00B54007">
                  <w:pPr>
                    <w:pStyle w:val="TableBodyText"/>
                    <w:ind w:right="28"/>
                  </w:pPr>
                  <w:r w:rsidRPr="00EC4B4E">
                    <w:t>0.078</w:t>
                  </w:r>
                </w:p>
              </w:tc>
              <w:tc>
                <w:tcPr>
                  <w:tcW w:w="632" w:type="pct"/>
                  <w:shd w:val="clear" w:color="auto" w:fill="auto"/>
                </w:tcPr>
                <w:p w14:paraId="7E7322F4" w14:textId="77777777" w:rsidR="0011262F" w:rsidRDefault="0011262F" w:rsidP="00B54007">
                  <w:pPr>
                    <w:pStyle w:val="TableBodyText"/>
                    <w:ind w:right="28"/>
                  </w:pPr>
                  <w:r w:rsidRPr="00EC4B4E">
                    <w:t>-0.118</w:t>
                  </w:r>
                </w:p>
              </w:tc>
              <w:tc>
                <w:tcPr>
                  <w:tcW w:w="632" w:type="pct"/>
                </w:tcPr>
                <w:p w14:paraId="2210F94E" w14:textId="77777777" w:rsidR="0011262F" w:rsidRDefault="0011262F" w:rsidP="00B54007">
                  <w:pPr>
                    <w:pStyle w:val="TableBodyText"/>
                    <w:ind w:right="28"/>
                  </w:pPr>
                  <w:r w:rsidRPr="00EC4B4E">
                    <w:t>0.034</w:t>
                  </w:r>
                </w:p>
              </w:tc>
              <w:tc>
                <w:tcPr>
                  <w:tcW w:w="630" w:type="pct"/>
                </w:tcPr>
                <w:p w14:paraId="0038F92F" w14:textId="77777777" w:rsidR="0011262F" w:rsidRDefault="0011262F" w:rsidP="00B54007">
                  <w:pPr>
                    <w:pStyle w:val="TableBodyText"/>
                  </w:pPr>
                  <w:r w:rsidRPr="00EC4B4E">
                    <w:t>0.191</w:t>
                  </w:r>
                </w:p>
              </w:tc>
            </w:tr>
            <w:tr w:rsidR="0011262F" w14:paraId="028095F1" w14:textId="77777777" w:rsidTr="00B54007">
              <w:tc>
                <w:tcPr>
                  <w:tcW w:w="1842" w:type="pct"/>
                  <w:shd w:val="clear" w:color="auto" w:fill="F2F2F2" w:themeFill="background1" w:themeFillShade="F2"/>
                  <w:vAlign w:val="bottom"/>
                </w:tcPr>
                <w:p w14:paraId="648B08F4" w14:textId="77777777" w:rsidR="0011262F" w:rsidRDefault="0011262F" w:rsidP="00B54007">
                  <w:pPr>
                    <w:pStyle w:val="TableBodyText"/>
                    <w:jc w:val="left"/>
                  </w:pPr>
                  <w:r w:rsidRPr="00C358C1">
                    <w:t>Member accounts</w:t>
                  </w:r>
                </w:p>
              </w:tc>
              <w:tc>
                <w:tcPr>
                  <w:tcW w:w="632" w:type="pct"/>
                  <w:shd w:val="clear" w:color="auto" w:fill="F2F2F2" w:themeFill="background1" w:themeFillShade="F2"/>
                </w:tcPr>
                <w:p w14:paraId="44E35DA5" w14:textId="77777777" w:rsidR="0011262F" w:rsidRDefault="0011262F" w:rsidP="00B54007">
                  <w:pPr>
                    <w:pStyle w:val="TableBodyText"/>
                    <w:ind w:right="28"/>
                  </w:pPr>
                  <w:r w:rsidRPr="00EC4B4E">
                    <w:t>0.275</w:t>
                  </w:r>
                </w:p>
              </w:tc>
              <w:tc>
                <w:tcPr>
                  <w:tcW w:w="632" w:type="pct"/>
                  <w:shd w:val="clear" w:color="auto" w:fill="F2F2F2" w:themeFill="background1" w:themeFillShade="F2"/>
                </w:tcPr>
                <w:p w14:paraId="618C5716" w14:textId="77777777" w:rsidR="0011262F" w:rsidRDefault="0011262F" w:rsidP="00B54007">
                  <w:pPr>
                    <w:pStyle w:val="TableBodyText"/>
                    <w:ind w:right="28"/>
                  </w:pPr>
                  <w:r w:rsidRPr="00EC4B4E">
                    <w:t>0.094</w:t>
                  </w:r>
                </w:p>
              </w:tc>
              <w:tc>
                <w:tcPr>
                  <w:tcW w:w="632" w:type="pct"/>
                  <w:shd w:val="clear" w:color="auto" w:fill="F2F2F2" w:themeFill="background1" w:themeFillShade="F2"/>
                </w:tcPr>
                <w:p w14:paraId="5FF5C028" w14:textId="77777777" w:rsidR="0011262F" w:rsidRDefault="0011262F" w:rsidP="00B54007">
                  <w:pPr>
                    <w:pStyle w:val="TableBodyText"/>
                    <w:ind w:right="28"/>
                  </w:pPr>
                  <w:r w:rsidRPr="00EC4B4E">
                    <w:t>0.091</w:t>
                  </w:r>
                </w:p>
              </w:tc>
              <w:tc>
                <w:tcPr>
                  <w:tcW w:w="632" w:type="pct"/>
                  <w:shd w:val="clear" w:color="auto" w:fill="F2F2F2" w:themeFill="background1" w:themeFillShade="F2"/>
                </w:tcPr>
                <w:p w14:paraId="71D99E36" w14:textId="77777777" w:rsidR="0011262F" w:rsidRDefault="0011262F" w:rsidP="00B54007">
                  <w:pPr>
                    <w:pStyle w:val="TableBodyText"/>
                    <w:ind w:right="28"/>
                  </w:pPr>
                  <w:r w:rsidRPr="00EC4B4E">
                    <w:t>0.275</w:t>
                  </w:r>
                </w:p>
              </w:tc>
              <w:tc>
                <w:tcPr>
                  <w:tcW w:w="630" w:type="pct"/>
                  <w:shd w:val="clear" w:color="auto" w:fill="F2F2F2" w:themeFill="background1" w:themeFillShade="F2"/>
                </w:tcPr>
                <w:p w14:paraId="44977C19" w14:textId="77777777" w:rsidR="0011262F" w:rsidRDefault="0011262F" w:rsidP="00B54007">
                  <w:pPr>
                    <w:pStyle w:val="TableBodyText"/>
                  </w:pPr>
                  <w:r w:rsidRPr="00EC4B4E">
                    <w:t>0.459</w:t>
                  </w:r>
                </w:p>
              </w:tc>
            </w:tr>
            <w:tr w:rsidR="0011262F" w14:paraId="5208964C" w14:textId="77777777" w:rsidTr="00B54007">
              <w:tc>
                <w:tcPr>
                  <w:tcW w:w="1842" w:type="pct"/>
                  <w:shd w:val="clear" w:color="auto" w:fill="auto"/>
                  <w:vAlign w:val="bottom"/>
                </w:tcPr>
                <w:p w14:paraId="1A04DD46" w14:textId="77777777" w:rsidR="0011262F" w:rsidRDefault="0011262F" w:rsidP="00B54007">
                  <w:pPr>
                    <w:pStyle w:val="TableBodyText"/>
                    <w:jc w:val="left"/>
                  </w:pPr>
                  <w:r w:rsidRPr="00C358C1">
                    <w:t>Net contributions</w:t>
                  </w:r>
                </w:p>
              </w:tc>
              <w:tc>
                <w:tcPr>
                  <w:tcW w:w="632" w:type="pct"/>
                </w:tcPr>
                <w:p w14:paraId="47A98C0A" w14:textId="77777777" w:rsidR="0011262F" w:rsidRDefault="0011262F" w:rsidP="00B54007">
                  <w:pPr>
                    <w:pStyle w:val="TableBodyText"/>
                    <w:ind w:right="28"/>
                  </w:pPr>
                  <w:r w:rsidRPr="00EC4B4E">
                    <w:t>0.009</w:t>
                  </w:r>
                </w:p>
              </w:tc>
              <w:tc>
                <w:tcPr>
                  <w:tcW w:w="632" w:type="pct"/>
                  <w:shd w:val="clear" w:color="auto" w:fill="auto"/>
                </w:tcPr>
                <w:p w14:paraId="4E6E42A9" w14:textId="77777777" w:rsidR="0011262F" w:rsidRDefault="0011262F" w:rsidP="00B54007">
                  <w:pPr>
                    <w:pStyle w:val="TableBodyText"/>
                    <w:ind w:right="28"/>
                  </w:pPr>
                  <w:r w:rsidRPr="00EC4B4E">
                    <w:t>0.015</w:t>
                  </w:r>
                </w:p>
              </w:tc>
              <w:tc>
                <w:tcPr>
                  <w:tcW w:w="632" w:type="pct"/>
                  <w:shd w:val="clear" w:color="auto" w:fill="auto"/>
                </w:tcPr>
                <w:p w14:paraId="77001DDD" w14:textId="77777777" w:rsidR="0011262F" w:rsidRDefault="0011262F" w:rsidP="00B54007">
                  <w:pPr>
                    <w:pStyle w:val="TableBodyText"/>
                    <w:ind w:right="28"/>
                  </w:pPr>
                  <w:r w:rsidRPr="00EC4B4E">
                    <w:t>-0.019</w:t>
                  </w:r>
                </w:p>
              </w:tc>
              <w:tc>
                <w:tcPr>
                  <w:tcW w:w="632" w:type="pct"/>
                </w:tcPr>
                <w:p w14:paraId="5A86AAA2" w14:textId="77777777" w:rsidR="0011262F" w:rsidRDefault="0011262F" w:rsidP="00B54007">
                  <w:pPr>
                    <w:pStyle w:val="TableBodyText"/>
                    <w:ind w:right="28"/>
                  </w:pPr>
                  <w:r w:rsidRPr="00EC4B4E">
                    <w:t>0.008</w:t>
                  </w:r>
                </w:p>
              </w:tc>
              <w:tc>
                <w:tcPr>
                  <w:tcW w:w="630" w:type="pct"/>
                </w:tcPr>
                <w:p w14:paraId="7B4CF2B9" w14:textId="77777777" w:rsidR="0011262F" w:rsidRDefault="0011262F" w:rsidP="00B54007">
                  <w:pPr>
                    <w:pStyle w:val="TableBodyText"/>
                  </w:pPr>
                  <w:r w:rsidRPr="00EC4B4E">
                    <w:t>0.037</w:t>
                  </w:r>
                </w:p>
              </w:tc>
            </w:tr>
            <w:tr w:rsidR="0011262F" w14:paraId="74DBC679" w14:textId="77777777" w:rsidTr="00B54007">
              <w:tc>
                <w:tcPr>
                  <w:tcW w:w="1842" w:type="pct"/>
                  <w:shd w:val="clear" w:color="auto" w:fill="F2F2F2" w:themeFill="background1" w:themeFillShade="F2"/>
                  <w:vAlign w:val="bottom"/>
                </w:tcPr>
                <w:p w14:paraId="2E7ABB73" w14:textId="77777777" w:rsidR="0011262F" w:rsidRDefault="0011262F" w:rsidP="00B54007">
                  <w:pPr>
                    <w:pStyle w:val="TableBodyText"/>
                    <w:jc w:val="left"/>
                  </w:pPr>
                  <w:r w:rsidRPr="00C358C1">
                    <w:t>Net rollovers</w:t>
                  </w:r>
                </w:p>
              </w:tc>
              <w:tc>
                <w:tcPr>
                  <w:tcW w:w="632" w:type="pct"/>
                  <w:shd w:val="clear" w:color="auto" w:fill="F2F2F2" w:themeFill="background1" w:themeFillShade="F2"/>
                </w:tcPr>
                <w:p w14:paraId="3575FC73" w14:textId="77777777" w:rsidR="0011262F" w:rsidRDefault="0011262F" w:rsidP="00B54007">
                  <w:pPr>
                    <w:pStyle w:val="TableBodyText"/>
                    <w:ind w:right="28"/>
                  </w:pPr>
                  <w:r w:rsidRPr="00EC4B4E">
                    <w:t>0.044</w:t>
                  </w:r>
                </w:p>
              </w:tc>
              <w:tc>
                <w:tcPr>
                  <w:tcW w:w="632" w:type="pct"/>
                  <w:shd w:val="clear" w:color="auto" w:fill="F2F2F2" w:themeFill="background1" w:themeFillShade="F2"/>
                </w:tcPr>
                <w:p w14:paraId="0A62A12C" w14:textId="77777777" w:rsidR="0011262F" w:rsidRDefault="0011262F" w:rsidP="00B54007">
                  <w:pPr>
                    <w:pStyle w:val="TableBodyText"/>
                    <w:ind w:right="28"/>
                  </w:pPr>
                  <w:r w:rsidRPr="00EC4B4E">
                    <w:t>0.013</w:t>
                  </w:r>
                </w:p>
              </w:tc>
              <w:tc>
                <w:tcPr>
                  <w:tcW w:w="632" w:type="pct"/>
                  <w:shd w:val="clear" w:color="auto" w:fill="F2F2F2" w:themeFill="background1" w:themeFillShade="F2"/>
                </w:tcPr>
                <w:p w14:paraId="04CDBCDA" w14:textId="77777777" w:rsidR="0011262F" w:rsidRDefault="0011262F" w:rsidP="00B54007">
                  <w:pPr>
                    <w:pStyle w:val="TableBodyText"/>
                    <w:ind w:right="28"/>
                  </w:pPr>
                  <w:r w:rsidRPr="00EC4B4E">
                    <w:t>0.020</w:t>
                  </w:r>
                </w:p>
              </w:tc>
              <w:tc>
                <w:tcPr>
                  <w:tcW w:w="632" w:type="pct"/>
                  <w:shd w:val="clear" w:color="auto" w:fill="F2F2F2" w:themeFill="background1" w:themeFillShade="F2"/>
                </w:tcPr>
                <w:p w14:paraId="63D29C95" w14:textId="77777777" w:rsidR="0011262F" w:rsidRDefault="0011262F" w:rsidP="00B54007">
                  <w:pPr>
                    <w:pStyle w:val="TableBodyText"/>
                    <w:ind w:right="28"/>
                  </w:pPr>
                  <w:r w:rsidRPr="00EC4B4E">
                    <w:t>0.043</w:t>
                  </w:r>
                </w:p>
              </w:tc>
              <w:tc>
                <w:tcPr>
                  <w:tcW w:w="630" w:type="pct"/>
                  <w:shd w:val="clear" w:color="auto" w:fill="F2F2F2" w:themeFill="background1" w:themeFillShade="F2"/>
                </w:tcPr>
                <w:p w14:paraId="21CDF279" w14:textId="77777777" w:rsidR="0011262F" w:rsidRDefault="0011262F" w:rsidP="00B54007">
                  <w:pPr>
                    <w:pStyle w:val="TableBodyText"/>
                  </w:pPr>
                  <w:r w:rsidRPr="00EC4B4E">
                    <w:t>0.070</w:t>
                  </w:r>
                </w:p>
              </w:tc>
            </w:tr>
            <w:tr w:rsidR="0011262F" w14:paraId="3C94EB0B" w14:textId="77777777" w:rsidTr="00B54007">
              <w:tc>
                <w:tcPr>
                  <w:tcW w:w="1842" w:type="pct"/>
                  <w:shd w:val="clear" w:color="auto" w:fill="auto"/>
                  <w:vAlign w:val="bottom"/>
                </w:tcPr>
                <w:p w14:paraId="2E5A0AD7" w14:textId="77777777" w:rsidR="0011262F" w:rsidRDefault="0011262F" w:rsidP="00B54007">
                  <w:pPr>
                    <w:pStyle w:val="TableBodyText"/>
                    <w:jc w:val="left"/>
                  </w:pPr>
                  <w:r w:rsidRPr="00C358C1">
                    <w:t>Annual net return</w:t>
                  </w:r>
                </w:p>
              </w:tc>
              <w:tc>
                <w:tcPr>
                  <w:tcW w:w="632" w:type="pct"/>
                </w:tcPr>
                <w:p w14:paraId="4F5EAFBF" w14:textId="77777777" w:rsidR="0011262F" w:rsidRDefault="0011262F" w:rsidP="00B54007">
                  <w:pPr>
                    <w:pStyle w:val="TableBodyText"/>
                    <w:ind w:right="28"/>
                  </w:pPr>
                  <w:r w:rsidRPr="00EC4B4E">
                    <w:t>-0.030</w:t>
                  </w:r>
                </w:p>
              </w:tc>
              <w:tc>
                <w:tcPr>
                  <w:tcW w:w="632" w:type="pct"/>
                  <w:shd w:val="clear" w:color="auto" w:fill="auto"/>
                </w:tcPr>
                <w:p w14:paraId="7E8923D3" w14:textId="77777777" w:rsidR="0011262F" w:rsidRDefault="0011262F" w:rsidP="00B54007">
                  <w:pPr>
                    <w:pStyle w:val="TableBodyText"/>
                    <w:ind w:right="28"/>
                  </w:pPr>
                  <w:r w:rsidRPr="00EC4B4E">
                    <w:t>0.018</w:t>
                  </w:r>
                </w:p>
              </w:tc>
              <w:tc>
                <w:tcPr>
                  <w:tcW w:w="632" w:type="pct"/>
                  <w:shd w:val="clear" w:color="auto" w:fill="auto"/>
                </w:tcPr>
                <w:p w14:paraId="6E305601" w14:textId="77777777" w:rsidR="0011262F" w:rsidRDefault="0011262F" w:rsidP="00B54007">
                  <w:pPr>
                    <w:pStyle w:val="TableBodyText"/>
                    <w:ind w:right="28"/>
                  </w:pPr>
                  <w:r w:rsidRPr="00EC4B4E">
                    <w:t>-0.066</w:t>
                  </w:r>
                </w:p>
              </w:tc>
              <w:tc>
                <w:tcPr>
                  <w:tcW w:w="632" w:type="pct"/>
                </w:tcPr>
                <w:p w14:paraId="4F60440C" w14:textId="77777777" w:rsidR="0011262F" w:rsidRDefault="0011262F" w:rsidP="00B54007">
                  <w:pPr>
                    <w:pStyle w:val="TableBodyText"/>
                    <w:ind w:right="28"/>
                  </w:pPr>
                  <w:r w:rsidRPr="00EC4B4E">
                    <w:t>-0.029</w:t>
                  </w:r>
                </w:p>
              </w:tc>
              <w:tc>
                <w:tcPr>
                  <w:tcW w:w="630" w:type="pct"/>
                </w:tcPr>
                <w:p w14:paraId="3B1F588D" w14:textId="77777777" w:rsidR="0011262F" w:rsidRDefault="0011262F" w:rsidP="00B54007">
                  <w:pPr>
                    <w:pStyle w:val="TableBodyText"/>
                  </w:pPr>
                  <w:r w:rsidRPr="00EC4B4E">
                    <w:t>0.006</w:t>
                  </w:r>
                </w:p>
              </w:tc>
            </w:tr>
            <w:tr w:rsidR="0011262F" w14:paraId="04E91727" w14:textId="77777777" w:rsidTr="00B54007">
              <w:tc>
                <w:tcPr>
                  <w:tcW w:w="1842" w:type="pct"/>
                  <w:shd w:val="clear" w:color="auto" w:fill="F2F2F2" w:themeFill="background1" w:themeFillShade="F2"/>
                  <w:vAlign w:val="bottom"/>
                </w:tcPr>
                <w:p w14:paraId="3809EC53" w14:textId="77777777" w:rsidR="0011262F" w:rsidRDefault="0011262F" w:rsidP="00B54007">
                  <w:pPr>
                    <w:pStyle w:val="TableBodyText"/>
                    <w:jc w:val="left"/>
                  </w:pPr>
                  <w:r w:rsidRPr="00C358C1">
                    <w:t>Stronger super</w:t>
                  </w:r>
                </w:p>
              </w:tc>
              <w:tc>
                <w:tcPr>
                  <w:tcW w:w="632" w:type="pct"/>
                  <w:shd w:val="clear" w:color="auto" w:fill="F2F2F2" w:themeFill="background1" w:themeFillShade="F2"/>
                </w:tcPr>
                <w:p w14:paraId="6FBBF222" w14:textId="77777777" w:rsidR="0011262F" w:rsidRDefault="0011262F" w:rsidP="00B54007">
                  <w:pPr>
                    <w:pStyle w:val="TableBodyText"/>
                    <w:ind w:right="28"/>
                  </w:pPr>
                  <w:r w:rsidRPr="00EC4B4E">
                    <w:t>0.032</w:t>
                  </w:r>
                </w:p>
              </w:tc>
              <w:tc>
                <w:tcPr>
                  <w:tcW w:w="632" w:type="pct"/>
                  <w:shd w:val="clear" w:color="auto" w:fill="F2F2F2" w:themeFill="background1" w:themeFillShade="F2"/>
                </w:tcPr>
                <w:p w14:paraId="1844F538" w14:textId="77777777" w:rsidR="0011262F" w:rsidRDefault="0011262F" w:rsidP="00B54007">
                  <w:pPr>
                    <w:pStyle w:val="TableBodyText"/>
                    <w:ind w:right="28"/>
                  </w:pPr>
                  <w:r w:rsidRPr="00EC4B4E">
                    <w:t>0.037</w:t>
                  </w:r>
                </w:p>
              </w:tc>
              <w:tc>
                <w:tcPr>
                  <w:tcW w:w="632" w:type="pct"/>
                  <w:shd w:val="clear" w:color="auto" w:fill="F2F2F2" w:themeFill="background1" w:themeFillShade="F2"/>
                </w:tcPr>
                <w:p w14:paraId="28802A5B" w14:textId="77777777" w:rsidR="0011262F" w:rsidRDefault="0011262F" w:rsidP="00B54007">
                  <w:pPr>
                    <w:pStyle w:val="TableBodyText"/>
                    <w:ind w:right="28"/>
                  </w:pPr>
                  <w:r w:rsidRPr="00EC4B4E">
                    <w:t>-0.043</w:t>
                  </w:r>
                </w:p>
              </w:tc>
              <w:tc>
                <w:tcPr>
                  <w:tcW w:w="632" w:type="pct"/>
                  <w:shd w:val="clear" w:color="auto" w:fill="F2F2F2" w:themeFill="background1" w:themeFillShade="F2"/>
                </w:tcPr>
                <w:p w14:paraId="57E5A3B3" w14:textId="77777777" w:rsidR="0011262F" w:rsidRDefault="0011262F" w:rsidP="00B54007">
                  <w:pPr>
                    <w:pStyle w:val="TableBodyText"/>
                    <w:ind w:right="28"/>
                  </w:pPr>
                  <w:r w:rsidRPr="00EC4B4E">
                    <w:t>0.032</w:t>
                  </w:r>
                </w:p>
              </w:tc>
              <w:tc>
                <w:tcPr>
                  <w:tcW w:w="630" w:type="pct"/>
                  <w:shd w:val="clear" w:color="auto" w:fill="F2F2F2" w:themeFill="background1" w:themeFillShade="F2"/>
                </w:tcPr>
                <w:p w14:paraId="1FC5DE2D" w14:textId="77777777" w:rsidR="0011262F" w:rsidRDefault="0011262F" w:rsidP="00B54007">
                  <w:pPr>
                    <w:pStyle w:val="TableBodyText"/>
                  </w:pPr>
                  <w:r w:rsidRPr="00EC4B4E">
                    <w:t>0.103</w:t>
                  </w:r>
                </w:p>
              </w:tc>
            </w:tr>
            <w:tr w:rsidR="0011262F" w14:paraId="1CE8FE31" w14:textId="77777777" w:rsidTr="00B54007">
              <w:tc>
                <w:tcPr>
                  <w:tcW w:w="1842" w:type="pct"/>
                  <w:shd w:val="clear" w:color="auto" w:fill="auto"/>
                  <w:vAlign w:val="bottom"/>
                </w:tcPr>
                <w:p w14:paraId="7D29EC7C" w14:textId="77777777" w:rsidR="0011262F" w:rsidRDefault="0011262F" w:rsidP="00B54007">
                  <w:pPr>
                    <w:pStyle w:val="TableBodyText"/>
                    <w:jc w:val="left"/>
                  </w:pPr>
                  <w:r w:rsidRPr="00C358C1">
                    <w:t>Post reporting change</w:t>
                  </w:r>
                </w:p>
              </w:tc>
              <w:tc>
                <w:tcPr>
                  <w:tcW w:w="632" w:type="pct"/>
                </w:tcPr>
                <w:p w14:paraId="4C624F87" w14:textId="77777777" w:rsidR="0011262F" w:rsidRDefault="0011262F" w:rsidP="00B54007">
                  <w:pPr>
                    <w:pStyle w:val="TableBodyText"/>
                    <w:ind w:right="28"/>
                  </w:pPr>
                  <w:r w:rsidRPr="00EC4B4E">
                    <w:t>0.206</w:t>
                  </w:r>
                </w:p>
              </w:tc>
              <w:tc>
                <w:tcPr>
                  <w:tcW w:w="632" w:type="pct"/>
                  <w:shd w:val="clear" w:color="auto" w:fill="auto"/>
                </w:tcPr>
                <w:p w14:paraId="7291B8E5" w14:textId="77777777" w:rsidR="0011262F" w:rsidRDefault="0011262F" w:rsidP="00B54007">
                  <w:pPr>
                    <w:pStyle w:val="TableBodyText"/>
                    <w:ind w:right="28"/>
                  </w:pPr>
                  <w:r w:rsidRPr="00EC4B4E">
                    <w:t>0.045</w:t>
                  </w:r>
                </w:p>
              </w:tc>
              <w:tc>
                <w:tcPr>
                  <w:tcW w:w="632" w:type="pct"/>
                  <w:shd w:val="clear" w:color="auto" w:fill="auto"/>
                </w:tcPr>
                <w:p w14:paraId="5B6F14A3" w14:textId="77777777" w:rsidR="0011262F" w:rsidRDefault="0011262F" w:rsidP="00B54007">
                  <w:pPr>
                    <w:pStyle w:val="TableBodyText"/>
                    <w:ind w:right="28"/>
                  </w:pPr>
                  <w:r w:rsidRPr="00EC4B4E">
                    <w:t>0.121</w:t>
                  </w:r>
                </w:p>
              </w:tc>
              <w:tc>
                <w:tcPr>
                  <w:tcW w:w="632" w:type="pct"/>
                </w:tcPr>
                <w:p w14:paraId="4F779D56" w14:textId="77777777" w:rsidR="0011262F" w:rsidRDefault="0011262F" w:rsidP="00B54007">
                  <w:pPr>
                    <w:pStyle w:val="TableBodyText"/>
                    <w:ind w:right="28"/>
                  </w:pPr>
                  <w:r w:rsidRPr="00EC4B4E">
                    <w:t>0.207</w:t>
                  </w:r>
                </w:p>
              </w:tc>
              <w:tc>
                <w:tcPr>
                  <w:tcW w:w="630" w:type="pct"/>
                </w:tcPr>
                <w:p w14:paraId="3ADBCA34" w14:textId="77777777" w:rsidR="0011262F" w:rsidRDefault="0011262F" w:rsidP="00B54007">
                  <w:pPr>
                    <w:pStyle w:val="TableBodyText"/>
                  </w:pPr>
                  <w:r w:rsidRPr="00EC4B4E">
                    <w:t>0.293</w:t>
                  </w:r>
                </w:p>
              </w:tc>
            </w:tr>
            <w:tr w:rsidR="0011262F" w14:paraId="05A66E84" w14:textId="77777777" w:rsidTr="00B54007">
              <w:tc>
                <w:tcPr>
                  <w:tcW w:w="1842" w:type="pct"/>
                  <w:shd w:val="clear" w:color="auto" w:fill="F2F2F2" w:themeFill="background1" w:themeFillShade="F2"/>
                  <w:vAlign w:val="bottom"/>
                </w:tcPr>
                <w:p w14:paraId="316C545A" w14:textId="77777777" w:rsidR="0011262F" w:rsidRDefault="0011262F" w:rsidP="00B54007">
                  <w:pPr>
                    <w:pStyle w:val="TableBodyText"/>
                    <w:jc w:val="left"/>
                  </w:pPr>
                  <w:r w:rsidRPr="00C358C1">
                    <w:t>Industry</w:t>
                  </w:r>
                </w:p>
              </w:tc>
              <w:tc>
                <w:tcPr>
                  <w:tcW w:w="632" w:type="pct"/>
                  <w:shd w:val="clear" w:color="auto" w:fill="F2F2F2" w:themeFill="background1" w:themeFillShade="F2"/>
                </w:tcPr>
                <w:p w14:paraId="23ECBD2A" w14:textId="77777777" w:rsidR="0011262F" w:rsidRDefault="0011262F" w:rsidP="00B54007">
                  <w:pPr>
                    <w:pStyle w:val="TableBodyText"/>
                    <w:ind w:right="28"/>
                  </w:pPr>
                  <w:r w:rsidRPr="00EC4B4E">
                    <w:t>-0.483</w:t>
                  </w:r>
                </w:p>
              </w:tc>
              <w:tc>
                <w:tcPr>
                  <w:tcW w:w="632" w:type="pct"/>
                  <w:shd w:val="clear" w:color="auto" w:fill="F2F2F2" w:themeFill="background1" w:themeFillShade="F2"/>
                </w:tcPr>
                <w:p w14:paraId="4C21BE23" w14:textId="77777777" w:rsidR="0011262F" w:rsidRDefault="0011262F" w:rsidP="00B54007">
                  <w:pPr>
                    <w:pStyle w:val="TableBodyText"/>
                    <w:ind w:right="28"/>
                  </w:pPr>
                  <w:r w:rsidRPr="00EC4B4E">
                    <w:t>0.275</w:t>
                  </w:r>
                </w:p>
              </w:tc>
              <w:tc>
                <w:tcPr>
                  <w:tcW w:w="632" w:type="pct"/>
                  <w:shd w:val="clear" w:color="auto" w:fill="F2F2F2" w:themeFill="background1" w:themeFillShade="F2"/>
                </w:tcPr>
                <w:p w14:paraId="4588224D" w14:textId="77777777" w:rsidR="0011262F" w:rsidRDefault="0011262F" w:rsidP="00B54007">
                  <w:pPr>
                    <w:pStyle w:val="TableBodyText"/>
                    <w:ind w:right="28"/>
                  </w:pPr>
                  <w:r w:rsidRPr="00EC4B4E">
                    <w:t>-1.026</w:t>
                  </w:r>
                </w:p>
              </w:tc>
              <w:tc>
                <w:tcPr>
                  <w:tcW w:w="632" w:type="pct"/>
                  <w:shd w:val="clear" w:color="auto" w:fill="F2F2F2" w:themeFill="background1" w:themeFillShade="F2"/>
                </w:tcPr>
                <w:p w14:paraId="1298B8CB" w14:textId="77777777" w:rsidR="0011262F" w:rsidRDefault="0011262F" w:rsidP="00B54007">
                  <w:pPr>
                    <w:pStyle w:val="TableBodyText"/>
                    <w:ind w:right="28"/>
                  </w:pPr>
                  <w:r w:rsidRPr="00EC4B4E">
                    <w:t>-0.483</w:t>
                  </w:r>
                </w:p>
              </w:tc>
              <w:tc>
                <w:tcPr>
                  <w:tcW w:w="630" w:type="pct"/>
                  <w:shd w:val="clear" w:color="auto" w:fill="F2F2F2" w:themeFill="background1" w:themeFillShade="F2"/>
                </w:tcPr>
                <w:p w14:paraId="07F60EE7" w14:textId="77777777" w:rsidR="0011262F" w:rsidRDefault="0011262F" w:rsidP="00B54007">
                  <w:pPr>
                    <w:pStyle w:val="TableBodyText"/>
                  </w:pPr>
                  <w:r w:rsidRPr="00EC4B4E">
                    <w:t>0.069</w:t>
                  </w:r>
                </w:p>
              </w:tc>
            </w:tr>
            <w:tr w:rsidR="0011262F" w14:paraId="64CFFF62" w14:textId="77777777" w:rsidTr="00B54007">
              <w:tc>
                <w:tcPr>
                  <w:tcW w:w="1842" w:type="pct"/>
                  <w:shd w:val="clear" w:color="auto" w:fill="auto"/>
                  <w:vAlign w:val="bottom"/>
                </w:tcPr>
                <w:p w14:paraId="5CEA7313" w14:textId="77777777" w:rsidR="0011262F" w:rsidRDefault="0011262F" w:rsidP="00B54007">
                  <w:pPr>
                    <w:pStyle w:val="TableBodyText"/>
                    <w:jc w:val="left"/>
                  </w:pPr>
                  <w:r w:rsidRPr="00C358C1">
                    <w:t>Public</w:t>
                  </w:r>
                </w:p>
              </w:tc>
              <w:tc>
                <w:tcPr>
                  <w:tcW w:w="632" w:type="pct"/>
                </w:tcPr>
                <w:p w14:paraId="294D97CA" w14:textId="77777777" w:rsidR="0011262F" w:rsidRDefault="0011262F" w:rsidP="00B54007">
                  <w:pPr>
                    <w:pStyle w:val="TableBodyText"/>
                    <w:ind w:right="28"/>
                  </w:pPr>
                  <w:r w:rsidRPr="00EC4B4E">
                    <w:t>0.155</w:t>
                  </w:r>
                </w:p>
              </w:tc>
              <w:tc>
                <w:tcPr>
                  <w:tcW w:w="632" w:type="pct"/>
                  <w:shd w:val="clear" w:color="auto" w:fill="auto"/>
                </w:tcPr>
                <w:p w14:paraId="20C4EBD6" w14:textId="77777777" w:rsidR="0011262F" w:rsidRDefault="0011262F" w:rsidP="00B54007">
                  <w:pPr>
                    <w:pStyle w:val="TableBodyText"/>
                    <w:ind w:right="28"/>
                  </w:pPr>
                  <w:r w:rsidRPr="00EC4B4E">
                    <w:t>0.378</w:t>
                  </w:r>
                </w:p>
              </w:tc>
              <w:tc>
                <w:tcPr>
                  <w:tcW w:w="632" w:type="pct"/>
                  <w:shd w:val="clear" w:color="auto" w:fill="auto"/>
                </w:tcPr>
                <w:p w14:paraId="3D984736" w14:textId="77777777" w:rsidR="0011262F" w:rsidRDefault="0011262F" w:rsidP="00B54007">
                  <w:pPr>
                    <w:pStyle w:val="TableBodyText"/>
                    <w:ind w:right="28"/>
                  </w:pPr>
                  <w:r w:rsidRPr="00EC4B4E">
                    <w:t>-0.564</w:t>
                  </w:r>
                </w:p>
              </w:tc>
              <w:tc>
                <w:tcPr>
                  <w:tcW w:w="632" w:type="pct"/>
                </w:tcPr>
                <w:p w14:paraId="15F0ADA0" w14:textId="77777777" w:rsidR="0011262F" w:rsidRDefault="0011262F" w:rsidP="00B54007">
                  <w:pPr>
                    <w:pStyle w:val="TableBodyText"/>
                    <w:ind w:right="28"/>
                  </w:pPr>
                  <w:r w:rsidRPr="00EC4B4E">
                    <w:t>0.161</w:t>
                  </w:r>
                </w:p>
              </w:tc>
              <w:tc>
                <w:tcPr>
                  <w:tcW w:w="630" w:type="pct"/>
                </w:tcPr>
                <w:p w14:paraId="4D417FC8" w14:textId="77777777" w:rsidR="0011262F" w:rsidRDefault="0011262F" w:rsidP="00B54007">
                  <w:pPr>
                    <w:pStyle w:val="TableBodyText"/>
                  </w:pPr>
                  <w:r w:rsidRPr="00EC4B4E">
                    <w:t>0.887</w:t>
                  </w:r>
                </w:p>
              </w:tc>
            </w:tr>
            <w:tr w:rsidR="0011262F" w14:paraId="1656ABAD" w14:textId="77777777" w:rsidTr="00B54007">
              <w:tc>
                <w:tcPr>
                  <w:tcW w:w="1842" w:type="pct"/>
                  <w:shd w:val="clear" w:color="auto" w:fill="F2F2F2" w:themeFill="background1" w:themeFillShade="F2"/>
                  <w:vAlign w:val="bottom"/>
                </w:tcPr>
                <w:p w14:paraId="1A8549BD" w14:textId="77777777" w:rsidR="0011262F" w:rsidRDefault="0011262F" w:rsidP="00B54007">
                  <w:pPr>
                    <w:pStyle w:val="TableBodyText"/>
                    <w:jc w:val="left"/>
                  </w:pPr>
                  <w:r w:rsidRPr="00C358C1">
                    <w:t>Retail</w:t>
                  </w:r>
                </w:p>
              </w:tc>
              <w:tc>
                <w:tcPr>
                  <w:tcW w:w="632" w:type="pct"/>
                  <w:shd w:val="clear" w:color="auto" w:fill="F2F2F2" w:themeFill="background1" w:themeFillShade="F2"/>
                </w:tcPr>
                <w:p w14:paraId="066AAA29" w14:textId="77777777" w:rsidR="0011262F" w:rsidRDefault="0011262F" w:rsidP="00B54007">
                  <w:pPr>
                    <w:pStyle w:val="TableBodyText"/>
                    <w:ind w:right="28"/>
                  </w:pPr>
                  <w:r w:rsidRPr="00EC4B4E">
                    <w:t>-1.948</w:t>
                  </w:r>
                </w:p>
              </w:tc>
              <w:tc>
                <w:tcPr>
                  <w:tcW w:w="632" w:type="pct"/>
                  <w:shd w:val="clear" w:color="auto" w:fill="F2F2F2" w:themeFill="background1" w:themeFillShade="F2"/>
                </w:tcPr>
                <w:p w14:paraId="450E99D9" w14:textId="77777777" w:rsidR="0011262F" w:rsidRDefault="0011262F" w:rsidP="00B54007">
                  <w:pPr>
                    <w:pStyle w:val="TableBodyText"/>
                    <w:ind w:right="28"/>
                  </w:pPr>
                  <w:r w:rsidRPr="00EC4B4E">
                    <w:t>0.207</w:t>
                  </w:r>
                </w:p>
              </w:tc>
              <w:tc>
                <w:tcPr>
                  <w:tcW w:w="632" w:type="pct"/>
                  <w:shd w:val="clear" w:color="auto" w:fill="F2F2F2" w:themeFill="background1" w:themeFillShade="F2"/>
                </w:tcPr>
                <w:p w14:paraId="5C30E116" w14:textId="77777777" w:rsidR="0011262F" w:rsidRDefault="0011262F" w:rsidP="00B54007">
                  <w:pPr>
                    <w:pStyle w:val="TableBodyText"/>
                    <w:ind w:right="28"/>
                  </w:pPr>
                  <w:r w:rsidRPr="00EC4B4E">
                    <w:t>-2.329</w:t>
                  </w:r>
                </w:p>
              </w:tc>
              <w:tc>
                <w:tcPr>
                  <w:tcW w:w="632" w:type="pct"/>
                  <w:shd w:val="clear" w:color="auto" w:fill="F2F2F2" w:themeFill="background1" w:themeFillShade="F2"/>
                </w:tcPr>
                <w:p w14:paraId="5A37FF3A" w14:textId="77777777" w:rsidR="0011262F" w:rsidRDefault="0011262F" w:rsidP="00B54007">
                  <w:pPr>
                    <w:pStyle w:val="TableBodyText"/>
                    <w:ind w:right="28"/>
                  </w:pPr>
                  <w:r w:rsidRPr="00EC4B4E">
                    <w:t>-1.953</w:t>
                  </w:r>
                </w:p>
              </w:tc>
              <w:tc>
                <w:tcPr>
                  <w:tcW w:w="630" w:type="pct"/>
                  <w:shd w:val="clear" w:color="auto" w:fill="F2F2F2" w:themeFill="background1" w:themeFillShade="F2"/>
                </w:tcPr>
                <w:p w14:paraId="3147460A" w14:textId="77777777" w:rsidR="0011262F" w:rsidRDefault="0011262F" w:rsidP="00B54007">
                  <w:pPr>
                    <w:pStyle w:val="TableBodyText"/>
                  </w:pPr>
                  <w:r w:rsidRPr="00EC4B4E">
                    <w:t>-1.546</w:t>
                  </w:r>
                </w:p>
              </w:tc>
            </w:tr>
            <w:tr w:rsidR="0011262F" w14:paraId="4C6546DC" w14:textId="77777777" w:rsidTr="00B54007">
              <w:tc>
                <w:tcPr>
                  <w:tcW w:w="1842" w:type="pct"/>
                  <w:shd w:val="clear" w:color="auto" w:fill="auto"/>
                  <w:vAlign w:val="bottom"/>
                </w:tcPr>
                <w:p w14:paraId="1604CE9D" w14:textId="77777777" w:rsidR="0011262F" w:rsidRDefault="0011262F" w:rsidP="00B54007">
                  <w:pPr>
                    <w:pStyle w:val="TableBodyText"/>
                    <w:jc w:val="left"/>
                  </w:pPr>
                  <w:r w:rsidRPr="00C358C1">
                    <w:t>Industry x Assets</w:t>
                  </w:r>
                </w:p>
              </w:tc>
              <w:tc>
                <w:tcPr>
                  <w:tcW w:w="632" w:type="pct"/>
                </w:tcPr>
                <w:p w14:paraId="51770A71" w14:textId="77777777" w:rsidR="0011262F" w:rsidRDefault="0011262F" w:rsidP="00B54007">
                  <w:pPr>
                    <w:pStyle w:val="TableBodyText"/>
                    <w:ind w:right="28"/>
                  </w:pPr>
                  <w:r w:rsidRPr="00EC4B4E">
                    <w:t>0.251</w:t>
                  </w:r>
                </w:p>
              </w:tc>
              <w:tc>
                <w:tcPr>
                  <w:tcW w:w="632" w:type="pct"/>
                  <w:shd w:val="clear" w:color="auto" w:fill="auto"/>
                </w:tcPr>
                <w:p w14:paraId="5ED86DBC" w14:textId="77777777" w:rsidR="0011262F" w:rsidRDefault="0011262F" w:rsidP="00B54007">
                  <w:pPr>
                    <w:pStyle w:val="TableBodyText"/>
                    <w:ind w:right="28"/>
                  </w:pPr>
                  <w:r w:rsidRPr="00EC4B4E">
                    <w:t>0.098</w:t>
                  </w:r>
                </w:p>
              </w:tc>
              <w:tc>
                <w:tcPr>
                  <w:tcW w:w="632" w:type="pct"/>
                  <w:shd w:val="clear" w:color="auto" w:fill="auto"/>
                </w:tcPr>
                <w:p w14:paraId="2FF6B996" w14:textId="77777777" w:rsidR="0011262F" w:rsidRDefault="0011262F" w:rsidP="00B54007">
                  <w:pPr>
                    <w:pStyle w:val="TableBodyText"/>
                    <w:ind w:right="28"/>
                  </w:pPr>
                  <w:r w:rsidRPr="00EC4B4E">
                    <w:t>0.048</w:t>
                  </w:r>
                </w:p>
              </w:tc>
              <w:tc>
                <w:tcPr>
                  <w:tcW w:w="632" w:type="pct"/>
                </w:tcPr>
                <w:p w14:paraId="273A85BD" w14:textId="77777777" w:rsidR="0011262F" w:rsidRDefault="0011262F" w:rsidP="00B54007">
                  <w:pPr>
                    <w:pStyle w:val="TableBodyText"/>
                    <w:ind w:right="28"/>
                  </w:pPr>
                  <w:r w:rsidRPr="00EC4B4E">
                    <w:t>0.251</w:t>
                  </w:r>
                </w:p>
              </w:tc>
              <w:tc>
                <w:tcPr>
                  <w:tcW w:w="630" w:type="pct"/>
                </w:tcPr>
                <w:p w14:paraId="0B2959C3" w14:textId="77777777" w:rsidR="0011262F" w:rsidRDefault="0011262F" w:rsidP="00B54007">
                  <w:pPr>
                    <w:pStyle w:val="TableBodyText"/>
                  </w:pPr>
                  <w:r w:rsidRPr="00EC4B4E">
                    <w:t>0.456</w:t>
                  </w:r>
                </w:p>
              </w:tc>
            </w:tr>
            <w:tr w:rsidR="0011262F" w14:paraId="316E845C" w14:textId="77777777" w:rsidTr="00B54007">
              <w:tc>
                <w:tcPr>
                  <w:tcW w:w="1842" w:type="pct"/>
                  <w:shd w:val="clear" w:color="auto" w:fill="F2F2F2" w:themeFill="background1" w:themeFillShade="F2"/>
                  <w:vAlign w:val="bottom"/>
                </w:tcPr>
                <w:p w14:paraId="645C4887" w14:textId="77777777" w:rsidR="0011262F" w:rsidRDefault="0011262F" w:rsidP="00B54007">
                  <w:pPr>
                    <w:pStyle w:val="TableBodyText"/>
                    <w:jc w:val="left"/>
                  </w:pPr>
                  <w:r w:rsidRPr="00C358C1">
                    <w:t>Public x Assets</w:t>
                  </w:r>
                </w:p>
              </w:tc>
              <w:tc>
                <w:tcPr>
                  <w:tcW w:w="632" w:type="pct"/>
                  <w:shd w:val="clear" w:color="auto" w:fill="F2F2F2" w:themeFill="background1" w:themeFillShade="F2"/>
                </w:tcPr>
                <w:p w14:paraId="43573E61" w14:textId="77777777" w:rsidR="0011262F" w:rsidRDefault="0011262F" w:rsidP="00B54007">
                  <w:pPr>
                    <w:pStyle w:val="TableBodyText"/>
                    <w:ind w:right="28"/>
                  </w:pPr>
                  <w:r w:rsidRPr="00EC4B4E">
                    <w:t>0.076</w:t>
                  </w:r>
                </w:p>
              </w:tc>
              <w:tc>
                <w:tcPr>
                  <w:tcW w:w="632" w:type="pct"/>
                  <w:shd w:val="clear" w:color="auto" w:fill="F2F2F2" w:themeFill="background1" w:themeFillShade="F2"/>
                </w:tcPr>
                <w:p w14:paraId="0500F931" w14:textId="77777777" w:rsidR="0011262F" w:rsidRDefault="0011262F" w:rsidP="00B54007">
                  <w:pPr>
                    <w:pStyle w:val="TableBodyText"/>
                    <w:ind w:right="28"/>
                  </w:pPr>
                  <w:r w:rsidRPr="00EC4B4E">
                    <w:t>0.130</w:t>
                  </w:r>
                </w:p>
              </w:tc>
              <w:tc>
                <w:tcPr>
                  <w:tcW w:w="632" w:type="pct"/>
                  <w:shd w:val="clear" w:color="auto" w:fill="F2F2F2" w:themeFill="background1" w:themeFillShade="F2"/>
                </w:tcPr>
                <w:p w14:paraId="11647A23" w14:textId="77777777" w:rsidR="0011262F" w:rsidRDefault="0011262F" w:rsidP="00B54007">
                  <w:pPr>
                    <w:pStyle w:val="TableBodyText"/>
                    <w:ind w:right="28"/>
                  </w:pPr>
                  <w:r w:rsidRPr="00EC4B4E">
                    <w:t>-0.189</w:t>
                  </w:r>
                </w:p>
              </w:tc>
              <w:tc>
                <w:tcPr>
                  <w:tcW w:w="632" w:type="pct"/>
                  <w:shd w:val="clear" w:color="auto" w:fill="F2F2F2" w:themeFill="background1" w:themeFillShade="F2"/>
                </w:tcPr>
                <w:p w14:paraId="56AE4012" w14:textId="77777777" w:rsidR="0011262F" w:rsidRDefault="0011262F" w:rsidP="00B54007">
                  <w:pPr>
                    <w:pStyle w:val="TableBodyText"/>
                    <w:ind w:right="28"/>
                  </w:pPr>
                  <w:r w:rsidRPr="00EC4B4E">
                    <w:t>0.071</w:t>
                  </w:r>
                </w:p>
              </w:tc>
              <w:tc>
                <w:tcPr>
                  <w:tcW w:w="630" w:type="pct"/>
                  <w:shd w:val="clear" w:color="auto" w:fill="F2F2F2" w:themeFill="background1" w:themeFillShade="F2"/>
                </w:tcPr>
                <w:p w14:paraId="75DCC495" w14:textId="77777777" w:rsidR="0011262F" w:rsidRDefault="0011262F" w:rsidP="00B54007">
                  <w:pPr>
                    <w:pStyle w:val="TableBodyText"/>
                  </w:pPr>
                  <w:r w:rsidRPr="00EC4B4E">
                    <w:t>0.336</w:t>
                  </w:r>
                </w:p>
              </w:tc>
            </w:tr>
            <w:tr w:rsidR="0011262F" w14:paraId="44BFF980" w14:textId="77777777" w:rsidTr="00B54007">
              <w:tc>
                <w:tcPr>
                  <w:tcW w:w="1842" w:type="pct"/>
                  <w:shd w:val="clear" w:color="auto" w:fill="auto"/>
                  <w:vAlign w:val="bottom"/>
                </w:tcPr>
                <w:p w14:paraId="77D89D8D" w14:textId="77777777" w:rsidR="0011262F" w:rsidRDefault="0011262F" w:rsidP="00B54007">
                  <w:pPr>
                    <w:pStyle w:val="TableBodyText"/>
                    <w:jc w:val="left"/>
                  </w:pPr>
                  <w:r w:rsidRPr="00C358C1">
                    <w:t>Retail x Assets</w:t>
                  </w:r>
                </w:p>
              </w:tc>
              <w:tc>
                <w:tcPr>
                  <w:tcW w:w="632" w:type="pct"/>
                </w:tcPr>
                <w:p w14:paraId="4C212C26" w14:textId="77777777" w:rsidR="0011262F" w:rsidRDefault="0011262F" w:rsidP="00B54007">
                  <w:pPr>
                    <w:pStyle w:val="TableBodyText"/>
                    <w:ind w:right="28"/>
                  </w:pPr>
                  <w:r w:rsidRPr="00EC4B4E">
                    <w:t>0.732</w:t>
                  </w:r>
                </w:p>
              </w:tc>
              <w:tc>
                <w:tcPr>
                  <w:tcW w:w="632" w:type="pct"/>
                  <w:shd w:val="clear" w:color="auto" w:fill="auto"/>
                </w:tcPr>
                <w:p w14:paraId="2FA78672" w14:textId="77777777" w:rsidR="0011262F" w:rsidRDefault="0011262F" w:rsidP="00B54007">
                  <w:pPr>
                    <w:pStyle w:val="TableBodyText"/>
                    <w:ind w:right="28"/>
                  </w:pPr>
                  <w:r w:rsidRPr="00EC4B4E">
                    <w:t>0.085</w:t>
                  </w:r>
                </w:p>
              </w:tc>
              <w:tc>
                <w:tcPr>
                  <w:tcW w:w="632" w:type="pct"/>
                  <w:shd w:val="clear" w:color="auto" w:fill="auto"/>
                </w:tcPr>
                <w:p w14:paraId="48DD98AF" w14:textId="77777777" w:rsidR="0011262F" w:rsidRDefault="0011262F" w:rsidP="00B54007">
                  <w:pPr>
                    <w:pStyle w:val="TableBodyText"/>
                    <w:ind w:right="28"/>
                  </w:pPr>
                  <w:r w:rsidRPr="00EC4B4E">
                    <w:t>0.562</w:t>
                  </w:r>
                </w:p>
              </w:tc>
              <w:tc>
                <w:tcPr>
                  <w:tcW w:w="632" w:type="pct"/>
                </w:tcPr>
                <w:p w14:paraId="7837402C" w14:textId="77777777" w:rsidR="0011262F" w:rsidRDefault="0011262F" w:rsidP="00B54007">
                  <w:pPr>
                    <w:pStyle w:val="TableBodyText"/>
                    <w:ind w:right="28"/>
                  </w:pPr>
                  <w:r w:rsidRPr="00EC4B4E">
                    <w:t>0.730</w:t>
                  </w:r>
                </w:p>
              </w:tc>
              <w:tc>
                <w:tcPr>
                  <w:tcW w:w="630" w:type="pct"/>
                </w:tcPr>
                <w:p w14:paraId="7AA5C693" w14:textId="77777777" w:rsidR="0011262F" w:rsidRDefault="0011262F" w:rsidP="00B54007">
                  <w:pPr>
                    <w:pStyle w:val="TableBodyText"/>
                  </w:pPr>
                  <w:r w:rsidRPr="00EC4B4E">
                    <w:t>0.903</w:t>
                  </w:r>
                </w:p>
              </w:tc>
            </w:tr>
            <w:tr w:rsidR="0011262F" w14:paraId="153E0848" w14:textId="77777777" w:rsidTr="00B54007">
              <w:tc>
                <w:tcPr>
                  <w:tcW w:w="1842" w:type="pct"/>
                  <w:shd w:val="clear" w:color="auto" w:fill="F2F2F2" w:themeFill="background1" w:themeFillShade="F2"/>
                  <w:vAlign w:val="bottom"/>
                </w:tcPr>
                <w:p w14:paraId="13D38655" w14:textId="77777777" w:rsidR="0011262F" w:rsidRDefault="0011262F" w:rsidP="00B54007">
                  <w:pPr>
                    <w:pStyle w:val="TableBodyText"/>
                    <w:jc w:val="left"/>
                  </w:pPr>
                  <w:r w:rsidRPr="00C358C1">
                    <w:t>Industry x Member accounts</w:t>
                  </w:r>
                </w:p>
              </w:tc>
              <w:tc>
                <w:tcPr>
                  <w:tcW w:w="632" w:type="pct"/>
                  <w:shd w:val="clear" w:color="auto" w:fill="F2F2F2" w:themeFill="background1" w:themeFillShade="F2"/>
                </w:tcPr>
                <w:p w14:paraId="34D534C2" w14:textId="77777777" w:rsidR="0011262F" w:rsidRDefault="0011262F" w:rsidP="00B54007">
                  <w:pPr>
                    <w:pStyle w:val="TableBodyText"/>
                    <w:ind w:right="28"/>
                  </w:pPr>
                  <w:r w:rsidRPr="00EC4B4E">
                    <w:t>-0.255</w:t>
                  </w:r>
                </w:p>
              </w:tc>
              <w:tc>
                <w:tcPr>
                  <w:tcW w:w="632" w:type="pct"/>
                  <w:shd w:val="clear" w:color="auto" w:fill="F2F2F2" w:themeFill="background1" w:themeFillShade="F2"/>
                </w:tcPr>
                <w:p w14:paraId="7255D40F" w14:textId="77777777" w:rsidR="0011262F" w:rsidRDefault="0011262F" w:rsidP="00B54007">
                  <w:pPr>
                    <w:pStyle w:val="TableBodyText"/>
                    <w:ind w:right="28"/>
                  </w:pPr>
                  <w:r w:rsidRPr="00EC4B4E">
                    <w:t>0.126</w:t>
                  </w:r>
                </w:p>
              </w:tc>
              <w:tc>
                <w:tcPr>
                  <w:tcW w:w="632" w:type="pct"/>
                  <w:shd w:val="clear" w:color="auto" w:fill="F2F2F2" w:themeFill="background1" w:themeFillShade="F2"/>
                </w:tcPr>
                <w:p w14:paraId="61B53EA1" w14:textId="77777777" w:rsidR="0011262F" w:rsidRDefault="0011262F" w:rsidP="00B54007">
                  <w:pPr>
                    <w:pStyle w:val="TableBodyText"/>
                    <w:ind w:right="28"/>
                  </w:pPr>
                  <w:r w:rsidRPr="00EC4B4E">
                    <w:t>-0.507</w:t>
                  </w:r>
                </w:p>
              </w:tc>
              <w:tc>
                <w:tcPr>
                  <w:tcW w:w="632" w:type="pct"/>
                  <w:shd w:val="clear" w:color="auto" w:fill="F2F2F2" w:themeFill="background1" w:themeFillShade="F2"/>
                </w:tcPr>
                <w:p w14:paraId="01309802" w14:textId="77777777" w:rsidR="0011262F" w:rsidRDefault="0011262F" w:rsidP="00B54007">
                  <w:pPr>
                    <w:pStyle w:val="TableBodyText"/>
                    <w:ind w:right="28"/>
                  </w:pPr>
                  <w:r w:rsidRPr="00EC4B4E">
                    <w:t>-0.253</w:t>
                  </w:r>
                </w:p>
              </w:tc>
              <w:tc>
                <w:tcPr>
                  <w:tcW w:w="630" w:type="pct"/>
                  <w:shd w:val="clear" w:color="auto" w:fill="F2F2F2" w:themeFill="background1" w:themeFillShade="F2"/>
                </w:tcPr>
                <w:p w14:paraId="40443F52" w14:textId="77777777" w:rsidR="0011262F" w:rsidRDefault="0011262F" w:rsidP="00B54007">
                  <w:pPr>
                    <w:pStyle w:val="TableBodyText"/>
                  </w:pPr>
                  <w:r w:rsidRPr="00EC4B4E">
                    <w:t>-0.010</w:t>
                  </w:r>
                </w:p>
              </w:tc>
            </w:tr>
            <w:tr w:rsidR="0011262F" w14:paraId="58521B8D" w14:textId="77777777" w:rsidTr="00B54007">
              <w:tc>
                <w:tcPr>
                  <w:tcW w:w="1842" w:type="pct"/>
                  <w:shd w:val="clear" w:color="auto" w:fill="auto"/>
                  <w:vAlign w:val="bottom"/>
                </w:tcPr>
                <w:p w14:paraId="07D068C8" w14:textId="77777777" w:rsidR="0011262F" w:rsidRDefault="0011262F" w:rsidP="00B54007">
                  <w:pPr>
                    <w:pStyle w:val="TableBodyText"/>
                    <w:jc w:val="left"/>
                  </w:pPr>
                  <w:r w:rsidRPr="00C358C1">
                    <w:t>Public x Member accounts</w:t>
                  </w:r>
                </w:p>
              </w:tc>
              <w:tc>
                <w:tcPr>
                  <w:tcW w:w="632" w:type="pct"/>
                </w:tcPr>
                <w:p w14:paraId="61508417" w14:textId="77777777" w:rsidR="0011262F" w:rsidRDefault="0011262F" w:rsidP="00B54007">
                  <w:pPr>
                    <w:pStyle w:val="TableBodyText"/>
                    <w:ind w:right="28"/>
                  </w:pPr>
                  <w:r w:rsidRPr="00EC4B4E">
                    <w:t>-0.217</w:t>
                  </w:r>
                </w:p>
              </w:tc>
              <w:tc>
                <w:tcPr>
                  <w:tcW w:w="632" w:type="pct"/>
                  <w:shd w:val="clear" w:color="auto" w:fill="auto"/>
                </w:tcPr>
                <w:p w14:paraId="68E8527A" w14:textId="77777777" w:rsidR="0011262F" w:rsidRDefault="0011262F" w:rsidP="00B54007">
                  <w:pPr>
                    <w:pStyle w:val="TableBodyText"/>
                    <w:ind w:right="28"/>
                  </w:pPr>
                  <w:r w:rsidRPr="00EC4B4E">
                    <w:t>0.159</w:t>
                  </w:r>
                </w:p>
              </w:tc>
              <w:tc>
                <w:tcPr>
                  <w:tcW w:w="632" w:type="pct"/>
                  <w:shd w:val="clear" w:color="auto" w:fill="auto"/>
                </w:tcPr>
                <w:p w14:paraId="33B0F048" w14:textId="77777777" w:rsidR="0011262F" w:rsidRDefault="0011262F" w:rsidP="00B54007">
                  <w:pPr>
                    <w:pStyle w:val="TableBodyText"/>
                    <w:ind w:right="28"/>
                  </w:pPr>
                  <w:r w:rsidRPr="00EC4B4E">
                    <w:t>-0.529</w:t>
                  </w:r>
                </w:p>
              </w:tc>
              <w:tc>
                <w:tcPr>
                  <w:tcW w:w="632" w:type="pct"/>
                </w:tcPr>
                <w:p w14:paraId="25FECB75" w14:textId="77777777" w:rsidR="0011262F" w:rsidRDefault="0011262F" w:rsidP="00B54007">
                  <w:pPr>
                    <w:pStyle w:val="TableBodyText"/>
                    <w:ind w:right="28"/>
                  </w:pPr>
                  <w:r w:rsidRPr="00EC4B4E">
                    <w:t>-0.211</w:t>
                  </w:r>
                </w:p>
              </w:tc>
              <w:tc>
                <w:tcPr>
                  <w:tcW w:w="630" w:type="pct"/>
                </w:tcPr>
                <w:p w14:paraId="3ACFFE0D" w14:textId="77777777" w:rsidR="0011262F" w:rsidRDefault="0011262F" w:rsidP="00B54007">
                  <w:pPr>
                    <w:pStyle w:val="TableBodyText"/>
                  </w:pPr>
                  <w:r w:rsidRPr="00EC4B4E">
                    <w:t>0.098</w:t>
                  </w:r>
                </w:p>
              </w:tc>
            </w:tr>
            <w:tr w:rsidR="0011262F" w14:paraId="73C4F1BB" w14:textId="77777777" w:rsidTr="00B54007">
              <w:tc>
                <w:tcPr>
                  <w:tcW w:w="1842" w:type="pct"/>
                  <w:shd w:val="clear" w:color="auto" w:fill="F2F2F2" w:themeFill="background1" w:themeFillShade="F2"/>
                  <w:vAlign w:val="bottom"/>
                </w:tcPr>
                <w:p w14:paraId="60F7E077" w14:textId="77777777" w:rsidR="0011262F" w:rsidRDefault="0011262F" w:rsidP="00B54007">
                  <w:pPr>
                    <w:pStyle w:val="TableBodyText"/>
                    <w:jc w:val="left"/>
                  </w:pPr>
                  <w:r w:rsidRPr="00C358C1">
                    <w:t>Retail x Member accounts</w:t>
                  </w:r>
                </w:p>
              </w:tc>
              <w:tc>
                <w:tcPr>
                  <w:tcW w:w="632" w:type="pct"/>
                  <w:shd w:val="clear" w:color="auto" w:fill="F2F2F2" w:themeFill="background1" w:themeFillShade="F2"/>
                </w:tcPr>
                <w:p w14:paraId="206B12D1" w14:textId="77777777" w:rsidR="0011262F" w:rsidRDefault="0011262F" w:rsidP="00B54007">
                  <w:pPr>
                    <w:pStyle w:val="TableBodyText"/>
                    <w:ind w:right="28"/>
                  </w:pPr>
                  <w:r w:rsidRPr="00EC4B4E">
                    <w:t>-0.315</w:t>
                  </w:r>
                </w:p>
              </w:tc>
              <w:tc>
                <w:tcPr>
                  <w:tcW w:w="632" w:type="pct"/>
                  <w:shd w:val="clear" w:color="auto" w:fill="F2F2F2" w:themeFill="background1" w:themeFillShade="F2"/>
                </w:tcPr>
                <w:p w14:paraId="46BDB0BF" w14:textId="77777777" w:rsidR="0011262F" w:rsidRDefault="0011262F" w:rsidP="00B54007">
                  <w:pPr>
                    <w:pStyle w:val="TableBodyText"/>
                    <w:ind w:right="28"/>
                  </w:pPr>
                  <w:r w:rsidRPr="00EC4B4E">
                    <w:t>0.100</w:t>
                  </w:r>
                </w:p>
              </w:tc>
              <w:tc>
                <w:tcPr>
                  <w:tcW w:w="632" w:type="pct"/>
                  <w:shd w:val="clear" w:color="auto" w:fill="F2F2F2" w:themeFill="background1" w:themeFillShade="F2"/>
                </w:tcPr>
                <w:p w14:paraId="76325A89" w14:textId="77777777" w:rsidR="0011262F" w:rsidRDefault="0011262F" w:rsidP="00B54007">
                  <w:pPr>
                    <w:pStyle w:val="TableBodyText"/>
                    <w:ind w:right="28"/>
                  </w:pPr>
                  <w:r w:rsidRPr="00EC4B4E">
                    <w:t>-0.514</w:t>
                  </w:r>
                </w:p>
              </w:tc>
              <w:tc>
                <w:tcPr>
                  <w:tcW w:w="632" w:type="pct"/>
                  <w:shd w:val="clear" w:color="auto" w:fill="F2F2F2" w:themeFill="background1" w:themeFillShade="F2"/>
                </w:tcPr>
                <w:p w14:paraId="04C84118" w14:textId="77777777" w:rsidR="0011262F" w:rsidRDefault="0011262F" w:rsidP="00B54007">
                  <w:pPr>
                    <w:pStyle w:val="TableBodyText"/>
                    <w:ind w:right="28"/>
                  </w:pPr>
                  <w:r w:rsidRPr="00EC4B4E">
                    <w:t>-0.316</w:t>
                  </w:r>
                </w:p>
              </w:tc>
              <w:tc>
                <w:tcPr>
                  <w:tcW w:w="630" w:type="pct"/>
                  <w:shd w:val="clear" w:color="auto" w:fill="F2F2F2" w:themeFill="background1" w:themeFillShade="F2"/>
                </w:tcPr>
                <w:p w14:paraId="1175EAFF" w14:textId="77777777" w:rsidR="0011262F" w:rsidRDefault="0011262F" w:rsidP="00B54007">
                  <w:pPr>
                    <w:pStyle w:val="TableBodyText"/>
                  </w:pPr>
                  <w:r w:rsidRPr="00EC4B4E">
                    <w:t>-0.110</w:t>
                  </w:r>
                </w:p>
              </w:tc>
            </w:tr>
            <w:tr w:rsidR="0011262F" w14:paraId="17726AED" w14:textId="77777777" w:rsidTr="00B54007">
              <w:tc>
                <w:tcPr>
                  <w:tcW w:w="1842" w:type="pct"/>
                  <w:shd w:val="clear" w:color="auto" w:fill="auto"/>
                  <w:vAlign w:val="bottom"/>
                </w:tcPr>
                <w:p w14:paraId="657A7C81" w14:textId="77777777" w:rsidR="0011262F" w:rsidRDefault="0011262F" w:rsidP="00B54007">
                  <w:pPr>
                    <w:pStyle w:val="TableBodyText"/>
                    <w:jc w:val="left"/>
                  </w:pPr>
                  <w:r w:rsidRPr="00C358C1">
                    <w:t>Intercept</w:t>
                  </w:r>
                </w:p>
              </w:tc>
              <w:tc>
                <w:tcPr>
                  <w:tcW w:w="632" w:type="pct"/>
                </w:tcPr>
                <w:p w14:paraId="27075E85" w14:textId="77777777" w:rsidR="0011262F" w:rsidRDefault="0011262F" w:rsidP="00B54007">
                  <w:pPr>
                    <w:pStyle w:val="TableBodyText"/>
                    <w:ind w:right="28"/>
                  </w:pPr>
                  <w:r w:rsidRPr="00EC4B4E">
                    <w:t>-0.011</w:t>
                  </w:r>
                </w:p>
              </w:tc>
              <w:tc>
                <w:tcPr>
                  <w:tcW w:w="632" w:type="pct"/>
                  <w:shd w:val="clear" w:color="auto" w:fill="auto"/>
                </w:tcPr>
                <w:p w14:paraId="60C1DF3E" w14:textId="77777777" w:rsidR="0011262F" w:rsidRDefault="0011262F" w:rsidP="00B54007">
                  <w:pPr>
                    <w:pStyle w:val="TableBodyText"/>
                    <w:ind w:right="28"/>
                  </w:pPr>
                  <w:r w:rsidRPr="00EC4B4E">
                    <w:t>0.184</w:t>
                  </w:r>
                </w:p>
              </w:tc>
              <w:tc>
                <w:tcPr>
                  <w:tcW w:w="632" w:type="pct"/>
                  <w:shd w:val="clear" w:color="auto" w:fill="auto"/>
                </w:tcPr>
                <w:p w14:paraId="089E3FF1" w14:textId="77777777" w:rsidR="0011262F" w:rsidRDefault="0011262F" w:rsidP="00B54007">
                  <w:pPr>
                    <w:pStyle w:val="TableBodyText"/>
                    <w:ind w:right="28"/>
                  </w:pPr>
                  <w:r w:rsidRPr="00EC4B4E">
                    <w:t>-0.379</w:t>
                  </w:r>
                </w:p>
              </w:tc>
              <w:tc>
                <w:tcPr>
                  <w:tcW w:w="632" w:type="pct"/>
                </w:tcPr>
                <w:p w14:paraId="3A07C20A" w14:textId="77777777" w:rsidR="0011262F" w:rsidRDefault="0011262F" w:rsidP="00B54007">
                  <w:pPr>
                    <w:pStyle w:val="TableBodyText"/>
                    <w:ind w:right="28"/>
                  </w:pPr>
                  <w:r w:rsidRPr="00EC4B4E">
                    <w:t>-0.014</w:t>
                  </w:r>
                </w:p>
              </w:tc>
              <w:tc>
                <w:tcPr>
                  <w:tcW w:w="630" w:type="pct"/>
                </w:tcPr>
                <w:p w14:paraId="56ABCA08" w14:textId="77777777" w:rsidR="0011262F" w:rsidRDefault="0011262F" w:rsidP="00B54007">
                  <w:pPr>
                    <w:pStyle w:val="TableBodyText"/>
                  </w:pPr>
                  <w:r w:rsidRPr="00EC4B4E">
                    <w:t>0.328</w:t>
                  </w:r>
                </w:p>
              </w:tc>
            </w:tr>
            <w:tr w:rsidR="0011262F" w14:paraId="18E0C126" w14:textId="77777777" w:rsidTr="00B54007">
              <w:tc>
                <w:tcPr>
                  <w:tcW w:w="1842" w:type="pct"/>
                  <w:shd w:val="clear" w:color="auto" w:fill="F2F2F2" w:themeFill="background1" w:themeFillShade="F2"/>
                  <w:vAlign w:val="bottom"/>
                </w:tcPr>
                <w:p w14:paraId="1B7CCDA8" w14:textId="77777777" w:rsidR="0011262F" w:rsidRDefault="0011262F" w:rsidP="00B54007">
                  <w:pPr>
                    <w:pStyle w:val="TableBodyText"/>
                    <w:jc w:val="left"/>
                  </w:pPr>
                  <w:r w:rsidRPr="00C358C1">
                    <w:t>SD of number of options</w:t>
                  </w:r>
                </w:p>
              </w:tc>
              <w:tc>
                <w:tcPr>
                  <w:tcW w:w="632" w:type="pct"/>
                  <w:shd w:val="clear" w:color="auto" w:fill="F2F2F2" w:themeFill="background1" w:themeFillShade="F2"/>
                </w:tcPr>
                <w:p w14:paraId="1DEA6B6B" w14:textId="77777777" w:rsidR="0011262F" w:rsidRDefault="0011262F" w:rsidP="00B54007">
                  <w:pPr>
                    <w:pStyle w:val="TableBodyText"/>
                    <w:ind w:right="28"/>
                  </w:pPr>
                  <w:r w:rsidRPr="00EC4B4E">
                    <w:t>0.746</w:t>
                  </w:r>
                </w:p>
              </w:tc>
              <w:tc>
                <w:tcPr>
                  <w:tcW w:w="632" w:type="pct"/>
                  <w:shd w:val="clear" w:color="auto" w:fill="F2F2F2" w:themeFill="background1" w:themeFillShade="F2"/>
                </w:tcPr>
                <w:p w14:paraId="4527A2FD" w14:textId="77777777" w:rsidR="0011262F" w:rsidRDefault="0011262F" w:rsidP="00B54007">
                  <w:pPr>
                    <w:pStyle w:val="TableBodyText"/>
                    <w:ind w:right="28"/>
                  </w:pPr>
                  <w:r w:rsidRPr="00EC4B4E">
                    <w:t>0.009</w:t>
                  </w:r>
                </w:p>
              </w:tc>
              <w:tc>
                <w:tcPr>
                  <w:tcW w:w="632" w:type="pct"/>
                  <w:shd w:val="clear" w:color="auto" w:fill="F2F2F2" w:themeFill="background1" w:themeFillShade="F2"/>
                </w:tcPr>
                <w:p w14:paraId="1CA4A9D1" w14:textId="77777777" w:rsidR="0011262F" w:rsidRDefault="0011262F" w:rsidP="00B54007">
                  <w:pPr>
                    <w:pStyle w:val="TableBodyText"/>
                    <w:ind w:right="28"/>
                  </w:pPr>
                  <w:r w:rsidRPr="00EC4B4E">
                    <w:t>0.730</w:t>
                  </w:r>
                </w:p>
              </w:tc>
              <w:tc>
                <w:tcPr>
                  <w:tcW w:w="632" w:type="pct"/>
                  <w:shd w:val="clear" w:color="auto" w:fill="F2F2F2" w:themeFill="background1" w:themeFillShade="F2"/>
                </w:tcPr>
                <w:p w14:paraId="74136B99" w14:textId="77777777" w:rsidR="0011262F" w:rsidRDefault="0011262F" w:rsidP="00B54007">
                  <w:pPr>
                    <w:pStyle w:val="TableBodyText"/>
                    <w:ind w:right="28"/>
                  </w:pPr>
                  <w:r w:rsidRPr="00EC4B4E">
                    <w:t>0.747</w:t>
                  </w:r>
                </w:p>
              </w:tc>
              <w:tc>
                <w:tcPr>
                  <w:tcW w:w="630" w:type="pct"/>
                  <w:shd w:val="clear" w:color="auto" w:fill="F2F2F2" w:themeFill="background1" w:themeFillShade="F2"/>
                </w:tcPr>
                <w:p w14:paraId="2813C106" w14:textId="77777777" w:rsidR="0011262F" w:rsidRDefault="0011262F" w:rsidP="00B54007">
                  <w:pPr>
                    <w:pStyle w:val="TableBodyText"/>
                  </w:pPr>
                  <w:r w:rsidRPr="00EC4B4E">
                    <w:t>0.764</w:t>
                  </w:r>
                </w:p>
              </w:tc>
            </w:tr>
            <w:tr w:rsidR="0011262F" w14:paraId="3F90399C" w14:textId="77777777" w:rsidTr="00B54007">
              <w:tc>
                <w:tcPr>
                  <w:tcW w:w="1842" w:type="pct"/>
                  <w:shd w:val="clear" w:color="auto" w:fill="auto"/>
                  <w:vAlign w:val="bottom"/>
                </w:tcPr>
                <w:p w14:paraId="015E8A9A" w14:textId="77777777" w:rsidR="0011262F" w:rsidRDefault="0011262F" w:rsidP="00B54007">
                  <w:pPr>
                    <w:pStyle w:val="TableBodyText"/>
                    <w:jc w:val="left"/>
                  </w:pPr>
                </w:p>
              </w:tc>
              <w:tc>
                <w:tcPr>
                  <w:tcW w:w="632" w:type="pct"/>
                  <w:vAlign w:val="bottom"/>
                </w:tcPr>
                <w:p w14:paraId="22F7E77A" w14:textId="77777777" w:rsidR="0011262F" w:rsidRDefault="0011262F" w:rsidP="00B54007">
                  <w:pPr>
                    <w:pStyle w:val="TableBodyText"/>
                    <w:ind w:right="28"/>
                  </w:pPr>
                </w:p>
              </w:tc>
              <w:tc>
                <w:tcPr>
                  <w:tcW w:w="632" w:type="pct"/>
                  <w:shd w:val="clear" w:color="auto" w:fill="auto"/>
                  <w:vAlign w:val="bottom"/>
                </w:tcPr>
                <w:p w14:paraId="1B77E946" w14:textId="77777777" w:rsidR="0011262F" w:rsidRDefault="0011262F" w:rsidP="00B54007">
                  <w:pPr>
                    <w:pStyle w:val="TableBodyText"/>
                    <w:ind w:right="28"/>
                  </w:pPr>
                </w:p>
              </w:tc>
              <w:tc>
                <w:tcPr>
                  <w:tcW w:w="632" w:type="pct"/>
                  <w:shd w:val="clear" w:color="auto" w:fill="auto"/>
                  <w:vAlign w:val="bottom"/>
                </w:tcPr>
                <w:p w14:paraId="623CD903" w14:textId="77777777" w:rsidR="0011262F" w:rsidRDefault="0011262F" w:rsidP="00B54007">
                  <w:pPr>
                    <w:pStyle w:val="TableBodyText"/>
                    <w:ind w:right="28"/>
                  </w:pPr>
                </w:p>
              </w:tc>
              <w:tc>
                <w:tcPr>
                  <w:tcW w:w="632" w:type="pct"/>
                  <w:vAlign w:val="bottom"/>
                </w:tcPr>
                <w:p w14:paraId="535E4196" w14:textId="77777777" w:rsidR="0011262F" w:rsidRDefault="0011262F" w:rsidP="00B54007">
                  <w:pPr>
                    <w:pStyle w:val="TableBodyText"/>
                    <w:ind w:right="28"/>
                  </w:pPr>
                </w:p>
              </w:tc>
              <w:tc>
                <w:tcPr>
                  <w:tcW w:w="630" w:type="pct"/>
                  <w:vAlign w:val="bottom"/>
                </w:tcPr>
                <w:p w14:paraId="6206F274" w14:textId="77777777" w:rsidR="0011262F" w:rsidRDefault="0011262F" w:rsidP="00B54007">
                  <w:pPr>
                    <w:pStyle w:val="TableBodyText"/>
                  </w:pPr>
                </w:p>
              </w:tc>
            </w:tr>
            <w:tr w:rsidR="0011262F" w14:paraId="0F06B9DA" w14:textId="77777777" w:rsidTr="00B54007">
              <w:tc>
                <w:tcPr>
                  <w:tcW w:w="1842" w:type="pct"/>
                  <w:shd w:val="clear" w:color="auto" w:fill="BFBFBF" w:themeFill="background1" w:themeFillShade="BF"/>
                  <w:vAlign w:val="bottom"/>
                </w:tcPr>
                <w:p w14:paraId="1AFEFDFA" w14:textId="77777777" w:rsidR="0011262F" w:rsidRDefault="0011262F" w:rsidP="00B54007">
                  <w:pPr>
                    <w:pStyle w:val="TableBodyText"/>
                    <w:jc w:val="left"/>
                  </w:pPr>
                  <w:r w:rsidRPr="00C358C1">
                    <w:rPr>
                      <w:b/>
                    </w:rPr>
                    <w:t>Survival equation</w:t>
                  </w:r>
                </w:p>
              </w:tc>
              <w:tc>
                <w:tcPr>
                  <w:tcW w:w="632" w:type="pct"/>
                  <w:shd w:val="clear" w:color="auto" w:fill="BFBFBF" w:themeFill="background1" w:themeFillShade="BF"/>
                  <w:vAlign w:val="bottom"/>
                </w:tcPr>
                <w:p w14:paraId="43620D4D" w14:textId="77777777" w:rsidR="0011262F" w:rsidRDefault="0011262F" w:rsidP="00B54007">
                  <w:pPr>
                    <w:pStyle w:val="TableBodyText"/>
                    <w:ind w:right="28"/>
                  </w:pPr>
                </w:p>
              </w:tc>
              <w:tc>
                <w:tcPr>
                  <w:tcW w:w="632" w:type="pct"/>
                  <w:shd w:val="clear" w:color="auto" w:fill="BFBFBF" w:themeFill="background1" w:themeFillShade="BF"/>
                  <w:vAlign w:val="bottom"/>
                </w:tcPr>
                <w:p w14:paraId="23A526A1" w14:textId="77777777" w:rsidR="0011262F" w:rsidRDefault="0011262F" w:rsidP="00B54007">
                  <w:pPr>
                    <w:pStyle w:val="TableBodyText"/>
                    <w:ind w:right="28"/>
                  </w:pPr>
                </w:p>
              </w:tc>
              <w:tc>
                <w:tcPr>
                  <w:tcW w:w="632" w:type="pct"/>
                  <w:shd w:val="clear" w:color="auto" w:fill="BFBFBF" w:themeFill="background1" w:themeFillShade="BF"/>
                  <w:vAlign w:val="bottom"/>
                </w:tcPr>
                <w:p w14:paraId="11C7B84C" w14:textId="77777777" w:rsidR="0011262F" w:rsidRDefault="0011262F" w:rsidP="00B54007">
                  <w:pPr>
                    <w:pStyle w:val="TableBodyText"/>
                    <w:ind w:right="28"/>
                  </w:pPr>
                </w:p>
              </w:tc>
              <w:tc>
                <w:tcPr>
                  <w:tcW w:w="632" w:type="pct"/>
                  <w:shd w:val="clear" w:color="auto" w:fill="BFBFBF" w:themeFill="background1" w:themeFillShade="BF"/>
                  <w:vAlign w:val="bottom"/>
                </w:tcPr>
                <w:p w14:paraId="35F5EBDD" w14:textId="77777777" w:rsidR="0011262F" w:rsidRDefault="0011262F" w:rsidP="00B54007">
                  <w:pPr>
                    <w:pStyle w:val="TableBodyText"/>
                    <w:ind w:right="28"/>
                  </w:pPr>
                </w:p>
              </w:tc>
              <w:tc>
                <w:tcPr>
                  <w:tcW w:w="630" w:type="pct"/>
                  <w:shd w:val="clear" w:color="auto" w:fill="BFBFBF" w:themeFill="background1" w:themeFillShade="BF"/>
                  <w:vAlign w:val="bottom"/>
                </w:tcPr>
                <w:p w14:paraId="3666563A" w14:textId="77777777" w:rsidR="0011262F" w:rsidRDefault="0011262F" w:rsidP="00B54007">
                  <w:pPr>
                    <w:pStyle w:val="TableBodyText"/>
                  </w:pPr>
                </w:p>
              </w:tc>
            </w:tr>
            <w:tr w:rsidR="0011262F" w14:paraId="4220C669" w14:textId="77777777" w:rsidTr="00B54007">
              <w:tc>
                <w:tcPr>
                  <w:tcW w:w="1842" w:type="pct"/>
                  <w:shd w:val="clear" w:color="auto" w:fill="auto"/>
                  <w:vAlign w:val="bottom"/>
                </w:tcPr>
                <w:p w14:paraId="10149E50" w14:textId="77777777" w:rsidR="0011262F" w:rsidRDefault="0011262F" w:rsidP="00B54007">
                  <w:pPr>
                    <w:pStyle w:val="TableBodyText"/>
                    <w:jc w:val="left"/>
                  </w:pPr>
                  <w:r w:rsidRPr="00C358C1">
                    <w:t>Assets</w:t>
                  </w:r>
                </w:p>
              </w:tc>
              <w:tc>
                <w:tcPr>
                  <w:tcW w:w="632" w:type="pct"/>
                </w:tcPr>
                <w:p w14:paraId="020A2CCC" w14:textId="77777777" w:rsidR="0011262F" w:rsidRDefault="0011262F" w:rsidP="00B54007">
                  <w:pPr>
                    <w:pStyle w:val="TableBodyText"/>
                    <w:ind w:right="28"/>
                  </w:pPr>
                  <w:r w:rsidRPr="00244BE5">
                    <w:t>0.815</w:t>
                  </w:r>
                </w:p>
              </w:tc>
              <w:tc>
                <w:tcPr>
                  <w:tcW w:w="632" w:type="pct"/>
                  <w:shd w:val="clear" w:color="auto" w:fill="auto"/>
                </w:tcPr>
                <w:p w14:paraId="5B653765" w14:textId="77777777" w:rsidR="0011262F" w:rsidRDefault="0011262F" w:rsidP="00B54007">
                  <w:pPr>
                    <w:pStyle w:val="TableBodyText"/>
                    <w:ind w:right="28"/>
                  </w:pPr>
                  <w:r w:rsidRPr="00244BE5">
                    <w:t>0.138</w:t>
                  </w:r>
                </w:p>
              </w:tc>
              <w:tc>
                <w:tcPr>
                  <w:tcW w:w="632" w:type="pct"/>
                  <w:shd w:val="clear" w:color="auto" w:fill="auto"/>
                </w:tcPr>
                <w:p w14:paraId="550AFAC1" w14:textId="77777777" w:rsidR="0011262F" w:rsidRDefault="0011262F" w:rsidP="00B54007">
                  <w:pPr>
                    <w:pStyle w:val="TableBodyText"/>
                    <w:ind w:right="28"/>
                  </w:pPr>
                  <w:r w:rsidRPr="00244BE5">
                    <w:t>0.562</w:t>
                  </w:r>
                </w:p>
              </w:tc>
              <w:tc>
                <w:tcPr>
                  <w:tcW w:w="632" w:type="pct"/>
                </w:tcPr>
                <w:p w14:paraId="21429F86" w14:textId="77777777" w:rsidR="0011262F" w:rsidRDefault="0011262F" w:rsidP="00B54007">
                  <w:pPr>
                    <w:pStyle w:val="TableBodyText"/>
                    <w:ind w:right="28"/>
                  </w:pPr>
                  <w:r w:rsidRPr="00244BE5">
                    <w:t>0.814</w:t>
                  </w:r>
                </w:p>
              </w:tc>
              <w:tc>
                <w:tcPr>
                  <w:tcW w:w="630" w:type="pct"/>
                </w:tcPr>
                <w:p w14:paraId="13EE9041" w14:textId="77777777" w:rsidR="0011262F" w:rsidRDefault="0011262F" w:rsidP="00B54007">
                  <w:pPr>
                    <w:pStyle w:val="TableBodyText"/>
                  </w:pPr>
                  <w:r w:rsidRPr="00244BE5">
                    <w:t>1.099</w:t>
                  </w:r>
                </w:p>
              </w:tc>
            </w:tr>
            <w:tr w:rsidR="0011262F" w14:paraId="6E11F2B3" w14:textId="77777777" w:rsidTr="00B54007">
              <w:tc>
                <w:tcPr>
                  <w:tcW w:w="1842" w:type="pct"/>
                  <w:shd w:val="clear" w:color="auto" w:fill="F2F2F2" w:themeFill="background1" w:themeFillShade="F2"/>
                  <w:vAlign w:val="bottom"/>
                </w:tcPr>
                <w:p w14:paraId="7E6877D7" w14:textId="77777777" w:rsidR="0011262F" w:rsidRDefault="0011262F" w:rsidP="00B54007">
                  <w:pPr>
                    <w:pStyle w:val="TableBodyText"/>
                    <w:jc w:val="left"/>
                  </w:pPr>
                  <w:r w:rsidRPr="00C358C1">
                    <w:t>Member accounts</w:t>
                  </w:r>
                </w:p>
              </w:tc>
              <w:tc>
                <w:tcPr>
                  <w:tcW w:w="632" w:type="pct"/>
                  <w:shd w:val="clear" w:color="auto" w:fill="F2F2F2" w:themeFill="background1" w:themeFillShade="F2"/>
                </w:tcPr>
                <w:p w14:paraId="08CA812C" w14:textId="77777777" w:rsidR="0011262F" w:rsidRDefault="0011262F" w:rsidP="00B54007">
                  <w:pPr>
                    <w:pStyle w:val="TableBodyText"/>
                    <w:ind w:right="28"/>
                  </w:pPr>
                  <w:r w:rsidRPr="00244BE5">
                    <w:t>-0.161</w:t>
                  </w:r>
                </w:p>
              </w:tc>
              <w:tc>
                <w:tcPr>
                  <w:tcW w:w="632" w:type="pct"/>
                  <w:shd w:val="clear" w:color="auto" w:fill="F2F2F2" w:themeFill="background1" w:themeFillShade="F2"/>
                </w:tcPr>
                <w:p w14:paraId="5BCA3772" w14:textId="77777777" w:rsidR="0011262F" w:rsidRDefault="0011262F" w:rsidP="00B54007">
                  <w:pPr>
                    <w:pStyle w:val="TableBodyText"/>
                    <w:ind w:right="28"/>
                  </w:pPr>
                  <w:r w:rsidRPr="00244BE5">
                    <w:t>0.123</w:t>
                  </w:r>
                </w:p>
              </w:tc>
              <w:tc>
                <w:tcPr>
                  <w:tcW w:w="632" w:type="pct"/>
                  <w:shd w:val="clear" w:color="auto" w:fill="F2F2F2" w:themeFill="background1" w:themeFillShade="F2"/>
                </w:tcPr>
                <w:p w14:paraId="77BDEEAC" w14:textId="77777777" w:rsidR="0011262F" w:rsidRDefault="0011262F" w:rsidP="00B54007">
                  <w:pPr>
                    <w:pStyle w:val="TableBodyText"/>
                    <w:ind w:right="28"/>
                  </w:pPr>
                  <w:r w:rsidRPr="00244BE5">
                    <w:t>-0.416</w:t>
                  </w:r>
                </w:p>
              </w:tc>
              <w:tc>
                <w:tcPr>
                  <w:tcW w:w="632" w:type="pct"/>
                  <w:shd w:val="clear" w:color="auto" w:fill="F2F2F2" w:themeFill="background1" w:themeFillShade="F2"/>
                </w:tcPr>
                <w:p w14:paraId="4C7A29A8" w14:textId="77777777" w:rsidR="0011262F" w:rsidRDefault="0011262F" w:rsidP="00B54007">
                  <w:pPr>
                    <w:pStyle w:val="TableBodyText"/>
                    <w:ind w:right="28"/>
                  </w:pPr>
                  <w:r w:rsidRPr="00244BE5">
                    <w:t>-0.157</w:t>
                  </w:r>
                </w:p>
              </w:tc>
              <w:tc>
                <w:tcPr>
                  <w:tcW w:w="630" w:type="pct"/>
                  <w:shd w:val="clear" w:color="auto" w:fill="F2F2F2" w:themeFill="background1" w:themeFillShade="F2"/>
                </w:tcPr>
                <w:p w14:paraId="059CDE89" w14:textId="77777777" w:rsidR="0011262F" w:rsidRDefault="0011262F" w:rsidP="00B54007">
                  <w:pPr>
                    <w:pStyle w:val="TableBodyText"/>
                  </w:pPr>
                  <w:r w:rsidRPr="00244BE5">
                    <w:t>0.078</w:t>
                  </w:r>
                </w:p>
              </w:tc>
            </w:tr>
            <w:tr w:rsidR="0011262F" w14:paraId="3614BE90" w14:textId="77777777" w:rsidTr="00B54007">
              <w:tc>
                <w:tcPr>
                  <w:tcW w:w="1842" w:type="pct"/>
                  <w:shd w:val="clear" w:color="auto" w:fill="auto"/>
                  <w:vAlign w:val="bottom"/>
                </w:tcPr>
                <w:p w14:paraId="4198C16D" w14:textId="77777777" w:rsidR="0011262F" w:rsidRDefault="0011262F" w:rsidP="00B54007">
                  <w:pPr>
                    <w:pStyle w:val="TableBodyText"/>
                    <w:jc w:val="left"/>
                  </w:pPr>
                  <w:r w:rsidRPr="00C358C1">
                    <w:t>Number of investment options</w:t>
                  </w:r>
                </w:p>
              </w:tc>
              <w:tc>
                <w:tcPr>
                  <w:tcW w:w="632" w:type="pct"/>
                </w:tcPr>
                <w:p w14:paraId="1C414AF1" w14:textId="77777777" w:rsidR="0011262F" w:rsidRDefault="0011262F" w:rsidP="00B54007">
                  <w:pPr>
                    <w:pStyle w:val="TableBodyText"/>
                    <w:ind w:right="28"/>
                  </w:pPr>
                  <w:r w:rsidRPr="00244BE5">
                    <w:t>0.106</w:t>
                  </w:r>
                </w:p>
              </w:tc>
              <w:tc>
                <w:tcPr>
                  <w:tcW w:w="632" w:type="pct"/>
                  <w:shd w:val="clear" w:color="auto" w:fill="auto"/>
                </w:tcPr>
                <w:p w14:paraId="0FE4B8F3" w14:textId="77777777" w:rsidR="0011262F" w:rsidRDefault="0011262F" w:rsidP="00B54007">
                  <w:pPr>
                    <w:pStyle w:val="TableBodyText"/>
                    <w:ind w:right="28"/>
                  </w:pPr>
                  <w:r w:rsidRPr="00244BE5">
                    <w:t>0.079</w:t>
                  </w:r>
                </w:p>
              </w:tc>
              <w:tc>
                <w:tcPr>
                  <w:tcW w:w="632" w:type="pct"/>
                  <w:shd w:val="clear" w:color="auto" w:fill="auto"/>
                </w:tcPr>
                <w:p w14:paraId="5497FAFF" w14:textId="77777777" w:rsidR="0011262F" w:rsidRDefault="0011262F" w:rsidP="00B54007">
                  <w:pPr>
                    <w:pStyle w:val="TableBodyText"/>
                    <w:ind w:right="28"/>
                  </w:pPr>
                  <w:r w:rsidRPr="00244BE5">
                    <w:t>-0.049</w:t>
                  </w:r>
                </w:p>
              </w:tc>
              <w:tc>
                <w:tcPr>
                  <w:tcW w:w="632" w:type="pct"/>
                </w:tcPr>
                <w:p w14:paraId="6584F5BB" w14:textId="77777777" w:rsidR="0011262F" w:rsidRDefault="0011262F" w:rsidP="00B54007">
                  <w:pPr>
                    <w:pStyle w:val="TableBodyText"/>
                    <w:ind w:right="28"/>
                  </w:pPr>
                  <w:r w:rsidRPr="00244BE5">
                    <w:t>0.103</w:t>
                  </w:r>
                </w:p>
              </w:tc>
              <w:tc>
                <w:tcPr>
                  <w:tcW w:w="630" w:type="pct"/>
                </w:tcPr>
                <w:p w14:paraId="38D3F2C2" w14:textId="77777777" w:rsidR="0011262F" w:rsidRDefault="0011262F" w:rsidP="00B54007">
                  <w:pPr>
                    <w:pStyle w:val="TableBodyText"/>
                  </w:pPr>
                  <w:r w:rsidRPr="00244BE5">
                    <w:t>0.270</w:t>
                  </w:r>
                </w:p>
              </w:tc>
            </w:tr>
            <w:tr w:rsidR="0011262F" w14:paraId="66E2804C" w14:textId="77777777" w:rsidTr="00B54007">
              <w:tc>
                <w:tcPr>
                  <w:tcW w:w="1842" w:type="pct"/>
                  <w:shd w:val="clear" w:color="auto" w:fill="F2F2F2" w:themeFill="background1" w:themeFillShade="F2"/>
                  <w:vAlign w:val="bottom"/>
                </w:tcPr>
                <w:p w14:paraId="54DF7C18" w14:textId="77777777" w:rsidR="0011262F" w:rsidRDefault="0011262F" w:rsidP="00B54007">
                  <w:pPr>
                    <w:pStyle w:val="TableBodyText"/>
                    <w:jc w:val="left"/>
                  </w:pPr>
                  <w:r w:rsidRPr="00C358C1">
                    <w:t>Net contributions</w:t>
                  </w:r>
                </w:p>
              </w:tc>
              <w:tc>
                <w:tcPr>
                  <w:tcW w:w="632" w:type="pct"/>
                  <w:shd w:val="clear" w:color="auto" w:fill="F2F2F2" w:themeFill="background1" w:themeFillShade="F2"/>
                </w:tcPr>
                <w:p w14:paraId="1CA88022" w14:textId="77777777" w:rsidR="0011262F" w:rsidRDefault="0011262F" w:rsidP="00B54007">
                  <w:pPr>
                    <w:pStyle w:val="TableBodyText"/>
                    <w:ind w:right="28"/>
                  </w:pPr>
                  <w:r w:rsidRPr="00244BE5">
                    <w:t>0.277</w:t>
                  </w:r>
                </w:p>
              </w:tc>
              <w:tc>
                <w:tcPr>
                  <w:tcW w:w="632" w:type="pct"/>
                  <w:shd w:val="clear" w:color="auto" w:fill="F2F2F2" w:themeFill="background1" w:themeFillShade="F2"/>
                </w:tcPr>
                <w:p w14:paraId="074862E9" w14:textId="77777777" w:rsidR="0011262F" w:rsidRDefault="0011262F" w:rsidP="00B54007">
                  <w:pPr>
                    <w:pStyle w:val="TableBodyText"/>
                    <w:ind w:right="28"/>
                  </w:pPr>
                  <w:r w:rsidRPr="00244BE5">
                    <w:t>0.184</w:t>
                  </w:r>
                </w:p>
              </w:tc>
              <w:tc>
                <w:tcPr>
                  <w:tcW w:w="632" w:type="pct"/>
                  <w:shd w:val="clear" w:color="auto" w:fill="F2F2F2" w:themeFill="background1" w:themeFillShade="F2"/>
                </w:tcPr>
                <w:p w14:paraId="7F072DDA" w14:textId="77777777" w:rsidR="0011262F" w:rsidRDefault="0011262F" w:rsidP="00B54007">
                  <w:pPr>
                    <w:pStyle w:val="TableBodyText"/>
                    <w:ind w:right="28"/>
                  </w:pPr>
                  <w:r w:rsidRPr="00244BE5">
                    <w:t>-0.054</w:t>
                  </w:r>
                </w:p>
              </w:tc>
              <w:tc>
                <w:tcPr>
                  <w:tcW w:w="632" w:type="pct"/>
                  <w:shd w:val="clear" w:color="auto" w:fill="F2F2F2" w:themeFill="background1" w:themeFillShade="F2"/>
                </w:tcPr>
                <w:p w14:paraId="517700A7" w14:textId="77777777" w:rsidR="0011262F" w:rsidRDefault="0011262F" w:rsidP="00B54007">
                  <w:pPr>
                    <w:pStyle w:val="TableBodyText"/>
                    <w:ind w:right="28"/>
                  </w:pPr>
                  <w:r w:rsidRPr="00244BE5">
                    <w:t>0.269</w:t>
                  </w:r>
                </w:p>
              </w:tc>
              <w:tc>
                <w:tcPr>
                  <w:tcW w:w="630" w:type="pct"/>
                  <w:shd w:val="clear" w:color="auto" w:fill="F2F2F2" w:themeFill="background1" w:themeFillShade="F2"/>
                </w:tcPr>
                <w:p w14:paraId="5D60D544" w14:textId="77777777" w:rsidR="0011262F" w:rsidRDefault="0011262F" w:rsidP="00B54007">
                  <w:pPr>
                    <w:pStyle w:val="TableBodyText"/>
                  </w:pPr>
                  <w:r w:rsidRPr="00244BE5">
                    <w:t>0.676</w:t>
                  </w:r>
                </w:p>
              </w:tc>
            </w:tr>
            <w:tr w:rsidR="0011262F" w14:paraId="6A290081" w14:textId="77777777" w:rsidTr="00B54007">
              <w:tc>
                <w:tcPr>
                  <w:tcW w:w="1842" w:type="pct"/>
                  <w:shd w:val="clear" w:color="auto" w:fill="auto"/>
                  <w:vAlign w:val="bottom"/>
                </w:tcPr>
                <w:p w14:paraId="1A60C159" w14:textId="77777777" w:rsidR="0011262F" w:rsidRDefault="0011262F" w:rsidP="00B54007">
                  <w:pPr>
                    <w:pStyle w:val="TableBodyText"/>
                    <w:jc w:val="left"/>
                  </w:pPr>
                  <w:r w:rsidRPr="00C358C1">
                    <w:t>Net rollovers</w:t>
                  </w:r>
                </w:p>
              </w:tc>
              <w:tc>
                <w:tcPr>
                  <w:tcW w:w="632" w:type="pct"/>
                </w:tcPr>
                <w:p w14:paraId="0CE62FBA" w14:textId="77777777" w:rsidR="0011262F" w:rsidRDefault="0011262F" w:rsidP="00B54007">
                  <w:pPr>
                    <w:pStyle w:val="TableBodyText"/>
                    <w:ind w:right="28"/>
                  </w:pPr>
                  <w:r w:rsidRPr="00244BE5">
                    <w:t>0.254</w:t>
                  </w:r>
                </w:p>
              </w:tc>
              <w:tc>
                <w:tcPr>
                  <w:tcW w:w="632" w:type="pct"/>
                  <w:shd w:val="clear" w:color="auto" w:fill="auto"/>
                </w:tcPr>
                <w:p w14:paraId="75C1B57A" w14:textId="77777777" w:rsidR="0011262F" w:rsidRDefault="0011262F" w:rsidP="00B54007">
                  <w:pPr>
                    <w:pStyle w:val="TableBodyText"/>
                    <w:ind w:right="28"/>
                  </w:pPr>
                  <w:r w:rsidRPr="00244BE5">
                    <w:t>0.167</w:t>
                  </w:r>
                </w:p>
              </w:tc>
              <w:tc>
                <w:tcPr>
                  <w:tcW w:w="632" w:type="pct"/>
                  <w:shd w:val="clear" w:color="auto" w:fill="auto"/>
                </w:tcPr>
                <w:p w14:paraId="235C1164" w14:textId="77777777" w:rsidR="0011262F" w:rsidRDefault="0011262F" w:rsidP="00B54007">
                  <w:pPr>
                    <w:pStyle w:val="TableBodyText"/>
                    <w:ind w:right="28"/>
                  </w:pPr>
                  <w:r w:rsidRPr="00244BE5">
                    <w:t>0.021</w:t>
                  </w:r>
                </w:p>
              </w:tc>
              <w:tc>
                <w:tcPr>
                  <w:tcW w:w="632" w:type="pct"/>
                </w:tcPr>
                <w:p w14:paraId="1E13FDC6" w14:textId="77777777" w:rsidR="0011262F" w:rsidRDefault="0011262F" w:rsidP="00B54007">
                  <w:pPr>
                    <w:pStyle w:val="TableBodyText"/>
                    <w:ind w:right="28"/>
                  </w:pPr>
                  <w:r w:rsidRPr="00244BE5">
                    <w:t>0.193</w:t>
                  </w:r>
                </w:p>
              </w:tc>
              <w:tc>
                <w:tcPr>
                  <w:tcW w:w="630" w:type="pct"/>
                </w:tcPr>
                <w:p w14:paraId="7FFB639A" w14:textId="77777777" w:rsidR="0011262F" w:rsidRDefault="0011262F" w:rsidP="00B54007">
                  <w:pPr>
                    <w:pStyle w:val="TableBodyText"/>
                  </w:pPr>
                  <w:r w:rsidRPr="00244BE5">
                    <w:t>0.582</w:t>
                  </w:r>
                </w:p>
              </w:tc>
            </w:tr>
            <w:tr w:rsidR="0011262F" w14:paraId="3B21A699" w14:textId="77777777" w:rsidTr="00B54007">
              <w:tc>
                <w:tcPr>
                  <w:tcW w:w="1842" w:type="pct"/>
                  <w:shd w:val="clear" w:color="auto" w:fill="F2F2F2" w:themeFill="background1" w:themeFillShade="F2"/>
                  <w:vAlign w:val="bottom"/>
                </w:tcPr>
                <w:p w14:paraId="420554EA" w14:textId="77777777" w:rsidR="0011262F" w:rsidRDefault="0011262F" w:rsidP="00B54007">
                  <w:pPr>
                    <w:pStyle w:val="TableBodyText"/>
                    <w:jc w:val="left"/>
                  </w:pPr>
                  <w:r w:rsidRPr="00C358C1">
                    <w:t>Annual net return</w:t>
                  </w:r>
                </w:p>
              </w:tc>
              <w:tc>
                <w:tcPr>
                  <w:tcW w:w="632" w:type="pct"/>
                  <w:shd w:val="clear" w:color="auto" w:fill="F2F2F2" w:themeFill="background1" w:themeFillShade="F2"/>
                </w:tcPr>
                <w:p w14:paraId="61977F1B" w14:textId="77777777" w:rsidR="0011262F" w:rsidRDefault="0011262F" w:rsidP="00B54007">
                  <w:pPr>
                    <w:pStyle w:val="TableBodyText"/>
                    <w:ind w:right="28"/>
                  </w:pPr>
                  <w:r w:rsidRPr="00244BE5">
                    <w:t>0.030</w:t>
                  </w:r>
                </w:p>
              </w:tc>
              <w:tc>
                <w:tcPr>
                  <w:tcW w:w="632" w:type="pct"/>
                  <w:shd w:val="clear" w:color="auto" w:fill="F2F2F2" w:themeFill="background1" w:themeFillShade="F2"/>
                </w:tcPr>
                <w:p w14:paraId="0BF41072" w14:textId="77777777" w:rsidR="0011262F" w:rsidRDefault="0011262F" w:rsidP="00B54007">
                  <w:pPr>
                    <w:pStyle w:val="TableBodyText"/>
                    <w:ind w:right="28"/>
                  </w:pPr>
                  <w:r w:rsidRPr="00244BE5">
                    <w:t>0.049</w:t>
                  </w:r>
                </w:p>
              </w:tc>
              <w:tc>
                <w:tcPr>
                  <w:tcW w:w="632" w:type="pct"/>
                  <w:shd w:val="clear" w:color="auto" w:fill="F2F2F2" w:themeFill="background1" w:themeFillShade="F2"/>
                </w:tcPr>
                <w:p w14:paraId="2D278C87" w14:textId="77777777" w:rsidR="0011262F" w:rsidRDefault="0011262F" w:rsidP="00B54007">
                  <w:pPr>
                    <w:pStyle w:val="TableBodyText"/>
                    <w:ind w:right="28"/>
                  </w:pPr>
                  <w:r w:rsidRPr="00244BE5">
                    <w:t>-0.055</w:t>
                  </w:r>
                </w:p>
              </w:tc>
              <w:tc>
                <w:tcPr>
                  <w:tcW w:w="632" w:type="pct"/>
                  <w:shd w:val="clear" w:color="auto" w:fill="F2F2F2" w:themeFill="background1" w:themeFillShade="F2"/>
                </w:tcPr>
                <w:p w14:paraId="6146E9D6" w14:textId="77777777" w:rsidR="0011262F" w:rsidRDefault="0011262F" w:rsidP="00B54007">
                  <w:pPr>
                    <w:pStyle w:val="TableBodyText"/>
                    <w:ind w:right="28"/>
                  </w:pPr>
                  <w:r w:rsidRPr="00244BE5">
                    <w:t>0.028</w:t>
                  </w:r>
                </w:p>
              </w:tc>
              <w:tc>
                <w:tcPr>
                  <w:tcW w:w="630" w:type="pct"/>
                  <w:shd w:val="clear" w:color="auto" w:fill="F2F2F2" w:themeFill="background1" w:themeFillShade="F2"/>
                </w:tcPr>
                <w:p w14:paraId="7885ABED" w14:textId="77777777" w:rsidR="0011262F" w:rsidRDefault="0011262F" w:rsidP="00B54007">
                  <w:pPr>
                    <w:pStyle w:val="TableBodyText"/>
                  </w:pPr>
                  <w:r w:rsidRPr="00244BE5">
                    <w:t>0.128</w:t>
                  </w:r>
                </w:p>
              </w:tc>
            </w:tr>
            <w:tr w:rsidR="0011262F" w14:paraId="725DCE7E" w14:textId="77777777" w:rsidTr="00B54007">
              <w:tc>
                <w:tcPr>
                  <w:tcW w:w="1842" w:type="pct"/>
                  <w:shd w:val="clear" w:color="auto" w:fill="auto"/>
                  <w:vAlign w:val="bottom"/>
                </w:tcPr>
                <w:p w14:paraId="15010D08" w14:textId="77777777" w:rsidR="0011262F" w:rsidRDefault="0011262F" w:rsidP="00B54007">
                  <w:pPr>
                    <w:pStyle w:val="TableBodyText"/>
                    <w:jc w:val="left"/>
                  </w:pPr>
                  <w:r w:rsidRPr="00C358C1">
                    <w:t>Stronger super</w:t>
                  </w:r>
                </w:p>
              </w:tc>
              <w:tc>
                <w:tcPr>
                  <w:tcW w:w="632" w:type="pct"/>
                </w:tcPr>
                <w:p w14:paraId="645DB064" w14:textId="77777777" w:rsidR="0011262F" w:rsidRDefault="0011262F" w:rsidP="00B54007">
                  <w:pPr>
                    <w:pStyle w:val="TableBodyText"/>
                    <w:ind w:right="28"/>
                  </w:pPr>
                  <w:r w:rsidRPr="00244BE5">
                    <w:t>0.430</w:t>
                  </w:r>
                </w:p>
              </w:tc>
              <w:tc>
                <w:tcPr>
                  <w:tcW w:w="632" w:type="pct"/>
                  <w:shd w:val="clear" w:color="auto" w:fill="auto"/>
                </w:tcPr>
                <w:p w14:paraId="7944C6EA" w14:textId="77777777" w:rsidR="0011262F" w:rsidRDefault="0011262F" w:rsidP="00B54007">
                  <w:pPr>
                    <w:pStyle w:val="TableBodyText"/>
                    <w:ind w:right="28"/>
                  </w:pPr>
                  <w:r w:rsidRPr="00244BE5">
                    <w:t>0.146</w:t>
                  </w:r>
                </w:p>
              </w:tc>
              <w:tc>
                <w:tcPr>
                  <w:tcW w:w="632" w:type="pct"/>
                  <w:shd w:val="clear" w:color="auto" w:fill="auto"/>
                </w:tcPr>
                <w:p w14:paraId="5E8FF000" w14:textId="77777777" w:rsidR="0011262F" w:rsidRDefault="0011262F" w:rsidP="00B54007">
                  <w:pPr>
                    <w:pStyle w:val="TableBodyText"/>
                    <w:ind w:right="28"/>
                  </w:pPr>
                  <w:r w:rsidRPr="00244BE5">
                    <w:t>0.148</w:t>
                  </w:r>
                </w:p>
              </w:tc>
              <w:tc>
                <w:tcPr>
                  <w:tcW w:w="632" w:type="pct"/>
                </w:tcPr>
                <w:p w14:paraId="52F7068B" w14:textId="77777777" w:rsidR="0011262F" w:rsidRDefault="0011262F" w:rsidP="00B54007">
                  <w:pPr>
                    <w:pStyle w:val="TableBodyText"/>
                    <w:ind w:right="28"/>
                  </w:pPr>
                  <w:r w:rsidRPr="00244BE5">
                    <w:t>0.427</w:t>
                  </w:r>
                </w:p>
              </w:tc>
              <w:tc>
                <w:tcPr>
                  <w:tcW w:w="630" w:type="pct"/>
                </w:tcPr>
                <w:p w14:paraId="69C2D477" w14:textId="77777777" w:rsidR="0011262F" w:rsidRDefault="0011262F" w:rsidP="00B54007">
                  <w:pPr>
                    <w:pStyle w:val="TableBodyText"/>
                  </w:pPr>
                  <w:r w:rsidRPr="00244BE5">
                    <w:t>0.712</w:t>
                  </w:r>
                </w:p>
              </w:tc>
            </w:tr>
            <w:tr w:rsidR="0011262F" w14:paraId="562AB009" w14:textId="77777777" w:rsidTr="00B54007">
              <w:tc>
                <w:tcPr>
                  <w:tcW w:w="1842" w:type="pct"/>
                  <w:shd w:val="clear" w:color="auto" w:fill="F2F2F2" w:themeFill="background1" w:themeFillShade="F2"/>
                  <w:vAlign w:val="bottom"/>
                </w:tcPr>
                <w:p w14:paraId="13C79BE1" w14:textId="77777777" w:rsidR="0011262F" w:rsidRDefault="0011262F" w:rsidP="00B54007">
                  <w:pPr>
                    <w:pStyle w:val="TableBodyText"/>
                    <w:jc w:val="left"/>
                  </w:pPr>
                  <w:r w:rsidRPr="00C358C1">
                    <w:t>Post reporting change</w:t>
                  </w:r>
                </w:p>
              </w:tc>
              <w:tc>
                <w:tcPr>
                  <w:tcW w:w="632" w:type="pct"/>
                  <w:shd w:val="clear" w:color="auto" w:fill="F2F2F2" w:themeFill="background1" w:themeFillShade="F2"/>
                </w:tcPr>
                <w:p w14:paraId="6BB3D3FD" w14:textId="77777777" w:rsidR="0011262F" w:rsidRDefault="0011262F" w:rsidP="00B54007">
                  <w:pPr>
                    <w:pStyle w:val="TableBodyText"/>
                    <w:ind w:right="28"/>
                  </w:pPr>
                  <w:r w:rsidRPr="00244BE5">
                    <w:t>0.277</w:t>
                  </w:r>
                </w:p>
              </w:tc>
              <w:tc>
                <w:tcPr>
                  <w:tcW w:w="632" w:type="pct"/>
                  <w:shd w:val="clear" w:color="auto" w:fill="F2F2F2" w:themeFill="background1" w:themeFillShade="F2"/>
                </w:tcPr>
                <w:p w14:paraId="6CD87529" w14:textId="77777777" w:rsidR="0011262F" w:rsidRDefault="0011262F" w:rsidP="00B54007">
                  <w:pPr>
                    <w:pStyle w:val="TableBodyText"/>
                    <w:ind w:right="28"/>
                  </w:pPr>
                  <w:r w:rsidRPr="00244BE5">
                    <w:t>0.211</w:t>
                  </w:r>
                </w:p>
              </w:tc>
              <w:tc>
                <w:tcPr>
                  <w:tcW w:w="632" w:type="pct"/>
                  <w:shd w:val="clear" w:color="auto" w:fill="F2F2F2" w:themeFill="background1" w:themeFillShade="F2"/>
                </w:tcPr>
                <w:p w14:paraId="4713A798" w14:textId="77777777" w:rsidR="0011262F" w:rsidRDefault="0011262F" w:rsidP="00B54007">
                  <w:pPr>
                    <w:pStyle w:val="TableBodyText"/>
                    <w:ind w:right="28"/>
                  </w:pPr>
                  <w:r w:rsidRPr="00244BE5">
                    <w:t>-0.111</w:t>
                  </w:r>
                </w:p>
              </w:tc>
              <w:tc>
                <w:tcPr>
                  <w:tcW w:w="632" w:type="pct"/>
                  <w:shd w:val="clear" w:color="auto" w:fill="F2F2F2" w:themeFill="background1" w:themeFillShade="F2"/>
                </w:tcPr>
                <w:p w14:paraId="58115C3E" w14:textId="77777777" w:rsidR="0011262F" w:rsidRDefault="0011262F" w:rsidP="00B54007">
                  <w:pPr>
                    <w:pStyle w:val="TableBodyText"/>
                    <w:ind w:right="28"/>
                  </w:pPr>
                  <w:r w:rsidRPr="00244BE5">
                    <w:t>0.273</w:t>
                  </w:r>
                </w:p>
              </w:tc>
              <w:tc>
                <w:tcPr>
                  <w:tcW w:w="630" w:type="pct"/>
                  <w:shd w:val="clear" w:color="auto" w:fill="F2F2F2" w:themeFill="background1" w:themeFillShade="F2"/>
                </w:tcPr>
                <w:p w14:paraId="2D0C9130" w14:textId="77777777" w:rsidR="0011262F" w:rsidRDefault="0011262F" w:rsidP="00B54007">
                  <w:pPr>
                    <w:pStyle w:val="TableBodyText"/>
                  </w:pPr>
                  <w:r w:rsidRPr="00244BE5">
                    <w:t>0.699</w:t>
                  </w:r>
                </w:p>
              </w:tc>
            </w:tr>
            <w:tr w:rsidR="0011262F" w14:paraId="5C12E6B0" w14:textId="77777777" w:rsidTr="00B54007">
              <w:tc>
                <w:tcPr>
                  <w:tcW w:w="1842" w:type="pct"/>
                  <w:shd w:val="clear" w:color="auto" w:fill="auto"/>
                  <w:vAlign w:val="bottom"/>
                </w:tcPr>
                <w:p w14:paraId="3EB01BB1" w14:textId="77777777" w:rsidR="0011262F" w:rsidRDefault="0011262F" w:rsidP="00B54007">
                  <w:pPr>
                    <w:pStyle w:val="TableBodyText"/>
                    <w:jc w:val="left"/>
                  </w:pPr>
                  <w:r w:rsidRPr="00C358C1">
                    <w:t>Sum of other fund’s assets in same period</w:t>
                  </w:r>
                </w:p>
              </w:tc>
              <w:tc>
                <w:tcPr>
                  <w:tcW w:w="632" w:type="pct"/>
                </w:tcPr>
                <w:p w14:paraId="052327A7" w14:textId="77777777" w:rsidR="0011262F" w:rsidRDefault="0011262F" w:rsidP="00B54007">
                  <w:pPr>
                    <w:pStyle w:val="TableBodyText"/>
                    <w:ind w:right="28"/>
                  </w:pPr>
                  <w:r w:rsidRPr="00244BE5">
                    <w:t>-0.648</w:t>
                  </w:r>
                </w:p>
              </w:tc>
              <w:tc>
                <w:tcPr>
                  <w:tcW w:w="632" w:type="pct"/>
                  <w:shd w:val="clear" w:color="auto" w:fill="auto"/>
                </w:tcPr>
                <w:p w14:paraId="30B4D6AF" w14:textId="77777777" w:rsidR="0011262F" w:rsidRDefault="0011262F" w:rsidP="00B54007">
                  <w:pPr>
                    <w:pStyle w:val="TableBodyText"/>
                    <w:ind w:right="28"/>
                  </w:pPr>
                  <w:r w:rsidRPr="00244BE5">
                    <w:t>0.153</w:t>
                  </w:r>
                </w:p>
              </w:tc>
              <w:tc>
                <w:tcPr>
                  <w:tcW w:w="632" w:type="pct"/>
                  <w:shd w:val="clear" w:color="auto" w:fill="auto"/>
                </w:tcPr>
                <w:p w14:paraId="249CC713" w14:textId="77777777" w:rsidR="0011262F" w:rsidRDefault="0011262F" w:rsidP="00B54007">
                  <w:pPr>
                    <w:pStyle w:val="TableBodyText"/>
                    <w:ind w:right="28"/>
                  </w:pPr>
                  <w:r w:rsidRPr="00244BE5">
                    <w:t>-0.953</w:t>
                  </w:r>
                </w:p>
              </w:tc>
              <w:tc>
                <w:tcPr>
                  <w:tcW w:w="632" w:type="pct"/>
                </w:tcPr>
                <w:p w14:paraId="2D8DF307" w14:textId="77777777" w:rsidR="0011262F" w:rsidRDefault="0011262F" w:rsidP="00B54007">
                  <w:pPr>
                    <w:pStyle w:val="TableBodyText"/>
                    <w:ind w:right="28"/>
                  </w:pPr>
                  <w:r w:rsidRPr="00244BE5">
                    <w:t>-0.645</w:t>
                  </w:r>
                </w:p>
              </w:tc>
              <w:tc>
                <w:tcPr>
                  <w:tcW w:w="630" w:type="pct"/>
                </w:tcPr>
                <w:p w14:paraId="39B12631" w14:textId="77777777" w:rsidR="0011262F" w:rsidRDefault="0011262F" w:rsidP="00B54007">
                  <w:pPr>
                    <w:pStyle w:val="TableBodyText"/>
                  </w:pPr>
                  <w:r w:rsidRPr="00244BE5">
                    <w:t>-0.356</w:t>
                  </w:r>
                </w:p>
              </w:tc>
            </w:tr>
            <w:tr w:rsidR="0011262F" w14:paraId="3701B256" w14:textId="77777777" w:rsidTr="00B54007">
              <w:tc>
                <w:tcPr>
                  <w:tcW w:w="1842" w:type="pct"/>
                  <w:shd w:val="clear" w:color="auto" w:fill="F2F2F2" w:themeFill="background1" w:themeFillShade="F2"/>
                  <w:vAlign w:val="bottom"/>
                </w:tcPr>
                <w:p w14:paraId="5C28D350" w14:textId="77777777" w:rsidR="0011262F" w:rsidRDefault="0011262F" w:rsidP="00B54007">
                  <w:pPr>
                    <w:pStyle w:val="TableBodyText"/>
                    <w:jc w:val="left"/>
                  </w:pPr>
                  <w:r w:rsidRPr="00C358C1">
                    <w:t>Sum of other fund’s member accounts in same period</w:t>
                  </w:r>
                </w:p>
              </w:tc>
              <w:tc>
                <w:tcPr>
                  <w:tcW w:w="632" w:type="pct"/>
                  <w:shd w:val="clear" w:color="auto" w:fill="F2F2F2" w:themeFill="background1" w:themeFillShade="F2"/>
                </w:tcPr>
                <w:p w14:paraId="253F9B0D" w14:textId="77777777" w:rsidR="0011262F" w:rsidRDefault="0011262F" w:rsidP="00B54007">
                  <w:pPr>
                    <w:pStyle w:val="TableBodyText"/>
                    <w:ind w:right="28"/>
                  </w:pPr>
                  <w:r w:rsidRPr="00244BE5">
                    <w:t>-0.427</w:t>
                  </w:r>
                </w:p>
              </w:tc>
              <w:tc>
                <w:tcPr>
                  <w:tcW w:w="632" w:type="pct"/>
                  <w:shd w:val="clear" w:color="auto" w:fill="F2F2F2" w:themeFill="background1" w:themeFillShade="F2"/>
                </w:tcPr>
                <w:p w14:paraId="142C0649" w14:textId="77777777" w:rsidR="0011262F" w:rsidRDefault="0011262F" w:rsidP="00B54007">
                  <w:pPr>
                    <w:pStyle w:val="TableBodyText"/>
                    <w:ind w:right="28"/>
                  </w:pPr>
                  <w:r w:rsidRPr="00244BE5">
                    <w:t>0.111</w:t>
                  </w:r>
                </w:p>
              </w:tc>
              <w:tc>
                <w:tcPr>
                  <w:tcW w:w="632" w:type="pct"/>
                  <w:shd w:val="clear" w:color="auto" w:fill="F2F2F2" w:themeFill="background1" w:themeFillShade="F2"/>
                </w:tcPr>
                <w:p w14:paraId="77F9D9B6" w14:textId="77777777" w:rsidR="0011262F" w:rsidRDefault="0011262F" w:rsidP="00B54007">
                  <w:pPr>
                    <w:pStyle w:val="TableBodyText"/>
                    <w:ind w:right="28"/>
                  </w:pPr>
                  <w:r w:rsidRPr="00244BE5">
                    <w:t>-0.643</w:t>
                  </w:r>
                </w:p>
              </w:tc>
              <w:tc>
                <w:tcPr>
                  <w:tcW w:w="632" w:type="pct"/>
                  <w:shd w:val="clear" w:color="auto" w:fill="F2F2F2" w:themeFill="background1" w:themeFillShade="F2"/>
                </w:tcPr>
                <w:p w14:paraId="472207FD" w14:textId="77777777" w:rsidR="0011262F" w:rsidRDefault="0011262F" w:rsidP="00B54007">
                  <w:pPr>
                    <w:pStyle w:val="TableBodyText"/>
                    <w:ind w:right="28"/>
                  </w:pPr>
                  <w:r w:rsidRPr="00244BE5">
                    <w:t>-0.425</w:t>
                  </w:r>
                </w:p>
              </w:tc>
              <w:tc>
                <w:tcPr>
                  <w:tcW w:w="630" w:type="pct"/>
                  <w:shd w:val="clear" w:color="auto" w:fill="F2F2F2" w:themeFill="background1" w:themeFillShade="F2"/>
                </w:tcPr>
                <w:p w14:paraId="7F994BE6" w14:textId="77777777" w:rsidR="0011262F" w:rsidRDefault="0011262F" w:rsidP="00B54007">
                  <w:pPr>
                    <w:pStyle w:val="TableBodyText"/>
                  </w:pPr>
                  <w:r w:rsidRPr="00244BE5">
                    <w:t>-0.217</w:t>
                  </w:r>
                </w:p>
              </w:tc>
            </w:tr>
            <w:tr w:rsidR="0011262F" w14:paraId="0ADD2EDC" w14:textId="77777777" w:rsidTr="00B54007">
              <w:tc>
                <w:tcPr>
                  <w:tcW w:w="1842" w:type="pct"/>
                  <w:shd w:val="clear" w:color="auto" w:fill="auto"/>
                  <w:vAlign w:val="bottom"/>
                </w:tcPr>
                <w:p w14:paraId="572369C7" w14:textId="77777777" w:rsidR="0011262F" w:rsidRDefault="0011262F" w:rsidP="00B54007">
                  <w:pPr>
                    <w:pStyle w:val="TableBodyText"/>
                    <w:jc w:val="left"/>
                  </w:pPr>
                  <w:r w:rsidRPr="00C358C1">
                    <w:t>Sum of other fund’s annual net returns in same period</w:t>
                  </w:r>
                </w:p>
              </w:tc>
              <w:tc>
                <w:tcPr>
                  <w:tcW w:w="632" w:type="pct"/>
                </w:tcPr>
                <w:p w14:paraId="049DDDA6" w14:textId="77777777" w:rsidR="0011262F" w:rsidRDefault="0011262F" w:rsidP="00B54007">
                  <w:pPr>
                    <w:pStyle w:val="TableBodyText"/>
                    <w:ind w:right="28"/>
                  </w:pPr>
                  <w:r w:rsidRPr="00244BE5">
                    <w:t>0.374</w:t>
                  </w:r>
                </w:p>
              </w:tc>
              <w:tc>
                <w:tcPr>
                  <w:tcW w:w="632" w:type="pct"/>
                  <w:shd w:val="clear" w:color="auto" w:fill="auto"/>
                </w:tcPr>
                <w:p w14:paraId="374CE16D" w14:textId="77777777" w:rsidR="0011262F" w:rsidRDefault="0011262F" w:rsidP="00B54007">
                  <w:pPr>
                    <w:pStyle w:val="TableBodyText"/>
                    <w:ind w:right="28"/>
                  </w:pPr>
                  <w:r w:rsidRPr="00244BE5">
                    <w:t>0.082</w:t>
                  </w:r>
                </w:p>
              </w:tc>
              <w:tc>
                <w:tcPr>
                  <w:tcW w:w="632" w:type="pct"/>
                  <w:shd w:val="clear" w:color="auto" w:fill="auto"/>
                </w:tcPr>
                <w:p w14:paraId="1B70EE50" w14:textId="77777777" w:rsidR="0011262F" w:rsidRDefault="0011262F" w:rsidP="00B54007">
                  <w:pPr>
                    <w:pStyle w:val="TableBodyText"/>
                    <w:ind w:right="28"/>
                  </w:pPr>
                  <w:r w:rsidRPr="00244BE5">
                    <w:t>0.220</w:t>
                  </w:r>
                </w:p>
              </w:tc>
              <w:tc>
                <w:tcPr>
                  <w:tcW w:w="632" w:type="pct"/>
                </w:tcPr>
                <w:p w14:paraId="56733320" w14:textId="77777777" w:rsidR="0011262F" w:rsidRDefault="0011262F" w:rsidP="00B54007">
                  <w:pPr>
                    <w:pStyle w:val="TableBodyText"/>
                    <w:ind w:right="28"/>
                  </w:pPr>
                  <w:r w:rsidRPr="00244BE5">
                    <w:t>0.370</w:t>
                  </w:r>
                </w:p>
              </w:tc>
              <w:tc>
                <w:tcPr>
                  <w:tcW w:w="630" w:type="pct"/>
                </w:tcPr>
                <w:p w14:paraId="1C7D3815" w14:textId="77777777" w:rsidR="0011262F" w:rsidRDefault="0011262F" w:rsidP="00B54007">
                  <w:pPr>
                    <w:pStyle w:val="TableBodyText"/>
                  </w:pPr>
                  <w:r w:rsidRPr="00244BE5">
                    <w:t>0.532</w:t>
                  </w:r>
                </w:p>
              </w:tc>
            </w:tr>
            <w:tr w:rsidR="0011262F" w14:paraId="14E645EE" w14:textId="77777777" w:rsidTr="00B54007">
              <w:tc>
                <w:tcPr>
                  <w:tcW w:w="1842" w:type="pct"/>
                  <w:tcBorders>
                    <w:bottom w:val="single" w:sz="6" w:space="0" w:color="BFBFBF" w:themeColor="background1" w:themeShade="BF"/>
                  </w:tcBorders>
                  <w:shd w:val="clear" w:color="auto" w:fill="F2F2F2" w:themeFill="background1" w:themeFillShade="F2"/>
                  <w:vAlign w:val="bottom"/>
                </w:tcPr>
                <w:p w14:paraId="625B6E5C" w14:textId="77777777" w:rsidR="0011262F" w:rsidRDefault="0011262F" w:rsidP="00B54007">
                  <w:pPr>
                    <w:pStyle w:val="TableBodyText"/>
                    <w:jc w:val="left"/>
                  </w:pPr>
                  <w:r w:rsidRPr="00C358C1">
                    <w:t>Intercept</w:t>
                  </w:r>
                </w:p>
              </w:tc>
              <w:tc>
                <w:tcPr>
                  <w:tcW w:w="632" w:type="pct"/>
                  <w:tcBorders>
                    <w:bottom w:val="single" w:sz="6" w:space="0" w:color="BFBFBF" w:themeColor="background1" w:themeShade="BF"/>
                  </w:tcBorders>
                  <w:shd w:val="clear" w:color="auto" w:fill="F2F2F2" w:themeFill="background1" w:themeFillShade="F2"/>
                </w:tcPr>
                <w:p w14:paraId="68A5A15A" w14:textId="77777777" w:rsidR="0011262F" w:rsidRDefault="0011262F" w:rsidP="00B54007">
                  <w:pPr>
                    <w:pStyle w:val="TableBodyText"/>
                    <w:ind w:right="28"/>
                  </w:pPr>
                  <w:r w:rsidRPr="00244BE5">
                    <w:t>127.521</w:t>
                  </w:r>
                </w:p>
              </w:tc>
              <w:tc>
                <w:tcPr>
                  <w:tcW w:w="632" w:type="pct"/>
                  <w:tcBorders>
                    <w:bottom w:val="single" w:sz="6" w:space="0" w:color="BFBFBF" w:themeColor="background1" w:themeShade="BF"/>
                  </w:tcBorders>
                  <w:shd w:val="clear" w:color="auto" w:fill="F2F2F2" w:themeFill="background1" w:themeFillShade="F2"/>
                </w:tcPr>
                <w:p w14:paraId="352BE30C" w14:textId="77777777" w:rsidR="0011262F" w:rsidRDefault="0011262F" w:rsidP="00B54007">
                  <w:pPr>
                    <w:pStyle w:val="TableBodyText"/>
                    <w:ind w:right="28"/>
                  </w:pPr>
                  <w:r w:rsidRPr="00244BE5">
                    <w:t>21.607</w:t>
                  </w:r>
                </w:p>
              </w:tc>
              <w:tc>
                <w:tcPr>
                  <w:tcW w:w="632" w:type="pct"/>
                  <w:tcBorders>
                    <w:bottom w:val="single" w:sz="6" w:space="0" w:color="BFBFBF" w:themeColor="background1" w:themeShade="BF"/>
                  </w:tcBorders>
                  <w:shd w:val="clear" w:color="auto" w:fill="F2F2F2" w:themeFill="background1" w:themeFillShade="F2"/>
                </w:tcPr>
                <w:p w14:paraId="6FB205AB" w14:textId="77777777" w:rsidR="0011262F" w:rsidRDefault="0011262F" w:rsidP="00B54007">
                  <w:pPr>
                    <w:pStyle w:val="TableBodyText"/>
                    <w:ind w:right="28"/>
                  </w:pPr>
                  <w:r w:rsidRPr="00244BE5">
                    <w:t>87.913</w:t>
                  </w:r>
                </w:p>
              </w:tc>
              <w:tc>
                <w:tcPr>
                  <w:tcW w:w="632" w:type="pct"/>
                  <w:tcBorders>
                    <w:bottom w:val="single" w:sz="6" w:space="0" w:color="BFBFBF" w:themeColor="background1" w:themeShade="BF"/>
                  </w:tcBorders>
                  <w:shd w:val="clear" w:color="auto" w:fill="F2F2F2" w:themeFill="background1" w:themeFillShade="F2"/>
                </w:tcPr>
                <w:p w14:paraId="1B9067CF" w14:textId="77777777" w:rsidR="0011262F" w:rsidRDefault="0011262F" w:rsidP="00B54007">
                  <w:pPr>
                    <w:pStyle w:val="TableBodyText"/>
                    <w:ind w:right="28"/>
                  </w:pPr>
                  <w:r w:rsidRPr="00244BE5">
                    <w:t>127.473</w:t>
                  </w:r>
                </w:p>
              </w:tc>
              <w:tc>
                <w:tcPr>
                  <w:tcW w:w="630" w:type="pct"/>
                  <w:tcBorders>
                    <w:bottom w:val="single" w:sz="6" w:space="0" w:color="BFBFBF" w:themeColor="background1" w:themeShade="BF"/>
                  </w:tcBorders>
                  <w:shd w:val="clear" w:color="auto" w:fill="F2F2F2" w:themeFill="background1" w:themeFillShade="F2"/>
                </w:tcPr>
                <w:p w14:paraId="0DEB3F40" w14:textId="77777777" w:rsidR="0011262F" w:rsidRDefault="0011262F" w:rsidP="00B54007">
                  <w:pPr>
                    <w:pStyle w:val="TableBodyText"/>
                  </w:pPr>
                  <w:r w:rsidRPr="00244BE5">
                    <w:t>171.615</w:t>
                  </w:r>
                </w:p>
              </w:tc>
            </w:tr>
          </w:tbl>
          <w:p w14:paraId="61158078" w14:textId="77777777" w:rsidR="0011262F" w:rsidRDefault="0011262F" w:rsidP="00B54007">
            <w:pPr>
              <w:pStyle w:val="Box"/>
            </w:pPr>
          </w:p>
        </w:tc>
      </w:tr>
      <w:tr w:rsidR="0011262F" w14:paraId="2DD535BD" w14:textId="77777777" w:rsidTr="00B54007">
        <w:tc>
          <w:tcPr>
            <w:tcW w:w="5000" w:type="pct"/>
            <w:tcBorders>
              <w:top w:val="nil"/>
              <w:left w:val="nil"/>
              <w:bottom w:val="nil"/>
              <w:right w:val="nil"/>
            </w:tcBorders>
            <w:shd w:val="clear" w:color="auto" w:fill="auto"/>
          </w:tcPr>
          <w:p w14:paraId="23FCA1BB" w14:textId="77777777" w:rsidR="0011262F" w:rsidRDefault="0011262F" w:rsidP="00B54007">
            <w:pPr>
              <w:pStyle w:val="Continued"/>
            </w:pPr>
            <w:r>
              <w:t>(continued next page)</w:t>
            </w:r>
          </w:p>
        </w:tc>
      </w:tr>
      <w:tr w:rsidR="0011262F" w14:paraId="0045114E" w14:textId="77777777" w:rsidTr="00B54007">
        <w:tc>
          <w:tcPr>
            <w:tcW w:w="5000" w:type="pct"/>
            <w:tcBorders>
              <w:top w:val="nil"/>
              <w:left w:val="nil"/>
              <w:bottom w:val="single" w:sz="6" w:space="0" w:color="78A22F"/>
              <w:right w:val="nil"/>
            </w:tcBorders>
            <w:shd w:val="clear" w:color="auto" w:fill="auto"/>
          </w:tcPr>
          <w:p w14:paraId="677B4CFA" w14:textId="77777777" w:rsidR="0011262F" w:rsidRDefault="0011262F" w:rsidP="00B54007">
            <w:pPr>
              <w:pStyle w:val="Box"/>
              <w:spacing w:before="0" w:line="120" w:lineRule="exact"/>
            </w:pPr>
          </w:p>
        </w:tc>
      </w:tr>
      <w:tr w:rsidR="0011262F" w:rsidRPr="000863A5" w14:paraId="72426719" w14:textId="77777777" w:rsidTr="00B54007">
        <w:tc>
          <w:tcPr>
            <w:tcW w:w="5000" w:type="pct"/>
            <w:tcBorders>
              <w:top w:val="single" w:sz="6" w:space="0" w:color="78A22F"/>
              <w:left w:val="nil"/>
              <w:bottom w:val="nil"/>
              <w:right w:val="nil"/>
            </w:tcBorders>
          </w:tcPr>
          <w:p w14:paraId="74B581D3" w14:textId="77777777" w:rsidR="0011262F" w:rsidRPr="00626D32" w:rsidRDefault="0011262F" w:rsidP="00B54007">
            <w:pPr>
              <w:pStyle w:val="BoxSpaceBelow"/>
            </w:pPr>
          </w:p>
        </w:tc>
      </w:tr>
    </w:tbl>
    <w:p w14:paraId="787A2470" w14:textId="77777777" w:rsidR="0011262F" w:rsidRDefault="0011262F" w:rsidP="0011262F">
      <w:pPr>
        <w:pStyle w:val="BodyText"/>
      </w:pPr>
    </w:p>
    <w:p w14:paraId="00D4CE5C" w14:textId="77777777" w:rsidR="0011262F" w:rsidRPr="00FB6015" w:rsidRDefault="0011262F" w:rsidP="0011262F">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1262F" w14:paraId="54CCF0F9" w14:textId="77777777" w:rsidTr="00B54007">
        <w:trPr>
          <w:tblHeader/>
        </w:trPr>
        <w:tc>
          <w:tcPr>
            <w:tcW w:w="5000" w:type="pct"/>
            <w:tcBorders>
              <w:top w:val="single" w:sz="6" w:space="0" w:color="78A22F"/>
              <w:left w:val="nil"/>
              <w:bottom w:val="nil"/>
              <w:right w:val="nil"/>
            </w:tcBorders>
            <w:shd w:val="clear" w:color="auto" w:fill="auto"/>
          </w:tcPr>
          <w:p w14:paraId="7EFD41A9" w14:textId="77777777" w:rsidR="0011262F" w:rsidRPr="00784A05" w:rsidRDefault="0011262F" w:rsidP="00B54007">
            <w:pPr>
              <w:pStyle w:val="TableTitle"/>
            </w:pPr>
            <w:r>
              <w:rPr>
                <w:b w:val="0"/>
              </w:rPr>
              <w:t xml:space="preserve">Table </w:t>
            </w:r>
            <w:proofErr w:type="spellStart"/>
            <w:r>
              <w:rPr>
                <w:b w:val="0"/>
              </w:rPr>
              <w:t>E.2</w:t>
            </w:r>
            <w:proofErr w:type="spellEnd"/>
            <w:r>
              <w:tab/>
            </w:r>
            <w:r w:rsidRPr="004B358B">
              <w:rPr>
                <w:b w:val="0"/>
                <w:sz w:val="18"/>
                <w:szCs w:val="18"/>
              </w:rPr>
              <w:t>(continued)</w:t>
            </w:r>
          </w:p>
        </w:tc>
      </w:tr>
      <w:tr w:rsidR="0011262F" w14:paraId="71C915C5" w14:textId="77777777" w:rsidTr="00B54007">
        <w:tc>
          <w:tcPr>
            <w:tcW w:w="5000" w:type="pct"/>
            <w:tcBorders>
              <w:top w:val="nil"/>
              <w:left w:val="nil"/>
              <w:bottom w:val="nil"/>
              <w:right w:val="nil"/>
            </w:tcBorders>
            <w:shd w:val="clear" w:color="auto" w:fill="auto"/>
          </w:tcPr>
          <w:tbl>
            <w:tblPr>
              <w:tblW w:w="8529" w:type="dxa"/>
              <w:tblCellMar>
                <w:top w:w="28" w:type="dxa"/>
                <w:left w:w="0" w:type="dxa"/>
                <w:right w:w="0" w:type="dxa"/>
              </w:tblCellMar>
              <w:tblLook w:val="0000" w:firstRow="0" w:lastRow="0" w:firstColumn="0" w:lastColumn="0" w:noHBand="0" w:noVBand="0"/>
            </w:tblPr>
            <w:tblGrid>
              <w:gridCol w:w="3146"/>
              <w:gridCol w:w="1077"/>
              <w:gridCol w:w="1077"/>
              <w:gridCol w:w="1077"/>
              <w:gridCol w:w="1076"/>
              <w:gridCol w:w="1076"/>
            </w:tblGrid>
            <w:tr w:rsidR="0011262F" w14:paraId="38D5ED24" w14:textId="77777777" w:rsidTr="00B54007">
              <w:tc>
                <w:tcPr>
                  <w:tcW w:w="1844" w:type="pct"/>
                  <w:tcBorders>
                    <w:top w:val="single" w:sz="6" w:space="0" w:color="BFBFBF"/>
                    <w:bottom w:val="single" w:sz="6" w:space="0" w:color="BFBFBF"/>
                  </w:tcBorders>
                  <w:shd w:val="clear" w:color="auto" w:fill="auto"/>
                  <w:vAlign w:val="bottom"/>
                </w:tcPr>
                <w:p w14:paraId="55455A25" w14:textId="77777777" w:rsidR="0011262F" w:rsidRDefault="0011262F" w:rsidP="00B54007">
                  <w:pPr>
                    <w:pStyle w:val="TableColumnHeading"/>
                    <w:jc w:val="left"/>
                    <w:rPr>
                      <w:b/>
                    </w:rPr>
                  </w:pPr>
                  <w:r>
                    <w:t>Parameter</w:t>
                  </w:r>
                </w:p>
              </w:tc>
              <w:tc>
                <w:tcPr>
                  <w:tcW w:w="631" w:type="pct"/>
                  <w:tcBorders>
                    <w:top w:val="single" w:sz="6" w:space="0" w:color="BFBFBF"/>
                    <w:bottom w:val="single" w:sz="6" w:space="0" w:color="BFBFBF"/>
                  </w:tcBorders>
                  <w:vAlign w:val="bottom"/>
                </w:tcPr>
                <w:p w14:paraId="60A0278A" w14:textId="77777777" w:rsidR="0011262F" w:rsidRDefault="0011262F" w:rsidP="00B54007">
                  <w:pPr>
                    <w:pStyle w:val="TableColumnHeading"/>
                  </w:pPr>
                  <w:r>
                    <w:t>Mean</w:t>
                  </w:r>
                </w:p>
              </w:tc>
              <w:tc>
                <w:tcPr>
                  <w:tcW w:w="631" w:type="pct"/>
                  <w:tcBorders>
                    <w:top w:val="single" w:sz="6" w:space="0" w:color="BFBFBF"/>
                    <w:bottom w:val="single" w:sz="6" w:space="0" w:color="BFBFBF"/>
                  </w:tcBorders>
                  <w:shd w:val="clear" w:color="auto" w:fill="auto"/>
                  <w:vAlign w:val="bottom"/>
                </w:tcPr>
                <w:p w14:paraId="7B19BAC3" w14:textId="77777777" w:rsidR="0011262F" w:rsidRDefault="0011262F" w:rsidP="00B54007">
                  <w:pPr>
                    <w:pStyle w:val="TableColumnHeading"/>
                  </w:pPr>
                  <w:r>
                    <w:t>Standard deviation</w:t>
                  </w:r>
                </w:p>
              </w:tc>
              <w:tc>
                <w:tcPr>
                  <w:tcW w:w="631" w:type="pct"/>
                  <w:tcBorders>
                    <w:top w:val="single" w:sz="6" w:space="0" w:color="BFBFBF"/>
                    <w:bottom w:val="single" w:sz="6" w:space="0" w:color="BFBFBF"/>
                  </w:tcBorders>
                  <w:shd w:val="clear" w:color="auto" w:fill="auto"/>
                  <w:vAlign w:val="bottom"/>
                </w:tcPr>
                <w:p w14:paraId="251EBEAE" w14:textId="77777777" w:rsidR="0011262F" w:rsidRDefault="0011262F" w:rsidP="00B54007">
                  <w:pPr>
                    <w:pStyle w:val="TableColumnHeading"/>
                  </w:pPr>
                  <w:r>
                    <w:t>2.5 percentile</w:t>
                  </w:r>
                </w:p>
              </w:tc>
              <w:tc>
                <w:tcPr>
                  <w:tcW w:w="631" w:type="pct"/>
                  <w:tcBorders>
                    <w:top w:val="single" w:sz="6" w:space="0" w:color="BFBFBF"/>
                    <w:bottom w:val="single" w:sz="6" w:space="0" w:color="BFBFBF"/>
                  </w:tcBorders>
                  <w:vAlign w:val="bottom"/>
                </w:tcPr>
                <w:p w14:paraId="2785EC29" w14:textId="77777777" w:rsidR="0011262F" w:rsidRDefault="0011262F" w:rsidP="00B54007">
                  <w:pPr>
                    <w:pStyle w:val="TableColumnHeading"/>
                  </w:pPr>
                  <w:r>
                    <w:t>Median</w:t>
                  </w:r>
                </w:p>
              </w:tc>
              <w:tc>
                <w:tcPr>
                  <w:tcW w:w="631" w:type="pct"/>
                  <w:tcBorders>
                    <w:top w:val="single" w:sz="6" w:space="0" w:color="BFBFBF"/>
                    <w:bottom w:val="single" w:sz="6" w:space="0" w:color="BFBFBF"/>
                  </w:tcBorders>
                  <w:vAlign w:val="bottom"/>
                </w:tcPr>
                <w:p w14:paraId="57C1974B" w14:textId="77777777" w:rsidR="0011262F" w:rsidRDefault="0011262F" w:rsidP="00B54007">
                  <w:pPr>
                    <w:pStyle w:val="TableColumnHeading"/>
                  </w:pPr>
                  <w:r>
                    <w:t>97.5 percentile</w:t>
                  </w:r>
                </w:p>
              </w:tc>
            </w:tr>
            <w:tr w:rsidR="0011262F" w14:paraId="3AE77ACD" w14:textId="77777777" w:rsidTr="00B54007">
              <w:tc>
                <w:tcPr>
                  <w:tcW w:w="1844" w:type="pct"/>
                  <w:tcBorders>
                    <w:top w:val="single" w:sz="6" w:space="0" w:color="BFBFBF"/>
                  </w:tcBorders>
                  <w:shd w:val="clear" w:color="auto" w:fill="BFBFBF" w:themeFill="background1" w:themeFillShade="BF"/>
                  <w:vAlign w:val="bottom"/>
                </w:tcPr>
                <w:p w14:paraId="01F75034" w14:textId="77777777" w:rsidR="0011262F" w:rsidRPr="0099011F" w:rsidRDefault="0011262F" w:rsidP="00B54007">
                  <w:pPr>
                    <w:pStyle w:val="TableBodyText"/>
                    <w:jc w:val="left"/>
                    <w:rPr>
                      <w:b/>
                    </w:rPr>
                  </w:pPr>
                  <w:r w:rsidRPr="00C358C1">
                    <w:rPr>
                      <w:b/>
                    </w:rPr>
                    <w:t>Pass-through: Admin fees</w:t>
                  </w:r>
                </w:p>
              </w:tc>
              <w:tc>
                <w:tcPr>
                  <w:tcW w:w="631" w:type="pct"/>
                  <w:tcBorders>
                    <w:top w:val="single" w:sz="6" w:space="0" w:color="BFBFBF"/>
                  </w:tcBorders>
                  <w:shd w:val="clear" w:color="auto" w:fill="BFBFBF" w:themeFill="background1" w:themeFillShade="BF"/>
                  <w:vAlign w:val="bottom"/>
                </w:tcPr>
                <w:p w14:paraId="07CC915E" w14:textId="77777777" w:rsidR="0011262F" w:rsidRDefault="0011262F" w:rsidP="00B54007">
                  <w:pPr>
                    <w:pStyle w:val="TableBodyText"/>
                  </w:pPr>
                </w:p>
              </w:tc>
              <w:tc>
                <w:tcPr>
                  <w:tcW w:w="631" w:type="pct"/>
                  <w:tcBorders>
                    <w:top w:val="single" w:sz="6" w:space="0" w:color="BFBFBF"/>
                  </w:tcBorders>
                  <w:shd w:val="clear" w:color="auto" w:fill="BFBFBF" w:themeFill="background1" w:themeFillShade="BF"/>
                  <w:vAlign w:val="bottom"/>
                </w:tcPr>
                <w:p w14:paraId="4DF178A6" w14:textId="77777777" w:rsidR="0011262F" w:rsidRDefault="0011262F" w:rsidP="00B54007">
                  <w:pPr>
                    <w:pStyle w:val="TableBodyText"/>
                  </w:pPr>
                </w:p>
              </w:tc>
              <w:tc>
                <w:tcPr>
                  <w:tcW w:w="631" w:type="pct"/>
                  <w:tcBorders>
                    <w:top w:val="single" w:sz="6" w:space="0" w:color="BFBFBF"/>
                  </w:tcBorders>
                  <w:shd w:val="clear" w:color="auto" w:fill="BFBFBF" w:themeFill="background1" w:themeFillShade="BF"/>
                  <w:vAlign w:val="bottom"/>
                </w:tcPr>
                <w:p w14:paraId="43AE5D4C" w14:textId="77777777" w:rsidR="0011262F" w:rsidRDefault="0011262F" w:rsidP="00B54007">
                  <w:pPr>
                    <w:pStyle w:val="TableBodyText"/>
                    <w:ind w:right="28"/>
                  </w:pPr>
                </w:p>
              </w:tc>
              <w:tc>
                <w:tcPr>
                  <w:tcW w:w="631" w:type="pct"/>
                  <w:tcBorders>
                    <w:top w:val="single" w:sz="6" w:space="0" w:color="BFBFBF"/>
                  </w:tcBorders>
                  <w:shd w:val="clear" w:color="auto" w:fill="BFBFBF" w:themeFill="background1" w:themeFillShade="BF"/>
                  <w:vAlign w:val="bottom"/>
                </w:tcPr>
                <w:p w14:paraId="133E17D6" w14:textId="77777777" w:rsidR="0011262F" w:rsidRDefault="0011262F" w:rsidP="00B54007">
                  <w:pPr>
                    <w:pStyle w:val="TableBodyText"/>
                    <w:ind w:right="28"/>
                  </w:pPr>
                </w:p>
              </w:tc>
              <w:tc>
                <w:tcPr>
                  <w:tcW w:w="631" w:type="pct"/>
                  <w:tcBorders>
                    <w:top w:val="single" w:sz="6" w:space="0" w:color="BFBFBF"/>
                  </w:tcBorders>
                  <w:shd w:val="clear" w:color="auto" w:fill="BFBFBF" w:themeFill="background1" w:themeFillShade="BF"/>
                  <w:vAlign w:val="bottom"/>
                </w:tcPr>
                <w:p w14:paraId="50251D72" w14:textId="77777777" w:rsidR="0011262F" w:rsidRDefault="0011262F" w:rsidP="00B54007">
                  <w:pPr>
                    <w:pStyle w:val="TableBodyText"/>
                    <w:ind w:right="28"/>
                  </w:pPr>
                </w:p>
              </w:tc>
            </w:tr>
            <w:tr w:rsidR="0011262F" w14:paraId="0CE75AE3" w14:textId="77777777" w:rsidTr="00B54007">
              <w:tc>
                <w:tcPr>
                  <w:tcW w:w="1844" w:type="pct"/>
                  <w:shd w:val="clear" w:color="auto" w:fill="auto"/>
                  <w:vAlign w:val="bottom"/>
                </w:tcPr>
                <w:p w14:paraId="5D5EE2E3" w14:textId="77777777" w:rsidR="0011262F" w:rsidRDefault="0011262F" w:rsidP="00B54007">
                  <w:pPr>
                    <w:pStyle w:val="TableBodyText"/>
                    <w:jc w:val="left"/>
                  </w:pPr>
                  <w:r w:rsidRPr="00C358C1">
                    <w:t>Industry</w:t>
                  </w:r>
                </w:p>
              </w:tc>
              <w:tc>
                <w:tcPr>
                  <w:tcW w:w="631" w:type="pct"/>
                </w:tcPr>
                <w:p w14:paraId="1C330532" w14:textId="77777777" w:rsidR="0011262F" w:rsidRDefault="0011262F" w:rsidP="00B54007">
                  <w:pPr>
                    <w:pStyle w:val="TableBodyText"/>
                    <w:ind w:right="28"/>
                  </w:pPr>
                  <w:r w:rsidRPr="00FE3419">
                    <w:t>0.023</w:t>
                  </w:r>
                </w:p>
              </w:tc>
              <w:tc>
                <w:tcPr>
                  <w:tcW w:w="631" w:type="pct"/>
                  <w:shd w:val="clear" w:color="auto" w:fill="auto"/>
                </w:tcPr>
                <w:p w14:paraId="6C5B03C3" w14:textId="77777777" w:rsidR="0011262F" w:rsidRDefault="0011262F" w:rsidP="00B54007">
                  <w:pPr>
                    <w:pStyle w:val="TableBodyText"/>
                    <w:ind w:right="28"/>
                  </w:pPr>
                  <w:r w:rsidRPr="00FE3419">
                    <w:t>0.026</w:t>
                  </w:r>
                </w:p>
              </w:tc>
              <w:tc>
                <w:tcPr>
                  <w:tcW w:w="631" w:type="pct"/>
                  <w:shd w:val="clear" w:color="auto" w:fill="auto"/>
                </w:tcPr>
                <w:p w14:paraId="7AAC3D4F" w14:textId="77777777" w:rsidR="0011262F" w:rsidRDefault="0011262F" w:rsidP="00B54007">
                  <w:pPr>
                    <w:pStyle w:val="TableBodyText"/>
                    <w:ind w:right="28"/>
                  </w:pPr>
                  <w:r w:rsidRPr="00FE3419">
                    <w:t>-0.028</w:t>
                  </w:r>
                </w:p>
              </w:tc>
              <w:tc>
                <w:tcPr>
                  <w:tcW w:w="631" w:type="pct"/>
                </w:tcPr>
                <w:p w14:paraId="3CB8E813" w14:textId="77777777" w:rsidR="0011262F" w:rsidRDefault="0011262F" w:rsidP="00B54007">
                  <w:pPr>
                    <w:pStyle w:val="TableBodyText"/>
                    <w:ind w:right="28"/>
                  </w:pPr>
                  <w:r w:rsidRPr="00FE3419">
                    <w:t>0.023</w:t>
                  </w:r>
                </w:p>
              </w:tc>
              <w:tc>
                <w:tcPr>
                  <w:tcW w:w="631" w:type="pct"/>
                </w:tcPr>
                <w:p w14:paraId="1CABFBCB" w14:textId="77777777" w:rsidR="0011262F" w:rsidRDefault="0011262F" w:rsidP="00B54007">
                  <w:pPr>
                    <w:pStyle w:val="TableBodyText"/>
                  </w:pPr>
                  <w:r w:rsidRPr="00FE3419">
                    <w:t>0.073</w:t>
                  </w:r>
                </w:p>
              </w:tc>
            </w:tr>
            <w:tr w:rsidR="0011262F" w14:paraId="53575385" w14:textId="77777777" w:rsidTr="00B54007">
              <w:tc>
                <w:tcPr>
                  <w:tcW w:w="1844" w:type="pct"/>
                  <w:shd w:val="clear" w:color="auto" w:fill="F2F2F2" w:themeFill="background1" w:themeFillShade="F2"/>
                  <w:vAlign w:val="bottom"/>
                </w:tcPr>
                <w:p w14:paraId="22967C86" w14:textId="77777777" w:rsidR="0011262F" w:rsidRDefault="0011262F" w:rsidP="00B54007">
                  <w:pPr>
                    <w:pStyle w:val="TableBodyText"/>
                    <w:jc w:val="left"/>
                  </w:pPr>
                  <w:r w:rsidRPr="00C358C1">
                    <w:t>Public</w:t>
                  </w:r>
                </w:p>
              </w:tc>
              <w:tc>
                <w:tcPr>
                  <w:tcW w:w="631" w:type="pct"/>
                  <w:shd w:val="clear" w:color="auto" w:fill="F2F2F2" w:themeFill="background1" w:themeFillShade="F2"/>
                </w:tcPr>
                <w:p w14:paraId="0233F427" w14:textId="77777777" w:rsidR="0011262F" w:rsidRDefault="0011262F" w:rsidP="00B54007">
                  <w:pPr>
                    <w:pStyle w:val="TableBodyText"/>
                    <w:ind w:right="28"/>
                  </w:pPr>
                  <w:r w:rsidRPr="00FE3419">
                    <w:t>0.029</w:t>
                  </w:r>
                </w:p>
              </w:tc>
              <w:tc>
                <w:tcPr>
                  <w:tcW w:w="631" w:type="pct"/>
                  <w:shd w:val="clear" w:color="auto" w:fill="F2F2F2" w:themeFill="background1" w:themeFillShade="F2"/>
                </w:tcPr>
                <w:p w14:paraId="1E2A3CFC" w14:textId="77777777" w:rsidR="0011262F" w:rsidRDefault="0011262F" w:rsidP="00B54007">
                  <w:pPr>
                    <w:pStyle w:val="TableBodyText"/>
                    <w:ind w:right="28"/>
                  </w:pPr>
                  <w:r w:rsidRPr="00FE3419">
                    <w:t>0.035</w:t>
                  </w:r>
                </w:p>
              </w:tc>
              <w:tc>
                <w:tcPr>
                  <w:tcW w:w="631" w:type="pct"/>
                  <w:shd w:val="clear" w:color="auto" w:fill="F2F2F2" w:themeFill="background1" w:themeFillShade="F2"/>
                </w:tcPr>
                <w:p w14:paraId="55724798" w14:textId="77777777" w:rsidR="0011262F" w:rsidRDefault="0011262F" w:rsidP="00B54007">
                  <w:pPr>
                    <w:pStyle w:val="TableBodyText"/>
                    <w:ind w:right="28"/>
                  </w:pPr>
                  <w:r w:rsidRPr="00FE3419">
                    <w:t>-0.041</w:t>
                  </w:r>
                </w:p>
              </w:tc>
              <w:tc>
                <w:tcPr>
                  <w:tcW w:w="631" w:type="pct"/>
                  <w:shd w:val="clear" w:color="auto" w:fill="F2F2F2" w:themeFill="background1" w:themeFillShade="F2"/>
                </w:tcPr>
                <w:p w14:paraId="1C317DF8" w14:textId="77777777" w:rsidR="0011262F" w:rsidRDefault="0011262F" w:rsidP="00B54007">
                  <w:pPr>
                    <w:pStyle w:val="TableBodyText"/>
                    <w:ind w:right="28"/>
                  </w:pPr>
                  <w:r w:rsidRPr="00FE3419">
                    <w:t>0.030</w:t>
                  </w:r>
                </w:p>
              </w:tc>
              <w:tc>
                <w:tcPr>
                  <w:tcW w:w="631" w:type="pct"/>
                  <w:shd w:val="clear" w:color="auto" w:fill="F2F2F2" w:themeFill="background1" w:themeFillShade="F2"/>
                </w:tcPr>
                <w:p w14:paraId="31BA4E37" w14:textId="77777777" w:rsidR="0011262F" w:rsidRDefault="0011262F" w:rsidP="00B54007">
                  <w:pPr>
                    <w:pStyle w:val="TableBodyText"/>
                  </w:pPr>
                  <w:r w:rsidRPr="00FE3419">
                    <w:t>0.094</w:t>
                  </w:r>
                </w:p>
              </w:tc>
            </w:tr>
            <w:tr w:rsidR="0011262F" w14:paraId="4B81E5C6" w14:textId="77777777" w:rsidTr="00B54007">
              <w:tc>
                <w:tcPr>
                  <w:tcW w:w="1844" w:type="pct"/>
                  <w:shd w:val="clear" w:color="auto" w:fill="auto"/>
                  <w:vAlign w:val="bottom"/>
                </w:tcPr>
                <w:p w14:paraId="582BF05A" w14:textId="77777777" w:rsidR="0011262F" w:rsidRDefault="0011262F" w:rsidP="00B54007">
                  <w:pPr>
                    <w:pStyle w:val="TableBodyText"/>
                    <w:jc w:val="left"/>
                  </w:pPr>
                  <w:r w:rsidRPr="00C358C1">
                    <w:t>Retail</w:t>
                  </w:r>
                </w:p>
              </w:tc>
              <w:tc>
                <w:tcPr>
                  <w:tcW w:w="631" w:type="pct"/>
                </w:tcPr>
                <w:p w14:paraId="28B0A123" w14:textId="77777777" w:rsidR="0011262F" w:rsidRDefault="0011262F" w:rsidP="00B54007">
                  <w:pPr>
                    <w:pStyle w:val="TableBodyText"/>
                    <w:ind w:right="28"/>
                  </w:pPr>
                  <w:r w:rsidRPr="00FE3419">
                    <w:t>0.009</w:t>
                  </w:r>
                </w:p>
              </w:tc>
              <w:tc>
                <w:tcPr>
                  <w:tcW w:w="631" w:type="pct"/>
                  <w:shd w:val="clear" w:color="auto" w:fill="auto"/>
                </w:tcPr>
                <w:p w14:paraId="1B227989" w14:textId="77777777" w:rsidR="0011262F" w:rsidRDefault="0011262F" w:rsidP="00B54007">
                  <w:pPr>
                    <w:pStyle w:val="TableBodyText"/>
                    <w:ind w:right="28"/>
                  </w:pPr>
                  <w:r w:rsidRPr="00FE3419">
                    <w:t>0.026</w:t>
                  </w:r>
                </w:p>
              </w:tc>
              <w:tc>
                <w:tcPr>
                  <w:tcW w:w="631" w:type="pct"/>
                  <w:shd w:val="clear" w:color="auto" w:fill="auto"/>
                </w:tcPr>
                <w:p w14:paraId="149D2AA1" w14:textId="77777777" w:rsidR="0011262F" w:rsidRDefault="0011262F" w:rsidP="00B54007">
                  <w:pPr>
                    <w:pStyle w:val="TableBodyText"/>
                    <w:ind w:right="28"/>
                  </w:pPr>
                  <w:r w:rsidRPr="00FE3419">
                    <w:t>-0.041</w:t>
                  </w:r>
                </w:p>
              </w:tc>
              <w:tc>
                <w:tcPr>
                  <w:tcW w:w="631" w:type="pct"/>
                </w:tcPr>
                <w:p w14:paraId="6C791C41" w14:textId="77777777" w:rsidR="0011262F" w:rsidRDefault="0011262F" w:rsidP="00B54007">
                  <w:pPr>
                    <w:pStyle w:val="TableBodyText"/>
                    <w:ind w:right="28"/>
                  </w:pPr>
                  <w:r w:rsidRPr="00FE3419">
                    <w:t>0.009</w:t>
                  </w:r>
                </w:p>
              </w:tc>
              <w:tc>
                <w:tcPr>
                  <w:tcW w:w="631" w:type="pct"/>
                </w:tcPr>
                <w:p w14:paraId="7D3DEB89" w14:textId="77777777" w:rsidR="0011262F" w:rsidRDefault="0011262F" w:rsidP="00B54007">
                  <w:pPr>
                    <w:pStyle w:val="TableBodyText"/>
                  </w:pPr>
                  <w:r w:rsidRPr="00FE3419">
                    <w:t>0.060</w:t>
                  </w:r>
                </w:p>
              </w:tc>
            </w:tr>
            <w:tr w:rsidR="0011262F" w14:paraId="4978E837" w14:textId="77777777" w:rsidTr="00B54007">
              <w:tc>
                <w:tcPr>
                  <w:tcW w:w="1844" w:type="pct"/>
                  <w:shd w:val="clear" w:color="auto" w:fill="F2F2F2" w:themeFill="background1" w:themeFillShade="F2"/>
                  <w:vAlign w:val="bottom"/>
                </w:tcPr>
                <w:p w14:paraId="5158B246" w14:textId="77777777" w:rsidR="0011262F" w:rsidRDefault="0011262F" w:rsidP="00B54007">
                  <w:pPr>
                    <w:pStyle w:val="TableBodyText"/>
                    <w:jc w:val="left"/>
                  </w:pPr>
                  <w:r w:rsidRPr="00C358C1">
                    <w:t>Change in admin expenses due to size</w:t>
                  </w:r>
                </w:p>
              </w:tc>
              <w:tc>
                <w:tcPr>
                  <w:tcW w:w="631" w:type="pct"/>
                  <w:shd w:val="clear" w:color="auto" w:fill="F2F2F2" w:themeFill="background1" w:themeFillShade="F2"/>
                </w:tcPr>
                <w:p w14:paraId="52BBFCFF" w14:textId="77777777" w:rsidR="0011262F" w:rsidRDefault="0011262F" w:rsidP="00B54007">
                  <w:pPr>
                    <w:pStyle w:val="TableBodyText"/>
                    <w:ind w:right="28"/>
                  </w:pPr>
                  <w:r w:rsidRPr="00FE3419">
                    <w:t>0.117</w:t>
                  </w:r>
                </w:p>
              </w:tc>
              <w:tc>
                <w:tcPr>
                  <w:tcW w:w="631" w:type="pct"/>
                  <w:shd w:val="clear" w:color="auto" w:fill="F2F2F2" w:themeFill="background1" w:themeFillShade="F2"/>
                </w:tcPr>
                <w:p w14:paraId="10E5AD1D" w14:textId="77777777" w:rsidR="0011262F" w:rsidRDefault="0011262F" w:rsidP="00B54007">
                  <w:pPr>
                    <w:pStyle w:val="TableBodyText"/>
                    <w:ind w:right="28"/>
                  </w:pPr>
                  <w:r w:rsidRPr="00FE3419">
                    <w:t>0.224</w:t>
                  </w:r>
                </w:p>
              </w:tc>
              <w:tc>
                <w:tcPr>
                  <w:tcW w:w="631" w:type="pct"/>
                  <w:shd w:val="clear" w:color="auto" w:fill="F2F2F2" w:themeFill="background1" w:themeFillShade="F2"/>
                </w:tcPr>
                <w:p w14:paraId="562EE948" w14:textId="77777777" w:rsidR="0011262F" w:rsidRDefault="0011262F" w:rsidP="00B54007">
                  <w:pPr>
                    <w:pStyle w:val="TableBodyText"/>
                    <w:ind w:right="28"/>
                  </w:pPr>
                  <w:r w:rsidRPr="00FE3419">
                    <w:t>-0.343</w:t>
                  </w:r>
                </w:p>
              </w:tc>
              <w:tc>
                <w:tcPr>
                  <w:tcW w:w="631" w:type="pct"/>
                  <w:shd w:val="clear" w:color="auto" w:fill="F2F2F2" w:themeFill="background1" w:themeFillShade="F2"/>
                </w:tcPr>
                <w:p w14:paraId="60B84E63" w14:textId="77777777" w:rsidR="0011262F" w:rsidRDefault="0011262F" w:rsidP="00B54007">
                  <w:pPr>
                    <w:pStyle w:val="TableBodyText"/>
                    <w:ind w:right="28"/>
                  </w:pPr>
                  <w:r w:rsidRPr="00FE3419">
                    <w:t>0.116</w:t>
                  </w:r>
                </w:p>
              </w:tc>
              <w:tc>
                <w:tcPr>
                  <w:tcW w:w="631" w:type="pct"/>
                  <w:shd w:val="clear" w:color="auto" w:fill="F2F2F2" w:themeFill="background1" w:themeFillShade="F2"/>
                </w:tcPr>
                <w:p w14:paraId="19A42700" w14:textId="77777777" w:rsidR="0011262F" w:rsidRDefault="0011262F" w:rsidP="00B54007">
                  <w:pPr>
                    <w:pStyle w:val="TableBodyText"/>
                  </w:pPr>
                  <w:r w:rsidRPr="00FE3419">
                    <w:t>0.521</w:t>
                  </w:r>
                </w:p>
              </w:tc>
            </w:tr>
            <w:tr w:rsidR="0011262F" w14:paraId="00BE4D50" w14:textId="77777777" w:rsidTr="00B54007">
              <w:tc>
                <w:tcPr>
                  <w:tcW w:w="1844" w:type="pct"/>
                  <w:shd w:val="clear" w:color="auto" w:fill="auto"/>
                  <w:vAlign w:val="bottom"/>
                </w:tcPr>
                <w:p w14:paraId="3E716F2E" w14:textId="77777777" w:rsidR="0011262F" w:rsidRDefault="0011262F" w:rsidP="00B54007">
                  <w:pPr>
                    <w:pStyle w:val="TableBodyText"/>
                    <w:jc w:val="left"/>
                  </w:pPr>
                  <w:r w:rsidRPr="00C358C1">
                    <w:t>Industry x Change in admin expenses due to size</w:t>
                  </w:r>
                </w:p>
              </w:tc>
              <w:tc>
                <w:tcPr>
                  <w:tcW w:w="631" w:type="pct"/>
                </w:tcPr>
                <w:p w14:paraId="20C31274" w14:textId="77777777" w:rsidR="0011262F" w:rsidRDefault="0011262F" w:rsidP="00B54007">
                  <w:pPr>
                    <w:pStyle w:val="TableBodyText"/>
                    <w:ind w:right="28"/>
                  </w:pPr>
                  <w:r w:rsidRPr="00FE3419">
                    <w:t>-0.129</w:t>
                  </w:r>
                </w:p>
              </w:tc>
              <w:tc>
                <w:tcPr>
                  <w:tcW w:w="631" w:type="pct"/>
                  <w:shd w:val="clear" w:color="auto" w:fill="auto"/>
                </w:tcPr>
                <w:p w14:paraId="76A79E57" w14:textId="77777777" w:rsidR="0011262F" w:rsidRDefault="0011262F" w:rsidP="00B54007">
                  <w:pPr>
                    <w:pStyle w:val="TableBodyText"/>
                    <w:ind w:right="28"/>
                  </w:pPr>
                  <w:r w:rsidRPr="00FE3419">
                    <w:t>0.242</w:t>
                  </w:r>
                </w:p>
              </w:tc>
              <w:tc>
                <w:tcPr>
                  <w:tcW w:w="631" w:type="pct"/>
                  <w:shd w:val="clear" w:color="auto" w:fill="auto"/>
                </w:tcPr>
                <w:p w14:paraId="17726446" w14:textId="77777777" w:rsidR="0011262F" w:rsidRDefault="0011262F" w:rsidP="00B54007">
                  <w:pPr>
                    <w:pStyle w:val="TableBodyText"/>
                    <w:ind w:right="28"/>
                  </w:pPr>
                  <w:r w:rsidRPr="00FE3419">
                    <w:t>-0.601</w:t>
                  </w:r>
                </w:p>
              </w:tc>
              <w:tc>
                <w:tcPr>
                  <w:tcW w:w="631" w:type="pct"/>
                </w:tcPr>
                <w:p w14:paraId="1A7D7DDD" w14:textId="77777777" w:rsidR="0011262F" w:rsidRDefault="0011262F" w:rsidP="00B54007">
                  <w:pPr>
                    <w:pStyle w:val="TableBodyText"/>
                    <w:ind w:right="28"/>
                  </w:pPr>
                  <w:r w:rsidRPr="00FE3419">
                    <w:t>-0.126</w:t>
                  </w:r>
                </w:p>
              </w:tc>
              <w:tc>
                <w:tcPr>
                  <w:tcW w:w="631" w:type="pct"/>
                </w:tcPr>
                <w:p w14:paraId="5B52561C" w14:textId="77777777" w:rsidR="0011262F" w:rsidRDefault="0011262F" w:rsidP="00B54007">
                  <w:pPr>
                    <w:pStyle w:val="TableBodyText"/>
                  </w:pPr>
                  <w:r w:rsidRPr="00FE3419">
                    <w:t>0.356</w:t>
                  </w:r>
                </w:p>
              </w:tc>
            </w:tr>
            <w:tr w:rsidR="0011262F" w14:paraId="36293D6E" w14:textId="77777777" w:rsidTr="00B54007">
              <w:tc>
                <w:tcPr>
                  <w:tcW w:w="1844" w:type="pct"/>
                  <w:shd w:val="clear" w:color="auto" w:fill="F2F2F2" w:themeFill="background1" w:themeFillShade="F2"/>
                  <w:vAlign w:val="bottom"/>
                </w:tcPr>
                <w:p w14:paraId="1FA8A113" w14:textId="77777777" w:rsidR="0011262F" w:rsidRDefault="0011262F" w:rsidP="00B54007">
                  <w:pPr>
                    <w:pStyle w:val="TableBodyText"/>
                    <w:jc w:val="left"/>
                  </w:pPr>
                  <w:r w:rsidRPr="00C358C1">
                    <w:t>Public x Change in admin expenses due to size</w:t>
                  </w:r>
                </w:p>
              </w:tc>
              <w:tc>
                <w:tcPr>
                  <w:tcW w:w="631" w:type="pct"/>
                  <w:shd w:val="clear" w:color="auto" w:fill="F2F2F2" w:themeFill="background1" w:themeFillShade="F2"/>
                </w:tcPr>
                <w:p w14:paraId="2338136C" w14:textId="77777777" w:rsidR="0011262F" w:rsidRDefault="0011262F" w:rsidP="00B54007">
                  <w:pPr>
                    <w:pStyle w:val="TableBodyText"/>
                    <w:ind w:right="28"/>
                  </w:pPr>
                  <w:r w:rsidRPr="00FE3419">
                    <w:t>-0.139</w:t>
                  </w:r>
                </w:p>
              </w:tc>
              <w:tc>
                <w:tcPr>
                  <w:tcW w:w="631" w:type="pct"/>
                  <w:shd w:val="clear" w:color="auto" w:fill="F2F2F2" w:themeFill="background1" w:themeFillShade="F2"/>
                </w:tcPr>
                <w:p w14:paraId="394DDA15" w14:textId="77777777" w:rsidR="0011262F" w:rsidRDefault="0011262F" w:rsidP="00B54007">
                  <w:pPr>
                    <w:pStyle w:val="TableBodyText"/>
                    <w:ind w:right="28"/>
                  </w:pPr>
                  <w:r w:rsidRPr="00FE3419">
                    <w:t>0.291</w:t>
                  </w:r>
                </w:p>
              </w:tc>
              <w:tc>
                <w:tcPr>
                  <w:tcW w:w="631" w:type="pct"/>
                  <w:shd w:val="clear" w:color="auto" w:fill="F2F2F2" w:themeFill="background1" w:themeFillShade="F2"/>
                </w:tcPr>
                <w:p w14:paraId="7AB43087" w14:textId="77777777" w:rsidR="0011262F" w:rsidRDefault="0011262F" w:rsidP="00B54007">
                  <w:pPr>
                    <w:pStyle w:val="TableBodyText"/>
                    <w:ind w:right="28"/>
                  </w:pPr>
                  <w:r w:rsidRPr="00FE3419">
                    <w:t>-0.690</w:t>
                  </w:r>
                </w:p>
              </w:tc>
              <w:tc>
                <w:tcPr>
                  <w:tcW w:w="631" w:type="pct"/>
                  <w:shd w:val="clear" w:color="auto" w:fill="F2F2F2" w:themeFill="background1" w:themeFillShade="F2"/>
                </w:tcPr>
                <w:p w14:paraId="6DB6ABEB" w14:textId="77777777" w:rsidR="0011262F" w:rsidRDefault="0011262F" w:rsidP="00B54007">
                  <w:pPr>
                    <w:pStyle w:val="TableBodyText"/>
                    <w:ind w:right="28"/>
                  </w:pPr>
                  <w:r w:rsidRPr="00FE3419">
                    <w:t>-0.123</w:t>
                  </w:r>
                </w:p>
              </w:tc>
              <w:tc>
                <w:tcPr>
                  <w:tcW w:w="631" w:type="pct"/>
                  <w:shd w:val="clear" w:color="auto" w:fill="F2F2F2" w:themeFill="background1" w:themeFillShade="F2"/>
                </w:tcPr>
                <w:p w14:paraId="13EE4066" w14:textId="77777777" w:rsidR="0011262F" w:rsidRDefault="0011262F" w:rsidP="00B54007">
                  <w:pPr>
                    <w:pStyle w:val="TableBodyText"/>
                  </w:pPr>
                  <w:r w:rsidRPr="00FE3419">
                    <w:t>0.435</w:t>
                  </w:r>
                </w:p>
              </w:tc>
            </w:tr>
            <w:tr w:rsidR="0011262F" w14:paraId="15BC37A4" w14:textId="77777777" w:rsidTr="00B54007">
              <w:tc>
                <w:tcPr>
                  <w:tcW w:w="1844" w:type="pct"/>
                  <w:shd w:val="clear" w:color="auto" w:fill="auto"/>
                  <w:vAlign w:val="bottom"/>
                </w:tcPr>
                <w:p w14:paraId="67267D86" w14:textId="77777777" w:rsidR="0011262F" w:rsidRDefault="0011262F" w:rsidP="00B54007">
                  <w:pPr>
                    <w:pStyle w:val="TableBodyText"/>
                    <w:jc w:val="left"/>
                  </w:pPr>
                  <w:r w:rsidRPr="00C358C1">
                    <w:t>Retail x Change in admin expenses due to size</w:t>
                  </w:r>
                </w:p>
              </w:tc>
              <w:tc>
                <w:tcPr>
                  <w:tcW w:w="631" w:type="pct"/>
                </w:tcPr>
                <w:p w14:paraId="4AAA7258" w14:textId="77777777" w:rsidR="0011262F" w:rsidRDefault="0011262F" w:rsidP="00B54007">
                  <w:pPr>
                    <w:pStyle w:val="TableBodyText"/>
                    <w:ind w:right="28"/>
                  </w:pPr>
                  <w:r w:rsidRPr="00FE3419">
                    <w:t>-0.221</w:t>
                  </w:r>
                </w:p>
              </w:tc>
              <w:tc>
                <w:tcPr>
                  <w:tcW w:w="631" w:type="pct"/>
                  <w:shd w:val="clear" w:color="auto" w:fill="auto"/>
                </w:tcPr>
                <w:p w14:paraId="07F16CB1" w14:textId="77777777" w:rsidR="0011262F" w:rsidRDefault="0011262F" w:rsidP="00B54007">
                  <w:pPr>
                    <w:pStyle w:val="TableBodyText"/>
                    <w:ind w:right="28"/>
                  </w:pPr>
                  <w:r w:rsidRPr="00FE3419">
                    <w:t>0.229</w:t>
                  </w:r>
                </w:p>
              </w:tc>
              <w:tc>
                <w:tcPr>
                  <w:tcW w:w="631" w:type="pct"/>
                  <w:shd w:val="clear" w:color="auto" w:fill="auto"/>
                </w:tcPr>
                <w:p w14:paraId="53E38A28" w14:textId="77777777" w:rsidR="0011262F" w:rsidRDefault="0011262F" w:rsidP="00B54007">
                  <w:pPr>
                    <w:pStyle w:val="TableBodyText"/>
                    <w:ind w:right="28"/>
                  </w:pPr>
                  <w:r w:rsidRPr="00FE3419">
                    <w:t>-0.645</w:t>
                  </w:r>
                </w:p>
              </w:tc>
              <w:tc>
                <w:tcPr>
                  <w:tcW w:w="631" w:type="pct"/>
                </w:tcPr>
                <w:p w14:paraId="5B3801C9" w14:textId="77777777" w:rsidR="0011262F" w:rsidRDefault="0011262F" w:rsidP="00B54007">
                  <w:pPr>
                    <w:pStyle w:val="TableBodyText"/>
                    <w:ind w:right="28"/>
                  </w:pPr>
                  <w:r w:rsidRPr="00FE3419">
                    <w:t>-0.218</w:t>
                  </w:r>
                </w:p>
              </w:tc>
              <w:tc>
                <w:tcPr>
                  <w:tcW w:w="631" w:type="pct"/>
                </w:tcPr>
                <w:p w14:paraId="0EA97362" w14:textId="77777777" w:rsidR="0011262F" w:rsidRDefault="0011262F" w:rsidP="00B54007">
                  <w:pPr>
                    <w:pStyle w:val="TableBodyText"/>
                  </w:pPr>
                  <w:r w:rsidRPr="00FE3419">
                    <w:t>0.244</w:t>
                  </w:r>
                </w:p>
              </w:tc>
            </w:tr>
            <w:tr w:rsidR="0011262F" w14:paraId="10B59EBD" w14:textId="77777777" w:rsidTr="00B54007">
              <w:tc>
                <w:tcPr>
                  <w:tcW w:w="1844" w:type="pct"/>
                  <w:shd w:val="clear" w:color="auto" w:fill="F2F2F2" w:themeFill="background1" w:themeFillShade="F2"/>
                  <w:vAlign w:val="bottom"/>
                </w:tcPr>
                <w:p w14:paraId="70AF5B87" w14:textId="77777777" w:rsidR="0011262F" w:rsidRDefault="0011262F" w:rsidP="00B54007">
                  <w:pPr>
                    <w:pStyle w:val="TableBodyText"/>
                    <w:jc w:val="left"/>
                  </w:pPr>
                  <w:r w:rsidRPr="00C358C1">
                    <w:t>Intercept</w:t>
                  </w:r>
                </w:p>
              </w:tc>
              <w:tc>
                <w:tcPr>
                  <w:tcW w:w="631" w:type="pct"/>
                  <w:shd w:val="clear" w:color="auto" w:fill="F2F2F2" w:themeFill="background1" w:themeFillShade="F2"/>
                </w:tcPr>
                <w:p w14:paraId="125738CA" w14:textId="77777777" w:rsidR="0011262F" w:rsidRDefault="0011262F" w:rsidP="00B54007">
                  <w:pPr>
                    <w:pStyle w:val="TableBodyText"/>
                    <w:ind w:right="28"/>
                  </w:pPr>
                  <w:r w:rsidRPr="00FE3419">
                    <w:t>-0.014</w:t>
                  </w:r>
                </w:p>
              </w:tc>
              <w:tc>
                <w:tcPr>
                  <w:tcW w:w="631" w:type="pct"/>
                  <w:shd w:val="clear" w:color="auto" w:fill="F2F2F2" w:themeFill="background1" w:themeFillShade="F2"/>
                </w:tcPr>
                <w:p w14:paraId="372A62D8" w14:textId="77777777" w:rsidR="0011262F" w:rsidRDefault="0011262F" w:rsidP="00B54007">
                  <w:pPr>
                    <w:pStyle w:val="TableBodyText"/>
                    <w:ind w:right="28"/>
                  </w:pPr>
                  <w:r w:rsidRPr="00FE3419">
                    <w:t>0.024</w:t>
                  </w:r>
                </w:p>
              </w:tc>
              <w:tc>
                <w:tcPr>
                  <w:tcW w:w="631" w:type="pct"/>
                  <w:shd w:val="clear" w:color="auto" w:fill="F2F2F2" w:themeFill="background1" w:themeFillShade="F2"/>
                </w:tcPr>
                <w:p w14:paraId="701EBA8E" w14:textId="77777777" w:rsidR="0011262F" w:rsidRDefault="0011262F" w:rsidP="00B54007">
                  <w:pPr>
                    <w:pStyle w:val="TableBodyText"/>
                    <w:ind w:right="28"/>
                  </w:pPr>
                  <w:r w:rsidRPr="00FE3419">
                    <w:t>-0.060</w:t>
                  </w:r>
                </w:p>
              </w:tc>
              <w:tc>
                <w:tcPr>
                  <w:tcW w:w="631" w:type="pct"/>
                  <w:shd w:val="clear" w:color="auto" w:fill="F2F2F2" w:themeFill="background1" w:themeFillShade="F2"/>
                </w:tcPr>
                <w:p w14:paraId="65E7BB5E" w14:textId="77777777" w:rsidR="0011262F" w:rsidRDefault="0011262F" w:rsidP="00B54007">
                  <w:pPr>
                    <w:pStyle w:val="TableBodyText"/>
                    <w:ind w:right="28"/>
                  </w:pPr>
                  <w:r w:rsidRPr="00FE3419">
                    <w:t>-0.013</w:t>
                  </w:r>
                </w:p>
              </w:tc>
              <w:tc>
                <w:tcPr>
                  <w:tcW w:w="631" w:type="pct"/>
                  <w:shd w:val="clear" w:color="auto" w:fill="F2F2F2" w:themeFill="background1" w:themeFillShade="F2"/>
                </w:tcPr>
                <w:p w14:paraId="060BE0A4" w14:textId="77777777" w:rsidR="0011262F" w:rsidRDefault="0011262F" w:rsidP="00B54007">
                  <w:pPr>
                    <w:pStyle w:val="TableBodyText"/>
                  </w:pPr>
                  <w:r w:rsidRPr="00FE3419">
                    <w:t>0.034</w:t>
                  </w:r>
                </w:p>
              </w:tc>
            </w:tr>
            <w:tr w:rsidR="0011262F" w14:paraId="0098393E" w14:textId="77777777" w:rsidTr="00B54007">
              <w:tc>
                <w:tcPr>
                  <w:tcW w:w="1844" w:type="pct"/>
                  <w:shd w:val="clear" w:color="auto" w:fill="auto"/>
                  <w:vAlign w:val="bottom"/>
                </w:tcPr>
                <w:p w14:paraId="2297841D" w14:textId="77777777" w:rsidR="0011262F" w:rsidRDefault="0011262F" w:rsidP="00B54007">
                  <w:pPr>
                    <w:pStyle w:val="TableBodyText"/>
                    <w:jc w:val="left"/>
                  </w:pPr>
                  <w:r w:rsidRPr="00C358C1">
                    <w:t>SD of admin pass-through</w:t>
                  </w:r>
                </w:p>
              </w:tc>
              <w:tc>
                <w:tcPr>
                  <w:tcW w:w="631" w:type="pct"/>
                </w:tcPr>
                <w:p w14:paraId="29B42301" w14:textId="77777777" w:rsidR="0011262F" w:rsidRDefault="0011262F" w:rsidP="00B54007">
                  <w:pPr>
                    <w:pStyle w:val="TableBodyText"/>
                    <w:ind w:right="28"/>
                  </w:pPr>
                  <w:r w:rsidRPr="00FE3419">
                    <w:t>0.147</w:t>
                  </w:r>
                </w:p>
              </w:tc>
              <w:tc>
                <w:tcPr>
                  <w:tcW w:w="631" w:type="pct"/>
                  <w:shd w:val="clear" w:color="auto" w:fill="auto"/>
                </w:tcPr>
                <w:p w14:paraId="7EAFA85D" w14:textId="77777777" w:rsidR="0011262F" w:rsidRDefault="0011262F" w:rsidP="00B54007">
                  <w:pPr>
                    <w:pStyle w:val="TableBodyText"/>
                    <w:ind w:right="28"/>
                  </w:pPr>
                  <w:r w:rsidRPr="00FE3419">
                    <w:t>0.004</w:t>
                  </w:r>
                </w:p>
              </w:tc>
              <w:tc>
                <w:tcPr>
                  <w:tcW w:w="631" w:type="pct"/>
                  <w:shd w:val="clear" w:color="auto" w:fill="auto"/>
                </w:tcPr>
                <w:p w14:paraId="33DAF12C" w14:textId="77777777" w:rsidR="0011262F" w:rsidRDefault="0011262F" w:rsidP="00B54007">
                  <w:pPr>
                    <w:pStyle w:val="TableBodyText"/>
                    <w:ind w:right="28"/>
                  </w:pPr>
                  <w:r w:rsidRPr="00FE3419">
                    <w:t>0.140</w:t>
                  </w:r>
                </w:p>
              </w:tc>
              <w:tc>
                <w:tcPr>
                  <w:tcW w:w="631" w:type="pct"/>
                </w:tcPr>
                <w:p w14:paraId="7162E259" w14:textId="77777777" w:rsidR="0011262F" w:rsidRDefault="0011262F" w:rsidP="00B54007">
                  <w:pPr>
                    <w:pStyle w:val="TableBodyText"/>
                    <w:ind w:right="28"/>
                  </w:pPr>
                  <w:r w:rsidRPr="00FE3419">
                    <w:t>0.146</w:t>
                  </w:r>
                </w:p>
              </w:tc>
              <w:tc>
                <w:tcPr>
                  <w:tcW w:w="631" w:type="pct"/>
                </w:tcPr>
                <w:p w14:paraId="79926777" w14:textId="77777777" w:rsidR="0011262F" w:rsidRDefault="0011262F" w:rsidP="00B54007">
                  <w:pPr>
                    <w:pStyle w:val="TableBodyText"/>
                  </w:pPr>
                  <w:r w:rsidRPr="00FE3419">
                    <w:t>0.154</w:t>
                  </w:r>
                </w:p>
              </w:tc>
            </w:tr>
            <w:tr w:rsidR="0011262F" w14:paraId="32C52DE0" w14:textId="77777777" w:rsidTr="00B54007">
              <w:tc>
                <w:tcPr>
                  <w:tcW w:w="1844" w:type="pct"/>
                  <w:shd w:val="clear" w:color="auto" w:fill="F2F2F2" w:themeFill="background1" w:themeFillShade="F2"/>
                  <w:vAlign w:val="bottom"/>
                </w:tcPr>
                <w:p w14:paraId="6AD8C07C" w14:textId="77777777" w:rsidR="0011262F" w:rsidRDefault="0011262F" w:rsidP="00B54007">
                  <w:pPr>
                    <w:pStyle w:val="TableBodyText"/>
                    <w:jc w:val="left"/>
                  </w:pPr>
                  <w:r w:rsidRPr="00C358C1">
                    <w:t>SD of varying intercept</w:t>
                  </w:r>
                </w:p>
              </w:tc>
              <w:tc>
                <w:tcPr>
                  <w:tcW w:w="631" w:type="pct"/>
                  <w:shd w:val="clear" w:color="auto" w:fill="F2F2F2" w:themeFill="background1" w:themeFillShade="F2"/>
                </w:tcPr>
                <w:p w14:paraId="185D4166" w14:textId="77777777" w:rsidR="0011262F" w:rsidRDefault="0011262F" w:rsidP="00B54007">
                  <w:pPr>
                    <w:pStyle w:val="TableBodyText"/>
                    <w:ind w:right="28"/>
                  </w:pPr>
                  <w:r w:rsidRPr="00FE3419">
                    <w:t>0.042</w:t>
                  </w:r>
                </w:p>
              </w:tc>
              <w:tc>
                <w:tcPr>
                  <w:tcW w:w="631" w:type="pct"/>
                  <w:shd w:val="clear" w:color="auto" w:fill="F2F2F2" w:themeFill="background1" w:themeFillShade="F2"/>
                </w:tcPr>
                <w:p w14:paraId="4CA297BB" w14:textId="77777777" w:rsidR="0011262F" w:rsidRDefault="0011262F" w:rsidP="00B54007">
                  <w:pPr>
                    <w:pStyle w:val="TableBodyText"/>
                    <w:ind w:right="28"/>
                  </w:pPr>
                  <w:r w:rsidRPr="00FE3419">
                    <w:t>0.005</w:t>
                  </w:r>
                </w:p>
              </w:tc>
              <w:tc>
                <w:tcPr>
                  <w:tcW w:w="631" w:type="pct"/>
                  <w:shd w:val="clear" w:color="auto" w:fill="F2F2F2" w:themeFill="background1" w:themeFillShade="F2"/>
                </w:tcPr>
                <w:p w14:paraId="14A3CB2F" w14:textId="77777777" w:rsidR="0011262F" w:rsidRDefault="0011262F" w:rsidP="00B54007">
                  <w:pPr>
                    <w:pStyle w:val="TableBodyText"/>
                    <w:ind w:right="28"/>
                  </w:pPr>
                  <w:r w:rsidRPr="00FE3419">
                    <w:t>0.033</w:t>
                  </w:r>
                </w:p>
              </w:tc>
              <w:tc>
                <w:tcPr>
                  <w:tcW w:w="631" w:type="pct"/>
                  <w:shd w:val="clear" w:color="auto" w:fill="F2F2F2" w:themeFill="background1" w:themeFillShade="F2"/>
                </w:tcPr>
                <w:p w14:paraId="6AB69347" w14:textId="77777777" w:rsidR="0011262F" w:rsidRDefault="0011262F" w:rsidP="00B54007">
                  <w:pPr>
                    <w:pStyle w:val="TableBodyText"/>
                    <w:ind w:right="28"/>
                  </w:pPr>
                  <w:r w:rsidRPr="00FE3419">
                    <w:t>0.041</w:t>
                  </w:r>
                </w:p>
              </w:tc>
              <w:tc>
                <w:tcPr>
                  <w:tcW w:w="631" w:type="pct"/>
                  <w:shd w:val="clear" w:color="auto" w:fill="F2F2F2" w:themeFill="background1" w:themeFillShade="F2"/>
                </w:tcPr>
                <w:p w14:paraId="793CF663" w14:textId="77777777" w:rsidR="0011262F" w:rsidRDefault="0011262F" w:rsidP="00B54007">
                  <w:pPr>
                    <w:pStyle w:val="TableBodyText"/>
                  </w:pPr>
                  <w:r w:rsidRPr="00FE3419">
                    <w:t>0.052</w:t>
                  </w:r>
                </w:p>
              </w:tc>
            </w:tr>
            <w:tr w:rsidR="0011262F" w14:paraId="31A6BC8C" w14:textId="77777777" w:rsidTr="00B54007">
              <w:tc>
                <w:tcPr>
                  <w:tcW w:w="1844" w:type="pct"/>
                  <w:shd w:val="clear" w:color="auto" w:fill="auto"/>
                  <w:vAlign w:val="bottom"/>
                </w:tcPr>
                <w:p w14:paraId="517DB23B" w14:textId="77777777" w:rsidR="0011262F" w:rsidRDefault="0011262F" w:rsidP="00B54007">
                  <w:pPr>
                    <w:pStyle w:val="TableBodyText"/>
                    <w:jc w:val="left"/>
                  </w:pPr>
                  <w:r w:rsidRPr="00C358C1">
                    <w:t xml:space="preserve">SD of varying </w:t>
                  </w:r>
                  <w:r>
                    <w:t xml:space="preserve">slope: </w:t>
                  </w:r>
                  <w:r w:rsidRPr="00C358C1">
                    <w:t>Change in admin expenses due to size</w:t>
                  </w:r>
                </w:p>
              </w:tc>
              <w:tc>
                <w:tcPr>
                  <w:tcW w:w="631" w:type="pct"/>
                </w:tcPr>
                <w:p w14:paraId="5E2B62B0" w14:textId="77777777" w:rsidR="0011262F" w:rsidRDefault="0011262F" w:rsidP="00B54007">
                  <w:pPr>
                    <w:pStyle w:val="TableBodyText"/>
                    <w:ind w:right="28"/>
                  </w:pPr>
                  <w:r w:rsidRPr="00FE3419">
                    <w:t>0.262</w:t>
                  </w:r>
                </w:p>
              </w:tc>
              <w:tc>
                <w:tcPr>
                  <w:tcW w:w="631" w:type="pct"/>
                  <w:shd w:val="clear" w:color="auto" w:fill="auto"/>
                </w:tcPr>
                <w:p w14:paraId="4175F14C" w14:textId="77777777" w:rsidR="0011262F" w:rsidRDefault="0011262F" w:rsidP="00B54007">
                  <w:pPr>
                    <w:pStyle w:val="TableBodyText"/>
                    <w:ind w:right="28"/>
                  </w:pPr>
                  <w:r w:rsidRPr="00FE3419">
                    <w:t>0.077</w:t>
                  </w:r>
                </w:p>
              </w:tc>
              <w:tc>
                <w:tcPr>
                  <w:tcW w:w="631" w:type="pct"/>
                  <w:shd w:val="clear" w:color="auto" w:fill="auto"/>
                </w:tcPr>
                <w:p w14:paraId="64B6D802" w14:textId="77777777" w:rsidR="0011262F" w:rsidRDefault="0011262F" w:rsidP="00B54007">
                  <w:pPr>
                    <w:pStyle w:val="TableBodyText"/>
                    <w:ind w:right="28"/>
                  </w:pPr>
                  <w:r w:rsidRPr="00FE3419">
                    <w:t>0.125</w:t>
                  </w:r>
                </w:p>
              </w:tc>
              <w:tc>
                <w:tcPr>
                  <w:tcW w:w="631" w:type="pct"/>
                </w:tcPr>
                <w:p w14:paraId="5589B80A" w14:textId="77777777" w:rsidR="0011262F" w:rsidRDefault="0011262F" w:rsidP="00B54007">
                  <w:pPr>
                    <w:pStyle w:val="TableBodyText"/>
                    <w:ind w:right="28"/>
                  </w:pPr>
                  <w:r w:rsidRPr="00FE3419">
                    <w:t>0.259</w:t>
                  </w:r>
                </w:p>
              </w:tc>
              <w:tc>
                <w:tcPr>
                  <w:tcW w:w="631" w:type="pct"/>
                </w:tcPr>
                <w:p w14:paraId="1F664661" w14:textId="77777777" w:rsidR="0011262F" w:rsidRDefault="0011262F" w:rsidP="00B54007">
                  <w:pPr>
                    <w:pStyle w:val="TableBodyText"/>
                  </w:pPr>
                  <w:r w:rsidRPr="00FE3419">
                    <w:t>0.412</w:t>
                  </w:r>
                </w:p>
              </w:tc>
            </w:tr>
            <w:tr w:rsidR="0011262F" w14:paraId="4E5D6B1E" w14:textId="77777777" w:rsidTr="00B54007">
              <w:tc>
                <w:tcPr>
                  <w:tcW w:w="1844" w:type="pct"/>
                  <w:shd w:val="clear" w:color="auto" w:fill="auto"/>
                  <w:vAlign w:val="bottom"/>
                </w:tcPr>
                <w:p w14:paraId="649C215F" w14:textId="77777777" w:rsidR="0011262F" w:rsidRDefault="0011262F" w:rsidP="00B54007">
                  <w:pPr>
                    <w:pStyle w:val="TableBodyText"/>
                    <w:jc w:val="left"/>
                  </w:pPr>
                </w:p>
              </w:tc>
              <w:tc>
                <w:tcPr>
                  <w:tcW w:w="631" w:type="pct"/>
                  <w:vAlign w:val="bottom"/>
                </w:tcPr>
                <w:p w14:paraId="54B92389" w14:textId="77777777" w:rsidR="0011262F" w:rsidRDefault="0011262F" w:rsidP="00B54007">
                  <w:pPr>
                    <w:pStyle w:val="TableBodyText"/>
                    <w:ind w:right="28"/>
                  </w:pPr>
                </w:p>
              </w:tc>
              <w:tc>
                <w:tcPr>
                  <w:tcW w:w="631" w:type="pct"/>
                  <w:shd w:val="clear" w:color="auto" w:fill="auto"/>
                  <w:vAlign w:val="bottom"/>
                </w:tcPr>
                <w:p w14:paraId="5D95196E" w14:textId="77777777" w:rsidR="0011262F" w:rsidRDefault="0011262F" w:rsidP="00B54007">
                  <w:pPr>
                    <w:pStyle w:val="TableBodyText"/>
                    <w:ind w:right="28"/>
                  </w:pPr>
                </w:p>
              </w:tc>
              <w:tc>
                <w:tcPr>
                  <w:tcW w:w="631" w:type="pct"/>
                  <w:shd w:val="clear" w:color="auto" w:fill="auto"/>
                  <w:vAlign w:val="bottom"/>
                </w:tcPr>
                <w:p w14:paraId="3BFD88EC" w14:textId="77777777" w:rsidR="0011262F" w:rsidRDefault="0011262F" w:rsidP="00B54007">
                  <w:pPr>
                    <w:pStyle w:val="TableBodyText"/>
                    <w:ind w:right="28"/>
                  </w:pPr>
                </w:p>
              </w:tc>
              <w:tc>
                <w:tcPr>
                  <w:tcW w:w="631" w:type="pct"/>
                  <w:vAlign w:val="bottom"/>
                </w:tcPr>
                <w:p w14:paraId="087A9829" w14:textId="77777777" w:rsidR="0011262F" w:rsidRDefault="0011262F" w:rsidP="00B54007">
                  <w:pPr>
                    <w:pStyle w:val="TableBodyText"/>
                    <w:ind w:right="28"/>
                  </w:pPr>
                </w:p>
              </w:tc>
              <w:tc>
                <w:tcPr>
                  <w:tcW w:w="631" w:type="pct"/>
                  <w:vAlign w:val="bottom"/>
                </w:tcPr>
                <w:p w14:paraId="622C08E0" w14:textId="77777777" w:rsidR="0011262F" w:rsidRDefault="0011262F" w:rsidP="00B54007">
                  <w:pPr>
                    <w:pStyle w:val="TableBodyText"/>
                  </w:pPr>
                </w:p>
              </w:tc>
            </w:tr>
            <w:tr w:rsidR="0011262F" w14:paraId="074E7464" w14:textId="77777777" w:rsidTr="00B54007">
              <w:tc>
                <w:tcPr>
                  <w:tcW w:w="1844" w:type="pct"/>
                  <w:shd w:val="clear" w:color="auto" w:fill="BFBFBF" w:themeFill="background1" w:themeFillShade="BF"/>
                  <w:vAlign w:val="bottom"/>
                </w:tcPr>
                <w:p w14:paraId="70E32D65" w14:textId="77777777" w:rsidR="0011262F" w:rsidRDefault="0011262F" w:rsidP="00B54007">
                  <w:pPr>
                    <w:pStyle w:val="TableBodyText"/>
                    <w:jc w:val="left"/>
                  </w:pPr>
                  <w:r w:rsidRPr="00992D7E">
                    <w:rPr>
                      <w:b/>
                    </w:rPr>
                    <w:t>Pass-through: Investment fees</w:t>
                  </w:r>
                </w:p>
              </w:tc>
              <w:tc>
                <w:tcPr>
                  <w:tcW w:w="631" w:type="pct"/>
                  <w:shd w:val="clear" w:color="auto" w:fill="BFBFBF" w:themeFill="background1" w:themeFillShade="BF"/>
                  <w:vAlign w:val="bottom"/>
                </w:tcPr>
                <w:p w14:paraId="5651712E" w14:textId="77777777" w:rsidR="0011262F" w:rsidRDefault="0011262F" w:rsidP="00B54007">
                  <w:pPr>
                    <w:pStyle w:val="TableBodyText"/>
                    <w:ind w:right="28"/>
                  </w:pPr>
                </w:p>
              </w:tc>
              <w:tc>
                <w:tcPr>
                  <w:tcW w:w="631" w:type="pct"/>
                  <w:shd w:val="clear" w:color="auto" w:fill="BFBFBF" w:themeFill="background1" w:themeFillShade="BF"/>
                  <w:vAlign w:val="bottom"/>
                </w:tcPr>
                <w:p w14:paraId="0D6FC45C" w14:textId="77777777" w:rsidR="0011262F" w:rsidRDefault="0011262F" w:rsidP="00B54007">
                  <w:pPr>
                    <w:pStyle w:val="TableBodyText"/>
                    <w:ind w:right="28"/>
                  </w:pPr>
                </w:p>
              </w:tc>
              <w:tc>
                <w:tcPr>
                  <w:tcW w:w="631" w:type="pct"/>
                  <w:shd w:val="clear" w:color="auto" w:fill="BFBFBF" w:themeFill="background1" w:themeFillShade="BF"/>
                  <w:vAlign w:val="bottom"/>
                </w:tcPr>
                <w:p w14:paraId="13CCBE50" w14:textId="77777777" w:rsidR="0011262F" w:rsidRDefault="0011262F" w:rsidP="00B54007">
                  <w:pPr>
                    <w:pStyle w:val="TableBodyText"/>
                    <w:ind w:right="28"/>
                  </w:pPr>
                </w:p>
              </w:tc>
              <w:tc>
                <w:tcPr>
                  <w:tcW w:w="631" w:type="pct"/>
                  <w:shd w:val="clear" w:color="auto" w:fill="BFBFBF" w:themeFill="background1" w:themeFillShade="BF"/>
                  <w:vAlign w:val="bottom"/>
                </w:tcPr>
                <w:p w14:paraId="30ADC214" w14:textId="77777777" w:rsidR="0011262F" w:rsidRDefault="0011262F" w:rsidP="00B54007">
                  <w:pPr>
                    <w:pStyle w:val="TableBodyText"/>
                    <w:ind w:right="28"/>
                  </w:pPr>
                </w:p>
              </w:tc>
              <w:tc>
                <w:tcPr>
                  <w:tcW w:w="631" w:type="pct"/>
                  <w:shd w:val="clear" w:color="auto" w:fill="BFBFBF" w:themeFill="background1" w:themeFillShade="BF"/>
                  <w:vAlign w:val="bottom"/>
                </w:tcPr>
                <w:p w14:paraId="14FB49E4" w14:textId="77777777" w:rsidR="0011262F" w:rsidRDefault="0011262F" w:rsidP="00B54007">
                  <w:pPr>
                    <w:pStyle w:val="TableBodyText"/>
                  </w:pPr>
                </w:p>
              </w:tc>
            </w:tr>
            <w:tr w:rsidR="0011262F" w14:paraId="22F96759" w14:textId="77777777" w:rsidTr="00B54007">
              <w:tc>
                <w:tcPr>
                  <w:tcW w:w="1844" w:type="pct"/>
                  <w:shd w:val="clear" w:color="auto" w:fill="auto"/>
                  <w:vAlign w:val="bottom"/>
                </w:tcPr>
                <w:p w14:paraId="67D3DB85" w14:textId="77777777" w:rsidR="0011262F" w:rsidRDefault="0011262F" w:rsidP="00B54007">
                  <w:pPr>
                    <w:pStyle w:val="TableBodyText"/>
                    <w:jc w:val="left"/>
                  </w:pPr>
                  <w:r w:rsidRPr="00C358C1">
                    <w:t>Industry</w:t>
                  </w:r>
                </w:p>
              </w:tc>
              <w:tc>
                <w:tcPr>
                  <w:tcW w:w="631" w:type="pct"/>
                </w:tcPr>
                <w:p w14:paraId="45996A30" w14:textId="77777777" w:rsidR="0011262F" w:rsidRDefault="0011262F" w:rsidP="00B54007">
                  <w:pPr>
                    <w:pStyle w:val="TableBodyText"/>
                    <w:ind w:right="28"/>
                  </w:pPr>
                  <w:r w:rsidRPr="00897BB8">
                    <w:t>-0.016</w:t>
                  </w:r>
                </w:p>
              </w:tc>
              <w:tc>
                <w:tcPr>
                  <w:tcW w:w="631" w:type="pct"/>
                  <w:shd w:val="clear" w:color="auto" w:fill="auto"/>
                </w:tcPr>
                <w:p w14:paraId="298B8A5B" w14:textId="77777777" w:rsidR="0011262F" w:rsidRDefault="0011262F" w:rsidP="00B54007">
                  <w:pPr>
                    <w:pStyle w:val="TableBodyText"/>
                    <w:ind w:right="28"/>
                  </w:pPr>
                  <w:r w:rsidRPr="00897BB8">
                    <w:t>0.029</w:t>
                  </w:r>
                </w:p>
              </w:tc>
              <w:tc>
                <w:tcPr>
                  <w:tcW w:w="631" w:type="pct"/>
                  <w:shd w:val="clear" w:color="auto" w:fill="auto"/>
                </w:tcPr>
                <w:p w14:paraId="69479382" w14:textId="77777777" w:rsidR="0011262F" w:rsidRDefault="0011262F" w:rsidP="00B54007">
                  <w:pPr>
                    <w:pStyle w:val="TableBodyText"/>
                    <w:ind w:right="28"/>
                  </w:pPr>
                  <w:r w:rsidRPr="00897BB8">
                    <w:t>-0.072</w:t>
                  </w:r>
                </w:p>
              </w:tc>
              <w:tc>
                <w:tcPr>
                  <w:tcW w:w="631" w:type="pct"/>
                </w:tcPr>
                <w:p w14:paraId="79F2C2E1" w14:textId="77777777" w:rsidR="0011262F" w:rsidRDefault="0011262F" w:rsidP="00B54007">
                  <w:pPr>
                    <w:pStyle w:val="TableBodyText"/>
                    <w:ind w:right="28"/>
                  </w:pPr>
                  <w:r w:rsidRPr="00897BB8">
                    <w:t>-0.016</w:t>
                  </w:r>
                </w:p>
              </w:tc>
              <w:tc>
                <w:tcPr>
                  <w:tcW w:w="631" w:type="pct"/>
                </w:tcPr>
                <w:p w14:paraId="712B3E14" w14:textId="77777777" w:rsidR="0011262F" w:rsidRDefault="0011262F" w:rsidP="00B54007">
                  <w:pPr>
                    <w:pStyle w:val="TableBodyText"/>
                  </w:pPr>
                  <w:r w:rsidRPr="00897BB8">
                    <w:t>0.038</w:t>
                  </w:r>
                </w:p>
              </w:tc>
            </w:tr>
            <w:tr w:rsidR="0011262F" w14:paraId="490F5D52" w14:textId="77777777" w:rsidTr="00B54007">
              <w:tc>
                <w:tcPr>
                  <w:tcW w:w="1844" w:type="pct"/>
                  <w:shd w:val="clear" w:color="auto" w:fill="F2F2F2" w:themeFill="background1" w:themeFillShade="F2"/>
                  <w:vAlign w:val="bottom"/>
                </w:tcPr>
                <w:p w14:paraId="54FE9254" w14:textId="77777777" w:rsidR="0011262F" w:rsidRDefault="0011262F" w:rsidP="00B54007">
                  <w:pPr>
                    <w:pStyle w:val="TableBodyText"/>
                    <w:jc w:val="left"/>
                  </w:pPr>
                  <w:r w:rsidRPr="00C358C1">
                    <w:t>Public</w:t>
                  </w:r>
                </w:p>
              </w:tc>
              <w:tc>
                <w:tcPr>
                  <w:tcW w:w="631" w:type="pct"/>
                  <w:shd w:val="clear" w:color="auto" w:fill="F2F2F2" w:themeFill="background1" w:themeFillShade="F2"/>
                </w:tcPr>
                <w:p w14:paraId="454087EB" w14:textId="77777777" w:rsidR="0011262F" w:rsidRDefault="0011262F" w:rsidP="00B54007">
                  <w:pPr>
                    <w:pStyle w:val="TableBodyText"/>
                    <w:ind w:right="28"/>
                  </w:pPr>
                  <w:r w:rsidRPr="00897BB8">
                    <w:t>0.006</w:t>
                  </w:r>
                </w:p>
              </w:tc>
              <w:tc>
                <w:tcPr>
                  <w:tcW w:w="631" w:type="pct"/>
                  <w:shd w:val="clear" w:color="auto" w:fill="F2F2F2" w:themeFill="background1" w:themeFillShade="F2"/>
                </w:tcPr>
                <w:p w14:paraId="57AB0F52" w14:textId="77777777" w:rsidR="0011262F" w:rsidRDefault="0011262F" w:rsidP="00B54007">
                  <w:pPr>
                    <w:pStyle w:val="TableBodyText"/>
                    <w:ind w:right="28"/>
                  </w:pPr>
                  <w:r w:rsidRPr="00897BB8">
                    <w:t>0.036</w:t>
                  </w:r>
                </w:p>
              </w:tc>
              <w:tc>
                <w:tcPr>
                  <w:tcW w:w="631" w:type="pct"/>
                  <w:shd w:val="clear" w:color="auto" w:fill="F2F2F2" w:themeFill="background1" w:themeFillShade="F2"/>
                </w:tcPr>
                <w:p w14:paraId="5877AB88" w14:textId="77777777" w:rsidR="0011262F" w:rsidRDefault="0011262F" w:rsidP="00B54007">
                  <w:pPr>
                    <w:pStyle w:val="TableBodyText"/>
                    <w:ind w:right="28"/>
                  </w:pPr>
                  <w:r w:rsidRPr="00897BB8">
                    <w:t>-0.065</w:t>
                  </w:r>
                </w:p>
              </w:tc>
              <w:tc>
                <w:tcPr>
                  <w:tcW w:w="631" w:type="pct"/>
                  <w:shd w:val="clear" w:color="auto" w:fill="F2F2F2" w:themeFill="background1" w:themeFillShade="F2"/>
                </w:tcPr>
                <w:p w14:paraId="01FC6C15" w14:textId="77777777" w:rsidR="0011262F" w:rsidRDefault="0011262F" w:rsidP="00B54007">
                  <w:pPr>
                    <w:pStyle w:val="TableBodyText"/>
                    <w:ind w:right="28"/>
                  </w:pPr>
                  <w:r w:rsidRPr="00897BB8">
                    <w:t>0.005</w:t>
                  </w:r>
                </w:p>
              </w:tc>
              <w:tc>
                <w:tcPr>
                  <w:tcW w:w="631" w:type="pct"/>
                  <w:shd w:val="clear" w:color="auto" w:fill="F2F2F2" w:themeFill="background1" w:themeFillShade="F2"/>
                </w:tcPr>
                <w:p w14:paraId="4BCB15C7" w14:textId="77777777" w:rsidR="0011262F" w:rsidRDefault="0011262F" w:rsidP="00B54007">
                  <w:pPr>
                    <w:pStyle w:val="TableBodyText"/>
                  </w:pPr>
                  <w:r w:rsidRPr="00897BB8">
                    <w:t>0.073</w:t>
                  </w:r>
                </w:p>
              </w:tc>
            </w:tr>
            <w:tr w:rsidR="0011262F" w14:paraId="031B5602" w14:textId="77777777" w:rsidTr="00B54007">
              <w:tc>
                <w:tcPr>
                  <w:tcW w:w="1844" w:type="pct"/>
                  <w:shd w:val="clear" w:color="auto" w:fill="auto"/>
                  <w:vAlign w:val="bottom"/>
                </w:tcPr>
                <w:p w14:paraId="6D7BDE17" w14:textId="77777777" w:rsidR="0011262F" w:rsidRDefault="0011262F" w:rsidP="00B54007">
                  <w:pPr>
                    <w:pStyle w:val="TableBodyText"/>
                    <w:jc w:val="left"/>
                  </w:pPr>
                  <w:r w:rsidRPr="00C358C1">
                    <w:t>Retail</w:t>
                  </w:r>
                </w:p>
              </w:tc>
              <w:tc>
                <w:tcPr>
                  <w:tcW w:w="631" w:type="pct"/>
                </w:tcPr>
                <w:p w14:paraId="44040740" w14:textId="77777777" w:rsidR="0011262F" w:rsidRDefault="0011262F" w:rsidP="00B54007">
                  <w:pPr>
                    <w:pStyle w:val="TableBodyText"/>
                    <w:ind w:right="28"/>
                  </w:pPr>
                  <w:r w:rsidRPr="00897BB8">
                    <w:t>-0.027</w:t>
                  </w:r>
                </w:p>
              </w:tc>
              <w:tc>
                <w:tcPr>
                  <w:tcW w:w="631" w:type="pct"/>
                  <w:shd w:val="clear" w:color="auto" w:fill="auto"/>
                </w:tcPr>
                <w:p w14:paraId="6996F57E" w14:textId="77777777" w:rsidR="0011262F" w:rsidRDefault="0011262F" w:rsidP="00B54007">
                  <w:pPr>
                    <w:pStyle w:val="TableBodyText"/>
                    <w:ind w:right="28"/>
                  </w:pPr>
                  <w:r w:rsidRPr="00897BB8">
                    <w:t>0.028</w:t>
                  </w:r>
                </w:p>
              </w:tc>
              <w:tc>
                <w:tcPr>
                  <w:tcW w:w="631" w:type="pct"/>
                  <w:shd w:val="clear" w:color="auto" w:fill="auto"/>
                </w:tcPr>
                <w:p w14:paraId="5F54DB68" w14:textId="77777777" w:rsidR="0011262F" w:rsidRDefault="0011262F" w:rsidP="00B54007">
                  <w:pPr>
                    <w:pStyle w:val="TableBodyText"/>
                    <w:ind w:right="28"/>
                  </w:pPr>
                  <w:r w:rsidRPr="00897BB8">
                    <w:t>-0.084</w:t>
                  </w:r>
                </w:p>
              </w:tc>
              <w:tc>
                <w:tcPr>
                  <w:tcW w:w="631" w:type="pct"/>
                </w:tcPr>
                <w:p w14:paraId="55720F8E" w14:textId="77777777" w:rsidR="0011262F" w:rsidRDefault="0011262F" w:rsidP="00B54007">
                  <w:pPr>
                    <w:pStyle w:val="TableBodyText"/>
                    <w:ind w:right="28"/>
                  </w:pPr>
                  <w:r w:rsidRPr="00897BB8">
                    <w:t>-0.027</w:t>
                  </w:r>
                </w:p>
              </w:tc>
              <w:tc>
                <w:tcPr>
                  <w:tcW w:w="631" w:type="pct"/>
                </w:tcPr>
                <w:p w14:paraId="13CB8E35" w14:textId="77777777" w:rsidR="0011262F" w:rsidRDefault="0011262F" w:rsidP="00B54007">
                  <w:pPr>
                    <w:pStyle w:val="TableBodyText"/>
                  </w:pPr>
                  <w:r w:rsidRPr="00897BB8">
                    <w:t>0.027</w:t>
                  </w:r>
                </w:p>
              </w:tc>
            </w:tr>
            <w:tr w:rsidR="0011262F" w14:paraId="7FF7DA09" w14:textId="77777777" w:rsidTr="00B54007">
              <w:tc>
                <w:tcPr>
                  <w:tcW w:w="1844" w:type="pct"/>
                  <w:shd w:val="clear" w:color="auto" w:fill="F2F2F2" w:themeFill="background1" w:themeFillShade="F2"/>
                  <w:vAlign w:val="bottom"/>
                </w:tcPr>
                <w:p w14:paraId="4ABF3A88" w14:textId="77777777" w:rsidR="0011262F" w:rsidRDefault="0011262F" w:rsidP="00B54007">
                  <w:pPr>
                    <w:pStyle w:val="TableBodyText"/>
                    <w:jc w:val="left"/>
                  </w:pPr>
                  <w:r w:rsidRPr="00C358C1">
                    <w:t>Change in investment expenses due to size</w:t>
                  </w:r>
                </w:p>
              </w:tc>
              <w:tc>
                <w:tcPr>
                  <w:tcW w:w="631" w:type="pct"/>
                  <w:shd w:val="clear" w:color="auto" w:fill="F2F2F2" w:themeFill="background1" w:themeFillShade="F2"/>
                </w:tcPr>
                <w:p w14:paraId="253548E7" w14:textId="77777777" w:rsidR="0011262F" w:rsidRDefault="0011262F" w:rsidP="00B54007">
                  <w:pPr>
                    <w:pStyle w:val="TableBodyText"/>
                    <w:ind w:right="28"/>
                  </w:pPr>
                  <w:r w:rsidRPr="00897BB8">
                    <w:t>-0.137</w:t>
                  </w:r>
                </w:p>
              </w:tc>
              <w:tc>
                <w:tcPr>
                  <w:tcW w:w="631" w:type="pct"/>
                  <w:shd w:val="clear" w:color="auto" w:fill="F2F2F2" w:themeFill="background1" w:themeFillShade="F2"/>
                </w:tcPr>
                <w:p w14:paraId="083A9A11" w14:textId="77777777" w:rsidR="0011262F" w:rsidRDefault="0011262F" w:rsidP="00B54007">
                  <w:pPr>
                    <w:pStyle w:val="TableBodyText"/>
                    <w:ind w:right="28"/>
                  </w:pPr>
                  <w:r w:rsidRPr="00897BB8">
                    <w:t>0.191</w:t>
                  </w:r>
                </w:p>
              </w:tc>
              <w:tc>
                <w:tcPr>
                  <w:tcW w:w="631" w:type="pct"/>
                  <w:shd w:val="clear" w:color="auto" w:fill="F2F2F2" w:themeFill="background1" w:themeFillShade="F2"/>
                </w:tcPr>
                <w:p w14:paraId="4B3530FA" w14:textId="77777777" w:rsidR="0011262F" w:rsidRDefault="0011262F" w:rsidP="00B54007">
                  <w:pPr>
                    <w:pStyle w:val="TableBodyText"/>
                    <w:ind w:right="28"/>
                  </w:pPr>
                  <w:r w:rsidRPr="00897BB8">
                    <w:t>-0.480</w:t>
                  </w:r>
                </w:p>
              </w:tc>
              <w:tc>
                <w:tcPr>
                  <w:tcW w:w="631" w:type="pct"/>
                  <w:shd w:val="clear" w:color="auto" w:fill="F2F2F2" w:themeFill="background1" w:themeFillShade="F2"/>
                </w:tcPr>
                <w:p w14:paraId="52A4C681" w14:textId="77777777" w:rsidR="0011262F" w:rsidRDefault="0011262F" w:rsidP="00B54007">
                  <w:pPr>
                    <w:pStyle w:val="TableBodyText"/>
                    <w:ind w:right="28"/>
                  </w:pPr>
                  <w:r w:rsidRPr="00897BB8">
                    <w:t>-0.146</w:t>
                  </w:r>
                </w:p>
              </w:tc>
              <w:tc>
                <w:tcPr>
                  <w:tcW w:w="631" w:type="pct"/>
                  <w:shd w:val="clear" w:color="auto" w:fill="F2F2F2" w:themeFill="background1" w:themeFillShade="F2"/>
                </w:tcPr>
                <w:p w14:paraId="16601AFB" w14:textId="77777777" w:rsidR="0011262F" w:rsidRDefault="0011262F" w:rsidP="00B54007">
                  <w:pPr>
                    <w:pStyle w:val="TableBodyText"/>
                  </w:pPr>
                  <w:r w:rsidRPr="00897BB8">
                    <w:t>0.273</w:t>
                  </w:r>
                </w:p>
              </w:tc>
            </w:tr>
            <w:tr w:rsidR="0011262F" w14:paraId="3FBC9217" w14:textId="77777777" w:rsidTr="00B54007">
              <w:tc>
                <w:tcPr>
                  <w:tcW w:w="1844" w:type="pct"/>
                  <w:shd w:val="clear" w:color="auto" w:fill="auto"/>
                  <w:vAlign w:val="bottom"/>
                </w:tcPr>
                <w:p w14:paraId="627476B7" w14:textId="77777777" w:rsidR="0011262F" w:rsidRDefault="0011262F" w:rsidP="00B54007">
                  <w:pPr>
                    <w:pStyle w:val="TableBodyText"/>
                    <w:jc w:val="left"/>
                  </w:pPr>
                  <w:r w:rsidRPr="00C358C1">
                    <w:t>Industry x Change in investment expenses due to size</w:t>
                  </w:r>
                </w:p>
              </w:tc>
              <w:tc>
                <w:tcPr>
                  <w:tcW w:w="631" w:type="pct"/>
                </w:tcPr>
                <w:p w14:paraId="28FB369B" w14:textId="77777777" w:rsidR="0011262F" w:rsidRDefault="0011262F" w:rsidP="00B54007">
                  <w:pPr>
                    <w:pStyle w:val="TableBodyText"/>
                    <w:ind w:right="28"/>
                  </w:pPr>
                  <w:r w:rsidRPr="00897BB8">
                    <w:t>0.063</w:t>
                  </w:r>
                </w:p>
              </w:tc>
              <w:tc>
                <w:tcPr>
                  <w:tcW w:w="631" w:type="pct"/>
                  <w:shd w:val="clear" w:color="auto" w:fill="auto"/>
                </w:tcPr>
                <w:p w14:paraId="486A8FE8" w14:textId="77777777" w:rsidR="0011262F" w:rsidRDefault="0011262F" w:rsidP="00B54007">
                  <w:pPr>
                    <w:pStyle w:val="TableBodyText"/>
                    <w:ind w:right="28"/>
                  </w:pPr>
                  <w:r w:rsidRPr="00897BB8">
                    <w:t>0.206</w:t>
                  </w:r>
                </w:p>
              </w:tc>
              <w:tc>
                <w:tcPr>
                  <w:tcW w:w="631" w:type="pct"/>
                  <w:shd w:val="clear" w:color="auto" w:fill="auto"/>
                </w:tcPr>
                <w:p w14:paraId="3B1F8894" w14:textId="77777777" w:rsidR="0011262F" w:rsidRDefault="0011262F" w:rsidP="00B54007">
                  <w:pPr>
                    <w:pStyle w:val="TableBodyText"/>
                    <w:ind w:right="28"/>
                  </w:pPr>
                  <w:r w:rsidRPr="00897BB8">
                    <w:t>-0.362</w:t>
                  </w:r>
                </w:p>
              </w:tc>
              <w:tc>
                <w:tcPr>
                  <w:tcW w:w="631" w:type="pct"/>
                </w:tcPr>
                <w:p w14:paraId="43C772AD" w14:textId="77777777" w:rsidR="0011262F" w:rsidRDefault="0011262F" w:rsidP="00B54007">
                  <w:pPr>
                    <w:pStyle w:val="TableBodyText"/>
                    <w:ind w:right="28"/>
                  </w:pPr>
                  <w:r w:rsidRPr="00897BB8">
                    <w:t>0.066</w:t>
                  </w:r>
                </w:p>
              </w:tc>
              <w:tc>
                <w:tcPr>
                  <w:tcW w:w="631" w:type="pct"/>
                </w:tcPr>
                <w:p w14:paraId="558739AD" w14:textId="77777777" w:rsidR="0011262F" w:rsidRDefault="0011262F" w:rsidP="00B54007">
                  <w:pPr>
                    <w:pStyle w:val="TableBodyText"/>
                  </w:pPr>
                  <w:r w:rsidRPr="00897BB8">
                    <w:t>0.435</w:t>
                  </w:r>
                </w:p>
              </w:tc>
            </w:tr>
            <w:tr w:rsidR="0011262F" w14:paraId="71E09AD9" w14:textId="77777777" w:rsidTr="00B54007">
              <w:tc>
                <w:tcPr>
                  <w:tcW w:w="1844" w:type="pct"/>
                  <w:shd w:val="clear" w:color="auto" w:fill="F2F2F2" w:themeFill="background1" w:themeFillShade="F2"/>
                  <w:vAlign w:val="bottom"/>
                </w:tcPr>
                <w:p w14:paraId="403D59F1" w14:textId="77777777" w:rsidR="0011262F" w:rsidRDefault="0011262F" w:rsidP="00B54007">
                  <w:pPr>
                    <w:pStyle w:val="TableBodyText"/>
                    <w:jc w:val="left"/>
                  </w:pPr>
                  <w:r w:rsidRPr="00C358C1">
                    <w:t>Public x Change in investment expenses due to size</w:t>
                  </w:r>
                </w:p>
              </w:tc>
              <w:tc>
                <w:tcPr>
                  <w:tcW w:w="631" w:type="pct"/>
                  <w:shd w:val="clear" w:color="auto" w:fill="F2F2F2" w:themeFill="background1" w:themeFillShade="F2"/>
                </w:tcPr>
                <w:p w14:paraId="0CB04760" w14:textId="77777777" w:rsidR="0011262F" w:rsidRDefault="0011262F" w:rsidP="00B54007">
                  <w:pPr>
                    <w:pStyle w:val="TableBodyText"/>
                    <w:ind w:right="28"/>
                  </w:pPr>
                  <w:r w:rsidRPr="00897BB8">
                    <w:t>-0.079</w:t>
                  </w:r>
                </w:p>
              </w:tc>
              <w:tc>
                <w:tcPr>
                  <w:tcW w:w="631" w:type="pct"/>
                  <w:shd w:val="clear" w:color="auto" w:fill="F2F2F2" w:themeFill="background1" w:themeFillShade="F2"/>
                </w:tcPr>
                <w:p w14:paraId="61AED2AA" w14:textId="77777777" w:rsidR="0011262F" w:rsidRDefault="0011262F" w:rsidP="00B54007">
                  <w:pPr>
                    <w:pStyle w:val="TableBodyText"/>
                    <w:ind w:right="28"/>
                  </w:pPr>
                  <w:r w:rsidRPr="00897BB8">
                    <w:t>0.243</w:t>
                  </w:r>
                </w:p>
              </w:tc>
              <w:tc>
                <w:tcPr>
                  <w:tcW w:w="631" w:type="pct"/>
                  <w:shd w:val="clear" w:color="auto" w:fill="F2F2F2" w:themeFill="background1" w:themeFillShade="F2"/>
                </w:tcPr>
                <w:p w14:paraId="0AD4A4B8" w14:textId="77777777" w:rsidR="0011262F" w:rsidRDefault="0011262F" w:rsidP="00B54007">
                  <w:pPr>
                    <w:pStyle w:val="TableBodyText"/>
                    <w:ind w:right="28"/>
                  </w:pPr>
                  <w:r w:rsidRPr="00897BB8">
                    <w:t>-0.557</w:t>
                  </w:r>
                </w:p>
              </w:tc>
              <w:tc>
                <w:tcPr>
                  <w:tcW w:w="631" w:type="pct"/>
                  <w:shd w:val="clear" w:color="auto" w:fill="F2F2F2" w:themeFill="background1" w:themeFillShade="F2"/>
                </w:tcPr>
                <w:p w14:paraId="1ABFDBF8" w14:textId="77777777" w:rsidR="0011262F" w:rsidRDefault="0011262F" w:rsidP="00B54007">
                  <w:pPr>
                    <w:pStyle w:val="TableBodyText"/>
                    <w:ind w:right="28"/>
                  </w:pPr>
                  <w:r w:rsidRPr="00897BB8">
                    <w:t>-0.075</w:t>
                  </w:r>
                </w:p>
              </w:tc>
              <w:tc>
                <w:tcPr>
                  <w:tcW w:w="631" w:type="pct"/>
                  <w:shd w:val="clear" w:color="auto" w:fill="F2F2F2" w:themeFill="background1" w:themeFillShade="F2"/>
                </w:tcPr>
                <w:p w14:paraId="4D668A9E" w14:textId="77777777" w:rsidR="0011262F" w:rsidRDefault="0011262F" w:rsidP="00B54007">
                  <w:pPr>
                    <w:pStyle w:val="TableBodyText"/>
                  </w:pPr>
                  <w:r w:rsidRPr="00897BB8">
                    <w:t>0.357</w:t>
                  </w:r>
                </w:p>
              </w:tc>
            </w:tr>
            <w:tr w:rsidR="0011262F" w14:paraId="1C6920E1" w14:textId="77777777" w:rsidTr="00B54007">
              <w:tc>
                <w:tcPr>
                  <w:tcW w:w="1844" w:type="pct"/>
                  <w:shd w:val="clear" w:color="auto" w:fill="auto"/>
                  <w:vAlign w:val="bottom"/>
                </w:tcPr>
                <w:p w14:paraId="50A173A9" w14:textId="77777777" w:rsidR="0011262F" w:rsidRDefault="0011262F" w:rsidP="00B54007">
                  <w:pPr>
                    <w:pStyle w:val="TableBodyText"/>
                    <w:jc w:val="left"/>
                  </w:pPr>
                  <w:r w:rsidRPr="00C358C1">
                    <w:t>Retail x Change in investment expenses due to size</w:t>
                  </w:r>
                </w:p>
              </w:tc>
              <w:tc>
                <w:tcPr>
                  <w:tcW w:w="631" w:type="pct"/>
                </w:tcPr>
                <w:p w14:paraId="5CDF0BE9" w14:textId="77777777" w:rsidR="0011262F" w:rsidRDefault="0011262F" w:rsidP="00B54007">
                  <w:pPr>
                    <w:pStyle w:val="TableBodyText"/>
                    <w:ind w:right="28"/>
                  </w:pPr>
                  <w:r w:rsidRPr="00897BB8">
                    <w:t>0.034</w:t>
                  </w:r>
                </w:p>
              </w:tc>
              <w:tc>
                <w:tcPr>
                  <w:tcW w:w="631" w:type="pct"/>
                  <w:shd w:val="clear" w:color="auto" w:fill="auto"/>
                </w:tcPr>
                <w:p w14:paraId="73D8CA99" w14:textId="77777777" w:rsidR="0011262F" w:rsidRDefault="0011262F" w:rsidP="00B54007">
                  <w:pPr>
                    <w:pStyle w:val="TableBodyText"/>
                    <w:ind w:right="28"/>
                  </w:pPr>
                  <w:r w:rsidRPr="00897BB8">
                    <w:t>0.204</w:t>
                  </w:r>
                </w:p>
              </w:tc>
              <w:tc>
                <w:tcPr>
                  <w:tcW w:w="631" w:type="pct"/>
                  <w:shd w:val="clear" w:color="auto" w:fill="auto"/>
                </w:tcPr>
                <w:p w14:paraId="5EE1516E" w14:textId="77777777" w:rsidR="0011262F" w:rsidRDefault="0011262F" w:rsidP="00B54007">
                  <w:pPr>
                    <w:pStyle w:val="TableBodyText"/>
                    <w:ind w:right="28"/>
                  </w:pPr>
                  <w:r w:rsidRPr="00897BB8">
                    <w:t>-0.377</w:t>
                  </w:r>
                </w:p>
              </w:tc>
              <w:tc>
                <w:tcPr>
                  <w:tcW w:w="631" w:type="pct"/>
                </w:tcPr>
                <w:p w14:paraId="04FDE0ED" w14:textId="77777777" w:rsidR="0011262F" w:rsidRDefault="0011262F" w:rsidP="00B54007">
                  <w:pPr>
                    <w:pStyle w:val="TableBodyText"/>
                    <w:ind w:right="28"/>
                  </w:pPr>
                  <w:r w:rsidRPr="00897BB8">
                    <w:t>0.037</w:t>
                  </w:r>
                </w:p>
              </w:tc>
              <w:tc>
                <w:tcPr>
                  <w:tcW w:w="631" w:type="pct"/>
                </w:tcPr>
                <w:p w14:paraId="1AAA9028" w14:textId="77777777" w:rsidR="0011262F" w:rsidRDefault="0011262F" w:rsidP="00B54007">
                  <w:pPr>
                    <w:pStyle w:val="TableBodyText"/>
                  </w:pPr>
                  <w:r w:rsidRPr="00897BB8">
                    <w:t>0.406</w:t>
                  </w:r>
                </w:p>
              </w:tc>
            </w:tr>
            <w:tr w:rsidR="0011262F" w14:paraId="24ACABC8" w14:textId="77777777" w:rsidTr="00B54007">
              <w:tc>
                <w:tcPr>
                  <w:tcW w:w="1844" w:type="pct"/>
                  <w:shd w:val="clear" w:color="auto" w:fill="F2F2F2" w:themeFill="background1" w:themeFillShade="F2"/>
                  <w:vAlign w:val="bottom"/>
                </w:tcPr>
                <w:p w14:paraId="081F231F" w14:textId="77777777" w:rsidR="0011262F" w:rsidRDefault="0011262F" w:rsidP="00B54007">
                  <w:pPr>
                    <w:pStyle w:val="TableBodyText"/>
                    <w:jc w:val="left"/>
                  </w:pPr>
                  <w:r w:rsidRPr="00C358C1">
                    <w:t>Intercept</w:t>
                  </w:r>
                </w:p>
              </w:tc>
              <w:tc>
                <w:tcPr>
                  <w:tcW w:w="631" w:type="pct"/>
                  <w:shd w:val="clear" w:color="auto" w:fill="F2F2F2" w:themeFill="background1" w:themeFillShade="F2"/>
                </w:tcPr>
                <w:p w14:paraId="2D930566" w14:textId="77777777" w:rsidR="0011262F" w:rsidRDefault="0011262F" w:rsidP="00B54007">
                  <w:pPr>
                    <w:pStyle w:val="TableBodyText"/>
                    <w:ind w:right="28"/>
                  </w:pPr>
                  <w:r w:rsidRPr="00897BB8">
                    <w:t>0.027</w:t>
                  </w:r>
                </w:p>
              </w:tc>
              <w:tc>
                <w:tcPr>
                  <w:tcW w:w="631" w:type="pct"/>
                  <w:shd w:val="clear" w:color="auto" w:fill="F2F2F2" w:themeFill="background1" w:themeFillShade="F2"/>
                </w:tcPr>
                <w:p w14:paraId="7C42E92D" w14:textId="77777777" w:rsidR="0011262F" w:rsidRDefault="0011262F" w:rsidP="00B54007">
                  <w:pPr>
                    <w:pStyle w:val="TableBodyText"/>
                    <w:ind w:right="28"/>
                  </w:pPr>
                  <w:r w:rsidRPr="00897BB8">
                    <w:t>0.026</w:t>
                  </w:r>
                </w:p>
              </w:tc>
              <w:tc>
                <w:tcPr>
                  <w:tcW w:w="631" w:type="pct"/>
                  <w:shd w:val="clear" w:color="auto" w:fill="F2F2F2" w:themeFill="background1" w:themeFillShade="F2"/>
                </w:tcPr>
                <w:p w14:paraId="2DF85C5C" w14:textId="77777777" w:rsidR="0011262F" w:rsidRDefault="0011262F" w:rsidP="00B54007">
                  <w:pPr>
                    <w:pStyle w:val="TableBodyText"/>
                    <w:ind w:right="28"/>
                  </w:pPr>
                  <w:r w:rsidRPr="00897BB8">
                    <w:t>-0.023</w:t>
                  </w:r>
                </w:p>
              </w:tc>
              <w:tc>
                <w:tcPr>
                  <w:tcW w:w="631" w:type="pct"/>
                  <w:shd w:val="clear" w:color="auto" w:fill="F2F2F2" w:themeFill="background1" w:themeFillShade="F2"/>
                </w:tcPr>
                <w:p w14:paraId="2BFBF663" w14:textId="77777777" w:rsidR="0011262F" w:rsidRDefault="0011262F" w:rsidP="00B54007">
                  <w:pPr>
                    <w:pStyle w:val="TableBodyText"/>
                    <w:ind w:right="28"/>
                  </w:pPr>
                  <w:r w:rsidRPr="00897BB8">
                    <w:t>0.028</w:t>
                  </w:r>
                </w:p>
              </w:tc>
              <w:tc>
                <w:tcPr>
                  <w:tcW w:w="631" w:type="pct"/>
                  <w:shd w:val="clear" w:color="auto" w:fill="F2F2F2" w:themeFill="background1" w:themeFillShade="F2"/>
                </w:tcPr>
                <w:p w14:paraId="7C27F9F2" w14:textId="77777777" w:rsidR="0011262F" w:rsidRDefault="0011262F" w:rsidP="00B54007">
                  <w:pPr>
                    <w:pStyle w:val="TableBodyText"/>
                  </w:pPr>
                  <w:r w:rsidRPr="00897BB8">
                    <w:t>0.076</w:t>
                  </w:r>
                </w:p>
              </w:tc>
            </w:tr>
            <w:tr w:rsidR="0011262F" w14:paraId="506D0294" w14:textId="77777777" w:rsidTr="00B54007">
              <w:tc>
                <w:tcPr>
                  <w:tcW w:w="1844" w:type="pct"/>
                  <w:shd w:val="clear" w:color="auto" w:fill="auto"/>
                  <w:vAlign w:val="bottom"/>
                </w:tcPr>
                <w:p w14:paraId="0F46DCAB" w14:textId="77777777" w:rsidR="0011262F" w:rsidRDefault="0011262F" w:rsidP="00B54007">
                  <w:pPr>
                    <w:pStyle w:val="TableBodyText"/>
                    <w:jc w:val="left"/>
                  </w:pPr>
                  <w:r w:rsidRPr="00C358C1">
                    <w:t>SD of investment pass-through</w:t>
                  </w:r>
                </w:p>
              </w:tc>
              <w:tc>
                <w:tcPr>
                  <w:tcW w:w="631" w:type="pct"/>
                </w:tcPr>
                <w:p w14:paraId="2C8C4AC3" w14:textId="77777777" w:rsidR="0011262F" w:rsidRDefault="0011262F" w:rsidP="00B54007">
                  <w:pPr>
                    <w:pStyle w:val="TableBodyText"/>
                    <w:ind w:right="28"/>
                  </w:pPr>
                  <w:r w:rsidRPr="00897BB8">
                    <w:t>0.166</w:t>
                  </w:r>
                </w:p>
              </w:tc>
              <w:tc>
                <w:tcPr>
                  <w:tcW w:w="631" w:type="pct"/>
                  <w:shd w:val="clear" w:color="auto" w:fill="auto"/>
                </w:tcPr>
                <w:p w14:paraId="1D1CEEFD" w14:textId="77777777" w:rsidR="0011262F" w:rsidRDefault="0011262F" w:rsidP="00B54007">
                  <w:pPr>
                    <w:pStyle w:val="TableBodyText"/>
                    <w:ind w:right="28"/>
                  </w:pPr>
                  <w:r w:rsidRPr="00897BB8">
                    <w:t>0.004</w:t>
                  </w:r>
                </w:p>
              </w:tc>
              <w:tc>
                <w:tcPr>
                  <w:tcW w:w="631" w:type="pct"/>
                  <w:shd w:val="clear" w:color="auto" w:fill="auto"/>
                </w:tcPr>
                <w:p w14:paraId="7A0912B5" w14:textId="77777777" w:rsidR="0011262F" w:rsidRDefault="0011262F" w:rsidP="00B54007">
                  <w:pPr>
                    <w:pStyle w:val="TableBodyText"/>
                    <w:ind w:right="28"/>
                  </w:pPr>
                  <w:r w:rsidRPr="00897BB8">
                    <w:t>0.159</w:t>
                  </w:r>
                </w:p>
              </w:tc>
              <w:tc>
                <w:tcPr>
                  <w:tcW w:w="631" w:type="pct"/>
                </w:tcPr>
                <w:p w14:paraId="491FAFCD" w14:textId="77777777" w:rsidR="0011262F" w:rsidRDefault="0011262F" w:rsidP="00B54007">
                  <w:pPr>
                    <w:pStyle w:val="TableBodyText"/>
                    <w:ind w:right="28"/>
                  </w:pPr>
                  <w:r w:rsidRPr="00897BB8">
                    <w:t>0.166</w:t>
                  </w:r>
                </w:p>
              </w:tc>
              <w:tc>
                <w:tcPr>
                  <w:tcW w:w="631" w:type="pct"/>
                </w:tcPr>
                <w:p w14:paraId="5FA823A9" w14:textId="77777777" w:rsidR="0011262F" w:rsidRDefault="0011262F" w:rsidP="00B54007">
                  <w:pPr>
                    <w:pStyle w:val="TableBodyText"/>
                  </w:pPr>
                  <w:r w:rsidRPr="00897BB8">
                    <w:t>0.174</w:t>
                  </w:r>
                </w:p>
              </w:tc>
            </w:tr>
            <w:tr w:rsidR="0011262F" w14:paraId="7FB5EB34" w14:textId="77777777" w:rsidTr="00B54007">
              <w:tc>
                <w:tcPr>
                  <w:tcW w:w="1844" w:type="pct"/>
                  <w:shd w:val="clear" w:color="auto" w:fill="F2F2F2" w:themeFill="background1" w:themeFillShade="F2"/>
                  <w:vAlign w:val="bottom"/>
                </w:tcPr>
                <w:p w14:paraId="0108CF19" w14:textId="77777777" w:rsidR="0011262F" w:rsidRDefault="0011262F" w:rsidP="00B54007">
                  <w:pPr>
                    <w:pStyle w:val="TableBodyText"/>
                    <w:jc w:val="left"/>
                  </w:pPr>
                  <w:r w:rsidRPr="00C358C1">
                    <w:t>SD of varying intercept</w:t>
                  </w:r>
                </w:p>
              </w:tc>
              <w:tc>
                <w:tcPr>
                  <w:tcW w:w="631" w:type="pct"/>
                  <w:shd w:val="clear" w:color="auto" w:fill="F2F2F2" w:themeFill="background1" w:themeFillShade="F2"/>
                </w:tcPr>
                <w:p w14:paraId="49FD91B4" w14:textId="77777777" w:rsidR="0011262F" w:rsidRDefault="0011262F" w:rsidP="00B54007">
                  <w:pPr>
                    <w:pStyle w:val="TableBodyText"/>
                    <w:ind w:right="28"/>
                  </w:pPr>
                  <w:r w:rsidRPr="00897BB8">
                    <w:t>0.043</w:t>
                  </w:r>
                </w:p>
              </w:tc>
              <w:tc>
                <w:tcPr>
                  <w:tcW w:w="631" w:type="pct"/>
                  <w:shd w:val="clear" w:color="auto" w:fill="F2F2F2" w:themeFill="background1" w:themeFillShade="F2"/>
                </w:tcPr>
                <w:p w14:paraId="1FCB72E5" w14:textId="77777777" w:rsidR="0011262F" w:rsidRDefault="0011262F" w:rsidP="00B54007">
                  <w:pPr>
                    <w:pStyle w:val="TableBodyText"/>
                    <w:ind w:right="28"/>
                  </w:pPr>
                  <w:r w:rsidRPr="00897BB8">
                    <w:t>0.005</w:t>
                  </w:r>
                </w:p>
              </w:tc>
              <w:tc>
                <w:tcPr>
                  <w:tcW w:w="631" w:type="pct"/>
                  <w:shd w:val="clear" w:color="auto" w:fill="F2F2F2" w:themeFill="background1" w:themeFillShade="F2"/>
                </w:tcPr>
                <w:p w14:paraId="5B038B97" w14:textId="77777777" w:rsidR="0011262F" w:rsidRDefault="0011262F" w:rsidP="00B54007">
                  <w:pPr>
                    <w:pStyle w:val="TableBodyText"/>
                    <w:ind w:right="28"/>
                  </w:pPr>
                  <w:r w:rsidRPr="00897BB8">
                    <w:t>0.033</w:t>
                  </w:r>
                </w:p>
              </w:tc>
              <w:tc>
                <w:tcPr>
                  <w:tcW w:w="631" w:type="pct"/>
                  <w:shd w:val="clear" w:color="auto" w:fill="F2F2F2" w:themeFill="background1" w:themeFillShade="F2"/>
                </w:tcPr>
                <w:p w14:paraId="320EF5E0" w14:textId="77777777" w:rsidR="0011262F" w:rsidRDefault="0011262F" w:rsidP="00B54007">
                  <w:pPr>
                    <w:pStyle w:val="TableBodyText"/>
                    <w:ind w:right="28"/>
                  </w:pPr>
                  <w:r w:rsidRPr="00897BB8">
                    <w:t>0.042</w:t>
                  </w:r>
                </w:p>
              </w:tc>
              <w:tc>
                <w:tcPr>
                  <w:tcW w:w="631" w:type="pct"/>
                  <w:shd w:val="clear" w:color="auto" w:fill="F2F2F2" w:themeFill="background1" w:themeFillShade="F2"/>
                </w:tcPr>
                <w:p w14:paraId="02FB59F0" w14:textId="77777777" w:rsidR="0011262F" w:rsidRDefault="0011262F" w:rsidP="00B54007">
                  <w:pPr>
                    <w:pStyle w:val="TableBodyText"/>
                  </w:pPr>
                  <w:r w:rsidRPr="00897BB8">
                    <w:t>0.054</w:t>
                  </w:r>
                </w:p>
              </w:tc>
            </w:tr>
            <w:tr w:rsidR="0011262F" w14:paraId="4F96AFEC" w14:textId="77777777" w:rsidTr="00B54007">
              <w:tc>
                <w:tcPr>
                  <w:tcW w:w="1844" w:type="pct"/>
                  <w:tcBorders>
                    <w:bottom w:val="single" w:sz="6" w:space="0" w:color="BFBFBF" w:themeColor="background1" w:themeShade="BF"/>
                  </w:tcBorders>
                  <w:shd w:val="clear" w:color="auto" w:fill="auto"/>
                  <w:vAlign w:val="bottom"/>
                </w:tcPr>
                <w:p w14:paraId="010D31BE" w14:textId="77777777" w:rsidR="0011262F" w:rsidRDefault="0011262F" w:rsidP="00B54007">
                  <w:pPr>
                    <w:pStyle w:val="TableBodyText"/>
                    <w:jc w:val="left"/>
                  </w:pPr>
                  <w:r w:rsidRPr="00C358C1">
                    <w:t xml:space="preserve">SD of varying </w:t>
                  </w:r>
                  <w:r>
                    <w:t xml:space="preserve">slope: </w:t>
                  </w:r>
                  <w:r w:rsidRPr="00C358C1">
                    <w:t>Change in investment expenses due to size</w:t>
                  </w:r>
                </w:p>
              </w:tc>
              <w:tc>
                <w:tcPr>
                  <w:tcW w:w="631" w:type="pct"/>
                  <w:tcBorders>
                    <w:bottom w:val="single" w:sz="6" w:space="0" w:color="BFBFBF" w:themeColor="background1" w:themeShade="BF"/>
                  </w:tcBorders>
                </w:tcPr>
                <w:p w14:paraId="7239F633" w14:textId="77777777" w:rsidR="0011262F" w:rsidRDefault="0011262F" w:rsidP="00B54007">
                  <w:pPr>
                    <w:pStyle w:val="TableBodyText"/>
                    <w:ind w:right="28"/>
                  </w:pPr>
                  <w:r w:rsidRPr="00897BB8">
                    <w:t>0.147</w:t>
                  </w:r>
                </w:p>
              </w:tc>
              <w:tc>
                <w:tcPr>
                  <w:tcW w:w="631" w:type="pct"/>
                  <w:tcBorders>
                    <w:bottom w:val="single" w:sz="6" w:space="0" w:color="BFBFBF" w:themeColor="background1" w:themeShade="BF"/>
                  </w:tcBorders>
                  <w:shd w:val="clear" w:color="auto" w:fill="auto"/>
                </w:tcPr>
                <w:p w14:paraId="34A6FADD" w14:textId="77777777" w:rsidR="0011262F" w:rsidRDefault="0011262F" w:rsidP="00B54007">
                  <w:pPr>
                    <w:pStyle w:val="TableBodyText"/>
                    <w:ind w:right="28"/>
                  </w:pPr>
                  <w:r w:rsidRPr="00897BB8">
                    <w:t>0.035</w:t>
                  </w:r>
                </w:p>
              </w:tc>
              <w:tc>
                <w:tcPr>
                  <w:tcW w:w="631" w:type="pct"/>
                  <w:tcBorders>
                    <w:bottom w:val="single" w:sz="6" w:space="0" w:color="BFBFBF" w:themeColor="background1" w:themeShade="BF"/>
                  </w:tcBorders>
                  <w:shd w:val="clear" w:color="auto" w:fill="auto"/>
                </w:tcPr>
                <w:p w14:paraId="04F2CABA" w14:textId="77777777" w:rsidR="0011262F" w:rsidRDefault="0011262F" w:rsidP="00B54007">
                  <w:pPr>
                    <w:pStyle w:val="TableBodyText"/>
                    <w:ind w:right="28"/>
                  </w:pPr>
                  <w:r w:rsidRPr="00897BB8">
                    <w:t>0.089</w:t>
                  </w:r>
                </w:p>
              </w:tc>
              <w:tc>
                <w:tcPr>
                  <w:tcW w:w="631" w:type="pct"/>
                  <w:tcBorders>
                    <w:bottom w:val="single" w:sz="6" w:space="0" w:color="BFBFBF" w:themeColor="background1" w:themeShade="BF"/>
                  </w:tcBorders>
                </w:tcPr>
                <w:p w14:paraId="7157FE42" w14:textId="77777777" w:rsidR="0011262F" w:rsidRDefault="0011262F" w:rsidP="00B54007">
                  <w:pPr>
                    <w:pStyle w:val="TableBodyText"/>
                    <w:ind w:right="28"/>
                  </w:pPr>
                  <w:r w:rsidRPr="00897BB8">
                    <w:t>0.143</w:t>
                  </w:r>
                </w:p>
              </w:tc>
              <w:tc>
                <w:tcPr>
                  <w:tcW w:w="631" w:type="pct"/>
                  <w:tcBorders>
                    <w:bottom w:val="single" w:sz="6" w:space="0" w:color="BFBFBF" w:themeColor="background1" w:themeShade="BF"/>
                  </w:tcBorders>
                </w:tcPr>
                <w:p w14:paraId="57C22F1F" w14:textId="77777777" w:rsidR="0011262F" w:rsidRDefault="0011262F" w:rsidP="00B54007">
                  <w:pPr>
                    <w:pStyle w:val="TableBodyText"/>
                  </w:pPr>
                  <w:r w:rsidRPr="00897BB8">
                    <w:t>0.224</w:t>
                  </w:r>
                </w:p>
              </w:tc>
            </w:tr>
          </w:tbl>
          <w:p w14:paraId="62E7CDA5" w14:textId="77777777" w:rsidR="0011262F" w:rsidRDefault="0011262F" w:rsidP="00B54007">
            <w:pPr>
              <w:pStyle w:val="Box"/>
            </w:pPr>
          </w:p>
        </w:tc>
      </w:tr>
      <w:tr w:rsidR="0011262F" w14:paraId="3D58E0EF" w14:textId="77777777" w:rsidTr="00B54007">
        <w:tc>
          <w:tcPr>
            <w:tcW w:w="5000" w:type="pct"/>
            <w:tcBorders>
              <w:top w:val="nil"/>
              <w:left w:val="nil"/>
              <w:bottom w:val="nil"/>
              <w:right w:val="nil"/>
            </w:tcBorders>
            <w:shd w:val="clear" w:color="auto" w:fill="auto"/>
          </w:tcPr>
          <w:p w14:paraId="4A5516CF" w14:textId="77777777" w:rsidR="0011262F" w:rsidRDefault="0011262F" w:rsidP="00B54007">
            <w:pPr>
              <w:pStyle w:val="Continued"/>
            </w:pPr>
            <w:r>
              <w:t>(continued next page)</w:t>
            </w:r>
          </w:p>
        </w:tc>
      </w:tr>
      <w:tr w:rsidR="0011262F" w14:paraId="1E8DFE0B" w14:textId="77777777" w:rsidTr="00B54007">
        <w:tc>
          <w:tcPr>
            <w:tcW w:w="5000" w:type="pct"/>
            <w:tcBorders>
              <w:top w:val="nil"/>
              <w:left w:val="nil"/>
              <w:bottom w:val="single" w:sz="6" w:space="0" w:color="78A22F"/>
              <w:right w:val="nil"/>
            </w:tcBorders>
            <w:shd w:val="clear" w:color="auto" w:fill="auto"/>
          </w:tcPr>
          <w:p w14:paraId="15BA1395" w14:textId="77777777" w:rsidR="0011262F" w:rsidRDefault="0011262F" w:rsidP="00B54007">
            <w:pPr>
              <w:pStyle w:val="Box"/>
              <w:spacing w:before="0" w:line="120" w:lineRule="exact"/>
            </w:pPr>
          </w:p>
        </w:tc>
      </w:tr>
      <w:tr w:rsidR="0011262F" w:rsidRPr="000863A5" w14:paraId="65BB890C" w14:textId="77777777" w:rsidTr="00B54007">
        <w:tc>
          <w:tcPr>
            <w:tcW w:w="5000" w:type="pct"/>
            <w:tcBorders>
              <w:top w:val="single" w:sz="6" w:space="0" w:color="78A22F"/>
              <w:left w:val="nil"/>
              <w:bottom w:val="nil"/>
              <w:right w:val="nil"/>
            </w:tcBorders>
          </w:tcPr>
          <w:p w14:paraId="4857A757" w14:textId="77777777" w:rsidR="0011262F" w:rsidRPr="00626D32" w:rsidRDefault="0011262F" w:rsidP="00B54007">
            <w:pPr>
              <w:pStyle w:val="BoxSpaceBelow"/>
            </w:pPr>
          </w:p>
        </w:tc>
      </w:tr>
    </w:tbl>
    <w:p w14:paraId="66858665" w14:textId="77777777" w:rsidR="0011262F" w:rsidRDefault="0011262F" w:rsidP="0011262F">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1262F" w:rsidRPr="00784A05" w14:paraId="2C9F853B" w14:textId="77777777" w:rsidTr="00B54007">
        <w:trPr>
          <w:tblHeader/>
        </w:trPr>
        <w:tc>
          <w:tcPr>
            <w:tcW w:w="5000" w:type="pct"/>
            <w:tcBorders>
              <w:top w:val="single" w:sz="6" w:space="0" w:color="78A22F"/>
              <w:left w:val="nil"/>
              <w:bottom w:val="nil"/>
              <w:right w:val="nil"/>
            </w:tcBorders>
            <w:shd w:val="clear" w:color="auto" w:fill="auto"/>
          </w:tcPr>
          <w:p w14:paraId="2B81C641" w14:textId="77777777" w:rsidR="0011262F" w:rsidRPr="00784A05" w:rsidRDefault="0011262F" w:rsidP="00B54007">
            <w:pPr>
              <w:pStyle w:val="TableTitle"/>
            </w:pPr>
            <w:r>
              <w:rPr>
                <w:b w:val="0"/>
              </w:rPr>
              <w:t xml:space="preserve">Table </w:t>
            </w:r>
            <w:proofErr w:type="spellStart"/>
            <w:r>
              <w:rPr>
                <w:b w:val="0"/>
              </w:rPr>
              <w:t>E.2</w:t>
            </w:r>
            <w:proofErr w:type="spellEnd"/>
            <w:r>
              <w:tab/>
            </w:r>
            <w:r w:rsidRPr="004B358B">
              <w:rPr>
                <w:b w:val="0"/>
                <w:sz w:val="18"/>
                <w:szCs w:val="18"/>
              </w:rPr>
              <w:t>(continued)</w:t>
            </w:r>
          </w:p>
        </w:tc>
      </w:tr>
      <w:tr w:rsidR="0011262F" w14:paraId="0F56D41D" w14:textId="77777777" w:rsidTr="00B54007">
        <w:tc>
          <w:tcPr>
            <w:tcW w:w="5000" w:type="pct"/>
            <w:tcBorders>
              <w:top w:val="nil"/>
              <w:left w:val="nil"/>
              <w:bottom w:val="nil"/>
              <w:right w:val="nil"/>
            </w:tcBorders>
            <w:shd w:val="clear" w:color="auto" w:fill="auto"/>
          </w:tcPr>
          <w:tbl>
            <w:tblPr>
              <w:tblW w:w="8529" w:type="dxa"/>
              <w:tblCellMar>
                <w:top w:w="28" w:type="dxa"/>
                <w:left w:w="0" w:type="dxa"/>
                <w:right w:w="0" w:type="dxa"/>
              </w:tblCellMar>
              <w:tblLook w:val="0000" w:firstRow="0" w:lastRow="0" w:firstColumn="0" w:lastColumn="0" w:noHBand="0" w:noVBand="0"/>
            </w:tblPr>
            <w:tblGrid>
              <w:gridCol w:w="3146"/>
              <w:gridCol w:w="1077"/>
              <w:gridCol w:w="1077"/>
              <w:gridCol w:w="1077"/>
              <w:gridCol w:w="1076"/>
              <w:gridCol w:w="1076"/>
            </w:tblGrid>
            <w:tr w:rsidR="0011262F" w14:paraId="374A73D6" w14:textId="77777777" w:rsidTr="00B54007">
              <w:tc>
                <w:tcPr>
                  <w:tcW w:w="1844" w:type="pct"/>
                  <w:tcBorders>
                    <w:top w:val="single" w:sz="6" w:space="0" w:color="BFBFBF" w:themeColor="background1" w:themeShade="BF"/>
                    <w:bottom w:val="single" w:sz="6" w:space="0" w:color="BFBFBF" w:themeColor="background1" w:themeShade="BF"/>
                  </w:tcBorders>
                  <w:shd w:val="clear" w:color="auto" w:fill="auto"/>
                  <w:vAlign w:val="bottom"/>
                </w:tcPr>
                <w:p w14:paraId="7EC6E532" w14:textId="77777777" w:rsidR="0011262F" w:rsidRDefault="0011262F" w:rsidP="00B54007">
                  <w:pPr>
                    <w:pStyle w:val="TableColumnHeading"/>
                    <w:jc w:val="left"/>
                    <w:rPr>
                      <w:b/>
                    </w:rPr>
                  </w:pPr>
                  <w:r>
                    <w:t>Parameter</w:t>
                  </w:r>
                </w:p>
              </w:tc>
              <w:tc>
                <w:tcPr>
                  <w:tcW w:w="631" w:type="pct"/>
                  <w:tcBorders>
                    <w:top w:val="single" w:sz="6" w:space="0" w:color="BFBFBF" w:themeColor="background1" w:themeShade="BF"/>
                    <w:bottom w:val="single" w:sz="6" w:space="0" w:color="BFBFBF" w:themeColor="background1" w:themeShade="BF"/>
                  </w:tcBorders>
                  <w:vAlign w:val="bottom"/>
                </w:tcPr>
                <w:p w14:paraId="2F53BB48" w14:textId="77777777" w:rsidR="0011262F" w:rsidRDefault="0011262F" w:rsidP="00B54007">
                  <w:pPr>
                    <w:pStyle w:val="TableColumnHeading"/>
                  </w:pPr>
                  <w:r>
                    <w:t>Mean</w:t>
                  </w:r>
                </w:p>
              </w:tc>
              <w:tc>
                <w:tcPr>
                  <w:tcW w:w="631" w:type="pct"/>
                  <w:tcBorders>
                    <w:top w:val="single" w:sz="6" w:space="0" w:color="BFBFBF" w:themeColor="background1" w:themeShade="BF"/>
                    <w:bottom w:val="single" w:sz="6" w:space="0" w:color="BFBFBF" w:themeColor="background1" w:themeShade="BF"/>
                  </w:tcBorders>
                  <w:shd w:val="clear" w:color="auto" w:fill="auto"/>
                  <w:vAlign w:val="bottom"/>
                </w:tcPr>
                <w:p w14:paraId="3A448668" w14:textId="77777777" w:rsidR="0011262F" w:rsidRDefault="0011262F" w:rsidP="00B54007">
                  <w:pPr>
                    <w:pStyle w:val="TableColumnHeading"/>
                  </w:pPr>
                  <w:r>
                    <w:t>Standard deviation</w:t>
                  </w:r>
                </w:p>
              </w:tc>
              <w:tc>
                <w:tcPr>
                  <w:tcW w:w="631" w:type="pct"/>
                  <w:tcBorders>
                    <w:top w:val="single" w:sz="6" w:space="0" w:color="BFBFBF" w:themeColor="background1" w:themeShade="BF"/>
                    <w:bottom w:val="single" w:sz="6" w:space="0" w:color="BFBFBF" w:themeColor="background1" w:themeShade="BF"/>
                  </w:tcBorders>
                  <w:shd w:val="clear" w:color="auto" w:fill="auto"/>
                  <w:vAlign w:val="bottom"/>
                </w:tcPr>
                <w:p w14:paraId="71E52808" w14:textId="77777777" w:rsidR="0011262F" w:rsidRDefault="0011262F" w:rsidP="00B54007">
                  <w:pPr>
                    <w:pStyle w:val="TableColumnHeading"/>
                  </w:pPr>
                  <w:r>
                    <w:t>2.5 percentile</w:t>
                  </w:r>
                </w:p>
              </w:tc>
              <w:tc>
                <w:tcPr>
                  <w:tcW w:w="631" w:type="pct"/>
                  <w:tcBorders>
                    <w:top w:val="single" w:sz="6" w:space="0" w:color="BFBFBF" w:themeColor="background1" w:themeShade="BF"/>
                    <w:bottom w:val="single" w:sz="6" w:space="0" w:color="BFBFBF" w:themeColor="background1" w:themeShade="BF"/>
                  </w:tcBorders>
                  <w:vAlign w:val="bottom"/>
                </w:tcPr>
                <w:p w14:paraId="7F3DBC74" w14:textId="77777777" w:rsidR="0011262F" w:rsidRDefault="0011262F" w:rsidP="00B54007">
                  <w:pPr>
                    <w:pStyle w:val="TableColumnHeading"/>
                  </w:pPr>
                  <w:r>
                    <w:t>Median</w:t>
                  </w:r>
                </w:p>
              </w:tc>
              <w:tc>
                <w:tcPr>
                  <w:tcW w:w="631" w:type="pct"/>
                  <w:tcBorders>
                    <w:top w:val="single" w:sz="6" w:space="0" w:color="BFBFBF" w:themeColor="background1" w:themeShade="BF"/>
                    <w:bottom w:val="single" w:sz="6" w:space="0" w:color="BFBFBF" w:themeColor="background1" w:themeShade="BF"/>
                  </w:tcBorders>
                  <w:vAlign w:val="bottom"/>
                </w:tcPr>
                <w:p w14:paraId="7E73B096" w14:textId="77777777" w:rsidR="0011262F" w:rsidRDefault="0011262F" w:rsidP="00B54007">
                  <w:pPr>
                    <w:pStyle w:val="TableColumnHeading"/>
                  </w:pPr>
                  <w:r>
                    <w:t>97.5 percentile</w:t>
                  </w:r>
                </w:p>
              </w:tc>
            </w:tr>
            <w:tr w:rsidR="0011262F" w14:paraId="758504C7" w14:textId="77777777" w:rsidTr="00B54007">
              <w:tc>
                <w:tcPr>
                  <w:tcW w:w="1844" w:type="pct"/>
                  <w:tcBorders>
                    <w:top w:val="single" w:sz="6" w:space="0" w:color="BFBFBF" w:themeColor="background1" w:themeShade="BF"/>
                  </w:tcBorders>
                  <w:shd w:val="clear" w:color="auto" w:fill="BFBFBF" w:themeFill="background1" w:themeFillShade="BF"/>
                  <w:vAlign w:val="bottom"/>
                </w:tcPr>
                <w:p w14:paraId="3E4AB0A2" w14:textId="77777777" w:rsidR="0011262F" w:rsidRPr="0099011F" w:rsidRDefault="0011262F" w:rsidP="00B54007">
                  <w:pPr>
                    <w:pStyle w:val="TableBodyText"/>
                    <w:jc w:val="left"/>
                    <w:rPr>
                      <w:b/>
                    </w:rPr>
                  </w:pPr>
                  <w:r w:rsidRPr="009D752A">
                    <w:rPr>
                      <w:b/>
                    </w:rPr>
                    <w:t xml:space="preserve">Pass-through: </w:t>
                  </w:r>
                  <w:r>
                    <w:rPr>
                      <w:b/>
                    </w:rPr>
                    <w:t xml:space="preserve">total </w:t>
                  </w:r>
                  <w:r w:rsidRPr="009D752A">
                    <w:rPr>
                      <w:b/>
                    </w:rPr>
                    <w:t>fees</w:t>
                  </w:r>
                </w:p>
              </w:tc>
              <w:tc>
                <w:tcPr>
                  <w:tcW w:w="631" w:type="pct"/>
                  <w:tcBorders>
                    <w:top w:val="single" w:sz="6" w:space="0" w:color="BFBFBF" w:themeColor="background1" w:themeShade="BF"/>
                  </w:tcBorders>
                  <w:shd w:val="clear" w:color="auto" w:fill="BFBFBF" w:themeFill="background1" w:themeFillShade="BF"/>
                  <w:vAlign w:val="bottom"/>
                </w:tcPr>
                <w:p w14:paraId="5267132A" w14:textId="77777777" w:rsidR="0011262F" w:rsidRDefault="0011262F" w:rsidP="00B54007">
                  <w:pPr>
                    <w:pStyle w:val="TableBodyText"/>
                  </w:pPr>
                </w:p>
              </w:tc>
              <w:tc>
                <w:tcPr>
                  <w:tcW w:w="631" w:type="pct"/>
                  <w:tcBorders>
                    <w:top w:val="single" w:sz="6" w:space="0" w:color="BFBFBF" w:themeColor="background1" w:themeShade="BF"/>
                  </w:tcBorders>
                  <w:shd w:val="clear" w:color="auto" w:fill="BFBFBF" w:themeFill="background1" w:themeFillShade="BF"/>
                  <w:vAlign w:val="bottom"/>
                </w:tcPr>
                <w:p w14:paraId="575703B4" w14:textId="77777777" w:rsidR="0011262F" w:rsidRDefault="0011262F" w:rsidP="00B54007">
                  <w:pPr>
                    <w:pStyle w:val="TableBodyText"/>
                  </w:pPr>
                </w:p>
              </w:tc>
              <w:tc>
                <w:tcPr>
                  <w:tcW w:w="631" w:type="pct"/>
                  <w:tcBorders>
                    <w:top w:val="single" w:sz="6" w:space="0" w:color="BFBFBF" w:themeColor="background1" w:themeShade="BF"/>
                  </w:tcBorders>
                  <w:shd w:val="clear" w:color="auto" w:fill="BFBFBF" w:themeFill="background1" w:themeFillShade="BF"/>
                  <w:vAlign w:val="bottom"/>
                </w:tcPr>
                <w:p w14:paraId="4035FB3D" w14:textId="77777777" w:rsidR="0011262F" w:rsidRDefault="0011262F" w:rsidP="00B54007">
                  <w:pPr>
                    <w:pStyle w:val="TableBodyText"/>
                    <w:ind w:right="28"/>
                  </w:pPr>
                </w:p>
              </w:tc>
              <w:tc>
                <w:tcPr>
                  <w:tcW w:w="631" w:type="pct"/>
                  <w:tcBorders>
                    <w:top w:val="single" w:sz="6" w:space="0" w:color="BFBFBF" w:themeColor="background1" w:themeShade="BF"/>
                  </w:tcBorders>
                  <w:shd w:val="clear" w:color="auto" w:fill="BFBFBF" w:themeFill="background1" w:themeFillShade="BF"/>
                  <w:vAlign w:val="bottom"/>
                </w:tcPr>
                <w:p w14:paraId="71F42DBF" w14:textId="77777777" w:rsidR="0011262F" w:rsidRDefault="0011262F" w:rsidP="00B54007">
                  <w:pPr>
                    <w:pStyle w:val="TableBodyText"/>
                    <w:ind w:right="28"/>
                  </w:pPr>
                </w:p>
              </w:tc>
              <w:tc>
                <w:tcPr>
                  <w:tcW w:w="631" w:type="pct"/>
                  <w:tcBorders>
                    <w:top w:val="single" w:sz="6" w:space="0" w:color="BFBFBF" w:themeColor="background1" w:themeShade="BF"/>
                  </w:tcBorders>
                  <w:shd w:val="clear" w:color="auto" w:fill="BFBFBF" w:themeFill="background1" w:themeFillShade="BF"/>
                  <w:vAlign w:val="bottom"/>
                </w:tcPr>
                <w:p w14:paraId="3F8BE961" w14:textId="77777777" w:rsidR="0011262F" w:rsidRDefault="0011262F" w:rsidP="00B54007">
                  <w:pPr>
                    <w:pStyle w:val="TableBodyText"/>
                    <w:ind w:right="28"/>
                  </w:pPr>
                </w:p>
              </w:tc>
            </w:tr>
            <w:tr w:rsidR="0011262F" w14:paraId="7372D03E" w14:textId="77777777" w:rsidTr="00B54007">
              <w:tc>
                <w:tcPr>
                  <w:tcW w:w="1844" w:type="pct"/>
                  <w:shd w:val="clear" w:color="auto" w:fill="auto"/>
                  <w:vAlign w:val="bottom"/>
                </w:tcPr>
                <w:p w14:paraId="0B153EA2" w14:textId="77777777" w:rsidR="0011262F" w:rsidRDefault="0011262F" w:rsidP="00B54007">
                  <w:pPr>
                    <w:pStyle w:val="TableBodyText"/>
                    <w:jc w:val="left"/>
                  </w:pPr>
                  <w:r w:rsidRPr="00C358C1">
                    <w:t>Industry</w:t>
                  </w:r>
                </w:p>
              </w:tc>
              <w:tc>
                <w:tcPr>
                  <w:tcW w:w="631" w:type="pct"/>
                </w:tcPr>
                <w:p w14:paraId="4910758A" w14:textId="77777777" w:rsidR="0011262F" w:rsidRDefault="0011262F" w:rsidP="00B54007">
                  <w:pPr>
                    <w:pStyle w:val="TableBodyText"/>
                    <w:ind w:right="28"/>
                  </w:pPr>
                  <w:r w:rsidRPr="00056463">
                    <w:t>-0.005</w:t>
                  </w:r>
                </w:p>
              </w:tc>
              <w:tc>
                <w:tcPr>
                  <w:tcW w:w="631" w:type="pct"/>
                  <w:shd w:val="clear" w:color="auto" w:fill="auto"/>
                </w:tcPr>
                <w:p w14:paraId="1779FAD0" w14:textId="77777777" w:rsidR="0011262F" w:rsidRDefault="0011262F" w:rsidP="00B54007">
                  <w:pPr>
                    <w:pStyle w:val="TableBodyText"/>
                    <w:ind w:right="28"/>
                  </w:pPr>
                  <w:r w:rsidRPr="00056463">
                    <w:t>0.034</w:t>
                  </w:r>
                </w:p>
              </w:tc>
              <w:tc>
                <w:tcPr>
                  <w:tcW w:w="631" w:type="pct"/>
                  <w:shd w:val="clear" w:color="auto" w:fill="auto"/>
                </w:tcPr>
                <w:p w14:paraId="3D97C292" w14:textId="77777777" w:rsidR="0011262F" w:rsidRDefault="0011262F" w:rsidP="00B54007">
                  <w:pPr>
                    <w:pStyle w:val="TableBodyText"/>
                    <w:ind w:right="28"/>
                  </w:pPr>
                  <w:r w:rsidRPr="00056463">
                    <w:t>-0.076</w:t>
                  </w:r>
                </w:p>
              </w:tc>
              <w:tc>
                <w:tcPr>
                  <w:tcW w:w="631" w:type="pct"/>
                </w:tcPr>
                <w:p w14:paraId="0210400C" w14:textId="77777777" w:rsidR="0011262F" w:rsidRDefault="0011262F" w:rsidP="00B54007">
                  <w:pPr>
                    <w:pStyle w:val="TableBodyText"/>
                    <w:ind w:right="28"/>
                  </w:pPr>
                  <w:r w:rsidRPr="00056463">
                    <w:t>-0.005</w:t>
                  </w:r>
                </w:p>
              </w:tc>
              <w:tc>
                <w:tcPr>
                  <w:tcW w:w="631" w:type="pct"/>
                </w:tcPr>
                <w:p w14:paraId="4475BA24" w14:textId="77777777" w:rsidR="0011262F" w:rsidRDefault="0011262F" w:rsidP="00B54007">
                  <w:pPr>
                    <w:pStyle w:val="TableBodyText"/>
                  </w:pPr>
                  <w:r w:rsidRPr="00056463">
                    <w:t>0.058</w:t>
                  </w:r>
                </w:p>
              </w:tc>
            </w:tr>
            <w:tr w:rsidR="0011262F" w14:paraId="4FA930CB" w14:textId="77777777" w:rsidTr="00B54007">
              <w:tc>
                <w:tcPr>
                  <w:tcW w:w="1844" w:type="pct"/>
                  <w:shd w:val="clear" w:color="auto" w:fill="F2F2F2" w:themeFill="background1" w:themeFillShade="F2"/>
                  <w:vAlign w:val="bottom"/>
                </w:tcPr>
                <w:p w14:paraId="16ABD136" w14:textId="77777777" w:rsidR="0011262F" w:rsidRDefault="0011262F" w:rsidP="00B54007">
                  <w:pPr>
                    <w:pStyle w:val="TableBodyText"/>
                    <w:jc w:val="left"/>
                  </w:pPr>
                  <w:r w:rsidRPr="00C358C1">
                    <w:t>Public</w:t>
                  </w:r>
                </w:p>
              </w:tc>
              <w:tc>
                <w:tcPr>
                  <w:tcW w:w="631" w:type="pct"/>
                  <w:shd w:val="clear" w:color="auto" w:fill="F2F2F2" w:themeFill="background1" w:themeFillShade="F2"/>
                </w:tcPr>
                <w:p w14:paraId="5885D3AA" w14:textId="77777777" w:rsidR="0011262F" w:rsidRDefault="0011262F" w:rsidP="00B54007">
                  <w:pPr>
                    <w:pStyle w:val="TableBodyText"/>
                    <w:ind w:right="28"/>
                  </w:pPr>
                  <w:r w:rsidRPr="00056463">
                    <w:t>0.034</w:t>
                  </w:r>
                </w:p>
              </w:tc>
              <w:tc>
                <w:tcPr>
                  <w:tcW w:w="631" w:type="pct"/>
                  <w:shd w:val="clear" w:color="auto" w:fill="F2F2F2" w:themeFill="background1" w:themeFillShade="F2"/>
                </w:tcPr>
                <w:p w14:paraId="211612CD" w14:textId="77777777" w:rsidR="0011262F" w:rsidRDefault="0011262F" w:rsidP="00B54007">
                  <w:pPr>
                    <w:pStyle w:val="TableBodyText"/>
                    <w:ind w:right="28"/>
                  </w:pPr>
                  <w:r w:rsidRPr="00056463">
                    <w:t>0.048</w:t>
                  </w:r>
                </w:p>
              </w:tc>
              <w:tc>
                <w:tcPr>
                  <w:tcW w:w="631" w:type="pct"/>
                  <w:shd w:val="clear" w:color="auto" w:fill="F2F2F2" w:themeFill="background1" w:themeFillShade="F2"/>
                </w:tcPr>
                <w:p w14:paraId="66DC077B" w14:textId="77777777" w:rsidR="0011262F" w:rsidRDefault="0011262F" w:rsidP="00B54007">
                  <w:pPr>
                    <w:pStyle w:val="TableBodyText"/>
                    <w:ind w:right="28"/>
                  </w:pPr>
                  <w:r w:rsidRPr="00056463">
                    <w:t>-0.064</w:t>
                  </w:r>
                </w:p>
              </w:tc>
              <w:tc>
                <w:tcPr>
                  <w:tcW w:w="631" w:type="pct"/>
                  <w:shd w:val="clear" w:color="auto" w:fill="F2F2F2" w:themeFill="background1" w:themeFillShade="F2"/>
                </w:tcPr>
                <w:p w14:paraId="2217DEB0" w14:textId="77777777" w:rsidR="0011262F" w:rsidRDefault="0011262F" w:rsidP="00B54007">
                  <w:pPr>
                    <w:pStyle w:val="TableBodyText"/>
                    <w:ind w:right="28"/>
                  </w:pPr>
                  <w:r w:rsidRPr="00056463">
                    <w:t>0.036</w:t>
                  </w:r>
                </w:p>
              </w:tc>
              <w:tc>
                <w:tcPr>
                  <w:tcW w:w="631" w:type="pct"/>
                  <w:shd w:val="clear" w:color="auto" w:fill="F2F2F2" w:themeFill="background1" w:themeFillShade="F2"/>
                </w:tcPr>
                <w:p w14:paraId="08C6DA16" w14:textId="77777777" w:rsidR="0011262F" w:rsidRDefault="0011262F" w:rsidP="00B54007">
                  <w:pPr>
                    <w:pStyle w:val="TableBodyText"/>
                  </w:pPr>
                  <w:r w:rsidRPr="00056463">
                    <w:t>0.123</w:t>
                  </w:r>
                </w:p>
              </w:tc>
            </w:tr>
            <w:tr w:rsidR="0011262F" w14:paraId="69882FF0" w14:textId="77777777" w:rsidTr="00B54007">
              <w:tc>
                <w:tcPr>
                  <w:tcW w:w="1844" w:type="pct"/>
                  <w:shd w:val="clear" w:color="auto" w:fill="auto"/>
                  <w:vAlign w:val="bottom"/>
                </w:tcPr>
                <w:p w14:paraId="28C1BB6E" w14:textId="77777777" w:rsidR="0011262F" w:rsidRDefault="0011262F" w:rsidP="00B54007">
                  <w:pPr>
                    <w:pStyle w:val="TableBodyText"/>
                    <w:jc w:val="left"/>
                  </w:pPr>
                  <w:r w:rsidRPr="00C358C1">
                    <w:t>Retail</w:t>
                  </w:r>
                </w:p>
              </w:tc>
              <w:tc>
                <w:tcPr>
                  <w:tcW w:w="631" w:type="pct"/>
                </w:tcPr>
                <w:p w14:paraId="2B404314" w14:textId="77777777" w:rsidR="0011262F" w:rsidRDefault="0011262F" w:rsidP="00B54007">
                  <w:pPr>
                    <w:pStyle w:val="TableBodyText"/>
                    <w:ind w:right="28"/>
                  </w:pPr>
                  <w:r w:rsidRPr="00056463">
                    <w:t>-0.026</w:t>
                  </w:r>
                </w:p>
              </w:tc>
              <w:tc>
                <w:tcPr>
                  <w:tcW w:w="631" w:type="pct"/>
                  <w:shd w:val="clear" w:color="auto" w:fill="auto"/>
                </w:tcPr>
                <w:p w14:paraId="5B5A211E" w14:textId="77777777" w:rsidR="0011262F" w:rsidRDefault="0011262F" w:rsidP="00B54007">
                  <w:pPr>
                    <w:pStyle w:val="TableBodyText"/>
                    <w:ind w:right="28"/>
                  </w:pPr>
                  <w:r w:rsidRPr="00056463">
                    <w:t>0.033</w:t>
                  </w:r>
                </w:p>
              </w:tc>
              <w:tc>
                <w:tcPr>
                  <w:tcW w:w="631" w:type="pct"/>
                  <w:shd w:val="clear" w:color="auto" w:fill="auto"/>
                </w:tcPr>
                <w:p w14:paraId="2BB56759" w14:textId="77777777" w:rsidR="0011262F" w:rsidRDefault="0011262F" w:rsidP="00B54007">
                  <w:pPr>
                    <w:pStyle w:val="TableBodyText"/>
                    <w:ind w:right="28"/>
                  </w:pPr>
                  <w:r w:rsidRPr="00056463">
                    <w:t>-0.092</w:t>
                  </w:r>
                </w:p>
              </w:tc>
              <w:tc>
                <w:tcPr>
                  <w:tcW w:w="631" w:type="pct"/>
                </w:tcPr>
                <w:p w14:paraId="694A86F0" w14:textId="77777777" w:rsidR="0011262F" w:rsidRDefault="0011262F" w:rsidP="00B54007">
                  <w:pPr>
                    <w:pStyle w:val="TableBodyText"/>
                    <w:ind w:right="28"/>
                  </w:pPr>
                  <w:r w:rsidRPr="00056463">
                    <w:t>-0.027</w:t>
                  </w:r>
                </w:p>
              </w:tc>
              <w:tc>
                <w:tcPr>
                  <w:tcW w:w="631" w:type="pct"/>
                </w:tcPr>
                <w:p w14:paraId="6B279B92" w14:textId="77777777" w:rsidR="0011262F" w:rsidRDefault="0011262F" w:rsidP="00B54007">
                  <w:pPr>
                    <w:pStyle w:val="TableBodyText"/>
                  </w:pPr>
                  <w:r w:rsidRPr="00056463">
                    <w:t>0.038</w:t>
                  </w:r>
                </w:p>
              </w:tc>
            </w:tr>
            <w:tr w:rsidR="0011262F" w14:paraId="64D830D3" w14:textId="77777777" w:rsidTr="00B54007">
              <w:tc>
                <w:tcPr>
                  <w:tcW w:w="1844" w:type="pct"/>
                  <w:shd w:val="clear" w:color="auto" w:fill="F2F2F2" w:themeFill="background1" w:themeFillShade="F2"/>
                  <w:vAlign w:val="bottom"/>
                </w:tcPr>
                <w:p w14:paraId="28A40CCA" w14:textId="77777777" w:rsidR="0011262F" w:rsidRDefault="0011262F" w:rsidP="00B54007">
                  <w:pPr>
                    <w:pStyle w:val="TableBodyText"/>
                    <w:jc w:val="left"/>
                  </w:pPr>
                  <w:r w:rsidRPr="00C358C1">
                    <w:t>Change in total expenses due to size</w:t>
                  </w:r>
                </w:p>
              </w:tc>
              <w:tc>
                <w:tcPr>
                  <w:tcW w:w="631" w:type="pct"/>
                  <w:shd w:val="clear" w:color="auto" w:fill="F2F2F2" w:themeFill="background1" w:themeFillShade="F2"/>
                </w:tcPr>
                <w:p w14:paraId="388B6BDD" w14:textId="77777777" w:rsidR="0011262F" w:rsidRDefault="0011262F" w:rsidP="00B54007">
                  <w:pPr>
                    <w:pStyle w:val="TableBodyText"/>
                    <w:ind w:right="28"/>
                  </w:pPr>
                  <w:r w:rsidRPr="00056463">
                    <w:t>-0.034</w:t>
                  </w:r>
                </w:p>
              </w:tc>
              <w:tc>
                <w:tcPr>
                  <w:tcW w:w="631" w:type="pct"/>
                  <w:shd w:val="clear" w:color="auto" w:fill="F2F2F2" w:themeFill="background1" w:themeFillShade="F2"/>
                </w:tcPr>
                <w:p w14:paraId="57B5C5E4" w14:textId="77777777" w:rsidR="0011262F" w:rsidRDefault="0011262F" w:rsidP="00B54007">
                  <w:pPr>
                    <w:pStyle w:val="TableBodyText"/>
                    <w:ind w:right="28"/>
                  </w:pPr>
                  <w:r w:rsidRPr="00056463">
                    <w:t>0.224</w:t>
                  </w:r>
                </w:p>
              </w:tc>
              <w:tc>
                <w:tcPr>
                  <w:tcW w:w="631" w:type="pct"/>
                  <w:shd w:val="clear" w:color="auto" w:fill="F2F2F2" w:themeFill="background1" w:themeFillShade="F2"/>
                </w:tcPr>
                <w:p w14:paraId="7375960A" w14:textId="77777777" w:rsidR="0011262F" w:rsidRDefault="0011262F" w:rsidP="00B54007">
                  <w:pPr>
                    <w:pStyle w:val="TableBodyText"/>
                    <w:ind w:right="28"/>
                  </w:pPr>
                  <w:r w:rsidRPr="00056463">
                    <w:t>-0.481</w:t>
                  </w:r>
                </w:p>
              </w:tc>
              <w:tc>
                <w:tcPr>
                  <w:tcW w:w="631" w:type="pct"/>
                  <w:shd w:val="clear" w:color="auto" w:fill="F2F2F2" w:themeFill="background1" w:themeFillShade="F2"/>
                </w:tcPr>
                <w:p w14:paraId="0109F227" w14:textId="77777777" w:rsidR="0011262F" w:rsidRDefault="0011262F" w:rsidP="00B54007">
                  <w:pPr>
                    <w:pStyle w:val="TableBodyText"/>
                    <w:ind w:right="28"/>
                  </w:pPr>
                  <w:r w:rsidRPr="00056463">
                    <w:t>-0.034</w:t>
                  </w:r>
                </w:p>
              </w:tc>
              <w:tc>
                <w:tcPr>
                  <w:tcW w:w="631" w:type="pct"/>
                  <w:shd w:val="clear" w:color="auto" w:fill="F2F2F2" w:themeFill="background1" w:themeFillShade="F2"/>
                </w:tcPr>
                <w:p w14:paraId="759B60A9" w14:textId="77777777" w:rsidR="0011262F" w:rsidRDefault="0011262F" w:rsidP="00B54007">
                  <w:pPr>
                    <w:pStyle w:val="TableBodyText"/>
                  </w:pPr>
                  <w:r w:rsidRPr="00056463">
                    <w:t>0.391</w:t>
                  </w:r>
                </w:p>
              </w:tc>
            </w:tr>
            <w:tr w:rsidR="0011262F" w14:paraId="565039BD" w14:textId="77777777" w:rsidTr="00B54007">
              <w:tc>
                <w:tcPr>
                  <w:tcW w:w="1844" w:type="pct"/>
                  <w:shd w:val="clear" w:color="auto" w:fill="auto"/>
                  <w:vAlign w:val="bottom"/>
                </w:tcPr>
                <w:p w14:paraId="54D5F694" w14:textId="77777777" w:rsidR="0011262F" w:rsidRDefault="0011262F" w:rsidP="00B54007">
                  <w:pPr>
                    <w:pStyle w:val="TableBodyText"/>
                    <w:jc w:val="left"/>
                  </w:pPr>
                  <w:r w:rsidRPr="00C358C1">
                    <w:t>Industry x Change in total expenses due to size</w:t>
                  </w:r>
                </w:p>
              </w:tc>
              <w:tc>
                <w:tcPr>
                  <w:tcW w:w="631" w:type="pct"/>
                </w:tcPr>
                <w:p w14:paraId="2F616322" w14:textId="77777777" w:rsidR="0011262F" w:rsidRDefault="0011262F" w:rsidP="00B54007">
                  <w:pPr>
                    <w:pStyle w:val="TableBodyText"/>
                    <w:ind w:right="28"/>
                  </w:pPr>
                  <w:r w:rsidRPr="00056463">
                    <w:t>0.006</w:t>
                  </w:r>
                </w:p>
              </w:tc>
              <w:tc>
                <w:tcPr>
                  <w:tcW w:w="631" w:type="pct"/>
                  <w:shd w:val="clear" w:color="auto" w:fill="auto"/>
                </w:tcPr>
                <w:p w14:paraId="4624E140" w14:textId="77777777" w:rsidR="0011262F" w:rsidRDefault="0011262F" w:rsidP="00B54007">
                  <w:pPr>
                    <w:pStyle w:val="TableBodyText"/>
                    <w:ind w:right="28"/>
                  </w:pPr>
                  <w:r w:rsidRPr="00056463">
                    <w:t>0.243</w:t>
                  </w:r>
                </w:p>
              </w:tc>
              <w:tc>
                <w:tcPr>
                  <w:tcW w:w="631" w:type="pct"/>
                  <w:shd w:val="clear" w:color="auto" w:fill="auto"/>
                </w:tcPr>
                <w:p w14:paraId="0FE21C2F" w14:textId="77777777" w:rsidR="0011262F" w:rsidRDefault="0011262F" w:rsidP="00B54007">
                  <w:pPr>
                    <w:pStyle w:val="TableBodyText"/>
                    <w:ind w:right="28"/>
                  </w:pPr>
                  <w:r w:rsidRPr="00056463">
                    <w:t>-0.461</w:t>
                  </w:r>
                </w:p>
              </w:tc>
              <w:tc>
                <w:tcPr>
                  <w:tcW w:w="631" w:type="pct"/>
                </w:tcPr>
                <w:p w14:paraId="705FF8EF" w14:textId="77777777" w:rsidR="0011262F" w:rsidRDefault="0011262F" w:rsidP="00B54007">
                  <w:pPr>
                    <w:pStyle w:val="TableBodyText"/>
                    <w:ind w:right="28"/>
                  </w:pPr>
                  <w:r w:rsidRPr="00056463">
                    <w:t>-0.005</w:t>
                  </w:r>
                </w:p>
              </w:tc>
              <w:tc>
                <w:tcPr>
                  <w:tcW w:w="631" w:type="pct"/>
                </w:tcPr>
                <w:p w14:paraId="2CDDDC11" w14:textId="77777777" w:rsidR="0011262F" w:rsidRDefault="0011262F" w:rsidP="00B54007">
                  <w:pPr>
                    <w:pStyle w:val="TableBodyText"/>
                  </w:pPr>
                  <w:r w:rsidRPr="00056463">
                    <w:t>0.516</w:t>
                  </w:r>
                </w:p>
              </w:tc>
            </w:tr>
            <w:tr w:rsidR="0011262F" w14:paraId="5DFF48A6" w14:textId="77777777" w:rsidTr="00B54007">
              <w:tc>
                <w:tcPr>
                  <w:tcW w:w="1844" w:type="pct"/>
                  <w:shd w:val="clear" w:color="auto" w:fill="F2F2F2" w:themeFill="background1" w:themeFillShade="F2"/>
                  <w:vAlign w:val="bottom"/>
                </w:tcPr>
                <w:p w14:paraId="5EC3DF06" w14:textId="77777777" w:rsidR="0011262F" w:rsidRDefault="0011262F" w:rsidP="00B54007">
                  <w:pPr>
                    <w:pStyle w:val="TableBodyText"/>
                    <w:jc w:val="left"/>
                  </w:pPr>
                  <w:r w:rsidRPr="00C358C1">
                    <w:t>Public x Change in total expenses due to size</w:t>
                  </w:r>
                </w:p>
              </w:tc>
              <w:tc>
                <w:tcPr>
                  <w:tcW w:w="631" w:type="pct"/>
                  <w:shd w:val="clear" w:color="auto" w:fill="F2F2F2" w:themeFill="background1" w:themeFillShade="F2"/>
                </w:tcPr>
                <w:p w14:paraId="1B4FE171" w14:textId="77777777" w:rsidR="0011262F" w:rsidRDefault="0011262F" w:rsidP="00B54007">
                  <w:pPr>
                    <w:pStyle w:val="TableBodyText"/>
                    <w:ind w:right="28"/>
                  </w:pPr>
                  <w:r w:rsidRPr="00056463">
                    <w:t>-0.213</w:t>
                  </w:r>
                </w:p>
              </w:tc>
              <w:tc>
                <w:tcPr>
                  <w:tcW w:w="631" w:type="pct"/>
                  <w:shd w:val="clear" w:color="auto" w:fill="F2F2F2" w:themeFill="background1" w:themeFillShade="F2"/>
                </w:tcPr>
                <w:p w14:paraId="628873FB" w14:textId="77777777" w:rsidR="0011262F" w:rsidRDefault="0011262F" w:rsidP="00B54007">
                  <w:pPr>
                    <w:pStyle w:val="TableBodyText"/>
                    <w:ind w:right="28"/>
                  </w:pPr>
                  <w:r w:rsidRPr="00056463">
                    <w:t>0.319</w:t>
                  </w:r>
                </w:p>
              </w:tc>
              <w:tc>
                <w:tcPr>
                  <w:tcW w:w="631" w:type="pct"/>
                  <w:shd w:val="clear" w:color="auto" w:fill="F2F2F2" w:themeFill="background1" w:themeFillShade="F2"/>
                </w:tcPr>
                <w:p w14:paraId="27D64C69" w14:textId="77777777" w:rsidR="0011262F" w:rsidRDefault="0011262F" w:rsidP="00B54007">
                  <w:pPr>
                    <w:pStyle w:val="TableBodyText"/>
                    <w:ind w:right="28"/>
                  </w:pPr>
                  <w:r w:rsidRPr="00056463">
                    <w:t>-0.829</w:t>
                  </w:r>
                </w:p>
              </w:tc>
              <w:tc>
                <w:tcPr>
                  <w:tcW w:w="631" w:type="pct"/>
                  <w:shd w:val="clear" w:color="auto" w:fill="F2F2F2" w:themeFill="background1" w:themeFillShade="F2"/>
                </w:tcPr>
                <w:p w14:paraId="633E2505" w14:textId="77777777" w:rsidR="0011262F" w:rsidRDefault="0011262F" w:rsidP="00B54007">
                  <w:pPr>
                    <w:pStyle w:val="TableBodyText"/>
                    <w:ind w:right="28"/>
                  </w:pPr>
                  <w:r w:rsidRPr="00056463">
                    <w:t>-0.213</w:t>
                  </w:r>
                </w:p>
              </w:tc>
              <w:tc>
                <w:tcPr>
                  <w:tcW w:w="631" w:type="pct"/>
                  <w:shd w:val="clear" w:color="auto" w:fill="F2F2F2" w:themeFill="background1" w:themeFillShade="F2"/>
                </w:tcPr>
                <w:p w14:paraId="621F1897" w14:textId="77777777" w:rsidR="0011262F" w:rsidRDefault="0011262F" w:rsidP="00B54007">
                  <w:pPr>
                    <w:pStyle w:val="TableBodyText"/>
                  </w:pPr>
                  <w:r w:rsidRPr="00056463">
                    <w:t>0.374</w:t>
                  </w:r>
                </w:p>
              </w:tc>
            </w:tr>
            <w:tr w:rsidR="0011262F" w14:paraId="14753CDE" w14:textId="77777777" w:rsidTr="00B54007">
              <w:tc>
                <w:tcPr>
                  <w:tcW w:w="1844" w:type="pct"/>
                  <w:shd w:val="clear" w:color="auto" w:fill="auto"/>
                  <w:vAlign w:val="bottom"/>
                </w:tcPr>
                <w:p w14:paraId="2592E272" w14:textId="77777777" w:rsidR="0011262F" w:rsidRDefault="0011262F" w:rsidP="00B54007">
                  <w:pPr>
                    <w:pStyle w:val="TableBodyText"/>
                    <w:jc w:val="left"/>
                  </w:pPr>
                  <w:r w:rsidRPr="00C358C1">
                    <w:t>Retail x Change in total expenses due to size</w:t>
                  </w:r>
                </w:p>
              </w:tc>
              <w:tc>
                <w:tcPr>
                  <w:tcW w:w="631" w:type="pct"/>
                </w:tcPr>
                <w:p w14:paraId="0F05F699" w14:textId="77777777" w:rsidR="0011262F" w:rsidRDefault="0011262F" w:rsidP="00B54007">
                  <w:pPr>
                    <w:pStyle w:val="TableBodyText"/>
                    <w:ind w:right="28"/>
                  </w:pPr>
                  <w:r w:rsidRPr="00056463">
                    <w:t>-0.053</w:t>
                  </w:r>
                </w:p>
              </w:tc>
              <w:tc>
                <w:tcPr>
                  <w:tcW w:w="631" w:type="pct"/>
                  <w:shd w:val="clear" w:color="auto" w:fill="auto"/>
                </w:tcPr>
                <w:p w14:paraId="72D2147C" w14:textId="77777777" w:rsidR="0011262F" w:rsidRDefault="0011262F" w:rsidP="00B54007">
                  <w:pPr>
                    <w:pStyle w:val="TableBodyText"/>
                    <w:ind w:right="28"/>
                  </w:pPr>
                  <w:r w:rsidRPr="00056463">
                    <w:t>0.230</w:t>
                  </w:r>
                </w:p>
              </w:tc>
              <w:tc>
                <w:tcPr>
                  <w:tcW w:w="631" w:type="pct"/>
                  <w:shd w:val="clear" w:color="auto" w:fill="auto"/>
                </w:tcPr>
                <w:p w14:paraId="0068CF23" w14:textId="77777777" w:rsidR="0011262F" w:rsidRDefault="0011262F" w:rsidP="00B54007">
                  <w:pPr>
                    <w:pStyle w:val="TableBodyText"/>
                    <w:ind w:right="28"/>
                  </w:pPr>
                  <w:r w:rsidRPr="00056463">
                    <w:t>-0.484</w:t>
                  </w:r>
                </w:p>
              </w:tc>
              <w:tc>
                <w:tcPr>
                  <w:tcW w:w="631" w:type="pct"/>
                </w:tcPr>
                <w:p w14:paraId="4FDF2F61" w14:textId="77777777" w:rsidR="0011262F" w:rsidRDefault="0011262F" w:rsidP="00B54007">
                  <w:pPr>
                    <w:pStyle w:val="TableBodyText"/>
                    <w:ind w:right="28"/>
                  </w:pPr>
                  <w:r w:rsidRPr="00056463">
                    <w:t>-0.056</w:t>
                  </w:r>
                </w:p>
              </w:tc>
              <w:tc>
                <w:tcPr>
                  <w:tcW w:w="631" w:type="pct"/>
                </w:tcPr>
                <w:p w14:paraId="402988E3" w14:textId="77777777" w:rsidR="0011262F" w:rsidRDefault="0011262F" w:rsidP="00B54007">
                  <w:pPr>
                    <w:pStyle w:val="TableBodyText"/>
                  </w:pPr>
                  <w:r w:rsidRPr="00056463">
                    <w:t>0.422</w:t>
                  </w:r>
                </w:p>
              </w:tc>
            </w:tr>
            <w:tr w:rsidR="0011262F" w14:paraId="722ACA53" w14:textId="77777777" w:rsidTr="00B54007">
              <w:tc>
                <w:tcPr>
                  <w:tcW w:w="1844" w:type="pct"/>
                  <w:shd w:val="clear" w:color="auto" w:fill="F2F2F2" w:themeFill="background1" w:themeFillShade="F2"/>
                  <w:vAlign w:val="bottom"/>
                </w:tcPr>
                <w:p w14:paraId="70ACC04D" w14:textId="77777777" w:rsidR="0011262F" w:rsidRDefault="0011262F" w:rsidP="00B54007">
                  <w:pPr>
                    <w:pStyle w:val="TableBodyText"/>
                    <w:jc w:val="left"/>
                  </w:pPr>
                  <w:r w:rsidRPr="00C358C1">
                    <w:t>Intercept</w:t>
                  </w:r>
                </w:p>
              </w:tc>
              <w:tc>
                <w:tcPr>
                  <w:tcW w:w="631" w:type="pct"/>
                  <w:shd w:val="clear" w:color="auto" w:fill="F2F2F2" w:themeFill="background1" w:themeFillShade="F2"/>
                </w:tcPr>
                <w:p w14:paraId="2E5A37E5" w14:textId="77777777" w:rsidR="0011262F" w:rsidRDefault="0011262F" w:rsidP="00B54007">
                  <w:pPr>
                    <w:pStyle w:val="TableBodyText"/>
                    <w:ind w:right="28"/>
                  </w:pPr>
                  <w:r w:rsidRPr="00056463">
                    <w:t>0.021</w:t>
                  </w:r>
                </w:p>
              </w:tc>
              <w:tc>
                <w:tcPr>
                  <w:tcW w:w="631" w:type="pct"/>
                  <w:shd w:val="clear" w:color="auto" w:fill="F2F2F2" w:themeFill="background1" w:themeFillShade="F2"/>
                </w:tcPr>
                <w:p w14:paraId="561F11A6" w14:textId="77777777" w:rsidR="0011262F" w:rsidRDefault="0011262F" w:rsidP="00B54007">
                  <w:pPr>
                    <w:pStyle w:val="TableBodyText"/>
                    <w:ind w:right="28"/>
                  </w:pPr>
                  <w:r w:rsidRPr="00056463">
                    <w:t>0.031</w:t>
                  </w:r>
                </w:p>
              </w:tc>
              <w:tc>
                <w:tcPr>
                  <w:tcW w:w="631" w:type="pct"/>
                  <w:shd w:val="clear" w:color="auto" w:fill="F2F2F2" w:themeFill="background1" w:themeFillShade="F2"/>
                </w:tcPr>
                <w:p w14:paraId="00F4F5C2" w14:textId="77777777" w:rsidR="0011262F" w:rsidRDefault="0011262F" w:rsidP="00B54007">
                  <w:pPr>
                    <w:pStyle w:val="TableBodyText"/>
                    <w:ind w:right="28"/>
                  </w:pPr>
                  <w:r w:rsidRPr="00056463">
                    <w:t>-0.037</w:t>
                  </w:r>
                </w:p>
              </w:tc>
              <w:tc>
                <w:tcPr>
                  <w:tcW w:w="631" w:type="pct"/>
                  <w:shd w:val="clear" w:color="auto" w:fill="F2F2F2" w:themeFill="background1" w:themeFillShade="F2"/>
                </w:tcPr>
                <w:p w14:paraId="5084CEE5" w14:textId="77777777" w:rsidR="0011262F" w:rsidRDefault="0011262F" w:rsidP="00B54007">
                  <w:pPr>
                    <w:pStyle w:val="TableBodyText"/>
                    <w:ind w:right="28"/>
                  </w:pPr>
                  <w:r w:rsidRPr="00056463">
                    <w:t>0.021</w:t>
                  </w:r>
                </w:p>
              </w:tc>
              <w:tc>
                <w:tcPr>
                  <w:tcW w:w="631" w:type="pct"/>
                  <w:shd w:val="clear" w:color="auto" w:fill="F2F2F2" w:themeFill="background1" w:themeFillShade="F2"/>
                </w:tcPr>
                <w:p w14:paraId="1202029C" w14:textId="77777777" w:rsidR="0011262F" w:rsidRDefault="0011262F" w:rsidP="00B54007">
                  <w:pPr>
                    <w:pStyle w:val="TableBodyText"/>
                  </w:pPr>
                  <w:r w:rsidRPr="00056463">
                    <w:t>0.083</w:t>
                  </w:r>
                </w:p>
              </w:tc>
            </w:tr>
            <w:tr w:rsidR="0011262F" w14:paraId="70F877B8" w14:textId="77777777" w:rsidTr="00B54007">
              <w:tc>
                <w:tcPr>
                  <w:tcW w:w="1844" w:type="pct"/>
                  <w:shd w:val="clear" w:color="auto" w:fill="auto"/>
                  <w:vAlign w:val="bottom"/>
                </w:tcPr>
                <w:p w14:paraId="6EA0C012" w14:textId="77777777" w:rsidR="0011262F" w:rsidRDefault="0011262F" w:rsidP="00B54007">
                  <w:pPr>
                    <w:pStyle w:val="TableBodyText"/>
                    <w:jc w:val="left"/>
                  </w:pPr>
                  <w:r w:rsidRPr="00C358C1">
                    <w:t>SD of total pass-through</w:t>
                  </w:r>
                </w:p>
              </w:tc>
              <w:tc>
                <w:tcPr>
                  <w:tcW w:w="631" w:type="pct"/>
                </w:tcPr>
                <w:p w14:paraId="27F55E5D" w14:textId="77777777" w:rsidR="0011262F" w:rsidRDefault="0011262F" w:rsidP="00B54007">
                  <w:pPr>
                    <w:pStyle w:val="TableBodyText"/>
                    <w:ind w:right="28"/>
                  </w:pPr>
                  <w:r w:rsidRPr="00056463">
                    <w:t>0.226</w:t>
                  </w:r>
                </w:p>
              </w:tc>
              <w:tc>
                <w:tcPr>
                  <w:tcW w:w="631" w:type="pct"/>
                  <w:shd w:val="clear" w:color="auto" w:fill="auto"/>
                </w:tcPr>
                <w:p w14:paraId="0B31D7F3" w14:textId="77777777" w:rsidR="0011262F" w:rsidRDefault="0011262F" w:rsidP="00B54007">
                  <w:pPr>
                    <w:pStyle w:val="TableBodyText"/>
                    <w:ind w:right="28"/>
                  </w:pPr>
                  <w:r w:rsidRPr="00056463">
                    <w:t>0.005</w:t>
                  </w:r>
                </w:p>
              </w:tc>
              <w:tc>
                <w:tcPr>
                  <w:tcW w:w="631" w:type="pct"/>
                  <w:shd w:val="clear" w:color="auto" w:fill="auto"/>
                </w:tcPr>
                <w:p w14:paraId="123647AB" w14:textId="77777777" w:rsidR="0011262F" w:rsidRDefault="0011262F" w:rsidP="00B54007">
                  <w:pPr>
                    <w:pStyle w:val="TableBodyText"/>
                    <w:ind w:right="28"/>
                  </w:pPr>
                  <w:r w:rsidRPr="00056463">
                    <w:t>0.217</w:t>
                  </w:r>
                </w:p>
              </w:tc>
              <w:tc>
                <w:tcPr>
                  <w:tcW w:w="631" w:type="pct"/>
                </w:tcPr>
                <w:p w14:paraId="47681C0D" w14:textId="77777777" w:rsidR="0011262F" w:rsidRDefault="0011262F" w:rsidP="00B54007">
                  <w:pPr>
                    <w:pStyle w:val="TableBodyText"/>
                    <w:ind w:right="28"/>
                  </w:pPr>
                  <w:r w:rsidRPr="00056463">
                    <w:t>0.226</w:t>
                  </w:r>
                </w:p>
              </w:tc>
              <w:tc>
                <w:tcPr>
                  <w:tcW w:w="631" w:type="pct"/>
                </w:tcPr>
                <w:p w14:paraId="0008E9A8" w14:textId="77777777" w:rsidR="0011262F" w:rsidRDefault="0011262F" w:rsidP="00B54007">
                  <w:pPr>
                    <w:pStyle w:val="TableBodyText"/>
                  </w:pPr>
                  <w:r w:rsidRPr="00056463">
                    <w:t>0.237</w:t>
                  </w:r>
                </w:p>
              </w:tc>
            </w:tr>
            <w:tr w:rsidR="0011262F" w14:paraId="670B55C3" w14:textId="77777777" w:rsidTr="00B54007">
              <w:tc>
                <w:tcPr>
                  <w:tcW w:w="1844" w:type="pct"/>
                  <w:shd w:val="clear" w:color="auto" w:fill="F2F2F2" w:themeFill="background1" w:themeFillShade="F2"/>
                  <w:vAlign w:val="bottom"/>
                </w:tcPr>
                <w:p w14:paraId="0715B5B3" w14:textId="77777777" w:rsidR="0011262F" w:rsidRDefault="0011262F" w:rsidP="00B54007">
                  <w:pPr>
                    <w:pStyle w:val="TableBodyText"/>
                    <w:jc w:val="left"/>
                  </w:pPr>
                  <w:r w:rsidRPr="00C358C1">
                    <w:t>SD of varying intercept</w:t>
                  </w:r>
                </w:p>
              </w:tc>
              <w:tc>
                <w:tcPr>
                  <w:tcW w:w="631" w:type="pct"/>
                  <w:shd w:val="clear" w:color="auto" w:fill="F2F2F2" w:themeFill="background1" w:themeFillShade="F2"/>
                </w:tcPr>
                <w:p w14:paraId="66E84BD9" w14:textId="77777777" w:rsidR="0011262F" w:rsidRDefault="0011262F" w:rsidP="00B54007">
                  <w:pPr>
                    <w:pStyle w:val="TableBodyText"/>
                    <w:ind w:right="28"/>
                  </w:pPr>
                  <w:r w:rsidRPr="00056463">
                    <w:t>0.044</w:t>
                  </w:r>
                </w:p>
              </w:tc>
              <w:tc>
                <w:tcPr>
                  <w:tcW w:w="631" w:type="pct"/>
                  <w:shd w:val="clear" w:color="auto" w:fill="F2F2F2" w:themeFill="background1" w:themeFillShade="F2"/>
                </w:tcPr>
                <w:p w14:paraId="78B2AA08" w14:textId="77777777" w:rsidR="0011262F" w:rsidRDefault="0011262F" w:rsidP="00B54007">
                  <w:pPr>
                    <w:pStyle w:val="TableBodyText"/>
                    <w:ind w:right="28"/>
                  </w:pPr>
                  <w:r w:rsidRPr="00056463">
                    <w:t>0.006</w:t>
                  </w:r>
                </w:p>
              </w:tc>
              <w:tc>
                <w:tcPr>
                  <w:tcW w:w="631" w:type="pct"/>
                  <w:shd w:val="clear" w:color="auto" w:fill="F2F2F2" w:themeFill="background1" w:themeFillShade="F2"/>
                </w:tcPr>
                <w:p w14:paraId="7931EBD0" w14:textId="77777777" w:rsidR="0011262F" w:rsidRDefault="0011262F" w:rsidP="00B54007">
                  <w:pPr>
                    <w:pStyle w:val="TableBodyText"/>
                    <w:ind w:right="28"/>
                  </w:pPr>
                  <w:r w:rsidRPr="00056463">
                    <w:t>0.034</w:t>
                  </w:r>
                </w:p>
              </w:tc>
              <w:tc>
                <w:tcPr>
                  <w:tcW w:w="631" w:type="pct"/>
                  <w:shd w:val="clear" w:color="auto" w:fill="F2F2F2" w:themeFill="background1" w:themeFillShade="F2"/>
                </w:tcPr>
                <w:p w14:paraId="0B3094F5" w14:textId="77777777" w:rsidR="0011262F" w:rsidRDefault="0011262F" w:rsidP="00B54007">
                  <w:pPr>
                    <w:pStyle w:val="TableBodyText"/>
                    <w:ind w:right="28"/>
                  </w:pPr>
                  <w:r w:rsidRPr="00056463">
                    <w:t>0.044</w:t>
                  </w:r>
                </w:p>
              </w:tc>
              <w:tc>
                <w:tcPr>
                  <w:tcW w:w="631" w:type="pct"/>
                  <w:shd w:val="clear" w:color="auto" w:fill="F2F2F2" w:themeFill="background1" w:themeFillShade="F2"/>
                </w:tcPr>
                <w:p w14:paraId="61CF415C" w14:textId="77777777" w:rsidR="0011262F" w:rsidRDefault="0011262F" w:rsidP="00B54007">
                  <w:pPr>
                    <w:pStyle w:val="TableBodyText"/>
                  </w:pPr>
                  <w:r w:rsidRPr="00056463">
                    <w:t>0.058</w:t>
                  </w:r>
                </w:p>
              </w:tc>
            </w:tr>
            <w:tr w:rsidR="0011262F" w14:paraId="3B56B6ED" w14:textId="77777777" w:rsidTr="00B54007">
              <w:tc>
                <w:tcPr>
                  <w:tcW w:w="1844" w:type="pct"/>
                  <w:tcBorders>
                    <w:bottom w:val="single" w:sz="6" w:space="0" w:color="BFBFBF" w:themeColor="background1" w:themeShade="BF"/>
                  </w:tcBorders>
                  <w:shd w:val="clear" w:color="auto" w:fill="auto"/>
                  <w:vAlign w:val="bottom"/>
                </w:tcPr>
                <w:p w14:paraId="38E616E5" w14:textId="77777777" w:rsidR="0011262F" w:rsidRDefault="0011262F" w:rsidP="00B54007">
                  <w:pPr>
                    <w:pStyle w:val="TableBodyText"/>
                    <w:jc w:val="left"/>
                  </w:pPr>
                  <w:r w:rsidRPr="00C358C1">
                    <w:t xml:space="preserve">SD of varying </w:t>
                  </w:r>
                  <w:r>
                    <w:t xml:space="preserve">slope: </w:t>
                  </w:r>
                  <w:r w:rsidRPr="00C358C1">
                    <w:t xml:space="preserve">Change in total expenses due to size </w:t>
                  </w:r>
                </w:p>
              </w:tc>
              <w:tc>
                <w:tcPr>
                  <w:tcW w:w="631" w:type="pct"/>
                  <w:tcBorders>
                    <w:bottom w:val="single" w:sz="6" w:space="0" w:color="BFBFBF" w:themeColor="background1" w:themeShade="BF"/>
                  </w:tcBorders>
                </w:tcPr>
                <w:p w14:paraId="6E092F19" w14:textId="77777777" w:rsidR="0011262F" w:rsidRDefault="0011262F" w:rsidP="00B54007">
                  <w:pPr>
                    <w:pStyle w:val="TableBodyText"/>
                    <w:ind w:right="28"/>
                  </w:pPr>
                  <w:r w:rsidRPr="00056463">
                    <w:t>0.161</w:t>
                  </w:r>
                </w:p>
              </w:tc>
              <w:tc>
                <w:tcPr>
                  <w:tcW w:w="631" w:type="pct"/>
                  <w:tcBorders>
                    <w:bottom w:val="single" w:sz="6" w:space="0" w:color="BFBFBF" w:themeColor="background1" w:themeShade="BF"/>
                  </w:tcBorders>
                  <w:shd w:val="clear" w:color="auto" w:fill="auto"/>
                </w:tcPr>
                <w:p w14:paraId="7160BF1A" w14:textId="77777777" w:rsidR="0011262F" w:rsidRDefault="0011262F" w:rsidP="00B54007">
                  <w:pPr>
                    <w:pStyle w:val="TableBodyText"/>
                    <w:ind w:right="28"/>
                  </w:pPr>
                  <w:r w:rsidRPr="00056463">
                    <w:t>0.042</w:t>
                  </w:r>
                </w:p>
              </w:tc>
              <w:tc>
                <w:tcPr>
                  <w:tcW w:w="631" w:type="pct"/>
                  <w:tcBorders>
                    <w:bottom w:val="single" w:sz="6" w:space="0" w:color="BFBFBF" w:themeColor="background1" w:themeShade="BF"/>
                  </w:tcBorders>
                  <w:shd w:val="clear" w:color="auto" w:fill="auto"/>
                </w:tcPr>
                <w:p w14:paraId="27902D60" w14:textId="77777777" w:rsidR="0011262F" w:rsidRDefault="0011262F" w:rsidP="00B54007">
                  <w:pPr>
                    <w:pStyle w:val="TableBodyText"/>
                    <w:ind w:right="28"/>
                  </w:pPr>
                  <w:r w:rsidRPr="00056463">
                    <w:t>0.094</w:t>
                  </w:r>
                </w:p>
              </w:tc>
              <w:tc>
                <w:tcPr>
                  <w:tcW w:w="631" w:type="pct"/>
                  <w:tcBorders>
                    <w:bottom w:val="single" w:sz="6" w:space="0" w:color="BFBFBF" w:themeColor="background1" w:themeShade="BF"/>
                  </w:tcBorders>
                </w:tcPr>
                <w:p w14:paraId="61298920" w14:textId="77777777" w:rsidR="0011262F" w:rsidRDefault="0011262F" w:rsidP="00B54007">
                  <w:pPr>
                    <w:pStyle w:val="TableBodyText"/>
                    <w:ind w:right="28"/>
                  </w:pPr>
                  <w:r w:rsidRPr="00056463">
                    <w:t>0.156</w:t>
                  </w:r>
                </w:p>
              </w:tc>
              <w:tc>
                <w:tcPr>
                  <w:tcW w:w="631" w:type="pct"/>
                  <w:tcBorders>
                    <w:bottom w:val="single" w:sz="6" w:space="0" w:color="BFBFBF" w:themeColor="background1" w:themeShade="BF"/>
                  </w:tcBorders>
                </w:tcPr>
                <w:p w14:paraId="117E74E2" w14:textId="77777777" w:rsidR="0011262F" w:rsidRDefault="0011262F" w:rsidP="00B54007">
                  <w:pPr>
                    <w:pStyle w:val="TableBodyText"/>
                  </w:pPr>
                  <w:r w:rsidRPr="00056463">
                    <w:t>0.261</w:t>
                  </w:r>
                </w:p>
              </w:tc>
            </w:tr>
          </w:tbl>
          <w:p w14:paraId="08B47E1D" w14:textId="77777777" w:rsidR="0011262F" w:rsidRDefault="0011262F" w:rsidP="00B54007">
            <w:pPr>
              <w:pStyle w:val="Box"/>
            </w:pPr>
          </w:p>
        </w:tc>
      </w:tr>
      <w:tr w:rsidR="0011262F" w14:paraId="48FC3D2B" w14:textId="77777777" w:rsidTr="00B54007">
        <w:tc>
          <w:tcPr>
            <w:tcW w:w="5000" w:type="pct"/>
            <w:tcBorders>
              <w:top w:val="nil"/>
              <w:left w:val="nil"/>
              <w:bottom w:val="single" w:sz="6" w:space="0" w:color="78A22F"/>
              <w:right w:val="nil"/>
            </w:tcBorders>
            <w:shd w:val="clear" w:color="auto" w:fill="auto"/>
          </w:tcPr>
          <w:p w14:paraId="11140B25" w14:textId="77777777" w:rsidR="0011262F" w:rsidRDefault="0011262F" w:rsidP="00B54007">
            <w:pPr>
              <w:pStyle w:val="Box"/>
              <w:spacing w:before="0" w:line="120" w:lineRule="exact"/>
            </w:pPr>
          </w:p>
        </w:tc>
      </w:tr>
      <w:tr w:rsidR="0011262F" w:rsidRPr="00626D32" w14:paraId="582C867A" w14:textId="77777777" w:rsidTr="00B54007">
        <w:tc>
          <w:tcPr>
            <w:tcW w:w="5000" w:type="pct"/>
            <w:tcBorders>
              <w:top w:val="single" w:sz="6" w:space="0" w:color="78A22F"/>
              <w:left w:val="nil"/>
              <w:bottom w:val="nil"/>
              <w:right w:val="nil"/>
            </w:tcBorders>
          </w:tcPr>
          <w:p w14:paraId="0FC37357" w14:textId="77777777" w:rsidR="0011262F" w:rsidRPr="00626D32" w:rsidRDefault="0011262F" w:rsidP="00B54007">
            <w:pPr>
              <w:pStyle w:val="BoxSpaceBelow"/>
            </w:pPr>
          </w:p>
        </w:tc>
      </w:tr>
    </w:tbl>
    <w:p w14:paraId="3F2FE72A" w14:textId="77777777" w:rsidR="0011262F" w:rsidRPr="00F76FED" w:rsidRDefault="0011262F" w:rsidP="0011262F">
      <w:r>
        <w:br w:type="page"/>
      </w:r>
    </w:p>
    <w:p w14:paraId="2BC3FEDD" w14:textId="77777777" w:rsidR="0011262F" w:rsidRDefault="0011262F" w:rsidP="0011262F">
      <w:pPr>
        <w:pStyle w:val="Heading2"/>
      </w:pPr>
      <w:bookmarkStart w:id="74" w:name="_Toc532997280"/>
      <w:bookmarkStart w:id="75" w:name="_Toc534642299"/>
      <w:r>
        <w:lastRenderedPageBreak/>
        <w:t xml:space="preserve">Annex </w:t>
      </w:r>
      <w:r w:rsidDel="00D26E3B">
        <w:t>F</w:t>
      </w:r>
      <w:r>
        <w:t>: Additional figures</w:t>
      </w:r>
      <w:bookmarkEnd w:id="74"/>
      <w:bookmarkEnd w:id="75"/>
    </w:p>
    <w:p w14:paraId="19153E80" w14:textId="77777777" w:rsidR="0011262F" w:rsidRPr="00203498" w:rsidRDefault="0011262F" w:rsidP="0011262F">
      <w:pPr>
        <w:pStyle w:val="BodyText"/>
        <w:rPr>
          <w:spacing w:val="-2"/>
        </w:rPr>
      </w:pPr>
      <w:r>
        <w:t xml:space="preserve">As previously discussed, </w:t>
      </w:r>
      <w:r>
        <w:rPr>
          <w:spacing w:val="-2"/>
        </w:rPr>
        <w:t>inspection of the log transformations of the size and expenses variables data revealed linear relationships (figure </w:t>
      </w:r>
      <w:proofErr w:type="spellStart"/>
      <w:r>
        <w:rPr>
          <w:spacing w:val="-2"/>
        </w:rPr>
        <w:t>F.1</w:t>
      </w:r>
      <w:proofErr w:type="spellEnd"/>
      <w:r>
        <w:rPr>
          <w:spacing w:val="-2"/>
        </w:rPr>
        <w:t>) — suggesting that a linear model is appropriate once logs are taken.</w:t>
      </w:r>
    </w:p>
    <w:p w14:paraId="5F0B82A6" w14:textId="77777777" w:rsidR="0011262F" w:rsidRDefault="0011262F" w:rsidP="0011262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1262F" w14:paraId="30FE033D" w14:textId="77777777" w:rsidTr="00B54007">
        <w:trPr>
          <w:tblHeader/>
        </w:trPr>
        <w:tc>
          <w:tcPr>
            <w:tcW w:w="5000" w:type="pct"/>
            <w:tcBorders>
              <w:top w:val="single" w:sz="6" w:space="0" w:color="78A22F"/>
              <w:left w:val="nil"/>
              <w:bottom w:val="nil"/>
              <w:right w:val="nil"/>
            </w:tcBorders>
            <w:shd w:val="clear" w:color="auto" w:fill="auto"/>
          </w:tcPr>
          <w:p w14:paraId="57A00573" w14:textId="77777777" w:rsidR="0011262F" w:rsidRPr="00176D3F" w:rsidRDefault="0011262F" w:rsidP="00B54007">
            <w:pPr>
              <w:pStyle w:val="FigureTitle"/>
            </w:pPr>
            <w:r w:rsidRPr="00784A05">
              <w:rPr>
                <w:b w:val="0"/>
              </w:rPr>
              <w:t xml:space="preserve">Figure </w:t>
            </w:r>
            <w:proofErr w:type="spellStart"/>
            <w:r>
              <w:rPr>
                <w:b w:val="0"/>
              </w:rPr>
              <w:t>F.1</w:t>
            </w:r>
            <w:proofErr w:type="spellEnd"/>
            <w:r>
              <w:tab/>
              <w:t>A linear model is appropriate</w:t>
            </w:r>
          </w:p>
        </w:tc>
      </w:tr>
      <w:tr w:rsidR="0011262F" w14:paraId="1E2886CC" w14:textId="77777777" w:rsidTr="00B5400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11262F" w:rsidRPr="00B1465D" w14:paraId="73654729" w14:textId="77777777" w:rsidTr="00B54007">
              <w:trPr>
                <w:tblHeader/>
                <w:jc w:val="center"/>
              </w:trPr>
              <w:tc>
                <w:tcPr>
                  <w:tcW w:w="5000" w:type="pct"/>
                  <w:tcBorders>
                    <w:top w:val="nil"/>
                    <w:bottom w:val="nil"/>
                  </w:tcBorders>
                </w:tcPr>
                <w:p w14:paraId="1BCF1BAC" w14:textId="77777777" w:rsidR="0011262F" w:rsidRPr="00B1465D" w:rsidRDefault="0011262F" w:rsidP="00B54007">
                  <w:pPr>
                    <w:pStyle w:val="Figure"/>
                    <w:spacing w:before="60" w:after="60"/>
                    <w:rPr>
                      <w:rFonts w:ascii="Arial" w:hAnsi="Arial" w:cs="Arial"/>
                      <w:sz w:val="18"/>
                      <w:szCs w:val="18"/>
                    </w:rPr>
                  </w:pPr>
                  <w:r w:rsidRPr="00026124">
                    <w:rPr>
                      <w:rFonts w:ascii="Arial" w:hAnsi="Arial" w:cs="Arial"/>
                      <w:noProof/>
                      <w:sz w:val="18"/>
                      <w:szCs w:val="18"/>
                    </w:rPr>
                    <w:drawing>
                      <wp:inline distT="0" distB="0" distL="0" distR="0" wp14:anchorId="1851D89C" wp14:editId="16EF919F">
                        <wp:extent cx="5577840" cy="3131820"/>
                        <wp:effectExtent l="0" t="0" r="0" b="0"/>
                        <wp:docPr id="84" name="Picture 84" descr="A scatterplot of the log of total assets against the log of administration and investment expenses. The relationship appear to approximately linear in both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77840" cy="3131820"/>
                                </a:xfrm>
                                <a:prstGeom prst="rect">
                                  <a:avLst/>
                                </a:prstGeom>
                                <a:noFill/>
                                <a:ln>
                                  <a:noFill/>
                                </a:ln>
                              </pic:spPr>
                            </pic:pic>
                          </a:graphicData>
                        </a:graphic>
                      </wp:inline>
                    </w:drawing>
                  </w:r>
                </w:p>
              </w:tc>
            </w:tr>
          </w:tbl>
          <w:p w14:paraId="0F67DA25" w14:textId="77777777" w:rsidR="0011262F" w:rsidRDefault="0011262F" w:rsidP="00B54007">
            <w:pPr>
              <w:pStyle w:val="Figure"/>
            </w:pPr>
          </w:p>
        </w:tc>
      </w:tr>
      <w:tr w:rsidR="0011262F" w:rsidRPr="00176D3F" w14:paraId="7D987C75" w14:textId="77777777" w:rsidTr="00B54007">
        <w:tc>
          <w:tcPr>
            <w:tcW w:w="5000" w:type="pct"/>
            <w:tcBorders>
              <w:top w:val="nil"/>
              <w:left w:val="nil"/>
              <w:bottom w:val="nil"/>
              <w:right w:val="nil"/>
            </w:tcBorders>
            <w:shd w:val="clear" w:color="auto" w:fill="auto"/>
          </w:tcPr>
          <w:p w14:paraId="13C81348" w14:textId="77777777" w:rsidR="0011262F" w:rsidRPr="00F1457E" w:rsidRDefault="0011262F" w:rsidP="00B54007">
            <w:pPr>
              <w:pStyle w:val="Source"/>
            </w:pPr>
            <w:r w:rsidRPr="00F76FED">
              <w:rPr>
                <w:i/>
              </w:rPr>
              <w:t>Source</w:t>
            </w:r>
            <w:r w:rsidRPr="00F76FED">
              <w:t xml:space="preserve">: </w:t>
            </w:r>
            <w:r>
              <w:rPr>
                <w:rFonts w:eastAsia="+mn-ea" w:cs="Arial"/>
                <w:color w:val="000000" w:themeColor="text1"/>
                <w:kern w:val="24"/>
                <w:szCs w:val="18"/>
              </w:rPr>
              <w:t>PC analysis of unpublished APRA data</w:t>
            </w:r>
            <w:r w:rsidRPr="0018371D">
              <w:rPr>
                <w:rFonts w:eastAsia="+mn-ea" w:cs="Arial"/>
                <w:color w:val="000000" w:themeColor="text1"/>
                <w:kern w:val="24"/>
                <w:szCs w:val="18"/>
              </w:rPr>
              <w:t>.</w:t>
            </w:r>
          </w:p>
        </w:tc>
      </w:tr>
      <w:tr w:rsidR="0011262F" w14:paraId="2F1CB34D" w14:textId="77777777" w:rsidTr="00B54007">
        <w:tc>
          <w:tcPr>
            <w:tcW w:w="5000" w:type="pct"/>
            <w:tcBorders>
              <w:top w:val="nil"/>
              <w:left w:val="nil"/>
              <w:bottom w:val="single" w:sz="6" w:space="0" w:color="78A22F"/>
              <w:right w:val="nil"/>
            </w:tcBorders>
            <w:shd w:val="clear" w:color="auto" w:fill="auto"/>
          </w:tcPr>
          <w:p w14:paraId="5DEB8365" w14:textId="77777777" w:rsidR="0011262F" w:rsidRDefault="0011262F" w:rsidP="00B54007">
            <w:pPr>
              <w:pStyle w:val="Figurespace"/>
            </w:pPr>
          </w:p>
        </w:tc>
      </w:tr>
      <w:tr w:rsidR="0011262F" w:rsidRPr="000863A5" w14:paraId="4B472C4C" w14:textId="77777777" w:rsidTr="00B54007">
        <w:tc>
          <w:tcPr>
            <w:tcW w:w="5000" w:type="pct"/>
            <w:tcBorders>
              <w:top w:val="single" w:sz="6" w:space="0" w:color="78A22F"/>
              <w:left w:val="nil"/>
              <w:bottom w:val="nil"/>
              <w:right w:val="nil"/>
            </w:tcBorders>
          </w:tcPr>
          <w:p w14:paraId="7B17633E" w14:textId="77777777" w:rsidR="0011262F" w:rsidRPr="00626D32" w:rsidRDefault="0011262F" w:rsidP="00B54007">
            <w:pPr>
              <w:pStyle w:val="BoxSpaceBelow"/>
            </w:pPr>
          </w:p>
        </w:tc>
      </w:tr>
    </w:tbl>
    <w:p w14:paraId="047B334F" w14:textId="77777777" w:rsidR="0011262F" w:rsidRDefault="0011262F" w:rsidP="0011262F">
      <w:pPr>
        <w:pStyle w:val="BodyText"/>
      </w:pPr>
      <w:r>
        <w:t>The relationship between size and expenses varied markedly between funds, prompting the use of more flexible functional forms (figure </w:t>
      </w:r>
      <w:proofErr w:type="spellStart"/>
      <w:r>
        <w:t>F.2</w:t>
      </w:r>
      <w:proofErr w:type="spellEnd"/>
      <w:r>
        <w:t>).</w:t>
      </w:r>
    </w:p>
    <w:p w14:paraId="056C0D0F" w14:textId="77777777" w:rsidR="0011262F" w:rsidRDefault="0011262F" w:rsidP="0011262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1262F" w14:paraId="60CE8238" w14:textId="77777777" w:rsidTr="00B54007">
        <w:trPr>
          <w:tblHeader/>
        </w:trPr>
        <w:tc>
          <w:tcPr>
            <w:tcW w:w="5000" w:type="pct"/>
            <w:tcBorders>
              <w:top w:val="single" w:sz="6" w:space="0" w:color="78A22F"/>
              <w:left w:val="nil"/>
              <w:bottom w:val="nil"/>
              <w:right w:val="nil"/>
            </w:tcBorders>
            <w:shd w:val="clear" w:color="auto" w:fill="auto"/>
          </w:tcPr>
          <w:p w14:paraId="1D3DA423" w14:textId="77777777" w:rsidR="0011262F" w:rsidRPr="00176D3F" w:rsidRDefault="0011262F" w:rsidP="00B54007">
            <w:pPr>
              <w:pStyle w:val="FigureTitle"/>
            </w:pPr>
            <w:r w:rsidRPr="00784A05">
              <w:rPr>
                <w:b w:val="0"/>
              </w:rPr>
              <w:t xml:space="preserve">Figure </w:t>
            </w:r>
            <w:proofErr w:type="spellStart"/>
            <w:r>
              <w:rPr>
                <w:b w:val="0"/>
              </w:rPr>
              <w:t>F.2</w:t>
            </w:r>
            <w:proofErr w:type="spellEnd"/>
            <w:r>
              <w:tab/>
              <w:t>Heterogeneity supports multilevel modelling approach</w:t>
            </w:r>
            <w:proofErr w:type="spellStart"/>
            <w:r w:rsidRPr="00A05224">
              <w:rPr>
                <w:rStyle w:val="NoteLabel"/>
              </w:rPr>
              <w:t>a</w:t>
            </w:r>
            <w:r>
              <w:rPr>
                <w:rStyle w:val="NoteLabel"/>
              </w:rPr>
              <w:t>,</w:t>
            </w:r>
            <w:r w:rsidRPr="00A05224">
              <w:rPr>
                <w:rStyle w:val="NoteLabel"/>
              </w:rPr>
              <w:t>b</w:t>
            </w:r>
            <w:proofErr w:type="spellEnd"/>
          </w:p>
        </w:tc>
      </w:tr>
      <w:tr w:rsidR="0011262F" w14:paraId="5840FD25" w14:textId="77777777" w:rsidTr="00B5400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11262F" w:rsidRPr="00B1465D" w14:paraId="10092A25" w14:textId="77777777" w:rsidTr="00B54007">
              <w:trPr>
                <w:tblHeader/>
                <w:jc w:val="center"/>
              </w:trPr>
              <w:tc>
                <w:tcPr>
                  <w:tcW w:w="5000" w:type="pct"/>
                  <w:tcBorders>
                    <w:top w:val="nil"/>
                    <w:bottom w:val="nil"/>
                  </w:tcBorders>
                </w:tcPr>
                <w:p w14:paraId="6D667E53" w14:textId="77777777" w:rsidR="0011262F" w:rsidRPr="00B1465D" w:rsidRDefault="0011262F" w:rsidP="00B54007">
                  <w:pPr>
                    <w:pStyle w:val="Figure"/>
                    <w:spacing w:before="60" w:after="60"/>
                    <w:rPr>
                      <w:rFonts w:ascii="Arial" w:hAnsi="Arial" w:cs="Arial"/>
                      <w:sz w:val="18"/>
                      <w:szCs w:val="18"/>
                    </w:rPr>
                  </w:pPr>
                  <w:r w:rsidRPr="009B57A6">
                    <w:rPr>
                      <w:rFonts w:ascii="Arial" w:hAnsi="Arial" w:cs="Arial"/>
                      <w:noProof/>
                      <w:sz w:val="18"/>
                      <w:szCs w:val="18"/>
                    </w:rPr>
                    <w:drawing>
                      <wp:inline distT="0" distB="0" distL="0" distR="0" wp14:anchorId="7FB23608" wp14:editId="72CFD6BA">
                        <wp:extent cx="5402580" cy="2872740"/>
                        <wp:effectExtent l="0" t="0" r="0" b="0"/>
                        <wp:docPr id="85" name="Picture 85" descr="A plot of total assets against administration and investment expenses for selected funds, where the observations for each fund have been fitted with a cubic function. There are different shapes the cost function takes, suggesting heterogeneity in the cost structure of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02580" cy="2872740"/>
                                </a:xfrm>
                                <a:prstGeom prst="rect">
                                  <a:avLst/>
                                </a:prstGeom>
                                <a:noFill/>
                                <a:ln>
                                  <a:noFill/>
                                </a:ln>
                              </pic:spPr>
                            </pic:pic>
                          </a:graphicData>
                        </a:graphic>
                      </wp:inline>
                    </w:drawing>
                  </w:r>
                </w:p>
              </w:tc>
            </w:tr>
          </w:tbl>
          <w:p w14:paraId="4AA287CF" w14:textId="77777777" w:rsidR="0011262F" w:rsidRDefault="0011262F" w:rsidP="00B54007">
            <w:pPr>
              <w:pStyle w:val="Figure"/>
            </w:pPr>
          </w:p>
        </w:tc>
      </w:tr>
      <w:tr w:rsidR="0011262F" w:rsidRPr="00176D3F" w14:paraId="352F2AD8" w14:textId="77777777" w:rsidTr="00B54007">
        <w:tc>
          <w:tcPr>
            <w:tcW w:w="5000" w:type="pct"/>
            <w:tcBorders>
              <w:top w:val="nil"/>
              <w:left w:val="nil"/>
              <w:bottom w:val="nil"/>
              <w:right w:val="nil"/>
            </w:tcBorders>
            <w:shd w:val="clear" w:color="auto" w:fill="auto"/>
          </w:tcPr>
          <w:p w14:paraId="503C5253" w14:textId="77777777" w:rsidR="0011262F" w:rsidRPr="00176D3F" w:rsidRDefault="0011262F" w:rsidP="00B54007">
            <w:pPr>
              <w:pStyle w:val="Note"/>
            </w:pPr>
            <w:proofErr w:type="spellStart"/>
            <w:r>
              <w:rPr>
                <w:rStyle w:val="NoteLabel"/>
              </w:rPr>
              <w:t>a</w:t>
            </w:r>
            <w:proofErr w:type="spellEnd"/>
            <w:r>
              <w:t xml:space="preserve"> Each line represents a cubic spline curve (machine learning technique) fitted to a fund’s expense and assets for a selection of medium to large funds. </w:t>
            </w:r>
            <w:r>
              <w:rPr>
                <w:rStyle w:val="NoteLabel"/>
              </w:rPr>
              <w:t>b</w:t>
            </w:r>
            <w:r>
              <w:t xml:space="preserve"> Shows there is likely to be heterogeneity in slopes and to a lesser extent intercepts. Many curves look log-like.</w:t>
            </w:r>
          </w:p>
        </w:tc>
      </w:tr>
      <w:tr w:rsidR="0011262F" w:rsidRPr="00176D3F" w14:paraId="1BF3EDF5" w14:textId="77777777" w:rsidTr="00B54007">
        <w:tc>
          <w:tcPr>
            <w:tcW w:w="5000" w:type="pct"/>
            <w:tcBorders>
              <w:top w:val="nil"/>
              <w:left w:val="nil"/>
              <w:bottom w:val="nil"/>
              <w:right w:val="nil"/>
            </w:tcBorders>
            <w:shd w:val="clear" w:color="auto" w:fill="auto"/>
          </w:tcPr>
          <w:p w14:paraId="6D8B8180" w14:textId="77777777" w:rsidR="0011262F" w:rsidRPr="00176D3F" w:rsidRDefault="0011262F" w:rsidP="00B54007">
            <w:pPr>
              <w:pStyle w:val="Source"/>
            </w:pPr>
            <w:r w:rsidRPr="000020F3">
              <w:rPr>
                <w:i/>
              </w:rPr>
              <w:t>Source</w:t>
            </w:r>
            <w:r w:rsidRPr="000020F3">
              <w:t xml:space="preserve">: </w:t>
            </w:r>
            <w:r>
              <w:rPr>
                <w:rFonts w:eastAsia="+mn-ea" w:cs="Arial"/>
                <w:color w:val="000000" w:themeColor="text1"/>
                <w:kern w:val="24"/>
                <w:szCs w:val="18"/>
              </w:rPr>
              <w:t>PC analysis of unpublished APRA data</w:t>
            </w:r>
            <w:r w:rsidRPr="000020F3">
              <w:rPr>
                <w:rFonts w:eastAsia="+mn-ea" w:cs="Arial"/>
                <w:color w:val="000000" w:themeColor="text1"/>
                <w:kern w:val="24"/>
                <w:szCs w:val="18"/>
              </w:rPr>
              <w:t>.</w:t>
            </w:r>
          </w:p>
        </w:tc>
      </w:tr>
      <w:tr w:rsidR="0011262F" w14:paraId="31352A5A" w14:textId="77777777" w:rsidTr="00B54007">
        <w:tc>
          <w:tcPr>
            <w:tcW w:w="5000" w:type="pct"/>
            <w:tcBorders>
              <w:top w:val="nil"/>
              <w:left w:val="nil"/>
              <w:bottom w:val="single" w:sz="6" w:space="0" w:color="78A22F"/>
              <w:right w:val="nil"/>
            </w:tcBorders>
            <w:shd w:val="clear" w:color="auto" w:fill="auto"/>
          </w:tcPr>
          <w:p w14:paraId="77FC9D8D" w14:textId="77777777" w:rsidR="0011262F" w:rsidRDefault="0011262F" w:rsidP="00B54007">
            <w:pPr>
              <w:pStyle w:val="Figurespace"/>
            </w:pPr>
          </w:p>
        </w:tc>
      </w:tr>
      <w:tr w:rsidR="0011262F" w:rsidRPr="000863A5" w14:paraId="12F7AB4F" w14:textId="77777777" w:rsidTr="00B54007">
        <w:tc>
          <w:tcPr>
            <w:tcW w:w="5000" w:type="pct"/>
            <w:tcBorders>
              <w:top w:val="single" w:sz="6" w:space="0" w:color="78A22F"/>
              <w:left w:val="nil"/>
              <w:bottom w:val="nil"/>
              <w:right w:val="nil"/>
            </w:tcBorders>
          </w:tcPr>
          <w:p w14:paraId="5FA6898C" w14:textId="77777777" w:rsidR="0011262F" w:rsidRPr="00626D32" w:rsidRDefault="0011262F" w:rsidP="00B54007">
            <w:pPr>
              <w:pStyle w:val="BoxSpaceBelow"/>
            </w:pPr>
          </w:p>
        </w:tc>
      </w:tr>
    </w:tbl>
    <w:p w14:paraId="4273BB4F" w14:textId="77777777" w:rsidR="0011262F" w:rsidRPr="007008FE" w:rsidRDefault="0011262F" w:rsidP="0011262F">
      <w:pPr>
        <w:pStyle w:val="Heading2"/>
      </w:pPr>
      <w:bookmarkStart w:id="76" w:name="_Toc532997281"/>
      <w:bookmarkStart w:id="77" w:name="_Toc534642300"/>
      <w:r>
        <w:lastRenderedPageBreak/>
        <w:t>Annex G: Regression results</w:t>
      </w:r>
      <w:bookmarkEnd w:id="76"/>
      <w:bookmarkEnd w:id="77"/>
    </w:p>
    <w:p w14:paraId="6CE595B8" w14:textId="77777777" w:rsidR="0011262F" w:rsidRDefault="0011262F" w:rsidP="0011262F">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1262F" w14:paraId="2200FE9B" w14:textId="77777777" w:rsidTr="00B54007">
        <w:trPr>
          <w:tblHeader/>
        </w:trPr>
        <w:tc>
          <w:tcPr>
            <w:tcW w:w="5000" w:type="pct"/>
            <w:tcBorders>
              <w:top w:val="single" w:sz="6" w:space="0" w:color="78A22F"/>
              <w:left w:val="nil"/>
              <w:bottom w:val="nil"/>
              <w:right w:val="nil"/>
            </w:tcBorders>
            <w:shd w:val="clear" w:color="auto" w:fill="auto"/>
          </w:tcPr>
          <w:p w14:paraId="3EADB3BF" w14:textId="77777777" w:rsidR="0011262F" w:rsidRDefault="0011262F" w:rsidP="00B54007">
            <w:pPr>
              <w:pStyle w:val="TableTitle"/>
            </w:pPr>
            <w:r>
              <w:rPr>
                <w:b w:val="0"/>
              </w:rPr>
              <w:t xml:space="preserve">Table </w:t>
            </w:r>
            <w:proofErr w:type="spellStart"/>
            <w:r>
              <w:rPr>
                <w:b w:val="0"/>
              </w:rPr>
              <w:t>G.1</w:t>
            </w:r>
            <w:proofErr w:type="spellEnd"/>
            <w:r>
              <w:tab/>
              <w:t>Mean regression: average percentage of assets in unlisted asset classes</w:t>
            </w:r>
            <w:r w:rsidRPr="00F1457E">
              <w:rPr>
                <w:rStyle w:val="NoteLabel"/>
                <w:spacing w:val="-2"/>
              </w:rPr>
              <w:t>a</w:t>
            </w:r>
          </w:p>
          <w:p w14:paraId="28D582A0" w14:textId="77777777" w:rsidR="0011262F" w:rsidRPr="00784A05" w:rsidRDefault="0011262F" w:rsidP="00B54007">
            <w:pPr>
              <w:pStyle w:val="Subtitle"/>
            </w:pPr>
            <w:r>
              <w:t>2014 to 2017</w:t>
            </w:r>
          </w:p>
        </w:tc>
      </w:tr>
      <w:tr w:rsidR="0011262F" w14:paraId="353935E2" w14:textId="77777777" w:rsidTr="00B5400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692"/>
              <w:gridCol w:w="1727"/>
              <w:gridCol w:w="1417"/>
              <w:gridCol w:w="1395"/>
              <w:gridCol w:w="1274"/>
            </w:tblGrid>
            <w:tr w:rsidR="0011262F" w14:paraId="5EFB35B4" w14:textId="77777777" w:rsidTr="00B54007">
              <w:trPr>
                <w:tblHeader/>
              </w:trPr>
              <w:tc>
                <w:tcPr>
                  <w:tcW w:w="1583" w:type="pct"/>
                  <w:tcBorders>
                    <w:top w:val="single" w:sz="6" w:space="0" w:color="BFBFBF"/>
                    <w:bottom w:val="single" w:sz="6" w:space="0" w:color="BFBFBF"/>
                  </w:tcBorders>
                  <w:shd w:val="clear" w:color="auto" w:fill="auto"/>
                  <w:tcMar>
                    <w:top w:w="28" w:type="dxa"/>
                  </w:tcMar>
                  <w:vAlign w:val="bottom"/>
                </w:tcPr>
                <w:p w14:paraId="1B3448EB" w14:textId="77777777" w:rsidR="0011262F" w:rsidRDefault="0011262F" w:rsidP="00B54007">
                  <w:pPr>
                    <w:pStyle w:val="TableColumnHeading"/>
                  </w:pPr>
                </w:p>
              </w:tc>
              <w:tc>
                <w:tcPr>
                  <w:tcW w:w="1015" w:type="pct"/>
                  <w:tcBorders>
                    <w:top w:val="single" w:sz="6" w:space="0" w:color="BFBFBF"/>
                    <w:bottom w:val="single" w:sz="6" w:space="0" w:color="BFBFBF"/>
                  </w:tcBorders>
                  <w:vAlign w:val="bottom"/>
                </w:tcPr>
                <w:p w14:paraId="3FDE1339" w14:textId="77777777" w:rsidR="0011262F" w:rsidRDefault="0011262F" w:rsidP="00B54007">
                  <w:pPr>
                    <w:pStyle w:val="TableColumnHeading"/>
                  </w:pPr>
                  <w:r>
                    <w:t>Percentage in all unlisted asset classes</w:t>
                  </w:r>
                </w:p>
              </w:tc>
              <w:tc>
                <w:tcPr>
                  <w:tcW w:w="833" w:type="pct"/>
                  <w:tcBorders>
                    <w:top w:val="single" w:sz="6" w:space="0" w:color="BFBFBF"/>
                    <w:bottom w:val="single" w:sz="6" w:space="0" w:color="BFBFBF"/>
                  </w:tcBorders>
                  <w:vAlign w:val="bottom"/>
                </w:tcPr>
                <w:p w14:paraId="45943FDB" w14:textId="77777777" w:rsidR="0011262F" w:rsidRPr="00913E2B" w:rsidRDefault="0011262F" w:rsidP="00B54007">
                  <w:pPr>
                    <w:pStyle w:val="TableColumnHeading"/>
                  </w:pPr>
                  <w:r>
                    <w:t>Percentage in unlisted infrastructure</w:t>
                  </w:r>
                </w:p>
              </w:tc>
              <w:tc>
                <w:tcPr>
                  <w:tcW w:w="820" w:type="pct"/>
                  <w:tcBorders>
                    <w:top w:val="single" w:sz="6" w:space="0" w:color="BFBFBF"/>
                    <w:bottom w:val="single" w:sz="6" w:space="0" w:color="BFBFBF"/>
                  </w:tcBorders>
                  <w:shd w:val="clear" w:color="auto" w:fill="auto"/>
                  <w:tcMar>
                    <w:top w:w="28" w:type="dxa"/>
                  </w:tcMar>
                  <w:vAlign w:val="bottom"/>
                </w:tcPr>
                <w:p w14:paraId="63629FB4" w14:textId="77777777" w:rsidR="0011262F" w:rsidRDefault="0011262F" w:rsidP="00B54007">
                  <w:pPr>
                    <w:pStyle w:val="TableColumnHeading"/>
                  </w:pPr>
                  <w:r>
                    <w:t>Percentage in unlisted property</w:t>
                  </w:r>
                </w:p>
              </w:tc>
              <w:tc>
                <w:tcPr>
                  <w:tcW w:w="749" w:type="pct"/>
                  <w:tcBorders>
                    <w:top w:val="single" w:sz="6" w:space="0" w:color="BFBFBF"/>
                    <w:bottom w:val="single" w:sz="6" w:space="0" w:color="BFBFBF"/>
                  </w:tcBorders>
                  <w:shd w:val="clear" w:color="auto" w:fill="auto"/>
                  <w:tcMar>
                    <w:top w:w="28" w:type="dxa"/>
                  </w:tcMar>
                  <w:vAlign w:val="bottom"/>
                </w:tcPr>
                <w:p w14:paraId="5995B2DA" w14:textId="77777777" w:rsidR="0011262F" w:rsidRDefault="0011262F" w:rsidP="00B54007">
                  <w:pPr>
                    <w:pStyle w:val="TableColumnHeading"/>
                  </w:pPr>
                  <w:r>
                    <w:t>Percentage in private equity</w:t>
                  </w:r>
                </w:p>
              </w:tc>
            </w:tr>
            <w:tr w:rsidR="0011262F" w:rsidRPr="00913E2B" w14:paraId="5CBC27C3" w14:textId="77777777" w:rsidTr="00B54007">
              <w:tc>
                <w:tcPr>
                  <w:tcW w:w="1583" w:type="pct"/>
                  <w:tcBorders>
                    <w:top w:val="single" w:sz="6" w:space="0" w:color="BFBFBF"/>
                  </w:tcBorders>
                </w:tcPr>
                <w:p w14:paraId="6648126E" w14:textId="77777777" w:rsidR="0011262F" w:rsidRPr="00913E2B" w:rsidRDefault="0011262F" w:rsidP="00B54007">
                  <w:pPr>
                    <w:pStyle w:val="TableUnitsRow"/>
                    <w:jc w:val="left"/>
                  </w:pPr>
                  <w:r>
                    <w:t>Net assets</w:t>
                  </w:r>
                </w:p>
              </w:tc>
              <w:tc>
                <w:tcPr>
                  <w:tcW w:w="1015" w:type="pct"/>
                  <w:vAlign w:val="center"/>
                </w:tcPr>
                <w:p w14:paraId="75F7F035" w14:textId="77777777" w:rsidR="0011262F" w:rsidRPr="00913E2B" w:rsidRDefault="0011262F" w:rsidP="00B54007">
                  <w:pPr>
                    <w:pStyle w:val="TableBodyText"/>
                  </w:pPr>
                  <w:r>
                    <w:t>0.907</w:t>
                  </w:r>
                </w:p>
              </w:tc>
              <w:tc>
                <w:tcPr>
                  <w:tcW w:w="833" w:type="pct"/>
                  <w:vAlign w:val="center"/>
                </w:tcPr>
                <w:p w14:paraId="43C710D2" w14:textId="77777777" w:rsidR="0011262F" w:rsidRDefault="0011262F" w:rsidP="00B54007">
                  <w:pPr>
                    <w:pStyle w:val="TableBodyText"/>
                  </w:pPr>
                  <w:r>
                    <w:t>0.557</w:t>
                  </w:r>
                  <w:r>
                    <w:rPr>
                      <w:vertAlign w:val="superscript"/>
                    </w:rPr>
                    <w:t>***</w:t>
                  </w:r>
                </w:p>
              </w:tc>
              <w:tc>
                <w:tcPr>
                  <w:tcW w:w="820" w:type="pct"/>
                  <w:vAlign w:val="center"/>
                </w:tcPr>
                <w:p w14:paraId="46DD33F6" w14:textId="77777777" w:rsidR="0011262F" w:rsidRPr="00913E2B" w:rsidRDefault="0011262F" w:rsidP="00B54007">
                  <w:pPr>
                    <w:pStyle w:val="TableBodyText"/>
                  </w:pPr>
                  <w:r>
                    <w:t>-0.223</w:t>
                  </w:r>
                </w:p>
              </w:tc>
              <w:tc>
                <w:tcPr>
                  <w:tcW w:w="749" w:type="pct"/>
                  <w:vAlign w:val="center"/>
                </w:tcPr>
                <w:p w14:paraId="2F1F3EE2" w14:textId="77777777" w:rsidR="0011262F" w:rsidRPr="00913E2B" w:rsidRDefault="0011262F" w:rsidP="00B54007">
                  <w:pPr>
                    <w:pStyle w:val="TableBodyText"/>
                  </w:pPr>
                  <w:r>
                    <w:t>0.573</w:t>
                  </w:r>
                </w:p>
              </w:tc>
            </w:tr>
            <w:tr w:rsidR="0011262F" w:rsidRPr="00913E2B" w14:paraId="16BFB710" w14:textId="77777777" w:rsidTr="00B54007">
              <w:tc>
                <w:tcPr>
                  <w:tcW w:w="1583" w:type="pct"/>
                </w:tcPr>
                <w:p w14:paraId="394E3E81" w14:textId="77777777" w:rsidR="0011262F" w:rsidRPr="00913E2B" w:rsidRDefault="0011262F" w:rsidP="00B54007">
                  <w:pPr>
                    <w:pStyle w:val="TableBodyText"/>
                    <w:jc w:val="left"/>
                  </w:pPr>
                </w:p>
              </w:tc>
              <w:tc>
                <w:tcPr>
                  <w:tcW w:w="1015" w:type="pct"/>
                  <w:vAlign w:val="center"/>
                </w:tcPr>
                <w:p w14:paraId="09C0AC77" w14:textId="77777777" w:rsidR="0011262F" w:rsidRPr="00913E2B" w:rsidRDefault="0011262F" w:rsidP="00B54007">
                  <w:pPr>
                    <w:pStyle w:val="TableBodyText"/>
                  </w:pPr>
                  <w:r>
                    <w:t>(0.838)</w:t>
                  </w:r>
                </w:p>
              </w:tc>
              <w:tc>
                <w:tcPr>
                  <w:tcW w:w="833" w:type="pct"/>
                  <w:vAlign w:val="center"/>
                </w:tcPr>
                <w:p w14:paraId="3FA4FD4A" w14:textId="77777777" w:rsidR="0011262F" w:rsidRDefault="0011262F" w:rsidP="00B54007">
                  <w:pPr>
                    <w:pStyle w:val="TableBodyText"/>
                  </w:pPr>
                  <w:r>
                    <w:t>(0.200)</w:t>
                  </w:r>
                </w:p>
              </w:tc>
              <w:tc>
                <w:tcPr>
                  <w:tcW w:w="820" w:type="pct"/>
                  <w:vAlign w:val="center"/>
                </w:tcPr>
                <w:p w14:paraId="3795D23B" w14:textId="77777777" w:rsidR="0011262F" w:rsidRPr="00913E2B" w:rsidRDefault="0011262F" w:rsidP="00B54007">
                  <w:pPr>
                    <w:pStyle w:val="TableBodyText"/>
                  </w:pPr>
                  <w:r>
                    <w:t>(0.381)</w:t>
                  </w:r>
                </w:p>
              </w:tc>
              <w:tc>
                <w:tcPr>
                  <w:tcW w:w="749" w:type="pct"/>
                  <w:vAlign w:val="center"/>
                </w:tcPr>
                <w:p w14:paraId="09AEECD1" w14:textId="77777777" w:rsidR="0011262F" w:rsidRPr="00913E2B" w:rsidRDefault="0011262F" w:rsidP="00B54007">
                  <w:pPr>
                    <w:pStyle w:val="TableBodyText"/>
                  </w:pPr>
                  <w:r>
                    <w:t>(0.651)</w:t>
                  </w:r>
                </w:p>
              </w:tc>
            </w:tr>
            <w:tr w:rsidR="0011262F" w:rsidRPr="00913E2B" w14:paraId="670405FD" w14:textId="77777777" w:rsidTr="00B54007">
              <w:tc>
                <w:tcPr>
                  <w:tcW w:w="1583" w:type="pct"/>
                  <w:shd w:val="clear" w:color="auto" w:fill="F2F2F2" w:themeFill="background1" w:themeFillShade="F2"/>
                  <w:vAlign w:val="center"/>
                </w:tcPr>
                <w:p w14:paraId="53DEAFF0" w14:textId="77777777" w:rsidR="0011262F" w:rsidRPr="004F3392" w:rsidRDefault="0011262F" w:rsidP="00B54007">
                  <w:pPr>
                    <w:pStyle w:val="TableUnitsRow"/>
                    <w:jc w:val="left"/>
                  </w:pPr>
                  <w:r>
                    <w:t>Industry</w:t>
                  </w:r>
                </w:p>
              </w:tc>
              <w:tc>
                <w:tcPr>
                  <w:tcW w:w="1015" w:type="pct"/>
                  <w:shd w:val="clear" w:color="auto" w:fill="F2F2F2" w:themeFill="background1" w:themeFillShade="F2"/>
                  <w:vAlign w:val="center"/>
                </w:tcPr>
                <w:p w14:paraId="21105CD6" w14:textId="77777777" w:rsidR="0011262F" w:rsidRPr="004F3392" w:rsidRDefault="0011262F" w:rsidP="00B54007">
                  <w:pPr>
                    <w:pStyle w:val="TableBodyText"/>
                  </w:pPr>
                  <w:r>
                    <w:t>21.901</w:t>
                  </w:r>
                </w:p>
              </w:tc>
              <w:tc>
                <w:tcPr>
                  <w:tcW w:w="833" w:type="pct"/>
                  <w:shd w:val="clear" w:color="auto" w:fill="F2F2F2" w:themeFill="background1" w:themeFillShade="F2"/>
                  <w:vAlign w:val="center"/>
                </w:tcPr>
                <w:p w14:paraId="0BC63EA2" w14:textId="77777777" w:rsidR="0011262F" w:rsidRPr="004F3392" w:rsidRDefault="0011262F" w:rsidP="00B54007">
                  <w:pPr>
                    <w:pStyle w:val="TableBodyText"/>
                  </w:pPr>
                  <w:r>
                    <w:t>4.319</w:t>
                  </w:r>
                </w:p>
              </w:tc>
              <w:tc>
                <w:tcPr>
                  <w:tcW w:w="820" w:type="pct"/>
                  <w:shd w:val="clear" w:color="auto" w:fill="F2F2F2" w:themeFill="background1" w:themeFillShade="F2"/>
                  <w:vAlign w:val="center"/>
                </w:tcPr>
                <w:p w14:paraId="4F5D8BDE" w14:textId="77777777" w:rsidR="0011262F" w:rsidRPr="004F3392" w:rsidRDefault="0011262F" w:rsidP="00B54007">
                  <w:pPr>
                    <w:pStyle w:val="TableBodyText"/>
                  </w:pPr>
                  <w:r>
                    <w:t>0.156</w:t>
                  </w:r>
                </w:p>
              </w:tc>
              <w:tc>
                <w:tcPr>
                  <w:tcW w:w="749" w:type="pct"/>
                  <w:shd w:val="clear" w:color="auto" w:fill="F2F2F2" w:themeFill="background1" w:themeFillShade="F2"/>
                  <w:vAlign w:val="center"/>
                </w:tcPr>
                <w:p w14:paraId="52CB9445" w14:textId="77777777" w:rsidR="0011262F" w:rsidRPr="004F3392" w:rsidRDefault="0011262F" w:rsidP="00B54007">
                  <w:pPr>
                    <w:pStyle w:val="TableBodyText"/>
                  </w:pPr>
                  <w:r>
                    <w:t>17.425</w:t>
                  </w:r>
                </w:p>
              </w:tc>
            </w:tr>
            <w:tr w:rsidR="0011262F" w:rsidRPr="00913E2B" w14:paraId="2D35961F" w14:textId="77777777" w:rsidTr="00B54007">
              <w:tc>
                <w:tcPr>
                  <w:tcW w:w="1583" w:type="pct"/>
                  <w:shd w:val="clear" w:color="auto" w:fill="F2F2F2" w:themeFill="background1" w:themeFillShade="F2"/>
                  <w:vAlign w:val="center"/>
                </w:tcPr>
                <w:p w14:paraId="20669C78" w14:textId="77777777" w:rsidR="0011262F" w:rsidRPr="004F3392" w:rsidRDefault="0011262F" w:rsidP="00B54007">
                  <w:pPr>
                    <w:pStyle w:val="TableUnitsRow"/>
                    <w:jc w:val="left"/>
                  </w:pPr>
                </w:p>
              </w:tc>
              <w:tc>
                <w:tcPr>
                  <w:tcW w:w="1015" w:type="pct"/>
                  <w:shd w:val="clear" w:color="auto" w:fill="F2F2F2" w:themeFill="background1" w:themeFillShade="F2"/>
                  <w:vAlign w:val="center"/>
                </w:tcPr>
                <w:p w14:paraId="1B8D6E1B" w14:textId="77777777" w:rsidR="0011262F" w:rsidRPr="004F3392" w:rsidRDefault="0011262F" w:rsidP="00B54007">
                  <w:pPr>
                    <w:pStyle w:val="TableBodyText"/>
                  </w:pPr>
                  <w:r>
                    <w:t>(18.898)</w:t>
                  </w:r>
                </w:p>
              </w:tc>
              <w:tc>
                <w:tcPr>
                  <w:tcW w:w="833" w:type="pct"/>
                  <w:shd w:val="clear" w:color="auto" w:fill="F2F2F2" w:themeFill="background1" w:themeFillShade="F2"/>
                  <w:vAlign w:val="center"/>
                </w:tcPr>
                <w:p w14:paraId="1BC5B25D" w14:textId="77777777" w:rsidR="0011262F" w:rsidRPr="004F3392" w:rsidRDefault="0011262F" w:rsidP="00B54007">
                  <w:pPr>
                    <w:pStyle w:val="TableBodyText"/>
                  </w:pPr>
                  <w:r>
                    <w:t>(4.516)</w:t>
                  </w:r>
                </w:p>
              </w:tc>
              <w:tc>
                <w:tcPr>
                  <w:tcW w:w="820" w:type="pct"/>
                  <w:shd w:val="clear" w:color="auto" w:fill="F2F2F2" w:themeFill="background1" w:themeFillShade="F2"/>
                  <w:vAlign w:val="center"/>
                </w:tcPr>
                <w:p w14:paraId="0A58683D" w14:textId="77777777" w:rsidR="0011262F" w:rsidRPr="004F3392" w:rsidRDefault="0011262F" w:rsidP="00B54007">
                  <w:pPr>
                    <w:pStyle w:val="TableBodyText"/>
                  </w:pPr>
                  <w:r>
                    <w:t>(8.595)</w:t>
                  </w:r>
                </w:p>
              </w:tc>
              <w:tc>
                <w:tcPr>
                  <w:tcW w:w="749" w:type="pct"/>
                  <w:shd w:val="clear" w:color="auto" w:fill="F2F2F2" w:themeFill="background1" w:themeFillShade="F2"/>
                  <w:vAlign w:val="center"/>
                </w:tcPr>
                <w:p w14:paraId="7CA3A673" w14:textId="77777777" w:rsidR="0011262F" w:rsidRPr="004F3392" w:rsidRDefault="0011262F" w:rsidP="00B54007">
                  <w:pPr>
                    <w:pStyle w:val="TableBodyText"/>
                  </w:pPr>
                  <w:r>
                    <w:t>(14.686)</w:t>
                  </w:r>
                </w:p>
              </w:tc>
            </w:tr>
            <w:tr w:rsidR="0011262F" w:rsidRPr="00913E2B" w14:paraId="635EB793" w14:textId="77777777" w:rsidTr="00B54007">
              <w:tc>
                <w:tcPr>
                  <w:tcW w:w="1583" w:type="pct"/>
                  <w:vAlign w:val="center"/>
                </w:tcPr>
                <w:p w14:paraId="7BCCDEFA" w14:textId="77777777" w:rsidR="0011262F" w:rsidRPr="00913E2B" w:rsidRDefault="0011262F" w:rsidP="00B54007">
                  <w:pPr>
                    <w:pStyle w:val="TableUnitsRow"/>
                    <w:jc w:val="left"/>
                  </w:pPr>
                  <w:r>
                    <w:t>Public sector</w:t>
                  </w:r>
                </w:p>
              </w:tc>
              <w:tc>
                <w:tcPr>
                  <w:tcW w:w="1015" w:type="pct"/>
                  <w:vAlign w:val="center"/>
                </w:tcPr>
                <w:p w14:paraId="7D93141A" w14:textId="77777777" w:rsidR="0011262F" w:rsidRPr="00913E2B" w:rsidRDefault="0011262F" w:rsidP="00B54007">
                  <w:pPr>
                    <w:pStyle w:val="TableBodyText"/>
                  </w:pPr>
                  <w:r>
                    <w:t>21.378</w:t>
                  </w:r>
                </w:p>
              </w:tc>
              <w:tc>
                <w:tcPr>
                  <w:tcW w:w="833" w:type="pct"/>
                  <w:vAlign w:val="center"/>
                </w:tcPr>
                <w:p w14:paraId="0E77303F" w14:textId="77777777" w:rsidR="0011262F" w:rsidRDefault="0011262F" w:rsidP="00B54007">
                  <w:pPr>
                    <w:pStyle w:val="TableBodyText"/>
                  </w:pPr>
                  <w:r>
                    <w:t>-0.209</w:t>
                  </w:r>
                </w:p>
              </w:tc>
              <w:tc>
                <w:tcPr>
                  <w:tcW w:w="820" w:type="pct"/>
                  <w:vAlign w:val="center"/>
                </w:tcPr>
                <w:p w14:paraId="0D828BAD" w14:textId="77777777" w:rsidR="0011262F" w:rsidRPr="00913E2B" w:rsidRDefault="0011262F" w:rsidP="00B54007">
                  <w:pPr>
                    <w:pStyle w:val="TableBodyText"/>
                  </w:pPr>
                  <w:r>
                    <w:t>0.635</w:t>
                  </w:r>
                </w:p>
              </w:tc>
              <w:tc>
                <w:tcPr>
                  <w:tcW w:w="749" w:type="pct"/>
                  <w:vAlign w:val="center"/>
                </w:tcPr>
                <w:p w14:paraId="64351475" w14:textId="77777777" w:rsidR="0011262F" w:rsidRPr="00913E2B" w:rsidRDefault="0011262F" w:rsidP="00B54007">
                  <w:pPr>
                    <w:pStyle w:val="TableBodyText"/>
                  </w:pPr>
                  <w:r>
                    <w:t>20.952</w:t>
                  </w:r>
                </w:p>
              </w:tc>
            </w:tr>
            <w:tr w:rsidR="0011262F" w:rsidRPr="00913E2B" w14:paraId="67956A5D" w14:textId="77777777" w:rsidTr="00B54007">
              <w:tc>
                <w:tcPr>
                  <w:tcW w:w="1583" w:type="pct"/>
                  <w:vAlign w:val="center"/>
                </w:tcPr>
                <w:p w14:paraId="43B571E5" w14:textId="77777777" w:rsidR="0011262F" w:rsidRPr="00913E2B" w:rsidRDefault="0011262F" w:rsidP="00B54007">
                  <w:pPr>
                    <w:pStyle w:val="TableUnitsRow"/>
                    <w:jc w:val="left"/>
                  </w:pPr>
                </w:p>
              </w:tc>
              <w:tc>
                <w:tcPr>
                  <w:tcW w:w="1015" w:type="pct"/>
                  <w:vAlign w:val="center"/>
                </w:tcPr>
                <w:p w14:paraId="22DF42D2" w14:textId="77777777" w:rsidR="0011262F" w:rsidRPr="00913E2B" w:rsidRDefault="0011262F" w:rsidP="00B54007">
                  <w:pPr>
                    <w:pStyle w:val="TableBodyText"/>
                  </w:pPr>
                  <w:r>
                    <w:t>(29.976)</w:t>
                  </w:r>
                </w:p>
              </w:tc>
              <w:tc>
                <w:tcPr>
                  <w:tcW w:w="833" w:type="pct"/>
                  <w:vAlign w:val="center"/>
                </w:tcPr>
                <w:p w14:paraId="6A1349F4" w14:textId="77777777" w:rsidR="0011262F" w:rsidRDefault="0011262F" w:rsidP="00B54007">
                  <w:pPr>
                    <w:pStyle w:val="TableBodyText"/>
                  </w:pPr>
                  <w:r>
                    <w:t>(7.163)</w:t>
                  </w:r>
                </w:p>
              </w:tc>
              <w:tc>
                <w:tcPr>
                  <w:tcW w:w="820" w:type="pct"/>
                  <w:vAlign w:val="center"/>
                </w:tcPr>
                <w:p w14:paraId="0109036A" w14:textId="77777777" w:rsidR="0011262F" w:rsidRPr="00913E2B" w:rsidRDefault="0011262F" w:rsidP="00B54007">
                  <w:pPr>
                    <w:pStyle w:val="TableBodyText"/>
                  </w:pPr>
                  <w:r>
                    <w:t>(13.634)</w:t>
                  </w:r>
                </w:p>
              </w:tc>
              <w:tc>
                <w:tcPr>
                  <w:tcW w:w="749" w:type="pct"/>
                  <w:vAlign w:val="center"/>
                </w:tcPr>
                <w:p w14:paraId="51D4B0F4" w14:textId="77777777" w:rsidR="0011262F" w:rsidRPr="00913E2B" w:rsidRDefault="0011262F" w:rsidP="00B54007">
                  <w:pPr>
                    <w:pStyle w:val="TableBodyText"/>
                  </w:pPr>
                  <w:r>
                    <w:t>(23.295)</w:t>
                  </w:r>
                </w:p>
              </w:tc>
            </w:tr>
            <w:tr w:rsidR="0011262F" w:rsidRPr="00913E2B" w14:paraId="5B20EBB0" w14:textId="77777777" w:rsidTr="00B54007">
              <w:tc>
                <w:tcPr>
                  <w:tcW w:w="1583" w:type="pct"/>
                  <w:shd w:val="clear" w:color="auto" w:fill="F2F2F2" w:themeFill="background1" w:themeFillShade="F2"/>
                  <w:vAlign w:val="center"/>
                </w:tcPr>
                <w:p w14:paraId="6A1E6266" w14:textId="77777777" w:rsidR="0011262F" w:rsidRPr="00913E2B" w:rsidRDefault="0011262F" w:rsidP="00B54007">
                  <w:pPr>
                    <w:pStyle w:val="TableUnitsRow"/>
                    <w:jc w:val="left"/>
                  </w:pPr>
                  <w:r>
                    <w:t>Retail</w:t>
                  </w:r>
                </w:p>
              </w:tc>
              <w:tc>
                <w:tcPr>
                  <w:tcW w:w="1015" w:type="pct"/>
                  <w:shd w:val="clear" w:color="auto" w:fill="F2F2F2" w:themeFill="background1" w:themeFillShade="F2"/>
                  <w:vAlign w:val="center"/>
                </w:tcPr>
                <w:p w14:paraId="2AB1E37C" w14:textId="77777777" w:rsidR="0011262F" w:rsidRPr="00913E2B" w:rsidRDefault="0011262F" w:rsidP="00B54007">
                  <w:pPr>
                    <w:pStyle w:val="TableBodyText"/>
                  </w:pPr>
                  <w:r>
                    <w:t>-2.753</w:t>
                  </w:r>
                </w:p>
              </w:tc>
              <w:tc>
                <w:tcPr>
                  <w:tcW w:w="833" w:type="pct"/>
                  <w:shd w:val="clear" w:color="auto" w:fill="F2F2F2" w:themeFill="background1" w:themeFillShade="F2"/>
                  <w:vAlign w:val="center"/>
                </w:tcPr>
                <w:p w14:paraId="0570CC44" w14:textId="77777777" w:rsidR="0011262F" w:rsidRDefault="0011262F" w:rsidP="00B54007">
                  <w:pPr>
                    <w:pStyle w:val="TableBodyText"/>
                  </w:pPr>
                  <w:r>
                    <w:t>4.473</w:t>
                  </w:r>
                </w:p>
              </w:tc>
              <w:tc>
                <w:tcPr>
                  <w:tcW w:w="820" w:type="pct"/>
                  <w:shd w:val="clear" w:color="auto" w:fill="F2F2F2" w:themeFill="background1" w:themeFillShade="F2"/>
                  <w:vAlign w:val="center"/>
                </w:tcPr>
                <w:p w14:paraId="5358F35E" w14:textId="77777777" w:rsidR="0011262F" w:rsidRPr="00913E2B" w:rsidRDefault="0011262F" w:rsidP="00B54007">
                  <w:pPr>
                    <w:pStyle w:val="TableBodyText"/>
                  </w:pPr>
                  <w:r>
                    <w:t>-5.327</w:t>
                  </w:r>
                </w:p>
              </w:tc>
              <w:tc>
                <w:tcPr>
                  <w:tcW w:w="749" w:type="pct"/>
                  <w:shd w:val="clear" w:color="auto" w:fill="F2F2F2" w:themeFill="background1" w:themeFillShade="F2"/>
                  <w:vAlign w:val="center"/>
                </w:tcPr>
                <w:p w14:paraId="167D2C80" w14:textId="77777777" w:rsidR="0011262F" w:rsidRPr="00913E2B" w:rsidRDefault="0011262F" w:rsidP="00B54007">
                  <w:pPr>
                    <w:pStyle w:val="TableBodyText"/>
                  </w:pPr>
                  <w:r>
                    <w:t>-1.900</w:t>
                  </w:r>
                </w:p>
              </w:tc>
            </w:tr>
            <w:tr w:rsidR="0011262F" w:rsidRPr="00913E2B" w14:paraId="3B619BD1" w14:textId="77777777" w:rsidTr="00B54007">
              <w:tc>
                <w:tcPr>
                  <w:tcW w:w="1583" w:type="pct"/>
                  <w:shd w:val="clear" w:color="auto" w:fill="F2F2F2" w:themeFill="background1" w:themeFillShade="F2"/>
                  <w:vAlign w:val="center"/>
                </w:tcPr>
                <w:p w14:paraId="18FE99D4" w14:textId="77777777" w:rsidR="0011262F" w:rsidRPr="00913E2B" w:rsidRDefault="0011262F" w:rsidP="00B54007">
                  <w:pPr>
                    <w:pStyle w:val="TableUnitsRow"/>
                    <w:jc w:val="left"/>
                  </w:pPr>
                </w:p>
              </w:tc>
              <w:tc>
                <w:tcPr>
                  <w:tcW w:w="1015" w:type="pct"/>
                  <w:shd w:val="clear" w:color="auto" w:fill="F2F2F2" w:themeFill="background1" w:themeFillShade="F2"/>
                  <w:vAlign w:val="center"/>
                </w:tcPr>
                <w:p w14:paraId="7A601A27" w14:textId="77777777" w:rsidR="0011262F" w:rsidRPr="00913E2B" w:rsidRDefault="0011262F" w:rsidP="00B54007">
                  <w:pPr>
                    <w:pStyle w:val="TableBodyText"/>
                  </w:pPr>
                  <w:r>
                    <w:t>(11.969)</w:t>
                  </w:r>
                </w:p>
              </w:tc>
              <w:tc>
                <w:tcPr>
                  <w:tcW w:w="833" w:type="pct"/>
                  <w:shd w:val="clear" w:color="auto" w:fill="F2F2F2" w:themeFill="background1" w:themeFillShade="F2"/>
                  <w:vAlign w:val="center"/>
                </w:tcPr>
                <w:p w14:paraId="53D83697" w14:textId="77777777" w:rsidR="0011262F" w:rsidRDefault="0011262F" w:rsidP="00B54007">
                  <w:pPr>
                    <w:pStyle w:val="TableBodyText"/>
                  </w:pPr>
                  <w:r>
                    <w:t>(2.860)</w:t>
                  </w:r>
                </w:p>
              </w:tc>
              <w:tc>
                <w:tcPr>
                  <w:tcW w:w="820" w:type="pct"/>
                  <w:shd w:val="clear" w:color="auto" w:fill="F2F2F2" w:themeFill="background1" w:themeFillShade="F2"/>
                  <w:vAlign w:val="center"/>
                </w:tcPr>
                <w:p w14:paraId="28B31267" w14:textId="77777777" w:rsidR="0011262F" w:rsidRPr="00913E2B" w:rsidRDefault="0011262F" w:rsidP="00B54007">
                  <w:pPr>
                    <w:pStyle w:val="TableBodyText"/>
                  </w:pPr>
                  <w:r>
                    <w:t>(5.444)</w:t>
                  </w:r>
                </w:p>
              </w:tc>
              <w:tc>
                <w:tcPr>
                  <w:tcW w:w="749" w:type="pct"/>
                  <w:shd w:val="clear" w:color="auto" w:fill="F2F2F2" w:themeFill="background1" w:themeFillShade="F2"/>
                  <w:vAlign w:val="center"/>
                </w:tcPr>
                <w:p w14:paraId="78D5C132" w14:textId="77777777" w:rsidR="0011262F" w:rsidRPr="00913E2B" w:rsidRDefault="0011262F" w:rsidP="00B54007">
                  <w:pPr>
                    <w:pStyle w:val="TableBodyText"/>
                  </w:pPr>
                  <w:r>
                    <w:t>(9.301)</w:t>
                  </w:r>
                </w:p>
              </w:tc>
            </w:tr>
            <w:tr w:rsidR="0011262F" w:rsidRPr="00913E2B" w14:paraId="11505856" w14:textId="77777777" w:rsidTr="00B54007">
              <w:tc>
                <w:tcPr>
                  <w:tcW w:w="1583" w:type="pct"/>
                  <w:vAlign w:val="center"/>
                </w:tcPr>
                <w:p w14:paraId="2AA3761F" w14:textId="77777777" w:rsidR="0011262F" w:rsidRPr="00913E2B" w:rsidRDefault="0011262F" w:rsidP="00B54007">
                  <w:pPr>
                    <w:pStyle w:val="TableUnitsRow"/>
                    <w:jc w:val="left"/>
                  </w:pPr>
                  <w:r>
                    <w:t>Net assets x Industry</w:t>
                  </w:r>
                </w:p>
              </w:tc>
              <w:tc>
                <w:tcPr>
                  <w:tcW w:w="1015" w:type="pct"/>
                  <w:vAlign w:val="center"/>
                </w:tcPr>
                <w:p w14:paraId="5BF74AE4" w14:textId="77777777" w:rsidR="0011262F" w:rsidRPr="00913E2B" w:rsidRDefault="0011262F" w:rsidP="00B54007">
                  <w:pPr>
                    <w:pStyle w:val="TableBodyText"/>
                  </w:pPr>
                  <w:r>
                    <w:t>-0.943</w:t>
                  </w:r>
                </w:p>
              </w:tc>
              <w:tc>
                <w:tcPr>
                  <w:tcW w:w="833" w:type="pct"/>
                  <w:vAlign w:val="center"/>
                </w:tcPr>
                <w:p w14:paraId="3900FF8B" w14:textId="77777777" w:rsidR="0011262F" w:rsidRDefault="0011262F" w:rsidP="00B54007">
                  <w:pPr>
                    <w:pStyle w:val="TableBodyText"/>
                  </w:pPr>
                  <w:r>
                    <w:t>-0.130</w:t>
                  </w:r>
                </w:p>
              </w:tc>
              <w:tc>
                <w:tcPr>
                  <w:tcW w:w="820" w:type="pct"/>
                  <w:vAlign w:val="center"/>
                </w:tcPr>
                <w:p w14:paraId="765854DB" w14:textId="77777777" w:rsidR="0011262F" w:rsidRPr="00913E2B" w:rsidRDefault="0011262F" w:rsidP="00B54007">
                  <w:pPr>
                    <w:pStyle w:val="TableBodyText"/>
                  </w:pPr>
                  <w:r>
                    <w:t>0.175</w:t>
                  </w:r>
                </w:p>
              </w:tc>
              <w:tc>
                <w:tcPr>
                  <w:tcW w:w="749" w:type="pct"/>
                  <w:vAlign w:val="center"/>
                </w:tcPr>
                <w:p w14:paraId="35BC3BD6" w14:textId="77777777" w:rsidR="0011262F" w:rsidRPr="00913E2B" w:rsidRDefault="0011262F" w:rsidP="00B54007">
                  <w:pPr>
                    <w:pStyle w:val="TableBodyText"/>
                  </w:pPr>
                  <w:r>
                    <w:t>-0.987</w:t>
                  </w:r>
                </w:p>
              </w:tc>
            </w:tr>
            <w:tr w:rsidR="0011262F" w:rsidRPr="00913E2B" w14:paraId="053F6C2B" w14:textId="77777777" w:rsidTr="00B54007">
              <w:tc>
                <w:tcPr>
                  <w:tcW w:w="1583" w:type="pct"/>
                  <w:vAlign w:val="center"/>
                </w:tcPr>
                <w:p w14:paraId="52599BAE" w14:textId="77777777" w:rsidR="0011262F" w:rsidRPr="00913E2B" w:rsidRDefault="0011262F" w:rsidP="00B54007">
                  <w:pPr>
                    <w:pStyle w:val="TableUnitsRow"/>
                    <w:jc w:val="left"/>
                  </w:pPr>
                </w:p>
              </w:tc>
              <w:tc>
                <w:tcPr>
                  <w:tcW w:w="1015" w:type="pct"/>
                  <w:vAlign w:val="center"/>
                </w:tcPr>
                <w:p w14:paraId="52B64424" w14:textId="77777777" w:rsidR="0011262F" w:rsidRPr="00913E2B" w:rsidRDefault="0011262F" w:rsidP="00B54007">
                  <w:pPr>
                    <w:pStyle w:val="TableBodyText"/>
                  </w:pPr>
                  <w:r>
                    <w:t>(1.311)</w:t>
                  </w:r>
                </w:p>
              </w:tc>
              <w:tc>
                <w:tcPr>
                  <w:tcW w:w="833" w:type="pct"/>
                  <w:vAlign w:val="center"/>
                </w:tcPr>
                <w:p w14:paraId="3561026E" w14:textId="77777777" w:rsidR="0011262F" w:rsidRDefault="0011262F" w:rsidP="00B54007">
                  <w:pPr>
                    <w:pStyle w:val="TableBodyText"/>
                  </w:pPr>
                  <w:r>
                    <w:t>(0.313)</w:t>
                  </w:r>
                </w:p>
              </w:tc>
              <w:tc>
                <w:tcPr>
                  <w:tcW w:w="820" w:type="pct"/>
                  <w:vAlign w:val="center"/>
                </w:tcPr>
                <w:p w14:paraId="65A6F845" w14:textId="77777777" w:rsidR="0011262F" w:rsidRPr="00913E2B" w:rsidRDefault="0011262F" w:rsidP="00B54007">
                  <w:pPr>
                    <w:pStyle w:val="TableBodyText"/>
                  </w:pPr>
                  <w:r>
                    <w:t>(0.596)</w:t>
                  </w:r>
                </w:p>
              </w:tc>
              <w:tc>
                <w:tcPr>
                  <w:tcW w:w="749" w:type="pct"/>
                  <w:vAlign w:val="center"/>
                </w:tcPr>
                <w:p w14:paraId="518F65C1" w14:textId="77777777" w:rsidR="0011262F" w:rsidRPr="00913E2B" w:rsidRDefault="0011262F" w:rsidP="00B54007">
                  <w:pPr>
                    <w:pStyle w:val="TableBodyText"/>
                  </w:pPr>
                  <w:r>
                    <w:t>(1.018)</w:t>
                  </w:r>
                </w:p>
              </w:tc>
            </w:tr>
            <w:tr w:rsidR="0011262F" w:rsidRPr="00913E2B" w14:paraId="4410201C" w14:textId="77777777" w:rsidTr="00B54007">
              <w:tc>
                <w:tcPr>
                  <w:tcW w:w="1583" w:type="pct"/>
                  <w:shd w:val="clear" w:color="auto" w:fill="F2F2F2" w:themeFill="background1" w:themeFillShade="F2"/>
                  <w:vAlign w:val="center"/>
                </w:tcPr>
                <w:p w14:paraId="6D2552EF" w14:textId="77777777" w:rsidR="0011262F" w:rsidRPr="00913E2B" w:rsidRDefault="0011262F" w:rsidP="00B54007">
                  <w:pPr>
                    <w:pStyle w:val="TableUnitsRow"/>
                    <w:jc w:val="left"/>
                  </w:pPr>
                  <w:r>
                    <w:t>Net assets x Public sector</w:t>
                  </w:r>
                </w:p>
              </w:tc>
              <w:tc>
                <w:tcPr>
                  <w:tcW w:w="1015" w:type="pct"/>
                  <w:shd w:val="clear" w:color="auto" w:fill="F2F2F2" w:themeFill="background1" w:themeFillShade="F2"/>
                  <w:vAlign w:val="center"/>
                </w:tcPr>
                <w:p w14:paraId="4BEB8632" w14:textId="77777777" w:rsidR="0011262F" w:rsidRPr="00913E2B" w:rsidRDefault="0011262F" w:rsidP="00B54007">
                  <w:pPr>
                    <w:pStyle w:val="TableBodyText"/>
                  </w:pPr>
                  <w:r>
                    <w:t>-1.008</w:t>
                  </w:r>
                </w:p>
              </w:tc>
              <w:tc>
                <w:tcPr>
                  <w:tcW w:w="833" w:type="pct"/>
                  <w:shd w:val="clear" w:color="auto" w:fill="F2F2F2" w:themeFill="background1" w:themeFillShade="F2"/>
                  <w:vAlign w:val="center"/>
                </w:tcPr>
                <w:p w14:paraId="2588113F" w14:textId="77777777" w:rsidR="0011262F" w:rsidRDefault="0011262F" w:rsidP="00B54007">
                  <w:pPr>
                    <w:pStyle w:val="TableBodyText"/>
                  </w:pPr>
                  <w:r>
                    <w:t>-0.031</w:t>
                  </w:r>
                </w:p>
              </w:tc>
              <w:tc>
                <w:tcPr>
                  <w:tcW w:w="820" w:type="pct"/>
                  <w:shd w:val="clear" w:color="auto" w:fill="F2F2F2" w:themeFill="background1" w:themeFillShade="F2"/>
                  <w:vAlign w:val="center"/>
                </w:tcPr>
                <w:p w14:paraId="700A52A2" w14:textId="77777777" w:rsidR="0011262F" w:rsidRPr="00913E2B" w:rsidRDefault="0011262F" w:rsidP="00B54007">
                  <w:pPr>
                    <w:pStyle w:val="TableBodyText"/>
                  </w:pPr>
                  <w:r>
                    <w:t>0.112</w:t>
                  </w:r>
                </w:p>
              </w:tc>
              <w:tc>
                <w:tcPr>
                  <w:tcW w:w="749" w:type="pct"/>
                  <w:shd w:val="clear" w:color="auto" w:fill="F2F2F2" w:themeFill="background1" w:themeFillShade="F2"/>
                  <w:vAlign w:val="center"/>
                </w:tcPr>
                <w:p w14:paraId="57110C42" w14:textId="77777777" w:rsidR="0011262F" w:rsidRPr="00913E2B" w:rsidRDefault="0011262F" w:rsidP="00B54007">
                  <w:pPr>
                    <w:pStyle w:val="TableBodyText"/>
                  </w:pPr>
                  <w:r>
                    <w:t>-1.088</w:t>
                  </w:r>
                </w:p>
              </w:tc>
            </w:tr>
            <w:tr w:rsidR="0011262F" w:rsidRPr="00913E2B" w14:paraId="3EC36AA1" w14:textId="77777777" w:rsidTr="00B54007">
              <w:tc>
                <w:tcPr>
                  <w:tcW w:w="1583" w:type="pct"/>
                  <w:shd w:val="clear" w:color="auto" w:fill="F2F2F2" w:themeFill="background1" w:themeFillShade="F2"/>
                  <w:vAlign w:val="center"/>
                </w:tcPr>
                <w:p w14:paraId="39ACADBC" w14:textId="77777777" w:rsidR="0011262F" w:rsidRPr="00913E2B" w:rsidRDefault="0011262F" w:rsidP="00B54007">
                  <w:pPr>
                    <w:pStyle w:val="TableUnitsRow"/>
                    <w:jc w:val="left"/>
                  </w:pPr>
                </w:p>
              </w:tc>
              <w:tc>
                <w:tcPr>
                  <w:tcW w:w="1015" w:type="pct"/>
                  <w:shd w:val="clear" w:color="auto" w:fill="F2F2F2" w:themeFill="background1" w:themeFillShade="F2"/>
                  <w:vAlign w:val="center"/>
                </w:tcPr>
                <w:p w14:paraId="3091DDCA" w14:textId="77777777" w:rsidR="0011262F" w:rsidRPr="00913E2B" w:rsidRDefault="0011262F" w:rsidP="00B54007">
                  <w:pPr>
                    <w:pStyle w:val="TableBodyText"/>
                  </w:pPr>
                  <w:r>
                    <w:t>(1.941)</w:t>
                  </w:r>
                </w:p>
              </w:tc>
              <w:tc>
                <w:tcPr>
                  <w:tcW w:w="833" w:type="pct"/>
                  <w:shd w:val="clear" w:color="auto" w:fill="F2F2F2" w:themeFill="background1" w:themeFillShade="F2"/>
                  <w:vAlign w:val="center"/>
                </w:tcPr>
                <w:p w14:paraId="66F655B6" w14:textId="77777777" w:rsidR="0011262F" w:rsidRDefault="0011262F" w:rsidP="00B54007">
                  <w:pPr>
                    <w:pStyle w:val="TableBodyText"/>
                  </w:pPr>
                  <w:r>
                    <w:t>(0.464)</w:t>
                  </w:r>
                </w:p>
              </w:tc>
              <w:tc>
                <w:tcPr>
                  <w:tcW w:w="820" w:type="pct"/>
                  <w:shd w:val="clear" w:color="auto" w:fill="F2F2F2" w:themeFill="background1" w:themeFillShade="F2"/>
                  <w:vAlign w:val="center"/>
                </w:tcPr>
                <w:p w14:paraId="13432453" w14:textId="77777777" w:rsidR="0011262F" w:rsidRPr="00913E2B" w:rsidRDefault="0011262F" w:rsidP="00B54007">
                  <w:pPr>
                    <w:pStyle w:val="TableBodyText"/>
                  </w:pPr>
                  <w:r>
                    <w:t>(0.883)</w:t>
                  </w:r>
                </w:p>
              </w:tc>
              <w:tc>
                <w:tcPr>
                  <w:tcW w:w="749" w:type="pct"/>
                  <w:shd w:val="clear" w:color="auto" w:fill="F2F2F2" w:themeFill="background1" w:themeFillShade="F2"/>
                  <w:vAlign w:val="center"/>
                </w:tcPr>
                <w:p w14:paraId="11D54BA3" w14:textId="77777777" w:rsidR="0011262F" w:rsidRPr="00913E2B" w:rsidRDefault="0011262F" w:rsidP="00B54007">
                  <w:pPr>
                    <w:pStyle w:val="TableBodyText"/>
                  </w:pPr>
                  <w:r>
                    <w:t>(1.508)</w:t>
                  </w:r>
                </w:p>
              </w:tc>
            </w:tr>
            <w:tr w:rsidR="0011262F" w:rsidRPr="00913E2B" w14:paraId="7F71C714" w14:textId="77777777" w:rsidTr="00B54007">
              <w:tc>
                <w:tcPr>
                  <w:tcW w:w="1583" w:type="pct"/>
                  <w:vAlign w:val="center"/>
                </w:tcPr>
                <w:p w14:paraId="69DE8817" w14:textId="77777777" w:rsidR="0011262F" w:rsidRPr="004F3392" w:rsidRDefault="0011262F" w:rsidP="00B54007">
                  <w:pPr>
                    <w:pStyle w:val="TableUnitsRow"/>
                    <w:jc w:val="left"/>
                  </w:pPr>
                  <w:r>
                    <w:t>Net assets x Retail</w:t>
                  </w:r>
                </w:p>
              </w:tc>
              <w:tc>
                <w:tcPr>
                  <w:tcW w:w="1015" w:type="pct"/>
                  <w:vAlign w:val="center"/>
                </w:tcPr>
                <w:p w14:paraId="1917BFE3" w14:textId="77777777" w:rsidR="0011262F" w:rsidRPr="00913E2B" w:rsidRDefault="0011262F" w:rsidP="00B54007">
                  <w:pPr>
                    <w:pStyle w:val="TableBodyText"/>
                  </w:pPr>
                  <w:r>
                    <w:t>-0.284</w:t>
                  </w:r>
                </w:p>
              </w:tc>
              <w:tc>
                <w:tcPr>
                  <w:tcW w:w="833" w:type="pct"/>
                  <w:vAlign w:val="center"/>
                </w:tcPr>
                <w:p w14:paraId="3F291FA9" w14:textId="77777777" w:rsidR="0011262F" w:rsidRDefault="0011262F" w:rsidP="00B54007">
                  <w:pPr>
                    <w:pStyle w:val="TableBodyText"/>
                  </w:pPr>
                  <w:r>
                    <w:t>-0.450</w:t>
                  </w:r>
                  <w:r>
                    <w:rPr>
                      <w:vertAlign w:val="superscript"/>
                    </w:rPr>
                    <w:t>**</w:t>
                  </w:r>
                </w:p>
              </w:tc>
              <w:tc>
                <w:tcPr>
                  <w:tcW w:w="820" w:type="pct"/>
                  <w:vAlign w:val="center"/>
                </w:tcPr>
                <w:p w14:paraId="27B07914" w14:textId="77777777" w:rsidR="0011262F" w:rsidRPr="00913E2B" w:rsidRDefault="0011262F" w:rsidP="00B54007">
                  <w:pPr>
                    <w:pStyle w:val="TableBodyText"/>
                  </w:pPr>
                  <w:r>
                    <w:t>0.119</w:t>
                  </w:r>
                </w:p>
              </w:tc>
              <w:tc>
                <w:tcPr>
                  <w:tcW w:w="749" w:type="pct"/>
                  <w:vAlign w:val="center"/>
                </w:tcPr>
                <w:p w14:paraId="3821B036" w14:textId="77777777" w:rsidR="0011262F" w:rsidRPr="00913E2B" w:rsidRDefault="0011262F" w:rsidP="00B54007">
                  <w:pPr>
                    <w:pStyle w:val="TableBodyText"/>
                  </w:pPr>
                  <w:r>
                    <w:t>0.048</w:t>
                  </w:r>
                </w:p>
              </w:tc>
            </w:tr>
            <w:tr w:rsidR="0011262F" w:rsidRPr="00913E2B" w14:paraId="53A3950A" w14:textId="77777777" w:rsidTr="00B54007">
              <w:tc>
                <w:tcPr>
                  <w:tcW w:w="1583" w:type="pct"/>
                  <w:vAlign w:val="center"/>
                </w:tcPr>
                <w:p w14:paraId="4AEF44B3" w14:textId="77777777" w:rsidR="0011262F" w:rsidRPr="00913E2B" w:rsidRDefault="0011262F" w:rsidP="00B54007">
                  <w:pPr>
                    <w:pStyle w:val="TableUnitsRow"/>
                    <w:jc w:val="left"/>
                  </w:pPr>
                </w:p>
              </w:tc>
              <w:tc>
                <w:tcPr>
                  <w:tcW w:w="1015" w:type="pct"/>
                  <w:vAlign w:val="center"/>
                </w:tcPr>
                <w:p w14:paraId="582B595F" w14:textId="77777777" w:rsidR="0011262F" w:rsidRPr="00913E2B" w:rsidRDefault="0011262F" w:rsidP="00B54007">
                  <w:pPr>
                    <w:pStyle w:val="TableBodyText"/>
                  </w:pPr>
                  <w:r>
                    <w:t>(0.914)</w:t>
                  </w:r>
                </w:p>
              </w:tc>
              <w:tc>
                <w:tcPr>
                  <w:tcW w:w="833" w:type="pct"/>
                  <w:vAlign w:val="center"/>
                </w:tcPr>
                <w:p w14:paraId="12108342" w14:textId="77777777" w:rsidR="0011262F" w:rsidRDefault="0011262F" w:rsidP="00B54007">
                  <w:pPr>
                    <w:pStyle w:val="TableBodyText"/>
                  </w:pPr>
                  <w:r>
                    <w:t>(0.219)</w:t>
                  </w:r>
                </w:p>
              </w:tc>
              <w:tc>
                <w:tcPr>
                  <w:tcW w:w="820" w:type="pct"/>
                  <w:vAlign w:val="center"/>
                </w:tcPr>
                <w:p w14:paraId="1E88241D" w14:textId="77777777" w:rsidR="0011262F" w:rsidRPr="00913E2B" w:rsidRDefault="0011262F" w:rsidP="00B54007">
                  <w:pPr>
                    <w:pStyle w:val="TableBodyText"/>
                  </w:pPr>
                  <w:r>
                    <w:t>(0.416)</w:t>
                  </w:r>
                </w:p>
              </w:tc>
              <w:tc>
                <w:tcPr>
                  <w:tcW w:w="749" w:type="pct"/>
                  <w:vAlign w:val="center"/>
                </w:tcPr>
                <w:p w14:paraId="67DE3BA8" w14:textId="77777777" w:rsidR="0011262F" w:rsidRPr="00913E2B" w:rsidRDefault="0011262F" w:rsidP="00B54007">
                  <w:pPr>
                    <w:pStyle w:val="TableBodyText"/>
                  </w:pPr>
                  <w:r>
                    <w:t>(0.711)</w:t>
                  </w:r>
                </w:p>
              </w:tc>
            </w:tr>
            <w:tr w:rsidR="0011262F" w:rsidRPr="00913E2B" w14:paraId="1921FB48" w14:textId="77777777" w:rsidTr="00B54007">
              <w:tc>
                <w:tcPr>
                  <w:tcW w:w="1583" w:type="pct"/>
                  <w:shd w:val="clear" w:color="auto" w:fill="F2F2F2" w:themeFill="background1" w:themeFillShade="F2"/>
                  <w:vAlign w:val="center"/>
                </w:tcPr>
                <w:p w14:paraId="459987E2" w14:textId="77777777" w:rsidR="0011262F" w:rsidRPr="00913E2B" w:rsidRDefault="0011262F" w:rsidP="00B54007">
                  <w:pPr>
                    <w:pStyle w:val="TableUnitsRow"/>
                    <w:jc w:val="left"/>
                  </w:pPr>
                  <w:r>
                    <w:t>Intercept</w:t>
                  </w:r>
                </w:p>
              </w:tc>
              <w:tc>
                <w:tcPr>
                  <w:tcW w:w="1015" w:type="pct"/>
                  <w:shd w:val="clear" w:color="auto" w:fill="F2F2F2" w:themeFill="background1" w:themeFillShade="F2"/>
                  <w:vAlign w:val="center"/>
                </w:tcPr>
                <w:p w14:paraId="2DFECE7B" w14:textId="77777777" w:rsidR="0011262F" w:rsidRPr="00913E2B" w:rsidRDefault="0011262F" w:rsidP="00B54007">
                  <w:pPr>
                    <w:pStyle w:val="TableBodyText"/>
                  </w:pPr>
                  <w:r>
                    <w:t>-0.503</w:t>
                  </w:r>
                </w:p>
              </w:tc>
              <w:tc>
                <w:tcPr>
                  <w:tcW w:w="833" w:type="pct"/>
                  <w:shd w:val="clear" w:color="auto" w:fill="F2F2F2" w:themeFill="background1" w:themeFillShade="F2"/>
                  <w:vAlign w:val="center"/>
                </w:tcPr>
                <w:p w14:paraId="2344154F" w14:textId="77777777" w:rsidR="0011262F" w:rsidRDefault="0011262F" w:rsidP="00B54007">
                  <w:pPr>
                    <w:pStyle w:val="TableBodyText"/>
                  </w:pPr>
                  <w:r>
                    <w:t>-5.414</w:t>
                  </w:r>
                  <w:r>
                    <w:rPr>
                      <w:vertAlign w:val="superscript"/>
                    </w:rPr>
                    <w:t>**</w:t>
                  </w:r>
                </w:p>
              </w:tc>
              <w:tc>
                <w:tcPr>
                  <w:tcW w:w="820" w:type="pct"/>
                  <w:shd w:val="clear" w:color="auto" w:fill="F2F2F2" w:themeFill="background1" w:themeFillShade="F2"/>
                  <w:vAlign w:val="center"/>
                </w:tcPr>
                <w:p w14:paraId="05F23C43" w14:textId="77777777" w:rsidR="0011262F" w:rsidRPr="00913E2B" w:rsidRDefault="0011262F" w:rsidP="00B54007">
                  <w:pPr>
                    <w:pStyle w:val="TableBodyText"/>
                  </w:pPr>
                  <w:r>
                    <w:t>8.484</w:t>
                  </w:r>
                  <w:r>
                    <w:rPr>
                      <w:vertAlign w:val="superscript"/>
                    </w:rPr>
                    <w:t>*</w:t>
                  </w:r>
                </w:p>
              </w:tc>
              <w:tc>
                <w:tcPr>
                  <w:tcW w:w="749" w:type="pct"/>
                  <w:shd w:val="clear" w:color="auto" w:fill="F2F2F2" w:themeFill="background1" w:themeFillShade="F2"/>
                  <w:vAlign w:val="center"/>
                </w:tcPr>
                <w:p w14:paraId="38FE9189" w14:textId="77777777" w:rsidR="0011262F" w:rsidRPr="00913E2B" w:rsidRDefault="0011262F" w:rsidP="00B54007">
                  <w:pPr>
                    <w:pStyle w:val="TableBodyText"/>
                  </w:pPr>
                  <w:r>
                    <w:t>-3.573</w:t>
                  </w:r>
                </w:p>
              </w:tc>
            </w:tr>
            <w:tr w:rsidR="0011262F" w:rsidRPr="00913E2B" w14:paraId="282A6D94" w14:textId="77777777" w:rsidTr="00B54007">
              <w:tc>
                <w:tcPr>
                  <w:tcW w:w="1583" w:type="pct"/>
                  <w:shd w:val="clear" w:color="auto" w:fill="F2F2F2" w:themeFill="background1" w:themeFillShade="F2"/>
                  <w:vAlign w:val="center"/>
                </w:tcPr>
                <w:p w14:paraId="47B1A9B6" w14:textId="77777777" w:rsidR="0011262F" w:rsidRPr="00913E2B" w:rsidRDefault="0011262F" w:rsidP="00B54007">
                  <w:pPr>
                    <w:pStyle w:val="TableUnitsRow"/>
                    <w:jc w:val="left"/>
                  </w:pPr>
                </w:p>
              </w:tc>
              <w:tc>
                <w:tcPr>
                  <w:tcW w:w="1015" w:type="pct"/>
                  <w:shd w:val="clear" w:color="auto" w:fill="F2F2F2" w:themeFill="background1" w:themeFillShade="F2"/>
                  <w:vAlign w:val="center"/>
                </w:tcPr>
                <w:p w14:paraId="05C87992" w14:textId="77777777" w:rsidR="0011262F" w:rsidRPr="00913E2B" w:rsidRDefault="0011262F" w:rsidP="00B54007">
                  <w:pPr>
                    <w:pStyle w:val="TableBodyText"/>
                  </w:pPr>
                  <w:r>
                    <w:t>(10.946)</w:t>
                  </w:r>
                </w:p>
              </w:tc>
              <w:tc>
                <w:tcPr>
                  <w:tcW w:w="833" w:type="pct"/>
                  <w:shd w:val="clear" w:color="auto" w:fill="F2F2F2" w:themeFill="background1" w:themeFillShade="F2"/>
                  <w:vAlign w:val="center"/>
                </w:tcPr>
                <w:p w14:paraId="76EC9055" w14:textId="77777777" w:rsidR="0011262F" w:rsidRDefault="0011262F" w:rsidP="00B54007">
                  <w:pPr>
                    <w:pStyle w:val="TableBodyText"/>
                  </w:pPr>
                  <w:r>
                    <w:t>(2.616)</w:t>
                  </w:r>
                </w:p>
              </w:tc>
              <w:tc>
                <w:tcPr>
                  <w:tcW w:w="820" w:type="pct"/>
                  <w:shd w:val="clear" w:color="auto" w:fill="F2F2F2" w:themeFill="background1" w:themeFillShade="F2"/>
                  <w:vAlign w:val="center"/>
                </w:tcPr>
                <w:p w14:paraId="6C69F2DB" w14:textId="77777777" w:rsidR="0011262F" w:rsidRPr="00913E2B" w:rsidRDefault="0011262F" w:rsidP="00B54007">
                  <w:pPr>
                    <w:pStyle w:val="TableBodyText"/>
                  </w:pPr>
                  <w:r>
                    <w:t>(4.979)</w:t>
                  </w:r>
                </w:p>
              </w:tc>
              <w:tc>
                <w:tcPr>
                  <w:tcW w:w="749" w:type="pct"/>
                  <w:shd w:val="clear" w:color="auto" w:fill="F2F2F2" w:themeFill="background1" w:themeFillShade="F2"/>
                  <w:vAlign w:val="center"/>
                </w:tcPr>
                <w:p w14:paraId="37969DA4" w14:textId="77777777" w:rsidR="0011262F" w:rsidRPr="00913E2B" w:rsidRDefault="0011262F" w:rsidP="00B54007">
                  <w:pPr>
                    <w:pStyle w:val="TableBodyText"/>
                  </w:pPr>
                  <w:r>
                    <w:t>(8.507)</w:t>
                  </w:r>
                </w:p>
              </w:tc>
            </w:tr>
            <w:tr w:rsidR="0011262F" w:rsidRPr="00913E2B" w14:paraId="298246C0" w14:textId="77777777" w:rsidTr="00B54007">
              <w:tc>
                <w:tcPr>
                  <w:tcW w:w="1583" w:type="pct"/>
                  <w:shd w:val="clear" w:color="auto" w:fill="auto"/>
                </w:tcPr>
                <w:p w14:paraId="7EBA87CD" w14:textId="77777777" w:rsidR="0011262F" w:rsidRPr="00913E2B" w:rsidRDefault="0011262F" w:rsidP="00B54007">
                  <w:pPr>
                    <w:pStyle w:val="TableUnitsRow"/>
                    <w:jc w:val="left"/>
                  </w:pPr>
                </w:p>
              </w:tc>
              <w:tc>
                <w:tcPr>
                  <w:tcW w:w="1015" w:type="pct"/>
                </w:tcPr>
                <w:p w14:paraId="54F8B6C9" w14:textId="77777777" w:rsidR="0011262F" w:rsidRPr="00913E2B" w:rsidRDefault="0011262F" w:rsidP="00B54007">
                  <w:pPr>
                    <w:pStyle w:val="TableBodyText"/>
                  </w:pPr>
                </w:p>
              </w:tc>
              <w:tc>
                <w:tcPr>
                  <w:tcW w:w="833" w:type="pct"/>
                </w:tcPr>
                <w:p w14:paraId="64892BD6" w14:textId="77777777" w:rsidR="0011262F" w:rsidRPr="00913E2B" w:rsidRDefault="0011262F" w:rsidP="00B54007">
                  <w:pPr>
                    <w:pStyle w:val="TableBodyText"/>
                  </w:pPr>
                </w:p>
              </w:tc>
              <w:tc>
                <w:tcPr>
                  <w:tcW w:w="820" w:type="pct"/>
                  <w:shd w:val="clear" w:color="auto" w:fill="auto"/>
                </w:tcPr>
                <w:p w14:paraId="7D63A361" w14:textId="77777777" w:rsidR="0011262F" w:rsidRPr="00913E2B" w:rsidRDefault="0011262F" w:rsidP="00B54007">
                  <w:pPr>
                    <w:pStyle w:val="TableBodyText"/>
                  </w:pPr>
                </w:p>
              </w:tc>
              <w:tc>
                <w:tcPr>
                  <w:tcW w:w="749" w:type="pct"/>
                  <w:shd w:val="clear" w:color="auto" w:fill="auto"/>
                </w:tcPr>
                <w:p w14:paraId="727FBCFE" w14:textId="77777777" w:rsidR="0011262F" w:rsidRPr="00913E2B" w:rsidRDefault="0011262F" w:rsidP="00B54007">
                  <w:pPr>
                    <w:pStyle w:val="TableBodyText"/>
                    <w:ind w:right="28"/>
                  </w:pPr>
                </w:p>
              </w:tc>
            </w:tr>
            <w:tr w:rsidR="0011262F" w:rsidRPr="00913E2B" w14:paraId="42F7C646" w14:textId="77777777" w:rsidTr="00B54007">
              <w:tc>
                <w:tcPr>
                  <w:tcW w:w="1583" w:type="pct"/>
                  <w:vAlign w:val="center"/>
                </w:tcPr>
                <w:p w14:paraId="05E0EB93" w14:textId="77777777" w:rsidR="0011262F" w:rsidRPr="00913E2B" w:rsidRDefault="0011262F" w:rsidP="00B54007">
                  <w:pPr>
                    <w:pStyle w:val="TableUnitsRow"/>
                    <w:jc w:val="left"/>
                  </w:pPr>
                  <m:oMathPara>
                    <m:oMathParaPr>
                      <m:jc m:val="left"/>
                    </m:oMathParaPr>
                    <m:oMath>
                      <m:r>
                        <w:rPr>
                          <w:rFonts w:ascii="Cambria Math" w:hAnsi="Cambria Math"/>
                        </w:rPr>
                        <m:t>N</m:t>
                      </m:r>
                    </m:oMath>
                  </m:oMathPara>
                </w:p>
              </w:tc>
              <w:tc>
                <w:tcPr>
                  <w:tcW w:w="1015" w:type="pct"/>
                  <w:vAlign w:val="center"/>
                </w:tcPr>
                <w:p w14:paraId="20BA263E" w14:textId="77777777" w:rsidR="0011262F" w:rsidRPr="00913E2B" w:rsidRDefault="0011262F" w:rsidP="00B54007">
                  <w:pPr>
                    <w:pStyle w:val="TableBodyText"/>
                  </w:pPr>
                  <w:r>
                    <w:t>178</w:t>
                  </w:r>
                </w:p>
              </w:tc>
              <w:tc>
                <w:tcPr>
                  <w:tcW w:w="833" w:type="pct"/>
                  <w:vAlign w:val="center"/>
                </w:tcPr>
                <w:p w14:paraId="2059E913" w14:textId="77777777" w:rsidR="0011262F" w:rsidRDefault="0011262F" w:rsidP="00B54007">
                  <w:pPr>
                    <w:pStyle w:val="TableBodyText"/>
                  </w:pPr>
                  <w:r>
                    <w:t>178</w:t>
                  </w:r>
                </w:p>
              </w:tc>
              <w:tc>
                <w:tcPr>
                  <w:tcW w:w="820" w:type="pct"/>
                  <w:vAlign w:val="center"/>
                </w:tcPr>
                <w:p w14:paraId="344F3B7F" w14:textId="77777777" w:rsidR="0011262F" w:rsidRPr="00913E2B" w:rsidRDefault="0011262F" w:rsidP="00B54007">
                  <w:pPr>
                    <w:pStyle w:val="TableBodyText"/>
                  </w:pPr>
                  <w:r>
                    <w:t>178</w:t>
                  </w:r>
                </w:p>
              </w:tc>
              <w:tc>
                <w:tcPr>
                  <w:tcW w:w="749" w:type="pct"/>
                  <w:vAlign w:val="center"/>
                </w:tcPr>
                <w:p w14:paraId="5EAA3673" w14:textId="77777777" w:rsidR="0011262F" w:rsidRPr="00913E2B" w:rsidRDefault="0011262F" w:rsidP="00B54007">
                  <w:pPr>
                    <w:pStyle w:val="TableBodyText"/>
                  </w:pPr>
                  <w:r>
                    <w:t>178</w:t>
                  </w:r>
                </w:p>
              </w:tc>
            </w:tr>
            <w:tr w:rsidR="0011262F" w:rsidRPr="00913E2B" w14:paraId="6838D935" w14:textId="77777777" w:rsidTr="00B54007">
              <w:tc>
                <w:tcPr>
                  <w:tcW w:w="1583" w:type="pct"/>
                  <w:vAlign w:val="center"/>
                </w:tcPr>
                <w:p w14:paraId="367E45DE" w14:textId="77777777" w:rsidR="0011262F" w:rsidRPr="00913E2B" w:rsidRDefault="002F0937" w:rsidP="00B54007">
                  <w:pPr>
                    <w:pStyle w:val="TableUnitsRow"/>
                    <w:jc w:val="left"/>
                  </w:pPr>
                  <m:oMathPara>
                    <m:oMathParaPr>
                      <m:jc m:val="left"/>
                    </m:oMathParaPr>
                    <m:oMath>
                      <m:sSup>
                        <m:sSupPr>
                          <m:ctrlPr>
                            <w:rPr>
                              <w:rFonts w:ascii="Cambria Math" w:hAnsi="Cambria Math"/>
                              <w:i/>
                            </w:rPr>
                          </m:ctrlPr>
                        </m:sSupPr>
                        <m:e>
                          <m:r>
                            <w:rPr>
                              <w:rFonts w:ascii="Cambria Math" w:hAnsi="Cambria Math"/>
                            </w:rPr>
                            <m:t>R</m:t>
                          </m:r>
                        </m:e>
                        <m:sup>
                          <m:r>
                            <w:rPr>
                              <w:rFonts w:ascii="Cambria Math" w:hAnsi="Cambria Math"/>
                            </w:rPr>
                            <m:t>2</m:t>
                          </m:r>
                        </m:sup>
                      </m:sSup>
                    </m:oMath>
                  </m:oMathPara>
                </w:p>
              </w:tc>
              <w:tc>
                <w:tcPr>
                  <w:tcW w:w="1015" w:type="pct"/>
                  <w:vAlign w:val="center"/>
                </w:tcPr>
                <w:p w14:paraId="254B38B5" w14:textId="77777777" w:rsidR="0011262F" w:rsidRPr="00913E2B" w:rsidRDefault="0011262F" w:rsidP="00B54007">
                  <w:pPr>
                    <w:pStyle w:val="TableBodyText"/>
                  </w:pPr>
                  <w:r>
                    <w:t>0.409</w:t>
                  </w:r>
                </w:p>
              </w:tc>
              <w:tc>
                <w:tcPr>
                  <w:tcW w:w="833" w:type="pct"/>
                  <w:vAlign w:val="center"/>
                </w:tcPr>
                <w:p w14:paraId="51CB302D" w14:textId="77777777" w:rsidR="0011262F" w:rsidRDefault="0011262F" w:rsidP="00B54007">
                  <w:pPr>
                    <w:pStyle w:val="TableBodyText"/>
                  </w:pPr>
                  <w:r>
                    <w:t>0.509</w:t>
                  </w:r>
                </w:p>
              </w:tc>
              <w:tc>
                <w:tcPr>
                  <w:tcW w:w="820" w:type="pct"/>
                  <w:vAlign w:val="center"/>
                </w:tcPr>
                <w:p w14:paraId="7B03FF91" w14:textId="77777777" w:rsidR="0011262F" w:rsidRPr="00913E2B" w:rsidRDefault="0011262F" w:rsidP="00B54007">
                  <w:pPr>
                    <w:pStyle w:val="TableBodyText"/>
                  </w:pPr>
                  <w:r>
                    <w:t>0.331</w:t>
                  </w:r>
                </w:p>
              </w:tc>
              <w:tc>
                <w:tcPr>
                  <w:tcW w:w="749" w:type="pct"/>
                  <w:vAlign w:val="center"/>
                </w:tcPr>
                <w:p w14:paraId="637059FB" w14:textId="77777777" w:rsidR="0011262F" w:rsidRPr="00913E2B" w:rsidRDefault="0011262F" w:rsidP="00B54007">
                  <w:pPr>
                    <w:pStyle w:val="TableBodyText"/>
                  </w:pPr>
                  <w:r>
                    <w:t>0.148</w:t>
                  </w:r>
                </w:p>
              </w:tc>
            </w:tr>
            <w:tr w:rsidR="0011262F" w14:paraId="6488CFE2" w14:textId="77777777" w:rsidTr="00B54007">
              <w:tc>
                <w:tcPr>
                  <w:tcW w:w="1583" w:type="pct"/>
                  <w:shd w:val="clear" w:color="auto" w:fill="auto"/>
                </w:tcPr>
                <w:p w14:paraId="67F1BD17" w14:textId="77777777" w:rsidR="0011262F" w:rsidRDefault="0011262F" w:rsidP="00B54007">
                  <w:pPr>
                    <w:pStyle w:val="TableBodyText"/>
                    <w:jc w:val="left"/>
                  </w:pPr>
                  <w:r>
                    <w:t xml:space="preserve">Adjusted </w:t>
                  </w:r>
                  <m:oMath>
                    <m:sSup>
                      <m:sSupPr>
                        <m:ctrlPr>
                          <w:rPr>
                            <w:rFonts w:ascii="Cambria Math" w:hAnsi="Cambria Math"/>
                            <w:i/>
                          </w:rPr>
                        </m:ctrlPr>
                      </m:sSupPr>
                      <m:e>
                        <m:r>
                          <w:rPr>
                            <w:rFonts w:ascii="Cambria Math" w:hAnsi="Cambria Math"/>
                          </w:rPr>
                          <m:t>R</m:t>
                        </m:r>
                      </m:e>
                      <m:sup>
                        <m:r>
                          <w:rPr>
                            <w:rFonts w:ascii="Cambria Math" w:hAnsi="Cambria Math"/>
                          </w:rPr>
                          <m:t>2</m:t>
                        </m:r>
                      </m:sup>
                    </m:sSup>
                  </m:oMath>
                </w:p>
              </w:tc>
              <w:tc>
                <w:tcPr>
                  <w:tcW w:w="1015" w:type="pct"/>
                  <w:vAlign w:val="center"/>
                </w:tcPr>
                <w:p w14:paraId="3FEFF858" w14:textId="77777777" w:rsidR="0011262F" w:rsidRDefault="0011262F" w:rsidP="00B54007">
                  <w:pPr>
                    <w:pStyle w:val="TableBodyText"/>
                  </w:pPr>
                  <w:r>
                    <w:t>0.384</w:t>
                  </w:r>
                </w:p>
              </w:tc>
              <w:tc>
                <w:tcPr>
                  <w:tcW w:w="833" w:type="pct"/>
                  <w:vAlign w:val="center"/>
                </w:tcPr>
                <w:p w14:paraId="74170B67" w14:textId="77777777" w:rsidR="0011262F" w:rsidRDefault="0011262F" w:rsidP="00B54007">
                  <w:pPr>
                    <w:pStyle w:val="TableBodyText"/>
                  </w:pPr>
                  <w:r>
                    <w:t>0.489</w:t>
                  </w:r>
                </w:p>
              </w:tc>
              <w:tc>
                <w:tcPr>
                  <w:tcW w:w="820" w:type="pct"/>
                  <w:shd w:val="clear" w:color="auto" w:fill="auto"/>
                  <w:vAlign w:val="center"/>
                </w:tcPr>
                <w:p w14:paraId="331D5A8A" w14:textId="77777777" w:rsidR="0011262F" w:rsidRDefault="0011262F" w:rsidP="00B54007">
                  <w:pPr>
                    <w:pStyle w:val="TableBodyText"/>
                  </w:pPr>
                  <w:r>
                    <w:t>0.304</w:t>
                  </w:r>
                </w:p>
              </w:tc>
              <w:tc>
                <w:tcPr>
                  <w:tcW w:w="749" w:type="pct"/>
                  <w:shd w:val="clear" w:color="auto" w:fill="auto"/>
                  <w:vAlign w:val="center"/>
                </w:tcPr>
                <w:p w14:paraId="08273E2C" w14:textId="77777777" w:rsidR="0011262F" w:rsidRDefault="0011262F" w:rsidP="00B54007">
                  <w:pPr>
                    <w:pStyle w:val="TableBodyText"/>
                  </w:pPr>
                  <w:r>
                    <w:t>0.113</w:t>
                  </w:r>
                </w:p>
              </w:tc>
            </w:tr>
            <w:tr w:rsidR="0011262F" w14:paraId="68F99986" w14:textId="77777777" w:rsidTr="00B54007">
              <w:tc>
                <w:tcPr>
                  <w:tcW w:w="1583" w:type="pct"/>
                  <w:tcBorders>
                    <w:bottom w:val="single" w:sz="6" w:space="0" w:color="BFBFBF"/>
                  </w:tcBorders>
                  <w:shd w:val="clear" w:color="auto" w:fill="auto"/>
                </w:tcPr>
                <w:p w14:paraId="6F9C1041" w14:textId="77777777" w:rsidR="0011262F" w:rsidRPr="00B13CEA" w:rsidRDefault="0011262F" w:rsidP="00B54007">
                  <w:pPr>
                    <w:pStyle w:val="TableBodyText"/>
                    <w:jc w:val="left"/>
                    <w:rPr>
                      <w:i/>
                    </w:rPr>
                  </w:pPr>
                  <w:r w:rsidRPr="00B13CEA">
                    <w:rPr>
                      <w:i/>
                    </w:rPr>
                    <w:t>F</w:t>
                  </w:r>
                </w:p>
              </w:tc>
              <w:tc>
                <w:tcPr>
                  <w:tcW w:w="1015" w:type="pct"/>
                  <w:tcBorders>
                    <w:bottom w:val="single" w:sz="6" w:space="0" w:color="BFBFBF"/>
                  </w:tcBorders>
                  <w:vAlign w:val="center"/>
                </w:tcPr>
                <w:p w14:paraId="512870D1" w14:textId="77777777" w:rsidR="0011262F" w:rsidRPr="00494F61" w:rsidRDefault="0011262F" w:rsidP="00B54007">
                  <w:pPr>
                    <w:pStyle w:val="TableBodyText"/>
                    <w:rPr>
                      <w:szCs w:val="18"/>
                    </w:rPr>
                  </w:pPr>
                  <w:r>
                    <w:t>16.795</w:t>
                  </w:r>
                  <w:r>
                    <w:rPr>
                      <w:vertAlign w:val="superscript"/>
                    </w:rPr>
                    <w:t>***</w:t>
                  </w:r>
                </w:p>
              </w:tc>
              <w:tc>
                <w:tcPr>
                  <w:tcW w:w="833" w:type="pct"/>
                  <w:tcBorders>
                    <w:bottom w:val="single" w:sz="6" w:space="0" w:color="BFBFBF"/>
                  </w:tcBorders>
                  <w:vAlign w:val="center"/>
                </w:tcPr>
                <w:p w14:paraId="177CEEA6" w14:textId="77777777" w:rsidR="0011262F" w:rsidRPr="00494F61" w:rsidRDefault="0011262F" w:rsidP="00B54007">
                  <w:pPr>
                    <w:pStyle w:val="TableBodyText"/>
                    <w:rPr>
                      <w:szCs w:val="18"/>
                    </w:rPr>
                  </w:pPr>
                  <w:r>
                    <w:t>25.203</w:t>
                  </w:r>
                  <w:r>
                    <w:rPr>
                      <w:vertAlign w:val="superscript"/>
                    </w:rPr>
                    <w:t>***</w:t>
                  </w:r>
                </w:p>
              </w:tc>
              <w:tc>
                <w:tcPr>
                  <w:tcW w:w="820" w:type="pct"/>
                  <w:tcBorders>
                    <w:bottom w:val="single" w:sz="6" w:space="0" w:color="BFBFBF"/>
                  </w:tcBorders>
                  <w:shd w:val="clear" w:color="auto" w:fill="auto"/>
                  <w:vAlign w:val="center"/>
                </w:tcPr>
                <w:p w14:paraId="2EDC1F49" w14:textId="77777777" w:rsidR="0011262F" w:rsidRPr="00494F61" w:rsidRDefault="0011262F" w:rsidP="00B54007">
                  <w:pPr>
                    <w:pStyle w:val="TableBodyText"/>
                    <w:rPr>
                      <w:szCs w:val="18"/>
                    </w:rPr>
                  </w:pPr>
                  <w:r>
                    <w:t>12.040</w:t>
                  </w:r>
                  <w:r>
                    <w:rPr>
                      <w:vertAlign w:val="superscript"/>
                    </w:rPr>
                    <w:t>***</w:t>
                  </w:r>
                </w:p>
              </w:tc>
              <w:tc>
                <w:tcPr>
                  <w:tcW w:w="749" w:type="pct"/>
                  <w:tcBorders>
                    <w:bottom w:val="single" w:sz="6" w:space="0" w:color="BFBFBF"/>
                  </w:tcBorders>
                  <w:shd w:val="clear" w:color="auto" w:fill="auto"/>
                  <w:vAlign w:val="center"/>
                </w:tcPr>
                <w:p w14:paraId="4DA90A36" w14:textId="77777777" w:rsidR="0011262F" w:rsidRPr="00494F61" w:rsidRDefault="0011262F" w:rsidP="00B54007">
                  <w:pPr>
                    <w:pStyle w:val="TableBodyText"/>
                    <w:rPr>
                      <w:szCs w:val="18"/>
                    </w:rPr>
                  </w:pPr>
                  <w:r>
                    <w:t>4.225</w:t>
                  </w:r>
                  <w:r>
                    <w:rPr>
                      <w:vertAlign w:val="superscript"/>
                    </w:rPr>
                    <w:t>***</w:t>
                  </w:r>
                </w:p>
              </w:tc>
            </w:tr>
          </w:tbl>
          <w:p w14:paraId="4A8396B3" w14:textId="77777777" w:rsidR="0011262F" w:rsidRDefault="0011262F" w:rsidP="00B54007">
            <w:pPr>
              <w:pStyle w:val="Box"/>
            </w:pPr>
          </w:p>
        </w:tc>
      </w:tr>
      <w:tr w:rsidR="0011262F" w14:paraId="786DE91A" w14:textId="77777777" w:rsidTr="00B54007">
        <w:tc>
          <w:tcPr>
            <w:tcW w:w="5000" w:type="pct"/>
            <w:tcBorders>
              <w:top w:val="nil"/>
              <w:left w:val="nil"/>
              <w:bottom w:val="nil"/>
              <w:right w:val="nil"/>
            </w:tcBorders>
            <w:shd w:val="clear" w:color="auto" w:fill="auto"/>
          </w:tcPr>
          <w:p w14:paraId="6ED4E54F" w14:textId="77777777" w:rsidR="0011262F" w:rsidRDefault="0011262F" w:rsidP="00B54007">
            <w:pPr>
              <w:pStyle w:val="Note"/>
              <w:rPr>
                <w:i/>
              </w:rPr>
            </w:pPr>
            <w:r w:rsidRPr="008E77FE">
              <w:rPr>
                <w:rStyle w:val="NoteLabel"/>
              </w:rPr>
              <w:t>a</w:t>
            </w:r>
            <w:r>
              <w:t xml:space="preserve"> </w:t>
            </w:r>
            <w:r>
              <w:rPr>
                <w:szCs w:val="18"/>
              </w:rPr>
              <w:t xml:space="preserve">Net assets for each fund are averaged over the time period and logged. </w:t>
            </w:r>
            <w:r w:rsidRPr="00132196">
              <w:rPr>
                <w:szCs w:val="18"/>
              </w:rPr>
              <w:t xml:space="preserve">The reference fund type is </w:t>
            </w:r>
            <w:r>
              <w:rPr>
                <w:szCs w:val="18"/>
              </w:rPr>
              <w:t>‘</w:t>
            </w:r>
            <w:r w:rsidRPr="00132196">
              <w:rPr>
                <w:szCs w:val="18"/>
              </w:rPr>
              <w:t>Corporate</w:t>
            </w:r>
            <w:r>
              <w:rPr>
                <w:szCs w:val="18"/>
              </w:rPr>
              <w:t>’</w:t>
            </w:r>
            <w:r w:rsidRPr="00132196">
              <w:rPr>
                <w:szCs w:val="18"/>
              </w:rPr>
              <w:t>.</w:t>
            </w:r>
            <w:r>
              <w:rPr>
                <w:szCs w:val="18"/>
              </w:rPr>
              <w:t xml:space="preserve"> </w:t>
            </w:r>
            <w:r>
              <w:t xml:space="preserve">Standard errors in parentheses. </w:t>
            </w:r>
            <w:r w:rsidRPr="00132196">
              <w:rPr>
                <w:szCs w:val="18"/>
                <w:vertAlign w:val="superscript"/>
              </w:rPr>
              <w:t>***</w:t>
            </w:r>
            <w:r>
              <w:rPr>
                <w:szCs w:val="18"/>
                <w:vertAlign w:val="superscript"/>
              </w:rPr>
              <w:t xml:space="preserve"> </w:t>
            </w:r>
            <w:r w:rsidRPr="00132196">
              <w:rPr>
                <w:szCs w:val="18"/>
              </w:rPr>
              <w:t xml:space="preserve">Significant at the 1 per cent level. </w:t>
            </w:r>
            <w:r w:rsidRPr="00132196">
              <w:rPr>
                <w:szCs w:val="18"/>
                <w:vertAlign w:val="superscript"/>
              </w:rPr>
              <w:t>**</w:t>
            </w:r>
            <w:r>
              <w:rPr>
                <w:szCs w:val="18"/>
                <w:vertAlign w:val="superscript"/>
              </w:rPr>
              <w:t xml:space="preserve"> </w:t>
            </w:r>
            <w:r w:rsidRPr="00132196">
              <w:rPr>
                <w:szCs w:val="18"/>
              </w:rPr>
              <w:t xml:space="preserve">Significant at the 5 per cent level. </w:t>
            </w:r>
            <w:r w:rsidRPr="00132196">
              <w:rPr>
                <w:szCs w:val="18"/>
                <w:vertAlign w:val="superscript"/>
              </w:rPr>
              <w:t>*</w:t>
            </w:r>
            <w:r>
              <w:rPr>
                <w:szCs w:val="18"/>
                <w:vertAlign w:val="superscript"/>
              </w:rPr>
              <w:t xml:space="preserve"> </w:t>
            </w:r>
            <w:r w:rsidRPr="00132196">
              <w:rPr>
                <w:szCs w:val="18"/>
              </w:rPr>
              <w:t>Significant at the 10 per cent level.</w:t>
            </w:r>
          </w:p>
        </w:tc>
      </w:tr>
      <w:tr w:rsidR="0011262F" w14:paraId="7D5B4B41" w14:textId="77777777" w:rsidTr="00B54007">
        <w:tc>
          <w:tcPr>
            <w:tcW w:w="5000" w:type="pct"/>
            <w:tcBorders>
              <w:top w:val="nil"/>
              <w:left w:val="nil"/>
              <w:bottom w:val="nil"/>
              <w:right w:val="nil"/>
            </w:tcBorders>
            <w:shd w:val="clear" w:color="auto" w:fill="auto"/>
          </w:tcPr>
          <w:p w14:paraId="2B948FBF" w14:textId="77777777" w:rsidR="0011262F" w:rsidRDefault="0011262F" w:rsidP="00B54007">
            <w:pPr>
              <w:pStyle w:val="Source"/>
            </w:pPr>
            <w:r w:rsidRPr="00F1457E">
              <w:rPr>
                <w:i/>
              </w:rPr>
              <w:t>Source</w:t>
            </w:r>
            <w:r w:rsidRPr="00F1457E">
              <w:t xml:space="preserve">: </w:t>
            </w:r>
            <w:r>
              <w:rPr>
                <w:rFonts w:eastAsia="+mn-ea" w:cs="Arial"/>
                <w:color w:val="000000" w:themeColor="text1"/>
                <w:kern w:val="24"/>
                <w:szCs w:val="18"/>
              </w:rPr>
              <w:t>PC analysis of unpublished APRA data (</w:t>
            </w:r>
            <w:r w:rsidRPr="00481B71">
              <w:rPr>
                <w:rFonts w:eastAsia="+mn-ea" w:cs="Arial"/>
                <w:color w:val="000000" w:themeColor="text1"/>
                <w:kern w:val="24"/>
                <w:szCs w:val="18"/>
              </w:rPr>
              <w:t>2014</w:t>
            </w:r>
            <w:r>
              <w:rPr>
                <w:rFonts w:eastAsia="+mn-ea" w:cs="Arial"/>
                <w:color w:val="000000" w:themeColor="text1"/>
                <w:kern w:val="24"/>
                <w:szCs w:val="18"/>
              </w:rPr>
              <w:t>–</w:t>
            </w:r>
            <w:r w:rsidRPr="00481B71">
              <w:rPr>
                <w:rFonts w:eastAsia="+mn-ea" w:cs="Arial"/>
                <w:color w:val="000000" w:themeColor="text1"/>
                <w:kern w:val="24"/>
                <w:szCs w:val="18"/>
              </w:rPr>
              <w:t>17</w:t>
            </w:r>
            <w:r>
              <w:rPr>
                <w:rFonts w:eastAsia="+mn-ea" w:cs="Arial"/>
                <w:color w:val="000000" w:themeColor="text1"/>
                <w:kern w:val="24"/>
                <w:szCs w:val="18"/>
              </w:rPr>
              <w:t>).</w:t>
            </w:r>
          </w:p>
        </w:tc>
      </w:tr>
      <w:tr w:rsidR="0011262F" w14:paraId="19C358AC" w14:textId="77777777" w:rsidTr="00B54007">
        <w:tc>
          <w:tcPr>
            <w:tcW w:w="5000" w:type="pct"/>
            <w:tcBorders>
              <w:top w:val="nil"/>
              <w:left w:val="nil"/>
              <w:bottom w:val="single" w:sz="6" w:space="0" w:color="78A22F"/>
              <w:right w:val="nil"/>
            </w:tcBorders>
            <w:shd w:val="clear" w:color="auto" w:fill="auto"/>
          </w:tcPr>
          <w:p w14:paraId="3262F7A6" w14:textId="77777777" w:rsidR="0011262F" w:rsidRDefault="0011262F" w:rsidP="00B54007">
            <w:pPr>
              <w:pStyle w:val="Box"/>
              <w:spacing w:before="0" w:line="120" w:lineRule="exact"/>
            </w:pPr>
          </w:p>
        </w:tc>
      </w:tr>
      <w:tr w:rsidR="0011262F" w:rsidRPr="000863A5" w14:paraId="4CDDA979" w14:textId="77777777" w:rsidTr="00B54007">
        <w:trPr>
          <w:trHeight w:val="53"/>
        </w:trPr>
        <w:tc>
          <w:tcPr>
            <w:tcW w:w="5000" w:type="pct"/>
            <w:tcBorders>
              <w:top w:val="single" w:sz="6" w:space="0" w:color="78A22F"/>
              <w:left w:val="nil"/>
              <w:bottom w:val="nil"/>
              <w:right w:val="nil"/>
            </w:tcBorders>
          </w:tcPr>
          <w:p w14:paraId="762D8F41" w14:textId="77777777" w:rsidR="0011262F" w:rsidRPr="00626D32" w:rsidRDefault="0011262F" w:rsidP="00B54007">
            <w:pPr>
              <w:pStyle w:val="BoxSpaceBelow"/>
            </w:pPr>
          </w:p>
        </w:tc>
      </w:tr>
    </w:tbl>
    <w:p w14:paraId="6EBB6058" w14:textId="77777777" w:rsidR="0011262F" w:rsidRDefault="0011262F" w:rsidP="0011262F">
      <w:r>
        <w:br w:type="page"/>
      </w:r>
    </w:p>
    <w:p w14:paraId="256C048F" w14:textId="77777777" w:rsidR="0011262F" w:rsidRDefault="0011262F" w:rsidP="0011262F">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1262F" w14:paraId="62FB5D07" w14:textId="77777777" w:rsidTr="00B54007">
        <w:trPr>
          <w:tblHeader/>
        </w:trPr>
        <w:tc>
          <w:tcPr>
            <w:tcW w:w="5000" w:type="pct"/>
            <w:tcBorders>
              <w:top w:val="single" w:sz="6" w:space="0" w:color="78A22F"/>
              <w:left w:val="nil"/>
              <w:bottom w:val="nil"/>
              <w:right w:val="nil"/>
            </w:tcBorders>
            <w:shd w:val="clear" w:color="auto" w:fill="auto"/>
          </w:tcPr>
          <w:p w14:paraId="3BF7ADB4" w14:textId="77777777" w:rsidR="0011262F" w:rsidRPr="00F1457E" w:rsidRDefault="0011262F" w:rsidP="00B54007">
            <w:pPr>
              <w:pStyle w:val="TableTitle"/>
              <w:rPr>
                <w:spacing w:val="-2"/>
              </w:rPr>
            </w:pPr>
            <w:r>
              <w:rPr>
                <w:b w:val="0"/>
              </w:rPr>
              <w:t xml:space="preserve">Table </w:t>
            </w:r>
            <w:proofErr w:type="spellStart"/>
            <w:r>
              <w:rPr>
                <w:b w:val="0"/>
              </w:rPr>
              <w:t>G.2</w:t>
            </w:r>
            <w:proofErr w:type="spellEnd"/>
            <w:r>
              <w:tab/>
            </w:r>
            <w:r w:rsidRPr="00F1457E">
              <w:rPr>
                <w:spacing w:val="-2"/>
              </w:rPr>
              <w:t xml:space="preserve">Mean regression: annualised net returns and </w:t>
            </w:r>
            <w:r>
              <w:rPr>
                <w:spacing w:val="-2"/>
              </w:rPr>
              <w:t>annualised benchmark adjusted returns</w:t>
            </w:r>
            <w:r w:rsidRPr="00F1457E">
              <w:rPr>
                <w:rStyle w:val="NoteLabel"/>
                <w:spacing w:val="-2"/>
              </w:rPr>
              <w:t>a</w:t>
            </w:r>
          </w:p>
          <w:p w14:paraId="27CF9E5F" w14:textId="77777777" w:rsidR="0011262F" w:rsidRPr="00784A05" w:rsidRDefault="0011262F" w:rsidP="00B54007">
            <w:pPr>
              <w:pStyle w:val="Subtitle"/>
            </w:pPr>
            <w:r>
              <w:t>2014 to 2017</w:t>
            </w:r>
          </w:p>
        </w:tc>
      </w:tr>
      <w:tr w:rsidR="0011262F" w14:paraId="502DBF82" w14:textId="77777777" w:rsidTr="00B5400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302"/>
              <w:gridCol w:w="1471"/>
              <w:gridCol w:w="1866"/>
              <w:gridCol w:w="1866"/>
            </w:tblGrid>
            <w:tr w:rsidR="0011262F" w14:paraId="744D61EE" w14:textId="77777777" w:rsidTr="00B54007">
              <w:trPr>
                <w:tblHeader/>
              </w:trPr>
              <w:tc>
                <w:tcPr>
                  <w:tcW w:w="1941" w:type="pct"/>
                  <w:tcBorders>
                    <w:top w:val="single" w:sz="6" w:space="0" w:color="BFBFBF"/>
                    <w:bottom w:val="single" w:sz="6" w:space="0" w:color="BFBFBF"/>
                  </w:tcBorders>
                  <w:shd w:val="clear" w:color="auto" w:fill="auto"/>
                  <w:tcMar>
                    <w:top w:w="28" w:type="dxa"/>
                  </w:tcMar>
                </w:tcPr>
                <w:p w14:paraId="602CD06C" w14:textId="77777777" w:rsidR="0011262F" w:rsidRDefault="0011262F" w:rsidP="00B54007">
                  <w:pPr>
                    <w:pStyle w:val="TableColumnHeading"/>
                    <w:jc w:val="left"/>
                  </w:pPr>
                </w:p>
              </w:tc>
              <w:tc>
                <w:tcPr>
                  <w:tcW w:w="1962" w:type="pct"/>
                  <w:gridSpan w:val="2"/>
                  <w:tcBorders>
                    <w:top w:val="single" w:sz="6" w:space="0" w:color="BFBFBF"/>
                    <w:bottom w:val="single" w:sz="6" w:space="0" w:color="BFBFBF"/>
                  </w:tcBorders>
                  <w:shd w:val="clear" w:color="auto" w:fill="auto"/>
                  <w:tcMar>
                    <w:top w:w="28" w:type="dxa"/>
                  </w:tcMar>
                  <w:vAlign w:val="bottom"/>
                </w:tcPr>
                <w:p w14:paraId="3244BB3E" w14:textId="77777777" w:rsidR="0011262F" w:rsidRDefault="0011262F" w:rsidP="00B54007">
                  <w:pPr>
                    <w:pStyle w:val="TableColumnHeading"/>
                  </w:pPr>
                  <w:r>
                    <w:t>Annualised net return</w:t>
                  </w:r>
                </w:p>
              </w:tc>
              <w:tc>
                <w:tcPr>
                  <w:tcW w:w="1097" w:type="pct"/>
                  <w:tcBorders>
                    <w:top w:val="single" w:sz="6" w:space="0" w:color="BFBFBF"/>
                    <w:bottom w:val="single" w:sz="6" w:space="0" w:color="BFBFBF"/>
                  </w:tcBorders>
                  <w:vAlign w:val="bottom"/>
                </w:tcPr>
                <w:p w14:paraId="11D0049B" w14:textId="77777777" w:rsidR="0011262F" w:rsidRDefault="0011262F" w:rsidP="00B54007">
                  <w:pPr>
                    <w:pStyle w:val="TableColumnHeading"/>
                  </w:pPr>
                  <w:r>
                    <w:t>Annualised benchmark adjusted return</w:t>
                  </w:r>
                </w:p>
              </w:tc>
            </w:tr>
            <w:tr w:rsidR="0011262F" w:rsidRPr="00913E2B" w14:paraId="6D399DE6" w14:textId="77777777" w:rsidTr="00B54007">
              <w:tc>
                <w:tcPr>
                  <w:tcW w:w="1941" w:type="pct"/>
                  <w:tcBorders>
                    <w:top w:val="single" w:sz="6" w:space="0" w:color="BFBFBF"/>
                  </w:tcBorders>
                </w:tcPr>
                <w:p w14:paraId="57B2ED6E" w14:textId="77777777" w:rsidR="0011262F" w:rsidRPr="00913E2B" w:rsidRDefault="0011262F" w:rsidP="00B54007">
                  <w:pPr>
                    <w:pStyle w:val="TableUnitsRow"/>
                    <w:jc w:val="left"/>
                  </w:pPr>
                  <w:r>
                    <w:t>Net assets</w:t>
                  </w:r>
                </w:p>
              </w:tc>
              <w:tc>
                <w:tcPr>
                  <w:tcW w:w="865" w:type="pct"/>
                  <w:vAlign w:val="center"/>
                </w:tcPr>
                <w:p w14:paraId="064B8C7A" w14:textId="77777777" w:rsidR="0011262F" w:rsidRPr="00913E2B" w:rsidRDefault="0011262F" w:rsidP="00B54007">
                  <w:pPr>
                    <w:pStyle w:val="TableBodyText"/>
                  </w:pPr>
                  <w:r w:rsidRPr="00D837F4">
                    <w:t>0.</w:t>
                  </w:r>
                  <w:r>
                    <w:t>095</w:t>
                  </w:r>
                  <w:r>
                    <w:rPr>
                      <w:vertAlign w:val="superscript"/>
                    </w:rPr>
                    <w:t>**</w:t>
                  </w:r>
                </w:p>
              </w:tc>
              <w:tc>
                <w:tcPr>
                  <w:tcW w:w="1097" w:type="pct"/>
                  <w:vAlign w:val="center"/>
                </w:tcPr>
                <w:p w14:paraId="1B58CCEF" w14:textId="77777777" w:rsidR="0011262F" w:rsidRPr="00913E2B" w:rsidRDefault="0011262F" w:rsidP="00B54007">
                  <w:pPr>
                    <w:pStyle w:val="TableBodyText"/>
                    <w:ind w:right="28"/>
                  </w:pPr>
                  <w:r w:rsidRPr="00D837F4">
                    <w:t>0.</w:t>
                  </w:r>
                  <w:r>
                    <w:t>126</w:t>
                  </w:r>
                </w:p>
              </w:tc>
              <w:tc>
                <w:tcPr>
                  <w:tcW w:w="1097" w:type="pct"/>
                  <w:vAlign w:val="center"/>
                </w:tcPr>
                <w:p w14:paraId="38BAB189" w14:textId="77777777" w:rsidR="0011262F" w:rsidRDefault="0011262F" w:rsidP="00B54007">
                  <w:pPr>
                    <w:pStyle w:val="TableBodyText"/>
                  </w:pPr>
                  <w:r>
                    <w:t>0.268</w:t>
                  </w:r>
                  <w:r>
                    <w:rPr>
                      <w:vertAlign w:val="superscript"/>
                    </w:rPr>
                    <w:t>**</w:t>
                  </w:r>
                </w:p>
              </w:tc>
            </w:tr>
            <w:tr w:rsidR="0011262F" w:rsidRPr="00913E2B" w14:paraId="1442F33D" w14:textId="77777777" w:rsidTr="00B54007">
              <w:tc>
                <w:tcPr>
                  <w:tcW w:w="1941" w:type="pct"/>
                </w:tcPr>
                <w:p w14:paraId="566B652F" w14:textId="77777777" w:rsidR="0011262F" w:rsidRPr="00913E2B" w:rsidRDefault="0011262F" w:rsidP="00B54007">
                  <w:pPr>
                    <w:pStyle w:val="TableBodyText"/>
                    <w:jc w:val="left"/>
                  </w:pPr>
                </w:p>
              </w:tc>
              <w:tc>
                <w:tcPr>
                  <w:tcW w:w="865" w:type="pct"/>
                  <w:vAlign w:val="center"/>
                </w:tcPr>
                <w:p w14:paraId="711593D0" w14:textId="77777777" w:rsidR="0011262F" w:rsidRPr="00913E2B" w:rsidRDefault="0011262F" w:rsidP="00B54007">
                  <w:pPr>
                    <w:pStyle w:val="TableBodyText"/>
                  </w:pPr>
                  <w:r w:rsidRPr="00D837F4">
                    <w:t>(0.</w:t>
                  </w:r>
                  <w:r>
                    <w:t>044</w:t>
                  </w:r>
                  <w:r w:rsidRPr="00D837F4">
                    <w:t>)</w:t>
                  </w:r>
                </w:p>
              </w:tc>
              <w:tc>
                <w:tcPr>
                  <w:tcW w:w="1097" w:type="pct"/>
                  <w:vAlign w:val="center"/>
                </w:tcPr>
                <w:p w14:paraId="63D4874D" w14:textId="77777777" w:rsidR="0011262F" w:rsidRPr="00913E2B" w:rsidRDefault="0011262F" w:rsidP="00B54007">
                  <w:pPr>
                    <w:pStyle w:val="TableBodyText"/>
                    <w:ind w:right="28"/>
                  </w:pPr>
                  <w:r w:rsidRPr="00D837F4">
                    <w:t>(0.</w:t>
                  </w:r>
                  <w:r>
                    <w:t>101</w:t>
                  </w:r>
                  <w:r w:rsidRPr="00D837F4">
                    <w:t>)</w:t>
                  </w:r>
                </w:p>
              </w:tc>
              <w:tc>
                <w:tcPr>
                  <w:tcW w:w="1097" w:type="pct"/>
                  <w:vAlign w:val="center"/>
                </w:tcPr>
                <w:p w14:paraId="6B576ECF" w14:textId="77777777" w:rsidR="0011262F" w:rsidRDefault="0011262F" w:rsidP="00B54007">
                  <w:pPr>
                    <w:pStyle w:val="TableBodyText"/>
                  </w:pPr>
                  <w:r>
                    <w:t>(0.131)</w:t>
                  </w:r>
                </w:p>
              </w:tc>
            </w:tr>
            <w:tr w:rsidR="0011262F" w:rsidRPr="00913E2B" w14:paraId="10B7894D" w14:textId="77777777" w:rsidTr="00B54007">
              <w:tc>
                <w:tcPr>
                  <w:tcW w:w="1941" w:type="pct"/>
                  <w:shd w:val="clear" w:color="auto" w:fill="F2F2F2" w:themeFill="background1" w:themeFillShade="F2"/>
                  <w:vAlign w:val="center"/>
                </w:tcPr>
                <w:p w14:paraId="677A1E56" w14:textId="77777777" w:rsidR="0011262F" w:rsidRPr="004F3392" w:rsidRDefault="0011262F" w:rsidP="00B54007">
                  <w:pPr>
                    <w:pStyle w:val="TableUnitsRow"/>
                    <w:jc w:val="left"/>
                  </w:pPr>
                  <w:r>
                    <w:t>Defensive assets (proportion)</w:t>
                  </w:r>
                </w:p>
              </w:tc>
              <w:tc>
                <w:tcPr>
                  <w:tcW w:w="865" w:type="pct"/>
                  <w:shd w:val="clear" w:color="auto" w:fill="F2F2F2" w:themeFill="background1" w:themeFillShade="F2"/>
                  <w:vAlign w:val="center"/>
                </w:tcPr>
                <w:p w14:paraId="52EAA567" w14:textId="77777777" w:rsidR="0011262F" w:rsidRPr="004F3392" w:rsidRDefault="0011262F" w:rsidP="00B54007">
                  <w:pPr>
                    <w:pStyle w:val="TableBodyText"/>
                  </w:pPr>
                  <w:r>
                    <w:t>-2.768</w:t>
                  </w:r>
                  <w:r>
                    <w:rPr>
                      <w:vertAlign w:val="superscript"/>
                    </w:rPr>
                    <w:t>***</w:t>
                  </w:r>
                </w:p>
              </w:tc>
              <w:tc>
                <w:tcPr>
                  <w:tcW w:w="1097" w:type="pct"/>
                  <w:shd w:val="clear" w:color="auto" w:fill="F2F2F2" w:themeFill="background1" w:themeFillShade="F2"/>
                  <w:vAlign w:val="center"/>
                </w:tcPr>
                <w:p w14:paraId="0ED84A4C" w14:textId="77777777" w:rsidR="0011262F" w:rsidRPr="004F3392" w:rsidRDefault="0011262F" w:rsidP="00B54007">
                  <w:pPr>
                    <w:pStyle w:val="TableBodyText"/>
                    <w:ind w:right="28"/>
                  </w:pPr>
                  <w:r>
                    <w:t>-2.421</w:t>
                  </w:r>
                  <w:r>
                    <w:rPr>
                      <w:vertAlign w:val="superscript"/>
                    </w:rPr>
                    <w:t>***</w:t>
                  </w:r>
                </w:p>
              </w:tc>
              <w:tc>
                <w:tcPr>
                  <w:tcW w:w="1097" w:type="pct"/>
                  <w:shd w:val="clear" w:color="auto" w:fill="F2F2F2" w:themeFill="background1" w:themeFillShade="F2"/>
                  <w:vAlign w:val="center"/>
                </w:tcPr>
                <w:p w14:paraId="1AA6EBFA" w14:textId="77777777" w:rsidR="0011262F" w:rsidRPr="00D837F4" w:rsidRDefault="0011262F" w:rsidP="00B54007">
                  <w:pPr>
                    <w:pStyle w:val="TableBodyText"/>
                  </w:pPr>
                </w:p>
              </w:tc>
            </w:tr>
            <w:tr w:rsidR="0011262F" w:rsidRPr="00913E2B" w14:paraId="2C084A42" w14:textId="77777777" w:rsidTr="00B54007">
              <w:tc>
                <w:tcPr>
                  <w:tcW w:w="1941" w:type="pct"/>
                  <w:shd w:val="clear" w:color="auto" w:fill="F2F2F2" w:themeFill="background1" w:themeFillShade="F2"/>
                  <w:vAlign w:val="center"/>
                </w:tcPr>
                <w:p w14:paraId="6C1AFA47" w14:textId="77777777" w:rsidR="0011262F" w:rsidRPr="004F3392" w:rsidRDefault="0011262F" w:rsidP="00B54007">
                  <w:pPr>
                    <w:pStyle w:val="TableUnitsRow"/>
                    <w:jc w:val="left"/>
                  </w:pPr>
                </w:p>
              </w:tc>
              <w:tc>
                <w:tcPr>
                  <w:tcW w:w="865" w:type="pct"/>
                  <w:shd w:val="clear" w:color="auto" w:fill="F2F2F2" w:themeFill="background1" w:themeFillShade="F2"/>
                  <w:vAlign w:val="center"/>
                </w:tcPr>
                <w:p w14:paraId="6200758B" w14:textId="77777777" w:rsidR="0011262F" w:rsidRPr="004F3392" w:rsidRDefault="0011262F" w:rsidP="00B54007">
                  <w:pPr>
                    <w:pStyle w:val="TableBodyText"/>
                  </w:pPr>
                  <w:r w:rsidRPr="00D837F4">
                    <w:t>(</w:t>
                  </w:r>
                  <w:r>
                    <w:t>0.942</w:t>
                  </w:r>
                  <w:r w:rsidRPr="00D837F4">
                    <w:t>)</w:t>
                  </w:r>
                </w:p>
              </w:tc>
              <w:tc>
                <w:tcPr>
                  <w:tcW w:w="1097" w:type="pct"/>
                  <w:shd w:val="clear" w:color="auto" w:fill="F2F2F2" w:themeFill="background1" w:themeFillShade="F2"/>
                  <w:vAlign w:val="center"/>
                </w:tcPr>
                <w:p w14:paraId="46AA4A29" w14:textId="77777777" w:rsidR="0011262F" w:rsidRPr="004F3392" w:rsidRDefault="0011262F" w:rsidP="00B54007">
                  <w:pPr>
                    <w:pStyle w:val="TableBodyText"/>
                    <w:ind w:right="28"/>
                  </w:pPr>
                  <w:r w:rsidRPr="00D837F4">
                    <w:t>(</w:t>
                  </w:r>
                  <w:r>
                    <w:t>0.841</w:t>
                  </w:r>
                  <w:r w:rsidRPr="00D837F4">
                    <w:t>)</w:t>
                  </w:r>
                </w:p>
              </w:tc>
              <w:tc>
                <w:tcPr>
                  <w:tcW w:w="1097" w:type="pct"/>
                  <w:shd w:val="clear" w:color="auto" w:fill="F2F2F2" w:themeFill="background1" w:themeFillShade="F2"/>
                  <w:vAlign w:val="center"/>
                </w:tcPr>
                <w:p w14:paraId="0DEBD99E" w14:textId="77777777" w:rsidR="0011262F" w:rsidRPr="00D837F4" w:rsidRDefault="0011262F" w:rsidP="00B54007">
                  <w:pPr>
                    <w:pStyle w:val="TableBodyText"/>
                  </w:pPr>
                </w:p>
              </w:tc>
            </w:tr>
            <w:tr w:rsidR="0011262F" w:rsidRPr="00913E2B" w14:paraId="136D6BEF" w14:textId="77777777" w:rsidTr="00B54007">
              <w:tc>
                <w:tcPr>
                  <w:tcW w:w="1941" w:type="pct"/>
                  <w:vAlign w:val="center"/>
                </w:tcPr>
                <w:p w14:paraId="551580DF" w14:textId="77777777" w:rsidR="0011262F" w:rsidRPr="00913E2B" w:rsidRDefault="0011262F" w:rsidP="00B54007">
                  <w:pPr>
                    <w:pStyle w:val="TableUnitsRow"/>
                    <w:jc w:val="left"/>
                  </w:pPr>
                  <w:r>
                    <w:t>Unlisted infrastructure (proportion)</w:t>
                  </w:r>
                </w:p>
              </w:tc>
              <w:tc>
                <w:tcPr>
                  <w:tcW w:w="865" w:type="pct"/>
                  <w:vAlign w:val="center"/>
                </w:tcPr>
                <w:p w14:paraId="34FDBC03" w14:textId="77777777" w:rsidR="0011262F" w:rsidRPr="00913E2B" w:rsidRDefault="0011262F" w:rsidP="00B54007">
                  <w:pPr>
                    <w:pStyle w:val="TableBodyText"/>
                  </w:pPr>
                  <w:r>
                    <w:t>11.456</w:t>
                  </w:r>
                  <w:r>
                    <w:rPr>
                      <w:vertAlign w:val="superscript"/>
                    </w:rPr>
                    <w:t>***</w:t>
                  </w:r>
                </w:p>
              </w:tc>
              <w:tc>
                <w:tcPr>
                  <w:tcW w:w="1097" w:type="pct"/>
                  <w:vAlign w:val="center"/>
                </w:tcPr>
                <w:p w14:paraId="05228022" w14:textId="77777777" w:rsidR="0011262F" w:rsidRPr="00913E2B" w:rsidRDefault="0011262F" w:rsidP="00B54007">
                  <w:pPr>
                    <w:pStyle w:val="TableBodyText"/>
                    <w:ind w:right="28"/>
                  </w:pPr>
                  <w:r>
                    <w:t>1.982</w:t>
                  </w:r>
                </w:p>
              </w:tc>
              <w:tc>
                <w:tcPr>
                  <w:tcW w:w="1097" w:type="pct"/>
                  <w:vAlign w:val="center"/>
                </w:tcPr>
                <w:p w14:paraId="179A3EF1" w14:textId="77777777" w:rsidR="0011262F" w:rsidRPr="00D837F4" w:rsidRDefault="0011262F" w:rsidP="00B54007">
                  <w:pPr>
                    <w:pStyle w:val="TableBodyText"/>
                  </w:pPr>
                </w:p>
              </w:tc>
            </w:tr>
            <w:tr w:rsidR="0011262F" w:rsidRPr="00913E2B" w14:paraId="7AB39561" w14:textId="77777777" w:rsidTr="00B54007">
              <w:tc>
                <w:tcPr>
                  <w:tcW w:w="1941" w:type="pct"/>
                  <w:vAlign w:val="center"/>
                </w:tcPr>
                <w:p w14:paraId="67D27521" w14:textId="77777777" w:rsidR="0011262F" w:rsidRPr="00913E2B" w:rsidRDefault="0011262F" w:rsidP="00B54007">
                  <w:pPr>
                    <w:pStyle w:val="TableUnitsRow"/>
                    <w:jc w:val="left"/>
                  </w:pPr>
                </w:p>
              </w:tc>
              <w:tc>
                <w:tcPr>
                  <w:tcW w:w="865" w:type="pct"/>
                  <w:vAlign w:val="center"/>
                </w:tcPr>
                <w:p w14:paraId="0FE473DE" w14:textId="77777777" w:rsidR="0011262F" w:rsidRPr="00913E2B" w:rsidRDefault="0011262F" w:rsidP="00B54007">
                  <w:pPr>
                    <w:pStyle w:val="TableBodyText"/>
                  </w:pPr>
                  <w:r w:rsidRPr="00D837F4">
                    <w:t>(</w:t>
                  </w:r>
                  <w:r>
                    <w:t>3.744</w:t>
                  </w:r>
                  <w:r w:rsidRPr="00D837F4">
                    <w:t>)</w:t>
                  </w:r>
                </w:p>
              </w:tc>
              <w:tc>
                <w:tcPr>
                  <w:tcW w:w="1097" w:type="pct"/>
                  <w:vAlign w:val="center"/>
                </w:tcPr>
                <w:p w14:paraId="4A3DCF4F" w14:textId="77777777" w:rsidR="0011262F" w:rsidRPr="00913E2B" w:rsidRDefault="0011262F" w:rsidP="00B54007">
                  <w:pPr>
                    <w:pStyle w:val="TableBodyText"/>
                    <w:ind w:right="28"/>
                  </w:pPr>
                  <w:r w:rsidRPr="00D837F4">
                    <w:t>(</w:t>
                  </w:r>
                  <w:r>
                    <w:t>3.836</w:t>
                  </w:r>
                  <w:r w:rsidRPr="00D837F4">
                    <w:t>)</w:t>
                  </w:r>
                </w:p>
              </w:tc>
              <w:tc>
                <w:tcPr>
                  <w:tcW w:w="1097" w:type="pct"/>
                  <w:vAlign w:val="center"/>
                </w:tcPr>
                <w:p w14:paraId="4046E45D" w14:textId="77777777" w:rsidR="0011262F" w:rsidRPr="00D837F4" w:rsidRDefault="0011262F" w:rsidP="00B54007">
                  <w:pPr>
                    <w:pStyle w:val="TableBodyText"/>
                  </w:pPr>
                </w:p>
              </w:tc>
            </w:tr>
            <w:tr w:rsidR="0011262F" w:rsidRPr="00913E2B" w14:paraId="0435A26D" w14:textId="77777777" w:rsidTr="00B54007">
              <w:tc>
                <w:tcPr>
                  <w:tcW w:w="1941" w:type="pct"/>
                  <w:shd w:val="clear" w:color="auto" w:fill="F2F2F2" w:themeFill="background1" w:themeFillShade="F2"/>
                  <w:vAlign w:val="center"/>
                </w:tcPr>
                <w:p w14:paraId="5676A306" w14:textId="77777777" w:rsidR="0011262F" w:rsidRPr="00913E2B" w:rsidRDefault="0011262F" w:rsidP="00B54007">
                  <w:pPr>
                    <w:pStyle w:val="TableUnitsRow"/>
                    <w:jc w:val="left"/>
                  </w:pPr>
                  <w:r>
                    <w:t>Unlisted property (proportion)</w:t>
                  </w:r>
                </w:p>
              </w:tc>
              <w:tc>
                <w:tcPr>
                  <w:tcW w:w="865" w:type="pct"/>
                  <w:shd w:val="clear" w:color="auto" w:fill="F2F2F2" w:themeFill="background1" w:themeFillShade="F2"/>
                  <w:vAlign w:val="center"/>
                </w:tcPr>
                <w:p w14:paraId="2058EF87" w14:textId="77777777" w:rsidR="0011262F" w:rsidRPr="00913E2B" w:rsidRDefault="0011262F" w:rsidP="00B54007">
                  <w:pPr>
                    <w:pStyle w:val="TableBodyText"/>
                  </w:pPr>
                  <w:r>
                    <w:t>5.451</w:t>
                  </w:r>
                  <w:r>
                    <w:rPr>
                      <w:vertAlign w:val="superscript"/>
                    </w:rPr>
                    <w:t>**</w:t>
                  </w:r>
                </w:p>
              </w:tc>
              <w:tc>
                <w:tcPr>
                  <w:tcW w:w="1097" w:type="pct"/>
                  <w:shd w:val="clear" w:color="auto" w:fill="F2F2F2" w:themeFill="background1" w:themeFillShade="F2"/>
                  <w:vAlign w:val="center"/>
                </w:tcPr>
                <w:p w14:paraId="0EE9D96D" w14:textId="77777777" w:rsidR="0011262F" w:rsidRPr="00913E2B" w:rsidRDefault="0011262F" w:rsidP="00B54007">
                  <w:pPr>
                    <w:pStyle w:val="TableBodyText"/>
                    <w:ind w:right="28"/>
                  </w:pPr>
                  <w:r>
                    <w:t>-0.722</w:t>
                  </w:r>
                </w:p>
              </w:tc>
              <w:tc>
                <w:tcPr>
                  <w:tcW w:w="1097" w:type="pct"/>
                  <w:shd w:val="clear" w:color="auto" w:fill="F2F2F2" w:themeFill="background1" w:themeFillShade="F2"/>
                  <w:vAlign w:val="center"/>
                </w:tcPr>
                <w:p w14:paraId="3C46D3BC" w14:textId="77777777" w:rsidR="0011262F" w:rsidRPr="00D837F4" w:rsidRDefault="0011262F" w:rsidP="00B54007">
                  <w:pPr>
                    <w:pStyle w:val="TableBodyText"/>
                  </w:pPr>
                </w:p>
              </w:tc>
            </w:tr>
            <w:tr w:rsidR="0011262F" w:rsidRPr="00913E2B" w14:paraId="4DDD92C9" w14:textId="77777777" w:rsidTr="00B54007">
              <w:tc>
                <w:tcPr>
                  <w:tcW w:w="1941" w:type="pct"/>
                  <w:shd w:val="clear" w:color="auto" w:fill="F2F2F2" w:themeFill="background1" w:themeFillShade="F2"/>
                  <w:vAlign w:val="center"/>
                </w:tcPr>
                <w:p w14:paraId="18A4DBE2" w14:textId="77777777" w:rsidR="0011262F" w:rsidRPr="00913E2B" w:rsidRDefault="0011262F" w:rsidP="00B54007">
                  <w:pPr>
                    <w:pStyle w:val="TableUnitsRow"/>
                    <w:jc w:val="left"/>
                  </w:pPr>
                </w:p>
              </w:tc>
              <w:tc>
                <w:tcPr>
                  <w:tcW w:w="865" w:type="pct"/>
                  <w:shd w:val="clear" w:color="auto" w:fill="F2F2F2" w:themeFill="background1" w:themeFillShade="F2"/>
                  <w:vAlign w:val="center"/>
                </w:tcPr>
                <w:p w14:paraId="07942DFE" w14:textId="77777777" w:rsidR="0011262F" w:rsidRPr="00913E2B" w:rsidRDefault="0011262F" w:rsidP="00B54007">
                  <w:pPr>
                    <w:pStyle w:val="TableBodyText"/>
                  </w:pPr>
                  <w:r w:rsidRPr="00D837F4">
                    <w:t>(</w:t>
                  </w:r>
                  <w:r>
                    <w:t>2.408</w:t>
                  </w:r>
                  <w:r w:rsidRPr="00D837F4">
                    <w:t>)</w:t>
                  </w:r>
                </w:p>
              </w:tc>
              <w:tc>
                <w:tcPr>
                  <w:tcW w:w="1097" w:type="pct"/>
                  <w:shd w:val="clear" w:color="auto" w:fill="F2F2F2" w:themeFill="background1" w:themeFillShade="F2"/>
                  <w:vAlign w:val="center"/>
                </w:tcPr>
                <w:p w14:paraId="5AB52849" w14:textId="77777777" w:rsidR="0011262F" w:rsidRPr="00913E2B" w:rsidRDefault="0011262F" w:rsidP="00B54007">
                  <w:pPr>
                    <w:pStyle w:val="TableBodyText"/>
                    <w:ind w:right="28"/>
                  </w:pPr>
                  <w:r w:rsidRPr="00D837F4">
                    <w:t>(2.</w:t>
                  </w:r>
                  <w:r>
                    <w:t>372</w:t>
                  </w:r>
                  <w:r w:rsidRPr="00D837F4">
                    <w:t>)</w:t>
                  </w:r>
                </w:p>
              </w:tc>
              <w:tc>
                <w:tcPr>
                  <w:tcW w:w="1097" w:type="pct"/>
                  <w:shd w:val="clear" w:color="auto" w:fill="F2F2F2" w:themeFill="background1" w:themeFillShade="F2"/>
                  <w:vAlign w:val="center"/>
                </w:tcPr>
                <w:p w14:paraId="72D76F81" w14:textId="77777777" w:rsidR="0011262F" w:rsidRPr="00D837F4" w:rsidRDefault="0011262F" w:rsidP="00B54007">
                  <w:pPr>
                    <w:pStyle w:val="TableBodyText"/>
                  </w:pPr>
                </w:p>
              </w:tc>
            </w:tr>
            <w:tr w:rsidR="0011262F" w:rsidRPr="00913E2B" w14:paraId="7CB9B22E" w14:textId="77777777" w:rsidTr="00B54007">
              <w:tc>
                <w:tcPr>
                  <w:tcW w:w="1941" w:type="pct"/>
                  <w:vAlign w:val="center"/>
                </w:tcPr>
                <w:p w14:paraId="48550AA7" w14:textId="77777777" w:rsidR="0011262F" w:rsidRPr="00913E2B" w:rsidRDefault="0011262F" w:rsidP="00B54007">
                  <w:pPr>
                    <w:pStyle w:val="TableUnitsRow"/>
                    <w:jc w:val="left"/>
                  </w:pPr>
                  <w:r>
                    <w:t>Private equity (proportion)</w:t>
                  </w:r>
                </w:p>
              </w:tc>
              <w:tc>
                <w:tcPr>
                  <w:tcW w:w="865" w:type="pct"/>
                  <w:vAlign w:val="center"/>
                </w:tcPr>
                <w:p w14:paraId="01867626" w14:textId="77777777" w:rsidR="0011262F" w:rsidRPr="00913E2B" w:rsidRDefault="0011262F" w:rsidP="00B54007">
                  <w:pPr>
                    <w:pStyle w:val="TableBodyText"/>
                  </w:pPr>
                  <w:r>
                    <w:t>-</w:t>
                  </w:r>
                  <w:r w:rsidRPr="00D837F4">
                    <w:t>0.</w:t>
                  </w:r>
                  <w:r>
                    <w:t>194</w:t>
                  </w:r>
                </w:p>
              </w:tc>
              <w:tc>
                <w:tcPr>
                  <w:tcW w:w="1097" w:type="pct"/>
                  <w:vAlign w:val="center"/>
                </w:tcPr>
                <w:p w14:paraId="1E6F3C3D" w14:textId="77777777" w:rsidR="0011262F" w:rsidRPr="00913E2B" w:rsidRDefault="0011262F" w:rsidP="00B54007">
                  <w:pPr>
                    <w:pStyle w:val="TableBodyText"/>
                    <w:ind w:right="28"/>
                  </w:pPr>
                  <w:r>
                    <w:t>-</w:t>
                  </w:r>
                  <w:r w:rsidRPr="00D837F4">
                    <w:t>0.</w:t>
                  </w:r>
                  <w:r>
                    <w:t>309</w:t>
                  </w:r>
                </w:p>
              </w:tc>
              <w:tc>
                <w:tcPr>
                  <w:tcW w:w="1097" w:type="pct"/>
                  <w:vAlign w:val="center"/>
                </w:tcPr>
                <w:p w14:paraId="2C66BEFD" w14:textId="77777777" w:rsidR="0011262F" w:rsidRPr="00D837F4" w:rsidRDefault="0011262F" w:rsidP="00B54007">
                  <w:pPr>
                    <w:pStyle w:val="TableBodyText"/>
                  </w:pPr>
                </w:p>
              </w:tc>
            </w:tr>
            <w:tr w:rsidR="0011262F" w:rsidRPr="00913E2B" w14:paraId="64501BAB" w14:textId="77777777" w:rsidTr="00B54007">
              <w:tc>
                <w:tcPr>
                  <w:tcW w:w="1941" w:type="pct"/>
                  <w:vAlign w:val="center"/>
                </w:tcPr>
                <w:p w14:paraId="7AF59517" w14:textId="77777777" w:rsidR="0011262F" w:rsidRPr="00913E2B" w:rsidRDefault="0011262F" w:rsidP="00B54007">
                  <w:pPr>
                    <w:pStyle w:val="TableUnitsRow"/>
                    <w:jc w:val="left"/>
                  </w:pPr>
                </w:p>
              </w:tc>
              <w:tc>
                <w:tcPr>
                  <w:tcW w:w="865" w:type="pct"/>
                  <w:vAlign w:val="center"/>
                </w:tcPr>
                <w:p w14:paraId="3A659E0C" w14:textId="77777777" w:rsidR="0011262F" w:rsidRPr="00913E2B" w:rsidRDefault="0011262F" w:rsidP="00B54007">
                  <w:pPr>
                    <w:pStyle w:val="TableBodyText"/>
                  </w:pPr>
                  <w:r w:rsidRPr="00D837F4">
                    <w:t>(</w:t>
                  </w:r>
                  <w:r>
                    <w:t>1.296</w:t>
                  </w:r>
                  <w:r w:rsidRPr="00D837F4">
                    <w:t>)</w:t>
                  </w:r>
                </w:p>
              </w:tc>
              <w:tc>
                <w:tcPr>
                  <w:tcW w:w="1097" w:type="pct"/>
                  <w:vAlign w:val="center"/>
                </w:tcPr>
                <w:p w14:paraId="676D1497" w14:textId="77777777" w:rsidR="0011262F" w:rsidRPr="00913E2B" w:rsidRDefault="0011262F" w:rsidP="00B54007">
                  <w:pPr>
                    <w:pStyle w:val="TableBodyText"/>
                    <w:ind w:right="28"/>
                  </w:pPr>
                  <w:r w:rsidRPr="00D837F4">
                    <w:t>(</w:t>
                  </w:r>
                  <w:r>
                    <w:t>1.158</w:t>
                  </w:r>
                  <w:r w:rsidRPr="00D837F4">
                    <w:t>)</w:t>
                  </w:r>
                </w:p>
              </w:tc>
              <w:tc>
                <w:tcPr>
                  <w:tcW w:w="1097" w:type="pct"/>
                  <w:vAlign w:val="center"/>
                </w:tcPr>
                <w:p w14:paraId="5EBBC3B7" w14:textId="77777777" w:rsidR="0011262F" w:rsidRPr="00D837F4" w:rsidRDefault="0011262F" w:rsidP="00B54007">
                  <w:pPr>
                    <w:pStyle w:val="TableBodyText"/>
                  </w:pPr>
                </w:p>
              </w:tc>
            </w:tr>
            <w:tr w:rsidR="0011262F" w:rsidRPr="00913E2B" w14:paraId="0647FBDF" w14:textId="77777777" w:rsidTr="00B54007">
              <w:tc>
                <w:tcPr>
                  <w:tcW w:w="1941" w:type="pct"/>
                  <w:shd w:val="clear" w:color="auto" w:fill="F2F2F2" w:themeFill="background1" w:themeFillShade="F2"/>
                  <w:vAlign w:val="center"/>
                </w:tcPr>
                <w:p w14:paraId="7042674E" w14:textId="77777777" w:rsidR="0011262F" w:rsidRPr="00913E2B" w:rsidRDefault="0011262F" w:rsidP="00B54007">
                  <w:pPr>
                    <w:pStyle w:val="TableUnitsRow"/>
                    <w:jc w:val="left"/>
                  </w:pPr>
                  <w:r>
                    <w:t>Industry</w:t>
                  </w:r>
                </w:p>
              </w:tc>
              <w:tc>
                <w:tcPr>
                  <w:tcW w:w="865" w:type="pct"/>
                  <w:shd w:val="clear" w:color="auto" w:fill="F2F2F2" w:themeFill="background1" w:themeFillShade="F2"/>
                  <w:vAlign w:val="center"/>
                </w:tcPr>
                <w:p w14:paraId="3E8202AA" w14:textId="77777777" w:rsidR="0011262F" w:rsidRPr="00913E2B" w:rsidRDefault="0011262F" w:rsidP="00B54007">
                  <w:pPr>
                    <w:pStyle w:val="TableBodyText"/>
                  </w:pPr>
                </w:p>
              </w:tc>
              <w:tc>
                <w:tcPr>
                  <w:tcW w:w="1097" w:type="pct"/>
                  <w:shd w:val="clear" w:color="auto" w:fill="F2F2F2" w:themeFill="background1" w:themeFillShade="F2"/>
                  <w:vAlign w:val="center"/>
                </w:tcPr>
                <w:p w14:paraId="1CACF9D1" w14:textId="77777777" w:rsidR="0011262F" w:rsidRPr="00913E2B" w:rsidRDefault="0011262F" w:rsidP="00B54007">
                  <w:pPr>
                    <w:pStyle w:val="TableBodyText"/>
                    <w:ind w:right="28"/>
                  </w:pPr>
                  <w:r>
                    <w:t>-2.725</w:t>
                  </w:r>
                </w:p>
              </w:tc>
              <w:tc>
                <w:tcPr>
                  <w:tcW w:w="1097" w:type="pct"/>
                  <w:shd w:val="clear" w:color="auto" w:fill="F2F2F2" w:themeFill="background1" w:themeFillShade="F2"/>
                  <w:vAlign w:val="center"/>
                </w:tcPr>
                <w:p w14:paraId="32F89A66" w14:textId="77777777" w:rsidR="0011262F" w:rsidRDefault="0011262F" w:rsidP="00B54007">
                  <w:pPr>
                    <w:pStyle w:val="TableBodyText"/>
                  </w:pPr>
                  <w:r>
                    <w:t>-0.312</w:t>
                  </w:r>
                </w:p>
              </w:tc>
            </w:tr>
            <w:tr w:rsidR="0011262F" w:rsidRPr="00913E2B" w14:paraId="00AA2E56" w14:textId="77777777" w:rsidTr="00B54007">
              <w:tc>
                <w:tcPr>
                  <w:tcW w:w="1941" w:type="pct"/>
                  <w:shd w:val="clear" w:color="auto" w:fill="F2F2F2" w:themeFill="background1" w:themeFillShade="F2"/>
                  <w:vAlign w:val="center"/>
                </w:tcPr>
                <w:p w14:paraId="12965210" w14:textId="77777777" w:rsidR="0011262F" w:rsidRPr="00913E2B" w:rsidRDefault="0011262F" w:rsidP="00B54007">
                  <w:pPr>
                    <w:pStyle w:val="TableUnitsRow"/>
                    <w:jc w:val="left"/>
                  </w:pPr>
                </w:p>
              </w:tc>
              <w:tc>
                <w:tcPr>
                  <w:tcW w:w="865" w:type="pct"/>
                  <w:shd w:val="clear" w:color="auto" w:fill="F2F2F2" w:themeFill="background1" w:themeFillShade="F2"/>
                  <w:vAlign w:val="center"/>
                </w:tcPr>
                <w:p w14:paraId="2BD6DE32" w14:textId="77777777" w:rsidR="0011262F" w:rsidRPr="00913E2B" w:rsidRDefault="0011262F" w:rsidP="00B54007">
                  <w:pPr>
                    <w:pStyle w:val="TableBodyText"/>
                  </w:pPr>
                </w:p>
              </w:tc>
              <w:tc>
                <w:tcPr>
                  <w:tcW w:w="1097" w:type="pct"/>
                  <w:shd w:val="clear" w:color="auto" w:fill="F2F2F2" w:themeFill="background1" w:themeFillShade="F2"/>
                  <w:vAlign w:val="center"/>
                </w:tcPr>
                <w:p w14:paraId="6D16E859" w14:textId="77777777" w:rsidR="0011262F" w:rsidRPr="00913E2B" w:rsidRDefault="0011262F" w:rsidP="00B54007">
                  <w:pPr>
                    <w:pStyle w:val="TableBodyText"/>
                    <w:ind w:right="28"/>
                  </w:pPr>
                  <w:r w:rsidRPr="00D837F4">
                    <w:t>(</w:t>
                  </w:r>
                  <w:r>
                    <w:t>2.216</w:t>
                  </w:r>
                  <w:r w:rsidRPr="00D837F4">
                    <w:t>)</w:t>
                  </w:r>
                </w:p>
              </w:tc>
              <w:tc>
                <w:tcPr>
                  <w:tcW w:w="1097" w:type="pct"/>
                  <w:shd w:val="clear" w:color="auto" w:fill="F2F2F2" w:themeFill="background1" w:themeFillShade="F2"/>
                  <w:vAlign w:val="center"/>
                </w:tcPr>
                <w:p w14:paraId="22DC836A" w14:textId="77777777" w:rsidR="0011262F" w:rsidRDefault="0011262F" w:rsidP="00B54007">
                  <w:pPr>
                    <w:pStyle w:val="TableBodyText"/>
                  </w:pPr>
                  <w:r>
                    <w:t>(2.824)</w:t>
                  </w:r>
                </w:p>
              </w:tc>
            </w:tr>
            <w:tr w:rsidR="0011262F" w:rsidRPr="00913E2B" w14:paraId="39A06CE6" w14:textId="77777777" w:rsidTr="00B54007">
              <w:tc>
                <w:tcPr>
                  <w:tcW w:w="1941" w:type="pct"/>
                  <w:vAlign w:val="center"/>
                </w:tcPr>
                <w:p w14:paraId="1BC04EE5" w14:textId="77777777" w:rsidR="0011262F" w:rsidRPr="004F3392" w:rsidRDefault="0011262F" w:rsidP="00B54007">
                  <w:pPr>
                    <w:pStyle w:val="TableUnitsRow"/>
                    <w:jc w:val="left"/>
                  </w:pPr>
                  <w:r>
                    <w:t>Public sector</w:t>
                  </w:r>
                </w:p>
              </w:tc>
              <w:tc>
                <w:tcPr>
                  <w:tcW w:w="865" w:type="pct"/>
                  <w:vAlign w:val="center"/>
                </w:tcPr>
                <w:p w14:paraId="3B9F5CC4" w14:textId="77777777" w:rsidR="0011262F" w:rsidRPr="00913E2B" w:rsidRDefault="0011262F" w:rsidP="00B54007">
                  <w:pPr>
                    <w:pStyle w:val="TableBodyText"/>
                  </w:pPr>
                </w:p>
              </w:tc>
              <w:tc>
                <w:tcPr>
                  <w:tcW w:w="1097" w:type="pct"/>
                  <w:vAlign w:val="center"/>
                </w:tcPr>
                <w:p w14:paraId="6BB6ABAC" w14:textId="77777777" w:rsidR="0011262F" w:rsidRPr="00913E2B" w:rsidRDefault="0011262F" w:rsidP="00B54007">
                  <w:pPr>
                    <w:pStyle w:val="TableBodyText"/>
                    <w:ind w:right="28"/>
                  </w:pPr>
                  <w:r>
                    <w:t>-5.178</w:t>
                  </w:r>
                </w:p>
              </w:tc>
              <w:tc>
                <w:tcPr>
                  <w:tcW w:w="1097" w:type="pct"/>
                  <w:vAlign w:val="center"/>
                </w:tcPr>
                <w:p w14:paraId="59E4CD2F" w14:textId="77777777" w:rsidR="0011262F" w:rsidRDefault="0011262F" w:rsidP="00B54007">
                  <w:pPr>
                    <w:pStyle w:val="TableBodyText"/>
                  </w:pPr>
                  <w:r>
                    <w:t>-2.036</w:t>
                  </w:r>
                </w:p>
              </w:tc>
            </w:tr>
            <w:tr w:rsidR="0011262F" w:rsidRPr="00913E2B" w14:paraId="4ABB03ED" w14:textId="77777777" w:rsidTr="00B54007">
              <w:tc>
                <w:tcPr>
                  <w:tcW w:w="1941" w:type="pct"/>
                  <w:vAlign w:val="center"/>
                </w:tcPr>
                <w:p w14:paraId="5A7E91D0" w14:textId="77777777" w:rsidR="0011262F" w:rsidRPr="00913E2B" w:rsidRDefault="0011262F" w:rsidP="00B54007">
                  <w:pPr>
                    <w:pStyle w:val="TableUnitsRow"/>
                    <w:jc w:val="left"/>
                  </w:pPr>
                </w:p>
              </w:tc>
              <w:tc>
                <w:tcPr>
                  <w:tcW w:w="865" w:type="pct"/>
                  <w:vAlign w:val="center"/>
                </w:tcPr>
                <w:p w14:paraId="44ACC5BC" w14:textId="77777777" w:rsidR="0011262F" w:rsidRPr="00913E2B" w:rsidRDefault="0011262F" w:rsidP="00B54007">
                  <w:pPr>
                    <w:pStyle w:val="TableBodyText"/>
                  </w:pPr>
                </w:p>
              </w:tc>
              <w:tc>
                <w:tcPr>
                  <w:tcW w:w="1097" w:type="pct"/>
                  <w:vAlign w:val="center"/>
                </w:tcPr>
                <w:p w14:paraId="332A89BA" w14:textId="77777777" w:rsidR="0011262F" w:rsidRPr="00913E2B" w:rsidRDefault="0011262F" w:rsidP="00B54007">
                  <w:pPr>
                    <w:pStyle w:val="TableBodyText"/>
                    <w:ind w:right="28"/>
                  </w:pPr>
                  <w:r w:rsidRPr="00D837F4">
                    <w:t>(</w:t>
                  </w:r>
                  <w:r>
                    <w:t>3.501</w:t>
                  </w:r>
                  <w:r w:rsidRPr="00D837F4">
                    <w:t>)</w:t>
                  </w:r>
                </w:p>
              </w:tc>
              <w:tc>
                <w:tcPr>
                  <w:tcW w:w="1097" w:type="pct"/>
                  <w:vAlign w:val="center"/>
                </w:tcPr>
                <w:p w14:paraId="01F2628A" w14:textId="77777777" w:rsidR="0011262F" w:rsidRDefault="0011262F" w:rsidP="00B54007">
                  <w:pPr>
                    <w:pStyle w:val="TableBodyText"/>
                  </w:pPr>
                  <w:r>
                    <w:t>(4.393)</w:t>
                  </w:r>
                </w:p>
              </w:tc>
            </w:tr>
            <w:tr w:rsidR="0011262F" w:rsidRPr="00913E2B" w14:paraId="5620A54A" w14:textId="77777777" w:rsidTr="00B54007">
              <w:tc>
                <w:tcPr>
                  <w:tcW w:w="1941" w:type="pct"/>
                  <w:shd w:val="clear" w:color="auto" w:fill="F2F2F2" w:themeFill="background1" w:themeFillShade="F2"/>
                  <w:vAlign w:val="center"/>
                </w:tcPr>
                <w:p w14:paraId="039272FF" w14:textId="77777777" w:rsidR="0011262F" w:rsidRPr="00913E2B" w:rsidRDefault="0011262F" w:rsidP="00B54007">
                  <w:pPr>
                    <w:pStyle w:val="TableUnitsRow"/>
                    <w:jc w:val="left"/>
                  </w:pPr>
                  <w:r>
                    <w:t>Retail</w:t>
                  </w:r>
                </w:p>
              </w:tc>
              <w:tc>
                <w:tcPr>
                  <w:tcW w:w="865" w:type="pct"/>
                  <w:shd w:val="clear" w:color="auto" w:fill="F2F2F2" w:themeFill="background1" w:themeFillShade="F2"/>
                  <w:vAlign w:val="center"/>
                </w:tcPr>
                <w:p w14:paraId="2452473A" w14:textId="77777777" w:rsidR="0011262F" w:rsidRPr="00913E2B" w:rsidRDefault="0011262F" w:rsidP="00B54007">
                  <w:pPr>
                    <w:pStyle w:val="TableBodyText"/>
                  </w:pPr>
                </w:p>
              </w:tc>
              <w:tc>
                <w:tcPr>
                  <w:tcW w:w="1097" w:type="pct"/>
                  <w:shd w:val="clear" w:color="auto" w:fill="F2F2F2" w:themeFill="background1" w:themeFillShade="F2"/>
                  <w:vAlign w:val="center"/>
                </w:tcPr>
                <w:p w14:paraId="03834474" w14:textId="77777777" w:rsidR="0011262F" w:rsidRPr="00913E2B" w:rsidRDefault="0011262F" w:rsidP="00B54007">
                  <w:pPr>
                    <w:pStyle w:val="TableBodyText"/>
                    <w:ind w:right="28"/>
                  </w:pPr>
                  <w:r>
                    <w:t>-0.316</w:t>
                  </w:r>
                </w:p>
              </w:tc>
              <w:tc>
                <w:tcPr>
                  <w:tcW w:w="1097" w:type="pct"/>
                  <w:shd w:val="clear" w:color="auto" w:fill="F2F2F2" w:themeFill="background1" w:themeFillShade="F2"/>
                  <w:vAlign w:val="center"/>
                </w:tcPr>
                <w:p w14:paraId="5DE5DB73" w14:textId="77777777" w:rsidR="0011262F" w:rsidRDefault="0011262F" w:rsidP="00B54007">
                  <w:pPr>
                    <w:pStyle w:val="TableBodyText"/>
                  </w:pPr>
                  <w:r>
                    <w:t>1.995</w:t>
                  </w:r>
                </w:p>
              </w:tc>
            </w:tr>
            <w:tr w:rsidR="0011262F" w:rsidRPr="00913E2B" w14:paraId="1F74BD70" w14:textId="77777777" w:rsidTr="00B54007">
              <w:tc>
                <w:tcPr>
                  <w:tcW w:w="1941" w:type="pct"/>
                  <w:shd w:val="clear" w:color="auto" w:fill="F2F2F2" w:themeFill="background1" w:themeFillShade="F2"/>
                  <w:vAlign w:val="center"/>
                </w:tcPr>
                <w:p w14:paraId="3D71F1E8" w14:textId="77777777" w:rsidR="0011262F" w:rsidRPr="00913E2B" w:rsidRDefault="0011262F" w:rsidP="00B54007">
                  <w:pPr>
                    <w:pStyle w:val="TableUnitsRow"/>
                    <w:jc w:val="left"/>
                  </w:pPr>
                </w:p>
              </w:tc>
              <w:tc>
                <w:tcPr>
                  <w:tcW w:w="865" w:type="pct"/>
                  <w:shd w:val="clear" w:color="auto" w:fill="F2F2F2" w:themeFill="background1" w:themeFillShade="F2"/>
                  <w:vAlign w:val="center"/>
                </w:tcPr>
                <w:p w14:paraId="575A2BF2" w14:textId="77777777" w:rsidR="0011262F" w:rsidRPr="00913E2B" w:rsidRDefault="0011262F" w:rsidP="00B54007">
                  <w:pPr>
                    <w:pStyle w:val="TableBodyText"/>
                  </w:pPr>
                </w:p>
              </w:tc>
              <w:tc>
                <w:tcPr>
                  <w:tcW w:w="1097" w:type="pct"/>
                  <w:shd w:val="clear" w:color="auto" w:fill="F2F2F2" w:themeFill="background1" w:themeFillShade="F2"/>
                  <w:vAlign w:val="center"/>
                </w:tcPr>
                <w:p w14:paraId="3954B483" w14:textId="77777777" w:rsidR="0011262F" w:rsidRPr="00913E2B" w:rsidRDefault="0011262F" w:rsidP="00B54007">
                  <w:pPr>
                    <w:pStyle w:val="TableBodyText"/>
                    <w:ind w:right="28"/>
                  </w:pPr>
                  <w:r>
                    <w:t>(1.449)</w:t>
                  </w:r>
                </w:p>
              </w:tc>
              <w:tc>
                <w:tcPr>
                  <w:tcW w:w="1097" w:type="pct"/>
                  <w:shd w:val="clear" w:color="auto" w:fill="F2F2F2" w:themeFill="background1" w:themeFillShade="F2"/>
                  <w:vAlign w:val="center"/>
                </w:tcPr>
                <w:p w14:paraId="019DD804" w14:textId="77777777" w:rsidR="0011262F" w:rsidRDefault="0011262F" w:rsidP="00B54007">
                  <w:pPr>
                    <w:pStyle w:val="TableBodyText"/>
                  </w:pPr>
                  <w:r>
                    <w:t>(1.886)</w:t>
                  </w:r>
                </w:p>
              </w:tc>
            </w:tr>
            <w:tr w:rsidR="0011262F" w:rsidRPr="00913E2B" w14:paraId="2E4C36C5" w14:textId="77777777" w:rsidTr="00B54007">
              <w:tc>
                <w:tcPr>
                  <w:tcW w:w="1941" w:type="pct"/>
                  <w:vAlign w:val="center"/>
                </w:tcPr>
                <w:p w14:paraId="5C943D11" w14:textId="77777777" w:rsidR="0011262F" w:rsidRPr="00913E2B" w:rsidRDefault="0011262F" w:rsidP="00B54007">
                  <w:pPr>
                    <w:pStyle w:val="TableUnitsRow"/>
                    <w:jc w:val="left"/>
                  </w:pPr>
                  <w:r>
                    <w:t>Net assets x Industry</w:t>
                  </w:r>
                </w:p>
              </w:tc>
              <w:tc>
                <w:tcPr>
                  <w:tcW w:w="865" w:type="pct"/>
                  <w:vAlign w:val="center"/>
                </w:tcPr>
                <w:p w14:paraId="3DF7902D" w14:textId="77777777" w:rsidR="0011262F" w:rsidRPr="00913E2B" w:rsidRDefault="0011262F" w:rsidP="00B54007">
                  <w:pPr>
                    <w:pStyle w:val="TableBodyText"/>
                  </w:pPr>
                </w:p>
              </w:tc>
              <w:tc>
                <w:tcPr>
                  <w:tcW w:w="1097" w:type="pct"/>
                  <w:vAlign w:val="center"/>
                </w:tcPr>
                <w:p w14:paraId="5D62EC28" w14:textId="77777777" w:rsidR="0011262F" w:rsidRPr="00913E2B" w:rsidRDefault="0011262F" w:rsidP="00B54007">
                  <w:pPr>
                    <w:pStyle w:val="TableBodyText"/>
                    <w:ind w:right="28"/>
                  </w:pPr>
                  <w:r>
                    <w:t>0.172</w:t>
                  </w:r>
                </w:p>
              </w:tc>
              <w:tc>
                <w:tcPr>
                  <w:tcW w:w="1097" w:type="pct"/>
                  <w:vAlign w:val="center"/>
                </w:tcPr>
                <w:p w14:paraId="370AA442" w14:textId="77777777" w:rsidR="0011262F" w:rsidRDefault="0011262F" w:rsidP="00B54007">
                  <w:pPr>
                    <w:pStyle w:val="TableBodyText"/>
                  </w:pPr>
                  <w:r>
                    <w:t>0.003</w:t>
                  </w:r>
                </w:p>
              </w:tc>
            </w:tr>
            <w:tr w:rsidR="0011262F" w:rsidRPr="00913E2B" w14:paraId="5AF2D66B" w14:textId="77777777" w:rsidTr="00B54007">
              <w:tc>
                <w:tcPr>
                  <w:tcW w:w="1941" w:type="pct"/>
                  <w:vAlign w:val="center"/>
                </w:tcPr>
                <w:p w14:paraId="3CDDDF49" w14:textId="77777777" w:rsidR="0011262F" w:rsidRPr="00913E2B" w:rsidRDefault="0011262F" w:rsidP="00B54007">
                  <w:pPr>
                    <w:pStyle w:val="TableUnitsRow"/>
                    <w:jc w:val="left"/>
                  </w:pPr>
                </w:p>
              </w:tc>
              <w:tc>
                <w:tcPr>
                  <w:tcW w:w="865" w:type="pct"/>
                  <w:vAlign w:val="center"/>
                </w:tcPr>
                <w:p w14:paraId="26CBC472" w14:textId="77777777" w:rsidR="0011262F" w:rsidRPr="00913E2B" w:rsidRDefault="0011262F" w:rsidP="00B54007">
                  <w:pPr>
                    <w:pStyle w:val="TableBodyText"/>
                  </w:pPr>
                </w:p>
              </w:tc>
              <w:tc>
                <w:tcPr>
                  <w:tcW w:w="1097" w:type="pct"/>
                  <w:vAlign w:val="center"/>
                </w:tcPr>
                <w:p w14:paraId="723C037B" w14:textId="77777777" w:rsidR="0011262F" w:rsidRPr="00913E2B" w:rsidRDefault="0011262F" w:rsidP="00B54007">
                  <w:pPr>
                    <w:pStyle w:val="TableBodyText"/>
                    <w:ind w:right="28"/>
                  </w:pPr>
                  <w:r>
                    <w:t>(0.153)</w:t>
                  </w:r>
                </w:p>
              </w:tc>
              <w:tc>
                <w:tcPr>
                  <w:tcW w:w="1097" w:type="pct"/>
                  <w:vAlign w:val="center"/>
                </w:tcPr>
                <w:p w14:paraId="035E7D20" w14:textId="77777777" w:rsidR="0011262F" w:rsidRDefault="0011262F" w:rsidP="00B54007">
                  <w:pPr>
                    <w:pStyle w:val="TableBodyText"/>
                  </w:pPr>
                  <w:r>
                    <w:t>(0.196)</w:t>
                  </w:r>
                </w:p>
              </w:tc>
            </w:tr>
            <w:tr w:rsidR="0011262F" w:rsidRPr="00913E2B" w14:paraId="10163F28" w14:textId="77777777" w:rsidTr="00B54007">
              <w:tc>
                <w:tcPr>
                  <w:tcW w:w="1941" w:type="pct"/>
                  <w:shd w:val="clear" w:color="auto" w:fill="F2F2F2" w:themeFill="background1" w:themeFillShade="F2"/>
                  <w:vAlign w:val="center"/>
                </w:tcPr>
                <w:p w14:paraId="31189DA4" w14:textId="77777777" w:rsidR="0011262F" w:rsidRPr="00913E2B" w:rsidRDefault="0011262F" w:rsidP="00B54007">
                  <w:pPr>
                    <w:pStyle w:val="TableUnitsRow"/>
                    <w:jc w:val="left"/>
                  </w:pPr>
                  <w:r>
                    <w:t>Net assets x Public sector</w:t>
                  </w:r>
                </w:p>
              </w:tc>
              <w:tc>
                <w:tcPr>
                  <w:tcW w:w="865" w:type="pct"/>
                  <w:shd w:val="clear" w:color="auto" w:fill="F2F2F2" w:themeFill="background1" w:themeFillShade="F2"/>
                  <w:vAlign w:val="center"/>
                </w:tcPr>
                <w:p w14:paraId="18645D18" w14:textId="77777777" w:rsidR="0011262F" w:rsidRPr="00913E2B" w:rsidRDefault="0011262F" w:rsidP="00B54007">
                  <w:pPr>
                    <w:pStyle w:val="TableBodyText"/>
                  </w:pPr>
                </w:p>
              </w:tc>
              <w:tc>
                <w:tcPr>
                  <w:tcW w:w="1097" w:type="pct"/>
                  <w:shd w:val="clear" w:color="auto" w:fill="F2F2F2" w:themeFill="background1" w:themeFillShade="F2"/>
                  <w:vAlign w:val="center"/>
                </w:tcPr>
                <w:p w14:paraId="5D542441" w14:textId="77777777" w:rsidR="0011262F" w:rsidRPr="00913E2B" w:rsidRDefault="0011262F" w:rsidP="00B54007">
                  <w:pPr>
                    <w:pStyle w:val="TableBodyText"/>
                    <w:ind w:right="28"/>
                  </w:pPr>
                  <w:r>
                    <w:t>0.288</w:t>
                  </w:r>
                </w:p>
              </w:tc>
              <w:tc>
                <w:tcPr>
                  <w:tcW w:w="1097" w:type="pct"/>
                  <w:shd w:val="clear" w:color="auto" w:fill="F2F2F2" w:themeFill="background1" w:themeFillShade="F2"/>
                  <w:vAlign w:val="center"/>
                </w:tcPr>
                <w:p w14:paraId="7FFFB6D6" w14:textId="77777777" w:rsidR="0011262F" w:rsidRDefault="0011262F" w:rsidP="00B54007">
                  <w:pPr>
                    <w:pStyle w:val="TableBodyText"/>
                  </w:pPr>
                  <w:r>
                    <w:t>0.094</w:t>
                  </w:r>
                </w:p>
              </w:tc>
            </w:tr>
            <w:tr w:rsidR="0011262F" w:rsidRPr="00913E2B" w14:paraId="0BF0CCCB" w14:textId="77777777" w:rsidTr="00B54007">
              <w:tc>
                <w:tcPr>
                  <w:tcW w:w="1941" w:type="pct"/>
                  <w:shd w:val="clear" w:color="auto" w:fill="F2F2F2" w:themeFill="background1" w:themeFillShade="F2"/>
                  <w:vAlign w:val="center"/>
                </w:tcPr>
                <w:p w14:paraId="4081AE7C" w14:textId="77777777" w:rsidR="0011262F" w:rsidRPr="00913E2B" w:rsidRDefault="0011262F" w:rsidP="00B54007">
                  <w:pPr>
                    <w:pStyle w:val="TableUnitsRow"/>
                    <w:jc w:val="left"/>
                  </w:pPr>
                </w:p>
              </w:tc>
              <w:tc>
                <w:tcPr>
                  <w:tcW w:w="865" w:type="pct"/>
                  <w:shd w:val="clear" w:color="auto" w:fill="F2F2F2" w:themeFill="background1" w:themeFillShade="F2"/>
                  <w:vAlign w:val="center"/>
                </w:tcPr>
                <w:p w14:paraId="4A0F936D" w14:textId="77777777" w:rsidR="0011262F" w:rsidRPr="00913E2B" w:rsidRDefault="0011262F" w:rsidP="00B54007">
                  <w:pPr>
                    <w:pStyle w:val="TableBodyText"/>
                  </w:pPr>
                </w:p>
              </w:tc>
              <w:tc>
                <w:tcPr>
                  <w:tcW w:w="1097" w:type="pct"/>
                  <w:shd w:val="clear" w:color="auto" w:fill="F2F2F2" w:themeFill="background1" w:themeFillShade="F2"/>
                  <w:vAlign w:val="center"/>
                </w:tcPr>
                <w:p w14:paraId="5297A845" w14:textId="77777777" w:rsidR="0011262F" w:rsidRPr="00913E2B" w:rsidRDefault="0011262F" w:rsidP="00B54007">
                  <w:pPr>
                    <w:pStyle w:val="TableBodyText"/>
                    <w:ind w:right="28"/>
                  </w:pPr>
                  <w:r>
                    <w:t>(0.226)</w:t>
                  </w:r>
                </w:p>
              </w:tc>
              <w:tc>
                <w:tcPr>
                  <w:tcW w:w="1097" w:type="pct"/>
                  <w:shd w:val="clear" w:color="auto" w:fill="F2F2F2" w:themeFill="background1" w:themeFillShade="F2"/>
                  <w:vAlign w:val="center"/>
                </w:tcPr>
                <w:p w14:paraId="1F1F3995" w14:textId="77777777" w:rsidR="0011262F" w:rsidRDefault="0011262F" w:rsidP="00B54007">
                  <w:pPr>
                    <w:pStyle w:val="TableBodyText"/>
                  </w:pPr>
                  <w:r>
                    <w:t>(0.285)</w:t>
                  </w:r>
                </w:p>
              </w:tc>
            </w:tr>
            <w:tr w:rsidR="0011262F" w:rsidRPr="00913E2B" w14:paraId="585ED84A" w14:textId="77777777" w:rsidTr="00B54007">
              <w:tc>
                <w:tcPr>
                  <w:tcW w:w="1941" w:type="pct"/>
                  <w:vAlign w:val="center"/>
                </w:tcPr>
                <w:p w14:paraId="2FED3C0C" w14:textId="77777777" w:rsidR="0011262F" w:rsidRPr="00913E2B" w:rsidRDefault="0011262F" w:rsidP="00B54007">
                  <w:pPr>
                    <w:pStyle w:val="TableUnitsRow"/>
                    <w:jc w:val="left"/>
                  </w:pPr>
                  <w:r>
                    <w:t>Net assets x Retail</w:t>
                  </w:r>
                </w:p>
              </w:tc>
              <w:tc>
                <w:tcPr>
                  <w:tcW w:w="865" w:type="pct"/>
                  <w:vAlign w:val="center"/>
                </w:tcPr>
                <w:p w14:paraId="3B2569F5" w14:textId="77777777" w:rsidR="0011262F" w:rsidRPr="00913E2B" w:rsidRDefault="0011262F" w:rsidP="00B54007">
                  <w:pPr>
                    <w:pStyle w:val="TableBodyText"/>
                  </w:pPr>
                </w:p>
              </w:tc>
              <w:tc>
                <w:tcPr>
                  <w:tcW w:w="1097" w:type="pct"/>
                  <w:vAlign w:val="center"/>
                </w:tcPr>
                <w:p w14:paraId="255EAE6D" w14:textId="77777777" w:rsidR="0011262F" w:rsidRPr="00913E2B" w:rsidRDefault="0011262F" w:rsidP="00B54007">
                  <w:pPr>
                    <w:pStyle w:val="TableBodyText"/>
                    <w:ind w:right="28"/>
                  </w:pPr>
                  <w:r>
                    <w:t>-0.094</w:t>
                  </w:r>
                </w:p>
              </w:tc>
              <w:tc>
                <w:tcPr>
                  <w:tcW w:w="1097" w:type="pct"/>
                  <w:vAlign w:val="center"/>
                </w:tcPr>
                <w:p w14:paraId="3C565DF2" w14:textId="77777777" w:rsidR="0011262F" w:rsidRDefault="0011262F" w:rsidP="00B54007">
                  <w:pPr>
                    <w:pStyle w:val="TableBodyText"/>
                  </w:pPr>
                  <w:r>
                    <w:t>-0.249</w:t>
                  </w:r>
                  <w:r>
                    <w:rPr>
                      <w:vertAlign w:val="superscript"/>
                    </w:rPr>
                    <w:t>*</w:t>
                  </w:r>
                </w:p>
              </w:tc>
            </w:tr>
            <w:tr w:rsidR="0011262F" w:rsidRPr="00913E2B" w14:paraId="21C2E0E4" w14:textId="77777777" w:rsidTr="00B54007">
              <w:tc>
                <w:tcPr>
                  <w:tcW w:w="1941" w:type="pct"/>
                  <w:vAlign w:val="center"/>
                </w:tcPr>
                <w:p w14:paraId="499C84BF" w14:textId="77777777" w:rsidR="0011262F" w:rsidRPr="00913E2B" w:rsidRDefault="0011262F" w:rsidP="00B54007">
                  <w:pPr>
                    <w:pStyle w:val="TableUnitsRow"/>
                    <w:jc w:val="left"/>
                  </w:pPr>
                </w:p>
              </w:tc>
              <w:tc>
                <w:tcPr>
                  <w:tcW w:w="865" w:type="pct"/>
                  <w:vAlign w:val="center"/>
                </w:tcPr>
                <w:p w14:paraId="149D6284" w14:textId="77777777" w:rsidR="0011262F" w:rsidRPr="00913E2B" w:rsidRDefault="0011262F" w:rsidP="00B54007">
                  <w:pPr>
                    <w:pStyle w:val="TableBodyText"/>
                  </w:pPr>
                </w:p>
              </w:tc>
              <w:tc>
                <w:tcPr>
                  <w:tcW w:w="1097" w:type="pct"/>
                  <w:vAlign w:val="center"/>
                </w:tcPr>
                <w:p w14:paraId="74D90E3C" w14:textId="77777777" w:rsidR="0011262F" w:rsidRPr="00913E2B" w:rsidRDefault="0011262F" w:rsidP="00B54007">
                  <w:pPr>
                    <w:pStyle w:val="TableBodyText"/>
                    <w:ind w:right="28"/>
                  </w:pPr>
                  <w:r>
                    <w:t>(0.110)</w:t>
                  </w:r>
                </w:p>
              </w:tc>
              <w:tc>
                <w:tcPr>
                  <w:tcW w:w="1097" w:type="pct"/>
                  <w:vAlign w:val="center"/>
                </w:tcPr>
                <w:p w14:paraId="4603FB0C" w14:textId="77777777" w:rsidR="0011262F" w:rsidRDefault="0011262F" w:rsidP="00B54007">
                  <w:pPr>
                    <w:pStyle w:val="TableBodyText"/>
                  </w:pPr>
                  <w:r>
                    <w:t>(0.143)</w:t>
                  </w:r>
                </w:p>
              </w:tc>
            </w:tr>
            <w:tr w:rsidR="0011262F" w:rsidRPr="00913E2B" w14:paraId="2D478EA0" w14:textId="77777777" w:rsidTr="00B54007">
              <w:tc>
                <w:tcPr>
                  <w:tcW w:w="1941" w:type="pct"/>
                  <w:shd w:val="clear" w:color="auto" w:fill="F2F2F2" w:themeFill="background1" w:themeFillShade="F2"/>
                  <w:vAlign w:val="center"/>
                </w:tcPr>
                <w:p w14:paraId="4C3A4306" w14:textId="77777777" w:rsidR="0011262F" w:rsidRPr="00913E2B" w:rsidRDefault="0011262F" w:rsidP="00B54007">
                  <w:pPr>
                    <w:pStyle w:val="TableUnitsRow"/>
                    <w:jc w:val="left"/>
                  </w:pPr>
                  <w:r>
                    <w:t>Intercept</w:t>
                  </w:r>
                </w:p>
              </w:tc>
              <w:tc>
                <w:tcPr>
                  <w:tcW w:w="865" w:type="pct"/>
                  <w:shd w:val="clear" w:color="auto" w:fill="F2F2F2" w:themeFill="background1" w:themeFillShade="F2"/>
                  <w:vAlign w:val="center"/>
                </w:tcPr>
                <w:p w14:paraId="722A1FDC" w14:textId="77777777" w:rsidR="0011262F" w:rsidRPr="00913E2B" w:rsidRDefault="0011262F" w:rsidP="00B54007">
                  <w:pPr>
                    <w:pStyle w:val="TableBodyText"/>
                  </w:pPr>
                  <w:r>
                    <w:t>6.540</w:t>
                  </w:r>
                  <w:r>
                    <w:rPr>
                      <w:vertAlign w:val="superscript"/>
                    </w:rPr>
                    <w:t>***</w:t>
                  </w:r>
                </w:p>
              </w:tc>
              <w:tc>
                <w:tcPr>
                  <w:tcW w:w="1097" w:type="pct"/>
                  <w:shd w:val="clear" w:color="auto" w:fill="F2F2F2" w:themeFill="background1" w:themeFillShade="F2"/>
                  <w:vAlign w:val="center"/>
                </w:tcPr>
                <w:p w14:paraId="55151D3A" w14:textId="77777777" w:rsidR="0011262F" w:rsidRPr="00913E2B" w:rsidRDefault="0011262F" w:rsidP="00B54007">
                  <w:pPr>
                    <w:pStyle w:val="TableBodyText"/>
                    <w:ind w:right="28"/>
                  </w:pPr>
                  <w:r>
                    <w:t>7.364</w:t>
                  </w:r>
                  <w:r>
                    <w:rPr>
                      <w:vertAlign w:val="superscript"/>
                    </w:rPr>
                    <w:t>***</w:t>
                  </w:r>
                </w:p>
              </w:tc>
              <w:tc>
                <w:tcPr>
                  <w:tcW w:w="1097" w:type="pct"/>
                  <w:shd w:val="clear" w:color="auto" w:fill="F2F2F2" w:themeFill="background1" w:themeFillShade="F2"/>
                  <w:vAlign w:val="center"/>
                </w:tcPr>
                <w:p w14:paraId="260F1FE6" w14:textId="77777777" w:rsidR="0011262F" w:rsidRDefault="0011262F" w:rsidP="00B54007">
                  <w:pPr>
                    <w:pStyle w:val="TableBodyText"/>
                  </w:pPr>
                  <w:r>
                    <w:t>-3.898</w:t>
                  </w:r>
                  <w:r>
                    <w:rPr>
                      <w:vertAlign w:val="superscript"/>
                    </w:rPr>
                    <w:t>**</w:t>
                  </w:r>
                </w:p>
              </w:tc>
            </w:tr>
            <w:tr w:rsidR="0011262F" w:rsidRPr="00913E2B" w14:paraId="147E62B7" w14:textId="77777777" w:rsidTr="00B54007">
              <w:tc>
                <w:tcPr>
                  <w:tcW w:w="1941" w:type="pct"/>
                  <w:shd w:val="clear" w:color="auto" w:fill="F2F2F2" w:themeFill="background1" w:themeFillShade="F2"/>
                  <w:vAlign w:val="center"/>
                </w:tcPr>
                <w:p w14:paraId="2D376253" w14:textId="77777777" w:rsidR="0011262F" w:rsidRPr="00913E2B" w:rsidRDefault="0011262F" w:rsidP="00B54007">
                  <w:pPr>
                    <w:pStyle w:val="TableUnitsRow"/>
                    <w:jc w:val="left"/>
                  </w:pPr>
                </w:p>
              </w:tc>
              <w:tc>
                <w:tcPr>
                  <w:tcW w:w="865" w:type="pct"/>
                  <w:shd w:val="clear" w:color="auto" w:fill="F2F2F2" w:themeFill="background1" w:themeFillShade="F2"/>
                  <w:vAlign w:val="center"/>
                </w:tcPr>
                <w:p w14:paraId="40C3C798" w14:textId="77777777" w:rsidR="0011262F" w:rsidRPr="00913E2B" w:rsidRDefault="0011262F" w:rsidP="00B54007">
                  <w:pPr>
                    <w:pStyle w:val="TableBodyText"/>
                  </w:pPr>
                  <w:r w:rsidRPr="00D837F4">
                    <w:t>(0.</w:t>
                  </w:r>
                  <w:r>
                    <w:t>724</w:t>
                  </w:r>
                  <w:r w:rsidRPr="00D837F4">
                    <w:t>)</w:t>
                  </w:r>
                </w:p>
              </w:tc>
              <w:tc>
                <w:tcPr>
                  <w:tcW w:w="1097" w:type="pct"/>
                  <w:shd w:val="clear" w:color="auto" w:fill="F2F2F2" w:themeFill="background1" w:themeFillShade="F2"/>
                  <w:vAlign w:val="center"/>
                </w:tcPr>
                <w:p w14:paraId="31CCE9F6" w14:textId="77777777" w:rsidR="0011262F" w:rsidRPr="00913E2B" w:rsidRDefault="0011262F" w:rsidP="00B54007">
                  <w:pPr>
                    <w:pStyle w:val="TableBodyText"/>
                    <w:ind w:right="28"/>
                  </w:pPr>
                  <w:r>
                    <w:t>(1.375)</w:t>
                  </w:r>
                </w:p>
              </w:tc>
              <w:tc>
                <w:tcPr>
                  <w:tcW w:w="1097" w:type="pct"/>
                  <w:shd w:val="clear" w:color="auto" w:fill="F2F2F2" w:themeFill="background1" w:themeFillShade="F2"/>
                  <w:vAlign w:val="center"/>
                </w:tcPr>
                <w:p w14:paraId="1D3850BF" w14:textId="77777777" w:rsidR="0011262F" w:rsidRDefault="0011262F" w:rsidP="00B54007">
                  <w:pPr>
                    <w:pStyle w:val="TableBodyText"/>
                  </w:pPr>
                  <w:r>
                    <w:t>(1.735)</w:t>
                  </w:r>
                </w:p>
              </w:tc>
            </w:tr>
            <w:tr w:rsidR="0011262F" w:rsidRPr="00913E2B" w14:paraId="65670187" w14:textId="77777777" w:rsidTr="00B54007">
              <w:tc>
                <w:tcPr>
                  <w:tcW w:w="1941" w:type="pct"/>
                  <w:shd w:val="clear" w:color="auto" w:fill="auto"/>
                </w:tcPr>
                <w:p w14:paraId="4F9DCA37" w14:textId="77777777" w:rsidR="0011262F" w:rsidRPr="00913E2B" w:rsidRDefault="0011262F" w:rsidP="00B54007">
                  <w:pPr>
                    <w:pStyle w:val="TableUnitsRow"/>
                    <w:jc w:val="left"/>
                  </w:pPr>
                </w:p>
              </w:tc>
              <w:tc>
                <w:tcPr>
                  <w:tcW w:w="865" w:type="pct"/>
                  <w:shd w:val="clear" w:color="auto" w:fill="auto"/>
                </w:tcPr>
                <w:p w14:paraId="7363819C" w14:textId="77777777" w:rsidR="0011262F" w:rsidRPr="00913E2B" w:rsidRDefault="0011262F" w:rsidP="00B54007">
                  <w:pPr>
                    <w:pStyle w:val="TableBodyText"/>
                  </w:pPr>
                </w:p>
              </w:tc>
              <w:tc>
                <w:tcPr>
                  <w:tcW w:w="1097" w:type="pct"/>
                  <w:shd w:val="clear" w:color="auto" w:fill="auto"/>
                </w:tcPr>
                <w:p w14:paraId="4B703183" w14:textId="77777777" w:rsidR="0011262F" w:rsidRPr="00913E2B" w:rsidRDefault="0011262F" w:rsidP="00B54007">
                  <w:pPr>
                    <w:pStyle w:val="TableBodyText"/>
                    <w:ind w:right="28"/>
                  </w:pPr>
                </w:p>
              </w:tc>
              <w:tc>
                <w:tcPr>
                  <w:tcW w:w="1097" w:type="pct"/>
                </w:tcPr>
                <w:p w14:paraId="2A28418A" w14:textId="77777777" w:rsidR="0011262F" w:rsidRPr="00913E2B" w:rsidRDefault="0011262F" w:rsidP="00B54007">
                  <w:pPr>
                    <w:pStyle w:val="TableBodyText"/>
                  </w:pPr>
                </w:p>
              </w:tc>
            </w:tr>
            <w:tr w:rsidR="0011262F" w:rsidRPr="00913E2B" w14:paraId="124C6CEE" w14:textId="77777777" w:rsidTr="00B54007">
              <w:tc>
                <w:tcPr>
                  <w:tcW w:w="1941" w:type="pct"/>
                  <w:vAlign w:val="center"/>
                </w:tcPr>
                <w:p w14:paraId="3BB2934D" w14:textId="77777777" w:rsidR="0011262F" w:rsidRPr="00913E2B" w:rsidRDefault="0011262F" w:rsidP="00B54007">
                  <w:pPr>
                    <w:pStyle w:val="TableUnitsRow"/>
                    <w:jc w:val="left"/>
                  </w:pPr>
                  <m:oMathPara>
                    <m:oMathParaPr>
                      <m:jc m:val="left"/>
                    </m:oMathParaPr>
                    <m:oMath>
                      <m:r>
                        <w:rPr>
                          <w:rFonts w:ascii="Cambria Math" w:hAnsi="Cambria Math"/>
                        </w:rPr>
                        <m:t>N</m:t>
                      </m:r>
                    </m:oMath>
                  </m:oMathPara>
                </w:p>
              </w:tc>
              <w:tc>
                <w:tcPr>
                  <w:tcW w:w="865" w:type="pct"/>
                </w:tcPr>
                <w:p w14:paraId="4CC9C318" w14:textId="77777777" w:rsidR="0011262F" w:rsidRPr="00913E2B" w:rsidRDefault="0011262F" w:rsidP="00B54007">
                  <w:pPr>
                    <w:pStyle w:val="TableBodyText"/>
                  </w:pPr>
                  <w:r w:rsidRPr="0004117D">
                    <w:t>168</w:t>
                  </w:r>
                </w:p>
              </w:tc>
              <w:tc>
                <w:tcPr>
                  <w:tcW w:w="1097" w:type="pct"/>
                </w:tcPr>
                <w:p w14:paraId="734E4C8D" w14:textId="77777777" w:rsidR="0011262F" w:rsidRPr="00913E2B" w:rsidRDefault="0011262F" w:rsidP="00B54007">
                  <w:pPr>
                    <w:pStyle w:val="TableBodyText"/>
                    <w:ind w:right="28"/>
                  </w:pPr>
                  <w:r w:rsidRPr="0004117D">
                    <w:t>168</w:t>
                  </w:r>
                </w:p>
              </w:tc>
              <w:tc>
                <w:tcPr>
                  <w:tcW w:w="1097" w:type="pct"/>
                </w:tcPr>
                <w:p w14:paraId="1DDBBF73" w14:textId="77777777" w:rsidR="0011262F" w:rsidRPr="0004117D" w:rsidRDefault="0011262F" w:rsidP="00B54007">
                  <w:pPr>
                    <w:pStyle w:val="TableBodyText"/>
                  </w:pPr>
                  <w:r w:rsidRPr="0004117D">
                    <w:t>174</w:t>
                  </w:r>
                </w:p>
              </w:tc>
            </w:tr>
            <w:tr w:rsidR="0011262F" w:rsidRPr="00913E2B" w14:paraId="71CEE1DF" w14:textId="77777777" w:rsidTr="00B54007">
              <w:tc>
                <w:tcPr>
                  <w:tcW w:w="1941" w:type="pct"/>
                  <w:vAlign w:val="center"/>
                </w:tcPr>
                <w:p w14:paraId="18FBAB3F" w14:textId="77777777" w:rsidR="0011262F" w:rsidRPr="00913E2B" w:rsidRDefault="002F0937" w:rsidP="00B54007">
                  <w:pPr>
                    <w:pStyle w:val="TableUnitsRow"/>
                    <w:jc w:val="left"/>
                  </w:pPr>
                  <m:oMathPara>
                    <m:oMathParaPr>
                      <m:jc m:val="left"/>
                    </m:oMathParaPr>
                    <m:oMath>
                      <m:sSup>
                        <m:sSupPr>
                          <m:ctrlPr>
                            <w:rPr>
                              <w:rFonts w:ascii="Cambria Math" w:hAnsi="Cambria Math"/>
                              <w:i/>
                            </w:rPr>
                          </m:ctrlPr>
                        </m:sSupPr>
                        <m:e>
                          <m:r>
                            <w:rPr>
                              <w:rFonts w:ascii="Cambria Math" w:hAnsi="Cambria Math"/>
                            </w:rPr>
                            <m:t>R</m:t>
                          </m:r>
                        </m:e>
                        <m:sup>
                          <m:r>
                            <w:rPr>
                              <w:rFonts w:ascii="Cambria Math" w:hAnsi="Cambria Math"/>
                            </w:rPr>
                            <m:t>2</m:t>
                          </m:r>
                        </m:sup>
                      </m:sSup>
                    </m:oMath>
                  </m:oMathPara>
                </w:p>
              </w:tc>
              <w:tc>
                <w:tcPr>
                  <w:tcW w:w="865" w:type="pct"/>
                </w:tcPr>
                <w:p w14:paraId="09E55FFD" w14:textId="77777777" w:rsidR="0011262F" w:rsidRPr="00913E2B" w:rsidRDefault="0011262F" w:rsidP="00B54007">
                  <w:pPr>
                    <w:pStyle w:val="TableBodyText"/>
                  </w:pPr>
                  <w:r w:rsidRPr="00D837F4">
                    <w:t>0.</w:t>
                  </w:r>
                  <w:r w:rsidRPr="0004117D">
                    <w:t>312</w:t>
                  </w:r>
                </w:p>
              </w:tc>
              <w:tc>
                <w:tcPr>
                  <w:tcW w:w="1097" w:type="pct"/>
                </w:tcPr>
                <w:p w14:paraId="3FA0270E" w14:textId="77777777" w:rsidR="0011262F" w:rsidRPr="00913E2B" w:rsidRDefault="0011262F" w:rsidP="00B54007">
                  <w:pPr>
                    <w:pStyle w:val="TableBodyText"/>
                    <w:ind w:right="28"/>
                  </w:pPr>
                  <w:r w:rsidRPr="00D837F4">
                    <w:t>0.</w:t>
                  </w:r>
                  <w:r w:rsidRPr="0004117D">
                    <w:t>488</w:t>
                  </w:r>
                </w:p>
              </w:tc>
              <w:tc>
                <w:tcPr>
                  <w:tcW w:w="1097" w:type="pct"/>
                </w:tcPr>
                <w:p w14:paraId="7E071C20" w14:textId="77777777" w:rsidR="0011262F" w:rsidRPr="0004117D" w:rsidRDefault="0011262F" w:rsidP="00B54007">
                  <w:pPr>
                    <w:pStyle w:val="TableBodyText"/>
                  </w:pPr>
                  <w:r w:rsidRPr="0004117D">
                    <w:t>0.291</w:t>
                  </w:r>
                </w:p>
              </w:tc>
            </w:tr>
            <w:tr w:rsidR="0011262F" w14:paraId="31927FA0" w14:textId="77777777" w:rsidTr="00B54007">
              <w:tc>
                <w:tcPr>
                  <w:tcW w:w="1941" w:type="pct"/>
                  <w:shd w:val="clear" w:color="auto" w:fill="auto"/>
                </w:tcPr>
                <w:p w14:paraId="28BC17BB" w14:textId="77777777" w:rsidR="0011262F" w:rsidRDefault="0011262F" w:rsidP="00B54007">
                  <w:pPr>
                    <w:pStyle w:val="TableBodyText"/>
                    <w:jc w:val="left"/>
                  </w:pPr>
                  <w:r>
                    <w:t xml:space="preserve">Adjusted </w:t>
                  </w:r>
                  <m:oMath>
                    <m:sSup>
                      <m:sSupPr>
                        <m:ctrlPr>
                          <w:rPr>
                            <w:rFonts w:ascii="Cambria Math" w:hAnsi="Cambria Math"/>
                            <w:i/>
                          </w:rPr>
                        </m:ctrlPr>
                      </m:sSupPr>
                      <m:e>
                        <m:r>
                          <w:rPr>
                            <w:rFonts w:ascii="Cambria Math" w:hAnsi="Cambria Math"/>
                          </w:rPr>
                          <m:t>R</m:t>
                        </m:r>
                      </m:e>
                      <m:sup>
                        <m:r>
                          <w:rPr>
                            <w:rFonts w:ascii="Cambria Math" w:hAnsi="Cambria Math"/>
                          </w:rPr>
                          <m:t>2</m:t>
                        </m:r>
                      </m:sup>
                    </m:sSup>
                  </m:oMath>
                </w:p>
              </w:tc>
              <w:tc>
                <w:tcPr>
                  <w:tcW w:w="865" w:type="pct"/>
                  <w:shd w:val="clear" w:color="auto" w:fill="auto"/>
                </w:tcPr>
                <w:p w14:paraId="52E7342E" w14:textId="77777777" w:rsidR="0011262F" w:rsidRDefault="0011262F" w:rsidP="00B54007">
                  <w:pPr>
                    <w:pStyle w:val="TableBodyText"/>
                  </w:pPr>
                  <w:r w:rsidRPr="00D837F4">
                    <w:t>0.</w:t>
                  </w:r>
                  <w:r w:rsidRPr="0004117D">
                    <w:t>291</w:t>
                  </w:r>
                </w:p>
              </w:tc>
              <w:tc>
                <w:tcPr>
                  <w:tcW w:w="1097" w:type="pct"/>
                  <w:shd w:val="clear" w:color="auto" w:fill="auto"/>
                </w:tcPr>
                <w:p w14:paraId="0AC99AFC" w14:textId="77777777" w:rsidR="0011262F" w:rsidRDefault="0011262F" w:rsidP="00B54007">
                  <w:pPr>
                    <w:pStyle w:val="TableBodyText"/>
                    <w:ind w:right="28"/>
                  </w:pPr>
                  <w:r w:rsidRPr="00D837F4">
                    <w:t>0.</w:t>
                  </w:r>
                  <w:r w:rsidRPr="0004117D">
                    <w:t>452</w:t>
                  </w:r>
                </w:p>
              </w:tc>
              <w:tc>
                <w:tcPr>
                  <w:tcW w:w="1097" w:type="pct"/>
                </w:tcPr>
                <w:p w14:paraId="734B79F4" w14:textId="77777777" w:rsidR="0011262F" w:rsidRPr="0004117D" w:rsidRDefault="0011262F" w:rsidP="00B54007">
                  <w:pPr>
                    <w:pStyle w:val="TableBodyText"/>
                  </w:pPr>
                  <w:r w:rsidRPr="0004117D">
                    <w:t>0.261</w:t>
                  </w:r>
                </w:p>
              </w:tc>
            </w:tr>
            <w:tr w:rsidR="0011262F" w14:paraId="33F4CCBD" w14:textId="77777777" w:rsidTr="00B54007">
              <w:tc>
                <w:tcPr>
                  <w:tcW w:w="1941" w:type="pct"/>
                  <w:tcBorders>
                    <w:bottom w:val="single" w:sz="6" w:space="0" w:color="BFBFBF"/>
                  </w:tcBorders>
                  <w:shd w:val="clear" w:color="auto" w:fill="auto"/>
                </w:tcPr>
                <w:p w14:paraId="5C36EBE0" w14:textId="77777777" w:rsidR="0011262F" w:rsidRPr="002803B7" w:rsidRDefault="0011262F" w:rsidP="00B54007">
                  <w:pPr>
                    <w:pStyle w:val="TableBodyText"/>
                    <w:jc w:val="left"/>
                    <w:rPr>
                      <w:i/>
                    </w:rPr>
                  </w:pPr>
                  <w:r w:rsidRPr="002803B7">
                    <w:rPr>
                      <w:i/>
                    </w:rPr>
                    <w:t>F</w:t>
                  </w:r>
                </w:p>
              </w:tc>
              <w:tc>
                <w:tcPr>
                  <w:tcW w:w="865" w:type="pct"/>
                  <w:tcBorders>
                    <w:bottom w:val="single" w:sz="6" w:space="0" w:color="BFBFBF"/>
                  </w:tcBorders>
                  <w:shd w:val="clear" w:color="auto" w:fill="auto"/>
                </w:tcPr>
                <w:p w14:paraId="4203C68B" w14:textId="77777777" w:rsidR="0011262F" w:rsidRPr="00D837F4" w:rsidRDefault="0011262F" w:rsidP="00B54007">
                  <w:pPr>
                    <w:pStyle w:val="TableBodyText"/>
                  </w:pPr>
                  <w:r w:rsidRPr="0004117D">
                    <w:t>14.692***</w:t>
                  </w:r>
                </w:p>
              </w:tc>
              <w:tc>
                <w:tcPr>
                  <w:tcW w:w="1097" w:type="pct"/>
                  <w:tcBorders>
                    <w:bottom w:val="single" w:sz="6" w:space="0" w:color="BFBFBF"/>
                  </w:tcBorders>
                  <w:shd w:val="clear" w:color="auto" w:fill="auto"/>
                </w:tcPr>
                <w:p w14:paraId="25E497FE" w14:textId="77777777" w:rsidR="0011262F" w:rsidRPr="00D837F4" w:rsidRDefault="0011262F" w:rsidP="00B54007">
                  <w:pPr>
                    <w:pStyle w:val="TableBodyText"/>
                    <w:ind w:right="28"/>
                  </w:pPr>
                  <w:r w:rsidRPr="0004117D">
                    <w:t>13.520***</w:t>
                  </w:r>
                </w:p>
              </w:tc>
              <w:tc>
                <w:tcPr>
                  <w:tcW w:w="1097" w:type="pct"/>
                  <w:tcBorders>
                    <w:bottom w:val="single" w:sz="6" w:space="0" w:color="BFBFBF"/>
                  </w:tcBorders>
                </w:tcPr>
                <w:p w14:paraId="4DA7A86A" w14:textId="77777777" w:rsidR="0011262F" w:rsidRDefault="0011262F" w:rsidP="00B54007">
                  <w:pPr>
                    <w:pStyle w:val="TableBodyText"/>
                  </w:pPr>
                  <w:r w:rsidRPr="0004117D">
                    <w:t>9.735***</w:t>
                  </w:r>
                </w:p>
              </w:tc>
            </w:tr>
          </w:tbl>
          <w:p w14:paraId="515F4D85" w14:textId="77777777" w:rsidR="0011262F" w:rsidRDefault="0011262F" w:rsidP="00B54007">
            <w:pPr>
              <w:pStyle w:val="Box"/>
            </w:pPr>
          </w:p>
        </w:tc>
      </w:tr>
      <w:tr w:rsidR="0011262F" w14:paraId="7C26A3AF" w14:textId="77777777" w:rsidTr="00B54007">
        <w:tc>
          <w:tcPr>
            <w:tcW w:w="5000" w:type="pct"/>
            <w:tcBorders>
              <w:top w:val="nil"/>
              <w:left w:val="nil"/>
              <w:bottom w:val="nil"/>
              <w:right w:val="nil"/>
            </w:tcBorders>
            <w:shd w:val="clear" w:color="auto" w:fill="auto"/>
          </w:tcPr>
          <w:p w14:paraId="0618B00D" w14:textId="77777777" w:rsidR="0011262F" w:rsidRDefault="0011262F" w:rsidP="00B54007">
            <w:pPr>
              <w:pStyle w:val="Note"/>
              <w:rPr>
                <w:i/>
              </w:rPr>
            </w:pPr>
            <w:r w:rsidRPr="008E77FE">
              <w:rPr>
                <w:rStyle w:val="NoteLabel"/>
              </w:rPr>
              <w:t>a</w:t>
            </w:r>
            <w:r>
              <w:t xml:space="preserve"> </w:t>
            </w:r>
            <w:r>
              <w:rPr>
                <w:szCs w:val="18"/>
              </w:rPr>
              <w:t xml:space="preserve">Net assets for each fund are averaged over the time period and logged. </w:t>
            </w:r>
            <w:r w:rsidRPr="00132196">
              <w:rPr>
                <w:szCs w:val="18"/>
              </w:rPr>
              <w:t xml:space="preserve">The reference fund type is </w:t>
            </w:r>
            <w:r>
              <w:rPr>
                <w:szCs w:val="18"/>
              </w:rPr>
              <w:t>‘</w:t>
            </w:r>
            <w:r w:rsidRPr="00132196">
              <w:rPr>
                <w:szCs w:val="18"/>
              </w:rPr>
              <w:t>Corporate</w:t>
            </w:r>
            <w:r>
              <w:rPr>
                <w:szCs w:val="18"/>
              </w:rPr>
              <w:t>’</w:t>
            </w:r>
            <w:r w:rsidRPr="00132196">
              <w:rPr>
                <w:szCs w:val="18"/>
              </w:rPr>
              <w:t>.</w:t>
            </w:r>
            <w:r>
              <w:t xml:space="preserve"> </w:t>
            </w:r>
            <w:r>
              <w:rPr>
                <w:szCs w:val="18"/>
              </w:rPr>
              <w:t xml:space="preserve">Defensive assets include cash and fixed </w:t>
            </w:r>
            <w:r w:rsidRPr="00C358C1">
              <w:t>in</w:t>
            </w:r>
            <w:r>
              <w:t>come</w:t>
            </w:r>
            <w:r>
              <w:rPr>
                <w:szCs w:val="18"/>
              </w:rPr>
              <w:t>. Outlier observations have been excluded from this analysis (where outliers are defined to be at least 2 standard deviations away from the mean).</w:t>
            </w:r>
            <w:r>
              <w:t xml:space="preserve"> Standard errors in parentheses. </w:t>
            </w:r>
            <w:r w:rsidRPr="00132196">
              <w:rPr>
                <w:szCs w:val="18"/>
                <w:vertAlign w:val="superscript"/>
              </w:rPr>
              <w:t>***</w:t>
            </w:r>
            <w:r>
              <w:rPr>
                <w:szCs w:val="18"/>
                <w:vertAlign w:val="superscript"/>
              </w:rPr>
              <w:t xml:space="preserve"> </w:t>
            </w:r>
            <w:r w:rsidRPr="00132196">
              <w:rPr>
                <w:szCs w:val="18"/>
              </w:rPr>
              <w:t xml:space="preserve">Significant at the 1 per cent level. </w:t>
            </w:r>
            <w:r w:rsidRPr="00132196">
              <w:rPr>
                <w:szCs w:val="18"/>
                <w:vertAlign w:val="superscript"/>
              </w:rPr>
              <w:t>**</w:t>
            </w:r>
            <w:r>
              <w:rPr>
                <w:szCs w:val="18"/>
                <w:vertAlign w:val="superscript"/>
              </w:rPr>
              <w:t xml:space="preserve"> </w:t>
            </w:r>
            <w:r w:rsidRPr="00132196">
              <w:rPr>
                <w:szCs w:val="18"/>
              </w:rPr>
              <w:t xml:space="preserve">Significant at the 5 per cent level. </w:t>
            </w:r>
            <w:r w:rsidRPr="00132196">
              <w:rPr>
                <w:szCs w:val="18"/>
                <w:vertAlign w:val="superscript"/>
              </w:rPr>
              <w:t>*</w:t>
            </w:r>
            <w:r>
              <w:rPr>
                <w:szCs w:val="18"/>
                <w:vertAlign w:val="superscript"/>
              </w:rPr>
              <w:t xml:space="preserve"> </w:t>
            </w:r>
            <w:r w:rsidRPr="00132196">
              <w:rPr>
                <w:szCs w:val="18"/>
              </w:rPr>
              <w:t>Significant at the 10 per cent level.</w:t>
            </w:r>
          </w:p>
        </w:tc>
      </w:tr>
      <w:tr w:rsidR="0011262F" w14:paraId="65939662" w14:textId="77777777" w:rsidTr="00B54007">
        <w:tc>
          <w:tcPr>
            <w:tcW w:w="5000" w:type="pct"/>
            <w:tcBorders>
              <w:top w:val="nil"/>
              <w:left w:val="nil"/>
              <w:bottom w:val="nil"/>
              <w:right w:val="nil"/>
            </w:tcBorders>
            <w:shd w:val="clear" w:color="auto" w:fill="auto"/>
          </w:tcPr>
          <w:p w14:paraId="71625CEB" w14:textId="77777777" w:rsidR="0011262F" w:rsidRDefault="0011262F" w:rsidP="00B54007">
            <w:pPr>
              <w:pStyle w:val="Source"/>
            </w:pPr>
            <w:r w:rsidRPr="00F1457E">
              <w:rPr>
                <w:i/>
              </w:rPr>
              <w:t>Source</w:t>
            </w:r>
            <w:r w:rsidRPr="00F1457E">
              <w:t xml:space="preserve">: </w:t>
            </w:r>
            <w:r>
              <w:rPr>
                <w:rFonts w:eastAsia="+mn-ea" w:cs="Arial"/>
                <w:color w:val="000000" w:themeColor="text1"/>
                <w:kern w:val="24"/>
                <w:szCs w:val="18"/>
              </w:rPr>
              <w:t>PC analysis of unpublished APRA data (</w:t>
            </w:r>
            <w:r w:rsidRPr="00481B71">
              <w:rPr>
                <w:rFonts w:eastAsia="+mn-ea" w:cs="Arial"/>
                <w:color w:val="000000" w:themeColor="text1"/>
                <w:kern w:val="24"/>
                <w:szCs w:val="18"/>
              </w:rPr>
              <w:t>2014</w:t>
            </w:r>
            <w:r>
              <w:rPr>
                <w:rFonts w:eastAsia="+mn-ea" w:cs="Arial"/>
                <w:color w:val="000000" w:themeColor="text1"/>
                <w:kern w:val="24"/>
                <w:szCs w:val="18"/>
              </w:rPr>
              <w:t>–</w:t>
            </w:r>
            <w:r w:rsidRPr="00481B71">
              <w:rPr>
                <w:rFonts w:eastAsia="+mn-ea" w:cs="Arial"/>
                <w:color w:val="000000" w:themeColor="text1"/>
                <w:kern w:val="24"/>
                <w:szCs w:val="18"/>
              </w:rPr>
              <w:t>17</w:t>
            </w:r>
            <w:r>
              <w:rPr>
                <w:rFonts w:eastAsia="+mn-ea" w:cs="Arial"/>
                <w:color w:val="000000" w:themeColor="text1"/>
                <w:kern w:val="24"/>
                <w:szCs w:val="18"/>
              </w:rPr>
              <w:t>).</w:t>
            </w:r>
          </w:p>
        </w:tc>
      </w:tr>
      <w:tr w:rsidR="0011262F" w14:paraId="2FCA9568" w14:textId="77777777" w:rsidTr="00B54007">
        <w:tc>
          <w:tcPr>
            <w:tcW w:w="5000" w:type="pct"/>
            <w:tcBorders>
              <w:top w:val="nil"/>
              <w:left w:val="nil"/>
              <w:bottom w:val="single" w:sz="6" w:space="0" w:color="78A22F"/>
              <w:right w:val="nil"/>
            </w:tcBorders>
            <w:shd w:val="clear" w:color="auto" w:fill="auto"/>
          </w:tcPr>
          <w:p w14:paraId="69FD26E9" w14:textId="77777777" w:rsidR="0011262F" w:rsidRDefault="0011262F" w:rsidP="00B54007">
            <w:pPr>
              <w:pStyle w:val="Box"/>
              <w:spacing w:before="0" w:line="120" w:lineRule="exact"/>
            </w:pPr>
          </w:p>
        </w:tc>
      </w:tr>
      <w:tr w:rsidR="0011262F" w:rsidRPr="000863A5" w14:paraId="6D453DF7" w14:textId="77777777" w:rsidTr="00B54007">
        <w:trPr>
          <w:trHeight w:val="53"/>
        </w:trPr>
        <w:tc>
          <w:tcPr>
            <w:tcW w:w="5000" w:type="pct"/>
            <w:tcBorders>
              <w:top w:val="single" w:sz="6" w:space="0" w:color="78A22F"/>
              <w:left w:val="nil"/>
              <w:bottom w:val="nil"/>
              <w:right w:val="nil"/>
            </w:tcBorders>
          </w:tcPr>
          <w:p w14:paraId="09D28BAE" w14:textId="77777777" w:rsidR="0011262F" w:rsidRPr="00626D32" w:rsidRDefault="0011262F" w:rsidP="00B54007">
            <w:pPr>
              <w:pStyle w:val="BoxSpaceBelow"/>
            </w:pPr>
          </w:p>
        </w:tc>
      </w:tr>
    </w:tbl>
    <w:p w14:paraId="14672FEF" w14:textId="77777777" w:rsidR="0011262F" w:rsidRDefault="0011262F" w:rsidP="0011262F">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1262F" w14:paraId="067BC646" w14:textId="77777777" w:rsidTr="00B54007">
        <w:trPr>
          <w:tblHeader/>
        </w:trPr>
        <w:tc>
          <w:tcPr>
            <w:tcW w:w="5000" w:type="pct"/>
            <w:tcBorders>
              <w:top w:val="single" w:sz="6" w:space="0" w:color="78A22F"/>
              <w:left w:val="nil"/>
              <w:bottom w:val="nil"/>
              <w:right w:val="nil"/>
            </w:tcBorders>
            <w:shd w:val="clear" w:color="auto" w:fill="auto"/>
          </w:tcPr>
          <w:p w14:paraId="55A69966" w14:textId="77777777" w:rsidR="0011262F" w:rsidRDefault="0011262F" w:rsidP="00B54007">
            <w:pPr>
              <w:pStyle w:val="TableTitle"/>
            </w:pPr>
            <w:r>
              <w:rPr>
                <w:b w:val="0"/>
              </w:rPr>
              <w:t xml:space="preserve">Table </w:t>
            </w:r>
            <w:proofErr w:type="spellStart"/>
            <w:r>
              <w:rPr>
                <w:b w:val="0"/>
              </w:rPr>
              <w:t>G.3</w:t>
            </w:r>
            <w:proofErr w:type="spellEnd"/>
            <w:r>
              <w:tab/>
              <w:t>Panel regression: percentage of assets in unlisted asset classes</w:t>
            </w:r>
            <w:r w:rsidRPr="00F1457E">
              <w:rPr>
                <w:rStyle w:val="NoteLabel"/>
              </w:rPr>
              <w:t>a</w:t>
            </w:r>
          </w:p>
          <w:p w14:paraId="7357B305" w14:textId="77777777" w:rsidR="0011262F" w:rsidRPr="00784A05" w:rsidRDefault="0011262F" w:rsidP="00B54007">
            <w:pPr>
              <w:pStyle w:val="Subtitle"/>
            </w:pPr>
            <w:r>
              <w:t>2014 to 2017</w:t>
            </w:r>
          </w:p>
        </w:tc>
      </w:tr>
      <w:tr w:rsidR="0011262F" w14:paraId="552CABB9" w14:textId="77777777" w:rsidTr="00B5400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639"/>
              <w:gridCol w:w="1670"/>
              <w:gridCol w:w="1363"/>
              <w:gridCol w:w="1459"/>
              <w:gridCol w:w="1374"/>
            </w:tblGrid>
            <w:tr w:rsidR="0011262F" w14:paraId="3ACD4919" w14:textId="77777777" w:rsidTr="00B54007">
              <w:trPr>
                <w:tblHeader/>
              </w:trPr>
              <w:tc>
                <w:tcPr>
                  <w:tcW w:w="1551" w:type="pct"/>
                  <w:tcBorders>
                    <w:top w:val="single" w:sz="6" w:space="0" w:color="BFBFBF"/>
                    <w:bottom w:val="single" w:sz="6" w:space="0" w:color="BFBFBF"/>
                  </w:tcBorders>
                  <w:shd w:val="clear" w:color="auto" w:fill="auto"/>
                  <w:tcMar>
                    <w:top w:w="28" w:type="dxa"/>
                  </w:tcMar>
                </w:tcPr>
                <w:p w14:paraId="55721DDB" w14:textId="77777777" w:rsidR="0011262F" w:rsidRDefault="0011262F" w:rsidP="00B54007">
                  <w:pPr>
                    <w:pStyle w:val="TableColumnHeading"/>
                    <w:jc w:val="left"/>
                  </w:pPr>
                </w:p>
              </w:tc>
              <w:tc>
                <w:tcPr>
                  <w:tcW w:w="982" w:type="pct"/>
                  <w:tcBorders>
                    <w:top w:val="single" w:sz="6" w:space="0" w:color="BFBFBF"/>
                    <w:bottom w:val="single" w:sz="6" w:space="0" w:color="BFBFBF"/>
                  </w:tcBorders>
                  <w:vAlign w:val="bottom"/>
                </w:tcPr>
                <w:p w14:paraId="15F03DC4" w14:textId="77777777" w:rsidR="0011262F" w:rsidRDefault="0011262F" w:rsidP="00B54007">
                  <w:pPr>
                    <w:pStyle w:val="TableColumnHeading"/>
                  </w:pPr>
                  <w:r>
                    <w:t>Percentage in all unlisted asset classes</w:t>
                  </w:r>
                </w:p>
              </w:tc>
              <w:tc>
                <w:tcPr>
                  <w:tcW w:w="801" w:type="pct"/>
                  <w:tcBorders>
                    <w:top w:val="single" w:sz="6" w:space="0" w:color="BFBFBF"/>
                    <w:bottom w:val="single" w:sz="6" w:space="0" w:color="BFBFBF"/>
                  </w:tcBorders>
                  <w:vAlign w:val="bottom"/>
                </w:tcPr>
                <w:p w14:paraId="3C7E4E90" w14:textId="77777777" w:rsidR="0011262F" w:rsidRPr="00913E2B" w:rsidRDefault="0011262F" w:rsidP="00B54007">
                  <w:pPr>
                    <w:pStyle w:val="TableColumnHeading"/>
                  </w:pPr>
                  <w:r>
                    <w:t>Percentage in unlisted infrastructure</w:t>
                  </w:r>
                </w:p>
              </w:tc>
              <w:tc>
                <w:tcPr>
                  <w:tcW w:w="858" w:type="pct"/>
                  <w:tcBorders>
                    <w:top w:val="single" w:sz="6" w:space="0" w:color="BFBFBF"/>
                    <w:bottom w:val="single" w:sz="6" w:space="0" w:color="BFBFBF"/>
                  </w:tcBorders>
                  <w:shd w:val="clear" w:color="auto" w:fill="auto"/>
                  <w:tcMar>
                    <w:top w:w="28" w:type="dxa"/>
                  </w:tcMar>
                  <w:vAlign w:val="bottom"/>
                </w:tcPr>
                <w:p w14:paraId="5498B34B" w14:textId="77777777" w:rsidR="0011262F" w:rsidRDefault="0011262F" w:rsidP="00B54007">
                  <w:pPr>
                    <w:pStyle w:val="TableColumnHeading"/>
                  </w:pPr>
                  <w:r>
                    <w:t>Percentage in unlisted property</w:t>
                  </w:r>
                </w:p>
              </w:tc>
              <w:tc>
                <w:tcPr>
                  <w:tcW w:w="808" w:type="pct"/>
                  <w:tcBorders>
                    <w:top w:val="single" w:sz="6" w:space="0" w:color="BFBFBF"/>
                    <w:bottom w:val="single" w:sz="6" w:space="0" w:color="BFBFBF"/>
                  </w:tcBorders>
                  <w:shd w:val="clear" w:color="auto" w:fill="auto"/>
                  <w:tcMar>
                    <w:top w:w="28" w:type="dxa"/>
                  </w:tcMar>
                  <w:vAlign w:val="bottom"/>
                </w:tcPr>
                <w:p w14:paraId="01231AF1" w14:textId="77777777" w:rsidR="0011262F" w:rsidRDefault="0011262F" w:rsidP="00B54007">
                  <w:pPr>
                    <w:pStyle w:val="TableColumnHeading"/>
                  </w:pPr>
                  <w:r>
                    <w:t>Percentage in private equity</w:t>
                  </w:r>
                </w:p>
              </w:tc>
            </w:tr>
            <w:tr w:rsidR="0011262F" w:rsidRPr="00913E2B" w14:paraId="01FAD7D8" w14:textId="77777777" w:rsidTr="00B54007">
              <w:tc>
                <w:tcPr>
                  <w:tcW w:w="1551" w:type="pct"/>
                  <w:tcBorders>
                    <w:top w:val="single" w:sz="6" w:space="0" w:color="BFBFBF"/>
                  </w:tcBorders>
                </w:tcPr>
                <w:p w14:paraId="707A0ABD" w14:textId="77777777" w:rsidR="0011262F" w:rsidRPr="00913E2B" w:rsidRDefault="0011262F" w:rsidP="00B54007">
                  <w:pPr>
                    <w:pStyle w:val="TableUnitsRow"/>
                    <w:jc w:val="left"/>
                  </w:pPr>
                  <w:r>
                    <w:t>Net assets</w:t>
                  </w:r>
                </w:p>
              </w:tc>
              <w:tc>
                <w:tcPr>
                  <w:tcW w:w="982" w:type="pct"/>
                  <w:vAlign w:val="center"/>
                </w:tcPr>
                <w:p w14:paraId="14FAE4FB" w14:textId="77777777" w:rsidR="0011262F" w:rsidRPr="00913E2B" w:rsidRDefault="0011262F" w:rsidP="00B54007">
                  <w:pPr>
                    <w:pStyle w:val="TableBodyText"/>
                  </w:pPr>
                  <w:r>
                    <w:t>0.931</w:t>
                  </w:r>
                </w:p>
              </w:tc>
              <w:tc>
                <w:tcPr>
                  <w:tcW w:w="801" w:type="pct"/>
                  <w:vAlign w:val="center"/>
                </w:tcPr>
                <w:p w14:paraId="782F2F72" w14:textId="77777777" w:rsidR="0011262F" w:rsidRDefault="0011262F" w:rsidP="00B54007">
                  <w:pPr>
                    <w:pStyle w:val="TableBodyText"/>
                  </w:pPr>
                  <w:r>
                    <w:t>0.598</w:t>
                  </w:r>
                  <w:r>
                    <w:rPr>
                      <w:vertAlign w:val="superscript"/>
                    </w:rPr>
                    <w:t>***</w:t>
                  </w:r>
                </w:p>
              </w:tc>
              <w:tc>
                <w:tcPr>
                  <w:tcW w:w="858" w:type="pct"/>
                  <w:vAlign w:val="center"/>
                </w:tcPr>
                <w:p w14:paraId="453C2672" w14:textId="77777777" w:rsidR="0011262F" w:rsidRPr="00913E2B" w:rsidRDefault="0011262F" w:rsidP="00B54007">
                  <w:pPr>
                    <w:pStyle w:val="TableBodyText"/>
                  </w:pPr>
                  <w:r>
                    <w:t>-0.197</w:t>
                  </w:r>
                </w:p>
              </w:tc>
              <w:tc>
                <w:tcPr>
                  <w:tcW w:w="808" w:type="pct"/>
                  <w:vAlign w:val="center"/>
                </w:tcPr>
                <w:p w14:paraId="2F9BAAF9" w14:textId="77777777" w:rsidR="0011262F" w:rsidRPr="00913E2B" w:rsidRDefault="0011262F" w:rsidP="00B54007">
                  <w:pPr>
                    <w:pStyle w:val="TableBodyText"/>
                  </w:pPr>
                  <w:r>
                    <w:t>0.530</w:t>
                  </w:r>
                </w:p>
              </w:tc>
            </w:tr>
            <w:tr w:rsidR="0011262F" w:rsidRPr="00913E2B" w14:paraId="44311FC0" w14:textId="77777777" w:rsidTr="00B54007">
              <w:tc>
                <w:tcPr>
                  <w:tcW w:w="1551" w:type="pct"/>
                </w:tcPr>
                <w:p w14:paraId="0F373497" w14:textId="77777777" w:rsidR="0011262F" w:rsidRPr="00913E2B" w:rsidRDefault="0011262F" w:rsidP="00B54007">
                  <w:pPr>
                    <w:pStyle w:val="TableBodyText"/>
                    <w:jc w:val="left"/>
                  </w:pPr>
                </w:p>
              </w:tc>
              <w:tc>
                <w:tcPr>
                  <w:tcW w:w="982" w:type="pct"/>
                  <w:vAlign w:val="center"/>
                </w:tcPr>
                <w:p w14:paraId="53E94465" w14:textId="77777777" w:rsidR="0011262F" w:rsidRPr="00913E2B" w:rsidRDefault="0011262F" w:rsidP="00B54007">
                  <w:pPr>
                    <w:pStyle w:val="TableBodyText"/>
                  </w:pPr>
                  <w:r>
                    <w:t>(0.855)</w:t>
                  </w:r>
                </w:p>
              </w:tc>
              <w:tc>
                <w:tcPr>
                  <w:tcW w:w="801" w:type="pct"/>
                  <w:vAlign w:val="center"/>
                </w:tcPr>
                <w:p w14:paraId="36F1C8BC" w14:textId="77777777" w:rsidR="0011262F" w:rsidRDefault="0011262F" w:rsidP="00B54007">
                  <w:pPr>
                    <w:pStyle w:val="TableBodyText"/>
                  </w:pPr>
                  <w:r>
                    <w:t>(0.143)</w:t>
                  </w:r>
                </w:p>
              </w:tc>
              <w:tc>
                <w:tcPr>
                  <w:tcW w:w="858" w:type="pct"/>
                  <w:vAlign w:val="center"/>
                </w:tcPr>
                <w:p w14:paraId="74AE994E" w14:textId="77777777" w:rsidR="0011262F" w:rsidRPr="00913E2B" w:rsidRDefault="0011262F" w:rsidP="00B54007">
                  <w:pPr>
                    <w:pStyle w:val="TableBodyText"/>
                  </w:pPr>
                  <w:r>
                    <w:t>(0.669)</w:t>
                  </w:r>
                </w:p>
              </w:tc>
              <w:tc>
                <w:tcPr>
                  <w:tcW w:w="808" w:type="pct"/>
                  <w:vAlign w:val="center"/>
                </w:tcPr>
                <w:p w14:paraId="693C2A56" w14:textId="77777777" w:rsidR="0011262F" w:rsidRPr="00913E2B" w:rsidRDefault="0011262F" w:rsidP="00B54007">
                  <w:pPr>
                    <w:pStyle w:val="TableBodyText"/>
                  </w:pPr>
                  <w:r>
                    <w:t>(0.467)</w:t>
                  </w:r>
                </w:p>
              </w:tc>
            </w:tr>
            <w:tr w:rsidR="0011262F" w:rsidRPr="00913E2B" w14:paraId="051D44A5" w14:textId="77777777" w:rsidTr="00B54007">
              <w:tc>
                <w:tcPr>
                  <w:tcW w:w="1551" w:type="pct"/>
                  <w:shd w:val="clear" w:color="auto" w:fill="F2F2F2" w:themeFill="background1" w:themeFillShade="F2"/>
                  <w:vAlign w:val="center"/>
                </w:tcPr>
                <w:p w14:paraId="2B9BE1EB" w14:textId="77777777" w:rsidR="0011262F" w:rsidRPr="004F3392" w:rsidRDefault="0011262F" w:rsidP="00B54007">
                  <w:pPr>
                    <w:pStyle w:val="TableUnitsRow"/>
                    <w:jc w:val="left"/>
                  </w:pPr>
                  <w:r>
                    <w:t>Industry</w:t>
                  </w:r>
                </w:p>
              </w:tc>
              <w:tc>
                <w:tcPr>
                  <w:tcW w:w="982" w:type="pct"/>
                  <w:shd w:val="clear" w:color="auto" w:fill="F2F2F2" w:themeFill="background1" w:themeFillShade="F2"/>
                  <w:vAlign w:val="center"/>
                </w:tcPr>
                <w:p w14:paraId="1636ADB2" w14:textId="77777777" w:rsidR="0011262F" w:rsidRPr="004F3392" w:rsidRDefault="0011262F" w:rsidP="00B54007">
                  <w:pPr>
                    <w:pStyle w:val="TableBodyText"/>
                  </w:pPr>
                  <w:r>
                    <w:t>26.655</w:t>
                  </w:r>
                </w:p>
              </w:tc>
              <w:tc>
                <w:tcPr>
                  <w:tcW w:w="801" w:type="pct"/>
                  <w:shd w:val="clear" w:color="auto" w:fill="F2F2F2" w:themeFill="background1" w:themeFillShade="F2"/>
                  <w:vAlign w:val="center"/>
                </w:tcPr>
                <w:p w14:paraId="4AB2376B" w14:textId="77777777" w:rsidR="0011262F" w:rsidRPr="004F3392" w:rsidRDefault="0011262F" w:rsidP="00B54007">
                  <w:pPr>
                    <w:pStyle w:val="TableBodyText"/>
                  </w:pPr>
                  <w:r>
                    <w:t>3.911</w:t>
                  </w:r>
                </w:p>
              </w:tc>
              <w:tc>
                <w:tcPr>
                  <w:tcW w:w="858" w:type="pct"/>
                  <w:shd w:val="clear" w:color="auto" w:fill="F2F2F2" w:themeFill="background1" w:themeFillShade="F2"/>
                  <w:vAlign w:val="center"/>
                </w:tcPr>
                <w:p w14:paraId="3204CEBA" w14:textId="77777777" w:rsidR="0011262F" w:rsidRPr="004F3392" w:rsidRDefault="0011262F" w:rsidP="00B54007">
                  <w:pPr>
                    <w:pStyle w:val="TableBodyText"/>
                  </w:pPr>
                  <w:r>
                    <w:t>1.513</w:t>
                  </w:r>
                </w:p>
              </w:tc>
              <w:tc>
                <w:tcPr>
                  <w:tcW w:w="808" w:type="pct"/>
                  <w:shd w:val="clear" w:color="auto" w:fill="F2F2F2" w:themeFill="background1" w:themeFillShade="F2"/>
                  <w:vAlign w:val="center"/>
                </w:tcPr>
                <w:p w14:paraId="7D7B7AA7" w14:textId="77777777" w:rsidR="0011262F" w:rsidRPr="004F3392" w:rsidRDefault="0011262F" w:rsidP="00B54007">
                  <w:pPr>
                    <w:pStyle w:val="TableBodyText"/>
                  </w:pPr>
                  <w:r>
                    <w:t>21.232</w:t>
                  </w:r>
                </w:p>
              </w:tc>
            </w:tr>
            <w:tr w:rsidR="0011262F" w:rsidRPr="00913E2B" w14:paraId="5C447F39" w14:textId="77777777" w:rsidTr="00B54007">
              <w:tc>
                <w:tcPr>
                  <w:tcW w:w="1551" w:type="pct"/>
                  <w:shd w:val="clear" w:color="auto" w:fill="F2F2F2" w:themeFill="background1" w:themeFillShade="F2"/>
                  <w:vAlign w:val="center"/>
                </w:tcPr>
                <w:p w14:paraId="4EDF17AD" w14:textId="77777777" w:rsidR="0011262F" w:rsidRPr="004F3392" w:rsidRDefault="0011262F" w:rsidP="00B54007">
                  <w:pPr>
                    <w:pStyle w:val="TableUnitsRow"/>
                    <w:jc w:val="left"/>
                  </w:pPr>
                </w:p>
              </w:tc>
              <w:tc>
                <w:tcPr>
                  <w:tcW w:w="982" w:type="pct"/>
                  <w:shd w:val="clear" w:color="auto" w:fill="F2F2F2" w:themeFill="background1" w:themeFillShade="F2"/>
                  <w:vAlign w:val="center"/>
                </w:tcPr>
                <w:p w14:paraId="5F9C285B" w14:textId="77777777" w:rsidR="0011262F" w:rsidRPr="004F3392" w:rsidRDefault="0011262F" w:rsidP="00B54007">
                  <w:pPr>
                    <w:pStyle w:val="TableBodyText"/>
                  </w:pPr>
                  <w:r>
                    <w:t>(18.386)</w:t>
                  </w:r>
                </w:p>
              </w:tc>
              <w:tc>
                <w:tcPr>
                  <w:tcW w:w="801" w:type="pct"/>
                  <w:shd w:val="clear" w:color="auto" w:fill="F2F2F2" w:themeFill="background1" w:themeFillShade="F2"/>
                  <w:vAlign w:val="center"/>
                </w:tcPr>
                <w:p w14:paraId="04C5031A" w14:textId="77777777" w:rsidR="0011262F" w:rsidRPr="004F3392" w:rsidRDefault="0011262F" w:rsidP="00B54007">
                  <w:pPr>
                    <w:pStyle w:val="TableBodyText"/>
                  </w:pPr>
                  <w:r>
                    <w:t>(5.334)</w:t>
                  </w:r>
                </w:p>
              </w:tc>
              <w:tc>
                <w:tcPr>
                  <w:tcW w:w="858" w:type="pct"/>
                  <w:shd w:val="clear" w:color="auto" w:fill="F2F2F2" w:themeFill="background1" w:themeFillShade="F2"/>
                  <w:vAlign w:val="center"/>
                </w:tcPr>
                <w:p w14:paraId="1514C055" w14:textId="77777777" w:rsidR="0011262F" w:rsidRPr="004F3392" w:rsidRDefault="0011262F" w:rsidP="00B54007">
                  <w:pPr>
                    <w:pStyle w:val="TableBodyText"/>
                  </w:pPr>
                  <w:r>
                    <w:t>(10.793)</w:t>
                  </w:r>
                </w:p>
              </w:tc>
              <w:tc>
                <w:tcPr>
                  <w:tcW w:w="808" w:type="pct"/>
                  <w:shd w:val="clear" w:color="auto" w:fill="F2F2F2" w:themeFill="background1" w:themeFillShade="F2"/>
                  <w:vAlign w:val="center"/>
                </w:tcPr>
                <w:p w14:paraId="58234615" w14:textId="77777777" w:rsidR="0011262F" w:rsidRPr="004F3392" w:rsidRDefault="0011262F" w:rsidP="00B54007">
                  <w:pPr>
                    <w:pStyle w:val="TableBodyText"/>
                  </w:pPr>
                  <w:r>
                    <w:t>(13.400)</w:t>
                  </w:r>
                </w:p>
              </w:tc>
            </w:tr>
            <w:tr w:rsidR="0011262F" w:rsidRPr="00913E2B" w14:paraId="39012909" w14:textId="77777777" w:rsidTr="00B54007">
              <w:tc>
                <w:tcPr>
                  <w:tcW w:w="1551" w:type="pct"/>
                  <w:vAlign w:val="center"/>
                </w:tcPr>
                <w:p w14:paraId="4AD1A79D" w14:textId="77777777" w:rsidR="0011262F" w:rsidRPr="00913E2B" w:rsidRDefault="0011262F" w:rsidP="00B54007">
                  <w:pPr>
                    <w:pStyle w:val="TableUnitsRow"/>
                    <w:jc w:val="left"/>
                  </w:pPr>
                  <w:r>
                    <w:t>Public sector</w:t>
                  </w:r>
                </w:p>
              </w:tc>
              <w:tc>
                <w:tcPr>
                  <w:tcW w:w="982" w:type="pct"/>
                  <w:vAlign w:val="center"/>
                </w:tcPr>
                <w:p w14:paraId="6818202D" w14:textId="77777777" w:rsidR="0011262F" w:rsidRPr="00913E2B" w:rsidRDefault="0011262F" w:rsidP="00B54007">
                  <w:pPr>
                    <w:pStyle w:val="TableBodyText"/>
                  </w:pPr>
                  <w:r>
                    <w:t>24.111</w:t>
                  </w:r>
                </w:p>
              </w:tc>
              <w:tc>
                <w:tcPr>
                  <w:tcW w:w="801" w:type="pct"/>
                  <w:vAlign w:val="center"/>
                </w:tcPr>
                <w:p w14:paraId="00975F01" w14:textId="77777777" w:rsidR="0011262F" w:rsidRDefault="0011262F" w:rsidP="00B54007">
                  <w:pPr>
                    <w:pStyle w:val="TableBodyText"/>
                  </w:pPr>
                  <w:r>
                    <w:t>-1.972</w:t>
                  </w:r>
                </w:p>
              </w:tc>
              <w:tc>
                <w:tcPr>
                  <w:tcW w:w="858" w:type="pct"/>
                  <w:vAlign w:val="center"/>
                </w:tcPr>
                <w:p w14:paraId="4A24581E" w14:textId="77777777" w:rsidR="0011262F" w:rsidRPr="00913E2B" w:rsidRDefault="0011262F" w:rsidP="00B54007">
                  <w:pPr>
                    <w:pStyle w:val="TableBodyText"/>
                  </w:pPr>
                  <w:r>
                    <w:t>4.777</w:t>
                  </w:r>
                </w:p>
              </w:tc>
              <w:tc>
                <w:tcPr>
                  <w:tcW w:w="808" w:type="pct"/>
                  <w:vAlign w:val="center"/>
                </w:tcPr>
                <w:p w14:paraId="6F555DEC" w14:textId="77777777" w:rsidR="0011262F" w:rsidRPr="00913E2B" w:rsidRDefault="0011262F" w:rsidP="00B54007">
                  <w:pPr>
                    <w:pStyle w:val="TableBodyText"/>
                  </w:pPr>
                  <w:r>
                    <w:t>21.306</w:t>
                  </w:r>
                </w:p>
              </w:tc>
            </w:tr>
            <w:tr w:rsidR="0011262F" w:rsidRPr="00913E2B" w14:paraId="6C8C7D0F" w14:textId="77777777" w:rsidTr="00B54007">
              <w:tc>
                <w:tcPr>
                  <w:tcW w:w="1551" w:type="pct"/>
                  <w:vAlign w:val="center"/>
                </w:tcPr>
                <w:p w14:paraId="7C90134F" w14:textId="77777777" w:rsidR="0011262F" w:rsidRPr="00913E2B" w:rsidRDefault="0011262F" w:rsidP="00B54007">
                  <w:pPr>
                    <w:pStyle w:val="TableUnitsRow"/>
                    <w:jc w:val="left"/>
                  </w:pPr>
                </w:p>
              </w:tc>
              <w:tc>
                <w:tcPr>
                  <w:tcW w:w="982" w:type="pct"/>
                  <w:vAlign w:val="center"/>
                </w:tcPr>
                <w:p w14:paraId="3E41C41F" w14:textId="77777777" w:rsidR="0011262F" w:rsidRPr="00913E2B" w:rsidRDefault="0011262F" w:rsidP="00B54007">
                  <w:pPr>
                    <w:pStyle w:val="TableBodyText"/>
                  </w:pPr>
                  <w:r>
                    <w:t>(33.876)</w:t>
                  </w:r>
                </w:p>
              </w:tc>
              <w:tc>
                <w:tcPr>
                  <w:tcW w:w="801" w:type="pct"/>
                  <w:vAlign w:val="center"/>
                </w:tcPr>
                <w:p w14:paraId="7C0DAE01" w14:textId="77777777" w:rsidR="0011262F" w:rsidRDefault="0011262F" w:rsidP="00B54007">
                  <w:pPr>
                    <w:pStyle w:val="TableBodyText"/>
                  </w:pPr>
                  <w:r>
                    <w:t>(8.981)</w:t>
                  </w:r>
                </w:p>
              </w:tc>
              <w:tc>
                <w:tcPr>
                  <w:tcW w:w="858" w:type="pct"/>
                  <w:vAlign w:val="center"/>
                </w:tcPr>
                <w:p w14:paraId="33D946EA" w14:textId="77777777" w:rsidR="0011262F" w:rsidRPr="00913E2B" w:rsidRDefault="0011262F" w:rsidP="00B54007">
                  <w:pPr>
                    <w:pStyle w:val="TableBodyText"/>
                  </w:pPr>
                  <w:r>
                    <w:t>(15.111)</w:t>
                  </w:r>
                </w:p>
              </w:tc>
              <w:tc>
                <w:tcPr>
                  <w:tcW w:w="808" w:type="pct"/>
                  <w:vAlign w:val="center"/>
                </w:tcPr>
                <w:p w14:paraId="31823DE0" w14:textId="77777777" w:rsidR="0011262F" w:rsidRPr="00913E2B" w:rsidRDefault="0011262F" w:rsidP="00B54007">
                  <w:pPr>
                    <w:pStyle w:val="TableBodyText"/>
                  </w:pPr>
                  <w:r>
                    <w:t>(29.665)</w:t>
                  </w:r>
                </w:p>
              </w:tc>
            </w:tr>
            <w:tr w:rsidR="0011262F" w:rsidRPr="00913E2B" w14:paraId="49221942" w14:textId="77777777" w:rsidTr="00B54007">
              <w:tc>
                <w:tcPr>
                  <w:tcW w:w="1551" w:type="pct"/>
                  <w:shd w:val="clear" w:color="auto" w:fill="F2F2F2" w:themeFill="background1" w:themeFillShade="F2"/>
                  <w:vAlign w:val="center"/>
                </w:tcPr>
                <w:p w14:paraId="64A69B9D" w14:textId="77777777" w:rsidR="0011262F" w:rsidRPr="00913E2B" w:rsidRDefault="0011262F" w:rsidP="00B54007">
                  <w:pPr>
                    <w:pStyle w:val="TableUnitsRow"/>
                    <w:jc w:val="left"/>
                  </w:pPr>
                  <w:r>
                    <w:t>Retail</w:t>
                  </w:r>
                </w:p>
              </w:tc>
              <w:tc>
                <w:tcPr>
                  <w:tcW w:w="982" w:type="pct"/>
                  <w:shd w:val="clear" w:color="auto" w:fill="F2F2F2" w:themeFill="background1" w:themeFillShade="F2"/>
                  <w:vAlign w:val="center"/>
                </w:tcPr>
                <w:p w14:paraId="66ACB6EA" w14:textId="77777777" w:rsidR="0011262F" w:rsidRPr="00913E2B" w:rsidRDefault="0011262F" w:rsidP="00B54007">
                  <w:pPr>
                    <w:pStyle w:val="TableBodyText"/>
                  </w:pPr>
                  <w:r>
                    <w:t>0.386</w:t>
                  </w:r>
                </w:p>
              </w:tc>
              <w:tc>
                <w:tcPr>
                  <w:tcW w:w="801" w:type="pct"/>
                  <w:shd w:val="clear" w:color="auto" w:fill="F2F2F2" w:themeFill="background1" w:themeFillShade="F2"/>
                  <w:vAlign w:val="center"/>
                </w:tcPr>
                <w:p w14:paraId="0AF229E5" w14:textId="77777777" w:rsidR="0011262F" w:rsidRDefault="0011262F" w:rsidP="00B54007">
                  <w:pPr>
                    <w:pStyle w:val="TableBodyText"/>
                  </w:pPr>
                  <w:r>
                    <w:t>4.732</w:t>
                  </w:r>
                  <w:r>
                    <w:rPr>
                      <w:vertAlign w:val="superscript"/>
                    </w:rPr>
                    <w:t>***</w:t>
                  </w:r>
                </w:p>
              </w:tc>
              <w:tc>
                <w:tcPr>
                  <w:tcW w:w="858" w:type="pct"/>
                  <w:shd w:val="clear" w:color="auto" w:fill="F2F2F2" w:themeFill="background1" w:themeFillShade="F2"/>
                  <w:vAlign w:val="center"/>
                </w:tcPr>
                <w:p w14:paraId="073DE57A" w14:textId="77777777" w:rsidR="0011262F" w:rsidRPr="00913E2B" w:rsidRDefault="0011262F" w:rsidP="00B54007">
                  <w:pPr>
                    <w:pStyle w:val="TableBodyText"/>
                  </w:pPr>
                  <w:r>
                    <w:t>-3.993</w:t>
                  </w:r>
                </w:p>
              </w:tc>
              <w:tc>
                <w:tcPr>
                  <w:tcW w:w="808" w:type="pct"/>
                  <w:shd w:val="clear" w:color="auto" w:fill="F2F2F2" w:themeFill="background1" w:themeFillShade="F2"/>
                  <w:vAlign w:val="center"/>
                </w:tcPr>
                <w:p w14:paraId="6C991E08" w14:textId="77777777" w:rsidR="0011262F" w:rsidRPr="00913E2B" w:rsidRDefault="0011262F" w:rsidP="00B54007">
                  <w:pPr>
                    <w:pStyle w:val="TableBodyText"/>
                  </w:pPr>
                  <w:r>
                    <w:t>-0.353</w:t>
                  </w:r>
                </w:p>
              </w:tc>
            </w:tr>
            <w:tr w:rsidR="0011262F" w:rsidRPr="00913E2B" w14:paraId="1EA9FF46" w14:textId="77777777" w:rsidTr="00B54007">
              <w:tc>
                <w:tcPr>
                  <w:tcW w:w="1551" w:type="pct"/>
                  <w:shd w:val="clear" w:color="auto" w:fill="F2F2F2" w:themeFill="background1" w:themeFillShade="F2"/>
                  <w:vAlign w:val="center"/>
                </w:tcPr>
                <w:p w14:paraId="3C2FD8A9" w14:textId="77777777" w:rsidR="0011262F" w:rsidRPr="00913E2B" w:rsidRDefault="0011262F" w:rsidP="00B54007">
                  <w:pPr>
                    <w:pStyle w:val="TableUnitsRow"/>
                    <w:jc w:val="left"/>
                  </w:pPr>
                </w:p>
              </w:tc>
              <w:tc>
                <w:tcPr>
                  <w:tcW w:w="982" w:type="pct"/>
                  <w:shd w:val="clear" w:color="auto" w:fill="F2F2F2" w:themeFill="background1" w:themeFillShade="F2"/>
                  <w:vAlign w:val="center"/>
                </w:tcPr>
                <w:p w14:paraId="1297A383" w14:textId="77777777" w:rsidR="0011262F" w:rsidRPr="00913E2B" w:rsidRDefault="0011262F" w:rsidP="00B54007">
                  <w:pPr>
                    <w:pStyle w:val="TableBodyText"/>
                  </w:pPr>
                  <w:r>
                    <w:t>(11.460)</w:t>
                  </w:r>
                </w:p>
              </w:tc>
              <w:tc>
                <w:tcPr>
                  <w:tcW w:w="801" w:type="pct"/>
                  <w:shd w:val="clear" w:color="auto" w:fill="F2F2F2" w:themeFill="background1" w:themeFillShade="F2"/>
                  <w:vAlign w:val="center"/>
                </w:tcPr>
                <w:p w14:paraId="5E68A371" w14:textId="77777777" w:rsidR="0011262F" w:rsidRDefault="0011262F" w:rsidP="00B54007">
                  <w:pPr>
                    <w:pStyle w:val="TableBodyText"/>
                  </w:pPr>
                  <w:r>
                    <w:t>(1.506)</w:t>
                  </w:r>
                </w:p>
              </w:tc>
              <w:tc>
                <w:tcPr>
                  <w:tcW w:w="858" w:type="pct"/>
                  <w:shd w:val="clear" w:color="auto" w:fill="F2F2F2" w:themeFill="background1" w:themeFillShade="F2"/>
                  <w:vAlign w:val="center"/>
                </w:tcPr>
                <w:p w14:paraId="6F53117F" w14:textId="77777777" w:rsidR="0011262F" w:rsidRPr="00913E2B" w:rsidRDefault="0011262F" w:rsidP="00B54007">
                  <w:pPr>
                    <w:pStyle w:val="TableBodyText"/>
                  </w:pPr>
                  <w:r>
                    <w:t>(9.616)</w:t>
                  </w:r>
                </w:p>
              </w:tc>
              <w:tc>
                <w:tcPr>
                  <w:tcW w:w="808" w:type="pct"/>
                  <w:shd w:val="clear" w:color="auto" w:fill="F2F2F2" w:themeFill="background1" w:themeFillShade="F2"/>
                  <w:vAlign w:val="center"/>
                </w:tcPr>
                <w:p w14:paraId="60D3211B" w14:textId="77777777" w:rsidR="0011262F" w:rsidRPr="00913E2B" w:rsidRDefault="0011262F" w:rsidP="00B54007">
                  <w:pPr>
                    <w:pStyle w:val="TableBodyText"/>
                  </w:pPr>
                  <w:r>
                    <w:t>(5.295)</w:t>
                  </w:r>
                </w:p>
              </w:tc>
            </w:tr>
            <w:tr w:rsidR="0011262F" w:rsidRPr="00913E2B" w14:paraId="671215A9" w14:textId="77777777" w:rsidTr="00B54007">
              <w:tc>
                <w:tcPr>
                  <w:tcW w:w="1551" w:type="pct"/>
                  <w:vAlign w:val="center"/>
                </w:tcPr>
                <w:p w14:paraId="7AB2DA92" w14:textId="77777777" w:rsidR="0011262F" w:rsidRPr="00913E2B" w:rsidRDefault="0011262F" w:rsidP="00B54007">
                  <w:pPr>
                    <w:pStyle w:val="TableUnitsRow"/>
                    <w:jc w:val="left"/>
                  </w:pPr>
                  <w:r>
                    <w:t>Net assets x Industry</w:t>
                  </w:r>
                </w:p>
              </w:tc>
              <w:tc>
                <w:tcPr>
                  <w:tcW w:w="982" w:type="pct"/>
                  <w:vAlign w:val="center"/>
                </w:tcPr>
                <w:p w14:paraId="3A781172" w14:textId="77777777" w:rsidR="0011262F" w:rsidRPr="00913E2B" w:rsidRDefault="0011262F" w:rsidP="00B54007">
                  <w:pPr>
                    <w:pStyle w:val="TableBodyText"/>
                  </w:pPr>
                  <w:r>
                    <w:t>-1.259</w:t>
                  </w:r>
                </w:p>
              </w:tc>
              <w:tc>
                <w:tcPr>
                  <w:tcW w:w="801" w:type="pct"/>
                  <w:vAlign w:val="center"/>
                </w:tcPr>
                <w:p w14:paraId="2B420660" w14:textId="77777777" w:rsidR="0011262F" w:rsidRDefault="0011262F" w:rsidP="00B54007">
                  <w:pPr>
                    <w:pStyle w:val="TableBodyText"/>
                  </w:pPr>
                  <w:r>
                    <w:t>-0.103</w:t>
                  </w:r>
                </w:p>
              </w:tc>
              <w:tc>
                <w:tcPr>
                  <w:tcW w:w="858" w:type="pct"/>
                  <w:vAlign w:val="center"/>
                </w:tcPr>
                <w:p w14:paraId="1EFB610D" w14:textId="77777777" w:rsidR="0011262F" w:rsidRPr="00913E2B" w:rsidRDefault="0011262F" w:rsidP="00B54007">
                  <w:pPr>
                    <w:pStyle w:val="TableBodyText"/>
                  </w:pPr>
                  <w:r>
                    <w:t>0.089</w:t>
                  </w:r>
                </w:p>
              </w:tc>
              <w:tc>
                <w:tcPr>
                  <w:tcW w:w="808" w:type="pct"/>
                  <w:vAlign w:val="center"/>
                </w:tcPr>
                <w:p w14:paraId="2CC6F0D6" w14:textId="77777777" w:rsidR="0011262F" w:rsidRPr="00913E2B" w:rsidRDefault="0011262F" w:rsidP="00B54007">
                  <w:pPr>
                    <w:pStyle w:val="TableBodyText"/>
                  </w:pPr>
                  <w:r>
                    <w:t>-1.244</w:t>
                  </w:r>
                </w:p>
              </w:tc>
            </w:tr>
            <w:tr w:rsidR="0011262F" w:rsidRPr="00913E2B" w14:paraId="08027D99" w14:textId="77777777" w:rsidTr="00B54007">
              <w:tc>
                <w:tcPr>
                  <w:tcW w:w="1551" w:type="pct"/>
                  <w:vAlign w:val="center"/>
                </w:tcPr>
                <w:p w14:paraId="3BD5DF05" w14:textId="77777777" w:rsidR="0011262F" w:rsidRPr="00913E2B" w:rsidRDefault="0011262F" w:rsidP="00B54007">
                  <w:pPr>
                    <w:pStyle w:val="TableUnitsRow"/>
                    <w:jc w:val="left"/>
                  </w:pPr>
                </w:p>
              </w:tc>
              <w:tc>
                <w:tcPr>
                  <w:tcW w:w="982" w:type="pct"/>
                  <w:vAlign w:val="center"/>
                </w:tcPr>
                <w:p w14:paraId="16D98881" w14:textId="77777777" w:rsidR="0011262F" w:rsidRPr="00913E2B" w:rsidRDefault="0011262F" w:rsidP="00B54007">
                  <w:pPr>
                    <w:pStyle w:val="TableBodyText"/>
                  </w:pPr>
                  <w:r>
                    <w:t>(1.222)</w:t>
                  </w:r>
                </w:p>
              </w:tc>
              <w:tc>
                <w:tcPr>
                  <w:tcW w:w="801" w:type="pct"/>
                  <w:vAlign w:val="center"/>
                </w:tcPr>
                <w:p w14:paraId="32566D7E" w14:textId="77777777" w:rsidR="0011262F" w:rsidRDefault="0011262F" w:rsidP="00B54007">
                  <w:pPr>
                    <w:pStyle w:val="TableBodyText"/>
                  </w:pPr>
                  <w:r>
                    <w:t>(0.358)</w:t>
                  </w:r>
                </w:p>
              </w:tc>
              <w:tc>
                <w:tcPr>
                  <w:tcW w:w="858" w:type="pct"/>
                  <w:vAlign w:val="center"/>
                </w:tcPr>
                <w:p w14:paraId="38B35031" w14:textId="77777777" w:rsidR="0011262F" w:rsidRPr="00913E2B" w:rsidRDefault="0011262F" w:rsidP="00B54007">
                  <w:pPr>
                    <w:pStyle w:val="TableBodyText"/>
                  </w:pPr>
                  <w:r>
                    <w:t>(0.732)</w:t>
                  </w:r>
                </w:p>
              </w:tc>
              <w:tc>
                <w:tcPr>
                  <w:tcW w:w="808" w:type="pct"/>
                  <w:vAlign w:val="center"/>
                </w:tcPr>
                <w:p w14:paraId="52184456" w14:textId="77777777" w:rsidR="0011262F" w:rsidRPr="00913E2B" w:rsidRDefault="0011262F" w:rsidP="00B54007">
                  <w:pPr>
                    <w:pStyle w:val="TableBodyText"/>
                  </w:pPr>
                  <w:r>
                    <w:t>(0.873)</w:t>
                  </w:r>
                </w:p>
              </w:tc>
            </w:tr>
            <w:tr w:rsidR="0011262F" w:rsidRPr="00913E2B" w14:paraId="36637D17" w14:textId="77777777" w:rsidTr="00B54007">
              <w:tc>
                <w:tcPr>
                  <w:tcW w:w="1551" w:type="pct"/>
                  <w:shd w:val="clear" w:color="auto" w:fill="F2F2F2" w:themeFill="background1" w:themeFillShade="F2"/>
                  <w:vAlign w:val="center"/>
                </w:tcPr>
                <w:p w14:paraId="62990EB4" w14:textId="77777777" w:rsidR="0011262F" w:rsidRPr="00913E2B" w:rsidRDefault="0011262F" w:rsidP="00B54007">
                  <w:pPr>
                    <w:pStyle w:val="TableUnitsRow"/>
                    <w:jc w:val="left"/>
                  </w:pPr>
                  <w:r>
                    <w:t>Net assets x Public sector</w:t>
                  </w:r>
                </w:p>
              </w:tc>
              <w:tc>
                <w:tcPr>
                  <w:tcW w:w="982" w:type="pct"/>
                  <w:shd w:val="clear" w:color="auto" w:fill="F2F2F2" w:themeFill="background1" w:themeFillShade="F2"/>
                  <w:vAlign w:val="center"/>
                </w:tcPr>
                <w:p w14:paraId="24D5EB1B" w14:textId="77777777" w:rsidR="0011262F" w:rsidRPr="00913E2B" w:rsidRDefault="0011262F" w:rsidP="00B54007">
                  <w:pPr>
                    <w:pStyle w:val="TableBodyText"/>
                  </w:pPr>
                  <w:r>
                    <w:t>-1.197</w:t>
                  </w:r>
                </w:p>
              </w:tc>
              <w:tc>
                <w:tcPr>
                  <w:tcW w:w="801" w:type="pct"/>
                  <w:shd w:val="clear" w:color="auto" w:fill="F2F2F2" w:themeFill="background1" w:themeFillShade="F2"/>
                  <w:vAlign w:val="center"/>
                </w:tcPr>
                <w:p w14:paraId="3DA92ADF" w14:textId="77777777" w:rsidR="0011262F" w:rsidRDefault="0011262F" w:rsidP="00B54007">
                  <w:pPr>
                    <w:pStyle w:val="TableBodyText"/>
                  </w:pPr>
                  <w:r>
                    <w:t>0.084</w:t>
                  </w:r>
                </w:p>
              </w:tc>
              <w:tc>
                <w:tcPr>
                  <w:tcW w:w="858" w:type="pct"/>
                  <w:shd w:val="clear" w:color="auto" w:fill="F2F2F2" w:themeFill="background1" w:themeFillShade="F2"/>
                  <w:vAlign w:val="center"/>
                </w:tcPr>
                <w:p w14:paraId="1DDE9278" w14:textId="77777777" w:rsidR="0011262F" w:rsidRPr="00913E2B" w:rsidRDefault="0011262F" w:rsidP="00B54007">
                  <w:pPr>
                    <w:pStyle w:val="TableBodyText"/>
                  </w:pPr>
                  <w:r>
                    <w:t>-0.153</w:t>
                  </w:r>
                </w:p>
              </w:tc>
              <w:tc>
                <w:tcPr>
                  <w:tcW w:w="808" w:type="pct"/>
                  <w:shd w:val="clear" w:color="auto" w:fill="F2F2F2" w:themeFill="background1" w:themeFillShade="F2"/>
                  <w:vAlign w:val="center"/>
                </w:tcPr>
                <w:p w14:paraId="7EA5B6D1" w14:textId="77777777" w:rsidR="0011262F" w:rsidRPr="00913E2B" w:rsidRDefault="0011262F" w:rsidP="00B54007">
                  <w:pPr>
                    <w:pStyle w:val="TableBodyText"/>
                  </w:pPr>
                  <w:r>
                    <w:t>-1.128</w:t>
                  </w:r>
                </w:p>
              </w:tc>
            </w:tr>
            <w:tr w:rsidR="0011262F" w:rsidRPr="00913E2B" w14:paraId="00CEA632" w14:textId="77777777" w:rsidTr="00B54007">
              <w:tc>
                <w:tcPr>
                  <w:tcW w:w="1551" w:type="pct"/>
                  <w:shd w:val="clear" w:color="auto" w:fill="F2F2F2" w:themeFill="background1" w:themeFillShade="F2"/>
                  <w:vAlign w:val="center"/>
                </w:tcPr>
                <w:p w14:paraId="21C2BD4A" w14:textId="77777777" w:rsidR="0011262F" w:rsidRPr="00913E2B" w:rsidRDefault="0011262F" w:rsidP="00B54007">
                  <w:pPr>
                    <w:pStyle w:val="TableUnitsRow"/>
                    <w:jc w:val="left"/>
                  </w:pPr>
                </w:p>
              </w:tc>
              <w:tc>
                <w:tcPr>
                  <w:tcW w:w="982" w:type="pct"/>
                  <w:shd w:val="clear" w:color="auto" w:fill="F2F2F2" w:themeFill="background1" w:themeFillShade="F2"/>
                  <w:vAlign w:val="center"/>
                </w:tcPr>
                <w:p w14:paraId="46E482DE" w14:textId="77777777" w:rsidR="0011262F" w:rsidRPr="00913E2B" w:rsidRDefault="0011262F" w:rsidP="00B54007">
                  <w:pPr>
                    <w:pStyle w:val="TableBodyText"/>
                  </w:pPr>
                  <w:r>
                    <w:t>(2.040)</w:t>
                  </w:r>
                </w:p>
              </w:tc>
              <w:tc>
                <w:tcPr>
                  <w:tcW w:w="801" w:type="pct"/>
                  <w:shd w:val="clear" w:color="auto" w:fill="F2F2F2" w:themeFill="background1" w:themeFillShade="F2"/>
                  <w:vAlign w:val="center"/>
                </w:tcPr>
                <w:p w14:paraId="477D6753" w14:textId="77777777" w:rsidR="0011262F" w:rsidRDefault="0011262F" w:rsidP="00B54007">
                  <w:pPr>
                    <w:pStyle w:val="TableBodyText"/>
                  </w:pPr>
                  <w:r>
                    <w:t>(0.587)</w:t>
                  </w:r>
                </w:p>
              </w:tc>
              <w:tc>
                <w:tcPr>
                  <w:tcW w:w="858" w:type="pct"/>
                  <w:shd w:val="clear" w:color="auto" w:fill="F2F2F2" w:themeFill="background1" w:themeFillShade="F2"/>
                  <w:vAlign w:val="center"/>
                </w:tcPr>
                <w:p w14:paraId="30F1AB7A" w14:textId="77777777" w:rsidR="0011262F" w:rsidRPr="00913E2B" w:rsidRDefault="0011262F" w:rsidP="00B54007">
                  <w:pPr>
                    <w:pStyle w:val="TableBodyText"/>
                  </w:pPr>
                  <w:r>
                    <w:t>(0.978)</w:t>
                  </w:r>
                </w:p>
              </w:tc>
              <w:tc>
                <w:tcPr>
                  <w:tcW w:w="808" w:type="pct"/>
                  <w:shd w:val="clear" w:color="auto" w:fill="F2F2F2" w:themeFill="background1" w:themeFillShade="F2"/>
                  <w:vAlign w:val="center"/>
                </w:tcPr>
                <w:p w14:paraId="424C365F" w14:textId="77777777" w:rsidR="0011262F" w:rsidRPr="00913E2B" w:rsidRDefault="0011262F" w:rsidP="00B54007">
                  <w:pPr>
                    <w:pStyle w:val="TableBodyText"/>
                  </w:pPr>
                  <w:r>
                    <w:t>(1.771)</w:t>
                  </w:r>
                </w:p>
              </w:tc>
            </w:tr>
            <w:tr w:rsidR="0011262F" w:rsidRPr="00913E2B" w14:paraId="1EA79DCE" w14:textId="77777777" w:rsidTr="00B54007">
              <w:tc>
                <w:tcPr>
                  <w:tcW w:w="1551" w:type="pct"/>
                  <w:vAlign w:val="center"/>
                </w:tcPr>
                <w:p w14:paraId="12CA6AD0" w14:textId="77777777" w:rsidR="0011262F" w:rsidRPr="004F3392" w:rsidRDefault="0011262F" w:rsidP="00B54007">
                  <w:pPr>
                    <w:pStyle w:val="TableUnitsRow"/>
                    <w:jc w:val="left"/>
                  </w:pPr>
                  <w:r>
                    <w:t>Net assets x Retail</w:t>
                  </w:r>
                </w:p>
              </w:tc>
              <w:tc>
                <w:tcPr>
                  <w:tcW w:w="982" w:type="pct"/>
                  <w:vAlign w:val="center"/>
                </w:tcPr>
                <w:p w14:paraId="7A706C33" w14:textId="77777777" w:rsidR="0011262F" w:rsidRPr="00913E2B" w:rsidRDefault="0011262F" w:rsidP="00B54007">
                  <w:pPr>
                    <w:pStyle w:val="TableBodyText"/>
                  </w:pPr>
                  <w:r>
                    <w:t>-0.488</w:t>
                  </w:r>
                </w:p>
              </w:tc>
              <w:tc>
                <w:tcPr>
                  <w:tcW w:w="801" w:type="pct"/>
                  <w:vAlign w:val="center"/>
                </w:tcPr>
                <w:p w14:paraId="45F3E689" w14:textId="77777777" w:rsidR="0011262F" w:rsidRDefault="0011262F" w:rsidP="00B54007">
                  <w:pPr>
                    <w:pStyle w:val="TableBodyText"/>
                  </w:pPr>
                  <w:r>
                    <w:t>-0.467</w:t>
                  </w:r>
                  <w:r>
                    <w:rPr>
                      <w:vertAlign w:val="superscript"/>
                    </w:rPr>
                    <w:t>***</w:t>
                  </w:r>
                </w:p>
              </w:tc>
              <w:tc>
                <w:tcPr>
                  <w:tcW w:w="858" w:type="pct"/>
                  <w:vAlign w:val="center"/>
                </w:tcPr>
                <w:p w14:paraId="38DFFDB2" w14:textId="77777777" w:rsidR="0011262F" w:rsidRPr="00913E2B" w:rsidRDefault="0011262F" w:rsidP="00B54007">
                  <w:pPr>
                    <w:pStyle w:val="TableBodyText"/>
                  </w:pPr>
                  <w:r>
                    <w:t>0.034</w:t>
                  </w:r>
                </w:p>
              </w:tc>
              <w:tc>
                <w:tcPr>
                  <w:tcW w:w="808" w:type="pct"/>
                  <w:vAlign w:val="center"/>
                </w:tcPr>
                <w:p w14:paraId="04146D09" w14:textId="77777777" w:rsidR="0011262F" w:rsidRPr="00913E2B" w:rsidRDefault="0011262F" w:rsidP="00B54007">
                  <w:pPr>
                    <w:pStyle w:val="TableBodyText"/>
                  </w:pPr>
                  <w:r>
                    <w:t>-0.055</w:t>
                  </w:r>
                </w:p>
              </w:tc>
            </w:tr>
            <w:tr w:rsidR="0011262F" w:rsidRPr="00913E2B" w14:paraId="3A80D787" w14:textId="77777777" w:rsidTr="00B54007">
              <w:tc>
                <w:tcPr>
                  <w:tcW w:w="1551" w:type="pct"/>
                  <w:vAlign w:val="center"/>
                </w:tcPr>
                <w:p w14:paraId="1F5DAFC5" w14:textId="77777777" w:rsidR="0011262F" w:rsidRPr="00913E2B" w:rsidRDefault="0011262F" w:rsidP="00B54007">
                  <w:pPr>
                    <w:pStyle w:val="TableUnitsRow"/>
                    <w:jc w:val="left"/>
                  </w:pPr>
                </w:p>
              </w:tc>
              <w:tc>
                <w:tcPr>
                  <w:tcW w:w="982" w:type="pct"/>
                  <w:vAlign w:val="center"/>
                </w:tcPr>
                <w:p w14:paraId="682CDA6D" w14:textId="77777777" w:rsidR="0011262F" w:rsidRPr="00913E2B" w:rsidRDefault="0011262F" w:rsidP="00B54007">
                  <w:pPr>
                    <w:pStyle w:val="TableBodyText"/>
                  </w:pPr>
                  <w:r>
                    <w:t>(0.847)</w:t>
                  </w:r>
                </w:p>
              </w:tc>
              <w:tc>
                <w:tcPr>
                  <w:tcW w:w="801" w:type="pct"/>
                  <w:vAlign w:val="center"/>
                </w:tcPr>
                <w:p w14:paraId="1BC47AD7" w14:textId="77777777" w:rsidR="0011262F" w:rsidRDefault="0011262F" w:rsidP="00B54007">
                  <w:pPr>
                    <w:pStyle w:val="TableBodyText"/>
                  </w:pPr>
                  <w:r>
                    <w:t>(0.140)</w:t>
                  </w:r>
                </w:p>
              </w:tc>
              <w:tc>
                <w:tcPr>
                  <w:tcW w:w="858" w:type="pct"/>
                  <w:vAlign w:val="center"/>
                </w:tcPr>
                <w:p w14:paraId="5BA94B84" w14:textId="77777777" w:rsidR="0011262F" w:rsidRPr="00913E2B" w:rsidRDefault="0011262F" w:rsidP="00B54007">
                  <w:pPr>
                    <w:pStyle w:val="TableBodyText"/>
                  </w:pPr>
                  <w:r>
                    <w:t>(0.676)</w:t>
                  </w:r>
                </w:p>
              </w:tc>
              <w:tc>
                <w:tcPr>
                  <w:tcW w:w="808" w:type="pct"/>
                  <w:vAlign w:val="center"/>
                </w:tcPr>
                <w:p w14:paraId="08C2F6C0" w14:textId="77777777" w:rsidR="0011262F" w:rsidRPr="00913E2B" w:rsidRDefault="0011262F" w:rsidP="00B54007">
                  <w:pPr>
                    <w:pStyle w:val="TableBodyText"/>
                  </w:pPr>
                  <w:r>
                    <w:t>(0.455)</w:t>
                  </w:r>
                </w:p>
              </w:tc>
            </w:tr>
            <w:tr w:rsidR="0011262F" w:rsidRPr="00913E2B" w14:paraId="0A087DBC" w14:textId="77777777" w:rsidTr="00B54007">
              <w:tc>
                <w:tcPr>
                  <w:tcW w:w="1551" w:type="pct"/>
                  <w:shd w:val="clear" w:color="auto" w:fill="F2F2F2" w:themeFill="background1" w:themeFillShade="F2"/>
                  <w:vAlign w:val="center"/>
                </w:tcPr>
                <w:p w14:paraId="7BD91D39" w14:textId="77777777" w:rsidR="0011262F" w:rsidRPr="00913E2B" w:rsidRDefault="0011262F" w:rsidP="00B54007">
                  <w:pPr>
                    <w:pStyle w:val="TableUnitsRow"/>
                    <w:jc w:val="left"/>
                  </w:pPr>
                  <w:r>
                    <w:t>Lambda</w:t>
                  </w:r>
                </w:p>
              </w:tc>
              <w:tc>
                <w:tcPr>
                  <w:tcW w:w="982" w:type="pct"/>
                  <w:shd w:val="clear" w:color="auto" w:fill="F2F2F2" w:themeFill="background1" w:themeFillShade="F2"/>
                  <w:vAlign w:val="center"/>
                </w:tcPr>
                <w:p w14:paraId="534302FA" w14:textId="77777777" w:rsidR="0011262F" w:rsidRPr="00913E2B" w:rsidRDefault="0011262F" w:rsidP="00B54007">
                  <w:pPr>
                    <w:pStyle w:val="TableBodyText"/>
                  </w:pPr>
                  <w:r>
                    <w:t>-8.591</w:t>
                  </w:r>
                </w:p>
              </w:tc>
              <w:tc>
                <w:tcPr>
                  <w:tcW w:w="801" w:type="pct"/>
                  <w:shd w:val="clear" w:color="auto" w:fill="F2F2F2" w:themeFill="background1" w:themeFillShade="F2"/>
                  <w:vAlign w:val="center"/>
                </w:tcPr>
                <w:p w14:paraId="4CD6009E" w14:textId="77777777" w:rsidR="0011262F" w:rsidRDefault="0011262F" w:rsidP="00B54007">
                  <w:pPr>
                    <w:pStyle w:val="TableBodyText"/>
                  </w:pPr>
                  <w:r>
                    <w:t>1.269</w:t>
                  </w:r>
                </w:p>
              </w:tc>
              <w:tc>
                <w:tcPr>
                  <w:tcW w:w="858" w:type="pct"/>
                  <w:shd w:val="clear" w:color="auto" w:fill="F2F2F2" w:themeFill="background1" w:themeFillShade="F2"/>
                  <w:vAlign w:val="center"/>
                </w:tcPr>
                <w:p w14:paraId="48E29865" w14:textId="77777777" w:rsidR="0011262F" w:rsidRPr="00913E2B" w:rsidRDefault="0011262F" w:rsidP="00B54007">
                  <w:pPr>
                    <w:pStyle w:val="TableBodyText"/>
                  </w:pPr>
                  <w:r>
                    <w:t>-2.498</w:t>
                  </w:r>
                </w:p>
              </w:tc>
              <w:tc>
                <w:tcPr>
                  <w:tcW w:w="808" w:type="pct"/>
                  <w:shd w:val="clear" w:color="auto" w:fill="F2F2F2" w:themeFill="background1" w:themeFillShade="F2"/>
                  <w:vAlign w:val="center"/>
                </w:tcPr>
                <w:p w14:paraId="37FD4338" w14:textId="77777777" w:rsidR="0011262F" w:rsidRPr="00913E2B" w:rsidRDefault="0011262F" w:rsidP="00B54007">
                  <w:pPr>
                    <w:pStyle w:val="TableBodyText"/>
                  </w:pPr>
                  <w:r>
                    <w:t>-7.362</w:t>
                  </w:r>
                </w:p>
              </w:tc>
            </w:tr>
            <w:tr w:rsidR="0011262F" w:rsidRPr="00913E2B" w14:paraId="575CD5EC" w14:textId="77777777" w:rsidTr="00B54007">
              <w:tc>
                <w:tcPr>
                  <w:tcW w:w="1551" w:type="pct"/>
                  <w:shd w:val="clear" w:color="auto" w:fill="F2F2F2" w:themeFill="background1" w:themeFillShade="F2"/>
                  <w:vAlign w:val="center"/>
                </w:tcPr>
                <w:p w14:paraId="02CC463B" w14:textId="77777777" w:rsidR="0011262F" w:rsidRPr="00913E2B" w:rsidRDefault="0011262F" w:rsidP="00B54007">
                  <w:pPr>
                    <w:pStyle w:val="TableUnitsRow"/>
                    <w:jc w:val="left"/>
                  </w:pPr>
                </w:p>
              </w:tc>
              <w:tc>
                <w:tcPr>
                  <w:tcW w:w="982" w:type="pct"/>
                  <w:shd w:val="clear" w:color="auto" w:fill="F2F2F2" w:themeFill="background1" w:themeFillShade="F2"/>
                  <w:vAlign w:val="center"/>
                </w:tcPr>
                <w:p w14:paraId="71AEE9FF" w14:textId="77777777" w:rsidR="0011262F" w:rsidRPr="00913E2B" w:rsidRDefault="0011262F" w:rsidP="00B54007">
                  <w:pPr>
                    <w:pStyle w:val="TableBodyText"/>
                  </w:pPr>
                  <w:r>
                    <w:t>(12.127)</w:t>
                  </w:r>
                </w:p>
              </w:tc>
              <w:tc>
                <w:tcPr>
                  <w:tcW w:w="801" w:type="pct"/>
                  <w:shd w:val="clear" w:color="auto" w:fill="F2F2F2" w:themeFill="background1" w:themeFillShade="F2"/>
                  <w:vAlign w:val="center"/>
                </w:tcPr>
                <w:p w14:paraId="5E53CE0E" w14:textId="77777777" w:rsidR="0011262F" w:rsidRDefault="0011262F" w:rsidP="00B54007">
                  <w:pPr>
                    <w:pStyle w:val="TableBodyText"/>
                  </w:pPr>
                  <w:r>
                    <w:t>(1.576)</w:t>
                  </w:r>
                </w:p>
              </w:tc>
              <w:tc>
                <w:tcPr>
                  <w:tcW w:w="858" w:type="pct"/>
                  <w:shd w:val="clear" w:color="auto" w:fill="F2F2F2" w:themeFill="background1" w:themeFillShade="F2"/>
                  <w:vAlign w:val="center"/>
                </w:tcPr>
                <w:p w14:paraId="5014C793" w14:textId="77777777" w:rsidR="0011262F" w:rsidRPr="00913E2B" w:rsidRDefault="0011262F" w:rsidP="00B54007">
                  <w:pPr>
                    <w:pStyle w:val="TableBodyText"/>
                  </w:pPr>
                  <w:r>
                    <w:t>(3.609)</w:t>
                  </w:r>
                </w:p>
              </w:tc>
              <w:tc>
                <w:tcPr>
                  <w:tcW w:w="808" w:type="pct"/>
                  <w:shd w:val="clear" w:color="auto" w:fill="F2F2F2" w:themeFill="background1" w:themeFillShade="F2"/>
                  <w:vAlign w:val="center"/>
                </w:tcPr>
                <w:p w14:paraId="48394019" w14:textId="77777777" w:rsidR="0011262F" w:rsidRPr="00913E2B" w:rsidRDefault="0011262F" w:rsidP="00B54007">
                  <w:pPr>
                    <w:pStyle w:val="TableBodyText"/>
                  </w:pPr>
                  <w:r>
                    <w:t>(11.171)</w:t>
                  </w:r>
                </w:p>
              </w:tc>
            </w:tr>
            <w:tr w:rsidR="0011262F" w:rsidRPr="00913E2B" w14:paraId="2B84D110" w14:textId="77777777" w:rsidTr="00B54007">
              <w:tc>
                <w:tcPr>
                  <w:tcW w:w="1551" w:type="pct"/>
                  <w:shd w:val="clear" w:color="auto" w:fill="auto"/>
                </w:tcPr>
                <w:p w14:paraId="1F87AC95" w14:textId="77777777" w:rsidR="0011262F" w:rsidRPr="00913E2B" w:rsidRDefault="0011262F" w:rsidP="00B54007">
                  <w:pPr>
                    <w:pStyle w:val="TableUnitsRow"/>
                    <w:jc w:val="left"/>
                  </w:pPr>
                </w:p>
              </w:tc>
              <w:tc>
                <w:tcPr>
                  <w:tcW w:w="982" w:type="pct"/>
                </w:tcPr>
                <w:p w14:paraId="32F48E8C" w14:textId="77777777" w:rsidR="0011262F" w:rsidRPr="00913E2B" w:rsidRDefault="0011262F" w:rsidP="00B54007">
                  <w:pPr>
                    <w:pStyle w:val="TableBodyText"/>
                  </w:pPr>
                </w:p>
              </w:tc>
              <w:tc>
                <w:tcPr>
                  <w:tcW w:w="801" w:type="pct"/>
                </w:tcPr>
                <w:p w14:paraId="6B0D5019" w14:textId="77777777" w:rsidR="0011262F" w:rsidRPr="00913E2B" w:rsidRDefault="0011262F" w:rsidP="00B54007">
                  <w:pPr>
                    <w:pStyle w:val="TableBodyText"/>
                  </w:pPr>
                </w:p>
              </w:tc>
              <w:tc>
                <w:tcPr>
                  <w:tcW w:w="858" w:type="pct"/>
                  <w:shd w:val="clear" w:color="auto" w:fill="auto"/>
                </w:tcPr>
                <w:p w14:paraId="78C6B49B" w14:textId="77777777" w:rsidR="0011262F" w:rsidRPr="00913E2B" w:rsidRDefault="0011262F" w:rsidP="00B54007">
                  <w:pPr>
                    <w:pStyle w:val="TableBodyText"/>
                  </w:pPr>
                </w:p>
              </w:tc>
              <w:tc>
                <w:tcPr>
                  <w:tcW w:w="808" w:type="pct"/>
                  <w:shd w:val="clear" w:color="auto" w:fill="auto"/>
                </w:tcPr>
                <w:p w14:paraId="7A0BA34E" w14:textId="77777777" w:rsidR="0011262F" w:rsidRPr="00913E2B" w:rsidRDefault="0011262F" w:rsidP="00B54007">
                  <w:pPr>
                    <w:pStyle w:val="TableBodyText"/>
                  </w:pPr>
                </w:p>
              </w:tc>
            </w:tr>
            <w:tr w:rsidR="0011262F" w:rsidRPr="00913E2B" w14:paraId="36B4D94B" w14:textId="77777777" w:rsidTr="00B54007">
              <w:tc>
                <w:tcPr>
                  <w:tcW w:w="1551" w:type="pct"/>
                  <w:vAlign w:val="center"/>
                </w:tcPr>
                <w:p w14:paraId="215511AE" w14:textId="77777777" w:rsidR="0011262F" w:rsidRPr="00913E2B" w:rsidRDefault="0011262F" w:rsidP="00B54007">
                  <w:pPr>
                    <w:pStyle w:val="TableUnitsRow"/>
                    <w:jc w:val="left"/>
                  </w:pPr>
                  <m:oMathPara>
                    <m:oMathParaPr>
                      <m:jc m:val="left"/>
                    </m:oMathParaPr>
                    <m:oMath>
                      <m:r>
                        <w:rPr>
                          <w:rFonts w:ascii="Cambria Math" w:hAnsi="Cambria Math"/>
                        </w:rPr>
                        <m:t>N</m:t>
                      </m:r>
                    </m:oMath>
                  </m:oMathPara>
                </w:p>
              </w:tc>
              <w:tc>
                <w:tcPr>
                  <w:tcW w:w="982" w:type="pct"/>
                  <w:vAlign w:val="center"/>
                </w:tcPr>
                <w:p w14:paraId="579402E5" w14:textId="77777777" w:rsidR="0011262F" w:rsidRPr="00913E2B" w:rsidRDefault="0011262F" w:rsidP="00B54007">
                  <w:pPr>
                    <w:pStyle w:val="TableBodyText"/>
                  </w:pPr>
                  <w:r>
                    <w:t>712</w:t>
                  </w:r>
                </w:p>
              </w:tc>
              <w:tc>
                <w:tcPr>
                  <w:tcW w:w="801" w:type="pct"/>
                  <w:vAlign w:val="center"/>
                </w:tcPr>
                <w:p w14:paraId="643FFE5B" w14:textId="77777777" w:rsidR="0011262F" w:rsidRDefault="0011262F" w:rsidP="00B54007">
                  <w:pPr>
                    <w:pStyle w:val="TableBodyText"/>
                  </w:pPr>
                  <w:r>
                    <w:t>712</w:t>
                  </w:r>
                </w:p>
              </w:tc>
              <w:tc>
                <w:tcPr>
                  <w:tcW w:w="858" w:type="pct"/>
                  <w:vAlign w:val="center"/>
                </w:tcPr>
                <w:p w14:paraId="060DC9DF" w14:textId="77777777" w:rsidR="0011262F" w:rsidRPr="00913E2B" w:rsidRDefault="0011262F" w:rsidP="00B54007">
                  <w:pPr>
                    <w:pStyle w:val="TableBodyText"/>
                  </w:pPr>
                  <w:r>
                    <w:t>712</w:t>
                  </w:r>
                </w:p>
              </w:tc>
              <w:tc>
                <w:tcPr>
                  <w:tcW w:w="808" w:type="pct"/>
                  <w:vAlign w:val="center"/>
                </w:tcPr>
                <w:p w14:paraId="5A061733" w14:textId="77777777" w:rsidR="0011262F" w:rsidRPr="00913E2B" w:rsidRDefault="0011262F" w:rsidP="00B54007">
                  <w:pPr>
                    <w:pStyle w:val="TableBodyText"/>
                  </w:pPr>
                  <w:r>
                    <w:t>712</w:t>
                  </w:r>
                </w:p>
              </w:tc>
            </w:tr>
            <w:tr w:rsidR="0011262F" w:rsidRPr="00913E2B" w14:paraId="4ED9E245" w14:textId="77777777" w:rsidTr="00B54007">
              <w:tc>
                <w:tcPr>
                  <w:tcW w:w="1551" w:type="pct"/>
                  <w:vAlign w:val="center"/>
                </w:tcPr>
                <w:p w14:paraId="5300DCF3" w14:textId="77777777" w:rsidR="0011262F" w:rsidRPr="00913E2B" w:rsidRDefault="002F0937" w:rsidP="00B54007">
                  <w:pPr>
                    <w:pStyle w:val="TableUnitsRow"/>
                    <w:jc w:val="left"/>
                  </w:pPr>
                  <m:oMathPara>
                    <m:oMathParaPr>
                      <m:jc m:val="left"/>
                    </m:oMathParaPr>
                    <m:oMath>
                      <m:sSup>
                        <m:sSupPr>
                          <m:ctrlPr>
                            <w:rPr>
                              <w:rFonts w:ascii="Cambria Math" w:hAnsi="Cambria Math"/>
                              <w:i/>
                            </w:rPr>
                          </m:ctrlPr>
                        </m:sSupPr>
                        <m:e>
                          <m:r>
                            <w:rPr>
                              <w:rFonts w:ascii="Cambria Math" w:hAnsi="Cambria Math"/>
                            </w:rPr>
                            <m:t>R</m:t>
                          </m:r>
                        </m:e>
                        <m:sup>
                          <m:r>
                            <w:rPr>
                              <w:rFonts w:ascii="Cambria Math" w:hAnsi="Cambria Math"/>
                            </w:rPr>
                            <m:t>2</m:t>
                          </m:r>
                        </m:sup>
                      </m:sSup>
                    </m:oMath>
                  </m:oMathPara>
                </w:p>
              </w:tc>
              <w:tc>
                <w:tcPr>
                  <w:tcW w:w="982" w:type="pct"/>
                  <w:vAlign w:val="center"/>
                </w:tcPr>
                <w:p w14:paraId="632933C9" w14:textId="77777777" w:rsidR="0011262F" w:rsidRPr="00913E2B" w:rsidRDefault="0011262F" w:rsidP="00B54007">
                  <w:pPr>
                    <w:pStyle w:val="TableBodyText"/>
                  </w:pPr>
                  <w:r>
                    <w:t>0.303</w:t>
                  </w:r>
                </w:p>
              </w:tc>
              <w:tc>
                <w:tcPr>
                  <w:tcW w:w="801" w:type="pct"/>
                  <w:vAlign w:val="center"/>
                </w:tcPr>
                <w:p w14:paraId="3EB49A3C" w14:textId="77777777" w:rsidR="0011262F" w:rsidRDefault="0011262F" w:rsidP="00B54007">
                  <w:pPr>
                    <w:pStyle w:val="TableBodyText"/>
                  </w:pPr>
                  <w:r>
                    <w:t>0.461</w:t>
                  </w:r>
                </w:p>
              </w:tc>
              <w:tc>
                <w:tcPr>
                  <w:tcW w:w="858" w:type="pct"/>
                  <w:vAlign w:val="center"/>
                </w:tcPr>
                <w:p w14:paraId="318DBF12" w14:textId="77777777" w:rsidR="0011262F" w:rsidRPr="00913E2B" w:rsidRDefault="0011262F" w:rsidP="00B54007">
                  <w:pPr>
                    <w:pStyle w:val="TableBodyText"/>
                  </w:pPr>
                  <w:r>
                    <w:t>0.273</w:t>
                  </w:r>
                </w:p>
              </w:tc>
              <w:tc>
                <w:tcPr>
                  <w:tcW w:w="808" w:type="pct"/>
                  <w:vAlign w:val="center"/>
                </w:tcPr>
                <w:p w14:paraId="25E7F620" w14:textId="77777777" w:rsidR="0011262F" w:rsidRPr="00913E2B" w:rsidRDefault="0011262F" w:rsidP="00B54007">
                  <w:pPr>
                    <w:pStyle w:val="TableBodyText"/>
                  </w:pPr>
                  <w:r>
                    <w:t>0.090</w:t>
                  </w:r>
                </w:p>
              </w:tc>
            </w:tr>
            <w:tr w:rsidR="0011262F" w14:paraId="25D88A72" w14:textId="77777777" w:rsidTr="00B54007">
              <w:tc>
                <w:tcPr>
                  <w:tcW w:w="1551" w:type="pct"/>
                  <w:shd w:val="clear" w:color="auto" w:fill="auto"/>
                </w:tcPr>
                <w:p w14:paraId="17CA5732" w14:textId="77777777" w:rsidR="0011262F" w:rsidRDefault="0011262F" w:rsidP="00B54007">
                  <w:pPr>
                    <w:pStyle w:val="TableBodyText"/>
                    <w:jc w:val="left"/>
                  </w:pPr>
                  <w:r>
                    <w:t xml:space="preserve">Adjusted </w:t>
                  </w:r>
                  <m:oMath>
                    <m:sSup>
                      <m:sSupPr>
                        <m:ctrlPr>
                          <w:rPr>
                            <w:rFonts w:ascii="Cambria Math" w:hAnsi="Cambria Math"/>
                            <w:i/>
                          </w:rPr>
                        </m:ctrlPr>
                      </m:sSupPr>
                      <m:e>
                        <m:r>
                          <w:rPr>
                            <w:rFonts w:ascii="Cambria Math" w:hAnsi="Cambria Math"/>
                          </w:rPr>
                          <m:t>R</m:t>
                        </m:r>
                      </m:e>
                      <m:sup>
                        <m:r>
                          <w:rPr>
                            <w:rFonts w:ascii="Cambria Math" w:hAnsi="Cambria Math"/>
                          </w:rPr>
                          <m:t>2</m:t>
                        </m:r>
                      </m:sup>
                    </m:sSup>
                  </m:oMath>
                </w:p>
              </w:tc>
              <w:tc>
                <w:tcPr>
                  <w:tcW w:w="982" w:type="pct"/>
                  <w:vAlign w:val="center"/>
                </w:tcPr>
                <w:p w14:paraId="487FE2BE" w14:textId="77777777" w:rsidR="0011262F" w:rsidRDefault="0011262F" w:rsidP="00B54007">
                  <w:pPr>
                    <w:pStyle w:val="TableBodyText"/>
                  </w:pPr>
                  <w:r>
                    <w:t>0.292</w:t>
                  </w:r>
                </w:p>
              </w:tc>
              <w:tc>
                <w:tcPr>
                  <w:tcW w:w="801" w:type="pct"/>
                  <w:vAlign w:val="center"/>
                </w:tcPr>
                <w:p w14:paraId="6D2A7B19" w14:textId="77777777" w:rsidR="0011262F" w:rsidRDefault="0011262F" w:rsidP="00B54007">
                  <w:pPr>
                    <w:pStyle w:val="TableBodyText"/>
                  </w:pPr>
                  <w:r>
                    <w:t>0.453</w:t>
                  </w:r>
                </w:p>
              </w:tc>
              <w:tc>
                <w:tcPr>
                  <w:tcW w:w="858" w:type="pct"/>
                  <w:shd w:val="clear" w:color="auto" w:fill="auto"/>
                  <w:vAlign w:val="center"/>
                </w:tcPr>
                <w:p w14:paraId="11C15363" w14:textId="77777777" w:rsidR="0011262F" w:rsidRDefault="0011262F" w:rsidP="00B54007">
                  <w:pPr>
                    <w:pStyle w:val="TableBodyText"/>
                  </w:pPr>
                  <w:r>
                    <w:t>0.261</w:t>
                  </w:r>
                </w:p>
              </w:tc>
              <w:tc>
                <w:tcPr>
                  <w:tcW w:w="808" w:type="pct"/>
                  <w:shd w:val="clear" w:color="auto" w:fill="auto"/>
                  <w:vAlign w:val="center"/>
                </w:tcPr>
                <w:p w14:paraId="40A8C69F" w14:textId="77777777" w:rsidR="0011262F" w:rsidRDefault="0011262F" w:rsidP="00B54007">
                  <w:pPr>
                    <w:pStyle w:val="TableBodyText"/>
                  </w:pPr>
                  <w:r>
                    <w:t>0.075</w:t>
                  </w:r>
                </w:p>
              </w:tc>
            </w:tr>
            <w:tr w:rsidR="0011262F" w14:paraId="401FE0F4" w14:textId="77777777" w:rsidTr="00B54007">
              <w:tc>
                <w:tcPr>
                  <w:tcW w:w="1551" w:type="pct"/>
                  <w:tcBorders>
                    <w:bottom w:val="single" w:sz="6" w:space="0" w:color="BFBFBF"/>
                  </w:tcBorders>
                  <w:shd w:val="clear" w:color="auto" w:fill="auto"/>
                </w:tcPr>
                <w:p w14:paraId="7F43F23B" w14:textId="77777777" w:rsidR="0011262F" w:rsidRPr="009630EE" w:rsidRDefault="0011262F" w:rsidP="00B54007">
                  <w:pPr>
                    <w:pStyle w:val="TableBodyText"/>
                    <w:jc w:val="left"/>
                    <w:rPr>
                      <w:i/>
                    </w:rPr>
                  </w:pPr>
                  <w:r w:rsidRPr="009630EE">
                    <w:rPr>
                      <w:i/>
                    </w:rPr>
                    <w:t>F</w:t>
                  </w:r>
                </w:p>
              </w:tc>
              <w:tc>
                <w:tcPr>
                  <w:tcW w:w="982" w:type="pct"/>
                  <w:tcBorders>
                    <w:bottom w:val="single" w:sz="6" w:space="0" w:color="BFBFBF"/>
                  </w:tcBorders>
                  <w:vAlign w:val="center"/>
                </w:tcPr>
                <w:p w14:paraId="6CB0B1D3" w14:textId="77777777" w:rsidR="0011262F" w:rsidRDefault="0011262F" w:rsidP="00B54007">
                  <w:pPr>
                    <w:pStyle w:val="TableBodyText"/>
                  </w:pPr>
                  <w:r>
                    <w:t>19.686***</w:t>
                  </w:r>
                </w:p>
              </w:tc>
              <w:tc>
                <w:tcPr>
                  <w:tcW w:w="801" w:type="pct"/>
                  <w:tcBorders>
                    <w:bottom w:val="single" w:sz="6" w:space="0" w:color="BFBFBF"/>
                  </w:tcBorders>
                  <w:vAlign w:val="center"/>
                </w:tcPr>
                <w:p w14:paraId="51A2D72C" w14:textId="77777777" w:rsidR="0011262F" w:rsidRDefault="0011262F" w:rsidP="00B54007">
                  <w:pPr>
                    <w:pStyle w:val="TableBodyText"/>
                  </w:pPr>
                  <w:r>
                    <w:t>20.587***</w:t>
                  </w:r>
                </w:p>
              </w:tc>
              <w:tc>
                <w:tcPr>
                  <w:tcW w:w="858" w:type="pct"/>
                  <w:tcBorders>
                    <w:bottom w:val="single" w:sz="6" w:space="0" w:color="BFBFBF"/>
                  </w:tcBorders>
                  <w:shd w:val="clear" w:color="auto" w:fill="auto"/>
                  <w:vAlign w:val="center"/>
                </w:tcPr>
                <w:p w14:paraId="6F25A5FF" w14:textId="77777777" w:rsidR="0011262F" w:rsidRDefault="0011262F" w:rsidP="00B54007">
                  <w:pPr>
                    <w:pStyle w:val="TableBodyText"/>
                  </w:pPr>
                  <w:r>
                    <w:t>24.36***</w:t>
                  </w:r>
                </w:p>
              </w:tc>
              <w:tc>
                <w:tcPr>
                  <w:tcW w:w="808" w:type="pct"/>
                  <w:tcBorders>
                    <w:bottom w:val="single" w:sz="6" w:space="0" w:color="BFBFBF"/>
                  </w:tcBorders>
                  <w:shd w:val="clear" w:color="auto" w:fill="auto"/>
                  <w:vAlign w:val="center"/>
                </w:tcPr>
                <w:p w14:paraId="125E20E0" w14:textId="77777777" w:rsidR="0011262F" w:rsidRDefault="0011262F" w:rsidP="00B54007">
                  <w:pPr>
                    <w:pStyle w:val="TableBodyText"/>
                  </w:pPr>
                  <w:r>
                    <w:t>8.186***</w:t>
                  </w:r>
                </w:p>
              </w:tc>
            </w:tr>
          </w:tbl>
          <w:p w14:paraId="2205D798" w14:textId="77777777" w:rsidR="0011262F" w:rsidRDefault="0011262F" w:rsidP="00B54007">
            <w:pPr>
              <w:pStyle w:val="Box"/>
            </w:pPr>
          </w:p>
        </w:tc>
      </w:tr>
      <w:tr w:rsidR="0011262F" w14:paraId="6F061B7C" w14:textId="77777777" w:rsidTr="00B54007">
        <w:tc>
          <w:tcPr>
            <w:tcW w:w="5000" w:type="pct"/>
            <w:tcBorders>
              <w:top w:val="nil"/>
              <w:left w:val="nil"/>
              <w:bottom w:val="nil"/>
              <w:right w:val="nil"/>
            </w:tcBorders>
            <w:shd w:val="clear" w:color="auto" w:fill="auto"/>
          </w:tcPr>
          <w:p w14:paraId="2DC4B951" w14:textId="77777777" w:rsidR="0011262F" w:rsidRDefault="0011262F" w:rsidP="00B54007">
            <w:pPr>
              <w:pStyle w:val="Note"/>
              <w:rPr>
                <w:i/>
              </w:rPr>
            </w:pPr>
            <w:r w:rsidRPr="008E77FE">
              <w:rPr>
                <w:rStyle w:val="NoteLabel"/>
              </w:rPr>
              <w:t>a</w:t>
            </w:r>
            <w:r>
              <w:t xml:space="preserve"> Time fixed effects</w:t>
            </w:r>
            <w:r>
              <w:rPr>
                <w:szCs w:val="18"/>
              </w:rPr>
              <w:t xml:space="preserve"> </w:t>
            </w:r>
            <w:r>
              <w:t>are used and standard errors are clustered by fund.</w:t>
            </w:r>
            <w:r>
              <w:rPr>
                <w:szCs w:val="18"/>
              </w:rPr>
              <w:t xml:space="preserve"> </w:t>
            </w:r>
            <w:r w:rsidRPr="00132196">
              <w:rPr>
                <w:szCs w:val="18"/>
              </w:rPr>
              <w:t xml:space="preserve">The reference fund type is </w:t>
            </w:r>
            <w:r>
              <w:rPr>
                <w:szCs w:val="18"/>
              </w:rPr>
              <w:t>‘</w:t>
            </w:r>
            <w:r w:rsidRPr="00132196">
              <w:rPr>
                <w:szCs w:val="18"/>
              </w:rPr>
              <w:t>Corporate</w:t>
            </w:r>
            <w:r>
              <w:rPr>
                <w:szCs w:val="18"/>
              </w:rPr>
              <w:t>’</w:t>
            </w:r>
            <w:r w:rsidRPr="00132196">
              <w:rPr>
                <w:szCs w:val="18"/>
              </w:rPr>
              <w:t>.</w:t>
            </w:r>
            <w:r>
              <w:t xml:space="preserve"> Lambda is the coefficient for the survival correction term. Standard errors in parentheses. </w:t>
            </w:r>
            <w:r w:rsidRPr="00132196">
              <w:rPr>
                <w:szCs w:val="18"/>
                <w:vertAlign w:val="superscript"/>
              </w:rPr>
              <w:t>***</w:t>
            </w:r>
            <w:r>
              <w:rPr>
                <w:szCs w:val="18"/>
                <w:vertAlign w:val="superscript"/>
              </w:rPr>
              <w:t> </w:t>
            </w:r>
            <w:r w:rsidRPr="00132196">
              <w:rPr>
                <w:szCs w:val="18"/>
              </w:rPr>
              <w:t xml:space="preserve">Significant at the 1 per cent level. </w:t>
            </w:r>
            <w:r w:rsidRPr="00132196">
              <w:rPr>
                <w:szCs w:val="18"/>
                <w:vertAlign w:val="superscript"/>
              </w:rPr>
              <w:t>**</w:t>
            </w:r>
            <w:r>
              <w:rPr>
                <w:szCs w:val="18"/>
                <w:vertAlign w:val="superscript"/>
              </w:rPr>
              <w:t xml:space="preserve"> </w:t>
            </w:r>
            <w:r w:rsidRPr="00132196">
              <w:rPr>
                <w:szCs w:val="18"/>
              </w:rPr>
              <w:t xml:space="preserve">Significant at the 5 per cent level. </w:t>
            </w:r>
            <w:r w:rsidRPr="00132196">
              <w:rPr>
                <w:szCs w:val="18"/>
                <w:vertAlign w:val="superscript"/>
              </w:rPr>
              <w:t>*</w:t>
            </w:r>
            <w:r>
              <w:rPr>
                <w:szCs w:val="18"/>
                <w:vertAlign w:val="superscript"/>
              </w:rPr>
              <w:t xml:space="preserve"> </w:t>
            </w:r>
            <w:r w:rsidRPr="00132196">
              <w:rPr>
                <w:szCs w:val="18"/>
              </w:rPr>
              <w:t>Significant at the 10 per cent level.</w:t>
            </w:r>
          </w:p>
        </w:tc>
      </w:tr>
      <w:tr w:rsidR="0011262F" w14:paraId="75EC79A6" w14:textId="77777777" w:rsidTr="00B54007">
        <w:tc>
          <w:tcPr>
            <w:tcW w:w="5000" w:type="pct"/>
            <w:tcBorders>
              <w:top w:val="nil"/>
              <w:left w:val="nil"/>
              <w:bottom w:val="nil"/>
              <w:right w:val="nil"/>
            </w:tcBorders>
            <w:shd w:val="clear" w:color="auto" w:fill="auto"/>
          </w:tcPr>
          <w:p w14:paraId="585953B0" w14:textId="77777777" w:rsidR="0011262F" w:rsidRDefault="0011262F" w:rsidP="00B54007">
            <w:pPr>
              <w:pStyle w:val="Source"/>
            </w:pPr>
            <w:r w:rsidRPr="00F1457E">
              <w:rPr>
                <w:i/>
              </w:rPr>
              <w:t>Source</w:t>
            </w:r>
            <w:r w:rsidRPr="00F1457E">
              <w:t xml:space="preserve">: </w:t>
            </w:r>
            <w:r>
              <w:rPr>
                <w:rFonts w:eastAsia="+mn-ea" w:cs="Arial"/>
                <w:color w:val="000000" w:themeColor="text1"/>
                <w:kern w:val="24"/>
                <w:szCs w:val="18"/>
              </w:rPr>
              <w:t>PC analysis of APRA unpublished data (</w:t>
            </w:r>
            <w:r w:rsidRPr="00481B71">
              <w:rPr>
                <w:rFonts w:eastAsia="+mn-ea" w:cs="Arial"/>
                <w:color w:val="000000" w:themeColor="text1"/>
                <w:kern w:val="24"/>
                <w:szCs w:val="18"/>
              </w:rPr>
              <w:t>2014</w:t>
            </w:r>
            <w:r w:rsidRPr="00F1457E">
              <w:rPr>
                <w:rFonts w:eastAsia="+mn-ea" w:cs="Arial"/>
                <w:color w:val="000000" w:themeColor="text1"/>
                <w:kern w:val="24"/>
                <w:szCs w:val="18"/>
              </w:rPr>
              <w:t>–17)</w:t>
            </w:r>
            <w:r>
              <w:rPr>
                <w:rFonts w:eastAsia="+mn-ea" w:cs="Arial"/>
                <w:color w:val="000000" w:themeColor="text1"/>
                <w:kern w:val="24"/>
                <w:szCs w:val="18"/>
              </w:rPr>
              <w:t>.</w:t>
            </w:r>
          </w:p>
        </w:tc>
      </w:tr>
      <w:tr w:rsidR="0011262F" w14:paraId="0AA9C7F9" w14:textId="77777777" w:rsidTr="00B54007">
        <w:tc>
          <w:tcPr>
            <w:tcW w:w="5000" w:type="pct"/>
            <w:tcBorders>
              <w:top w:val="nil"/>
              <w:left w:val="nil"/>
              <w:bottom w:val="single" w:sz="6" w:space="0" w:color="78A22F"/>
              <w:right w:val="nil"/>
            </w:tcBorders>
            <w:shd w:val="clear" w:color="auto" w:fill="auto"/>
          </w:tcPr>
          <w:p w14:paraId="0C03D908" w14:textId="77777777" w:rsidR="0011262F" w:rsidRDefault="0011262F" w:rsidP="00B54007">
            <w:pPr>
              <w:pStyle w:val="Box"/>
              <w:spacing w:before="0" w:line="120" w:lineRule="exact"/>
            </w:pPr>
          </w:p>
        </w:tc>
      </w:tr>
      <w:tr w:rsidR="0011262F" w:rsidRPr="000863A5" w14:paraId="1AC38474" w14:textId="77777777" w:rsidTr="00B54007">
        <w:trPr>
          <w:trHeight w:val="53"/>
        </w:trPr>
        <w:tc>
          <w:tcPr>
            <w:tcW w:w="5000" w:type="pct"/>
            <w:tcBorders>
              <w:top w:val="single" w:sz="6" w:space="0" w:color="78A22F"/>
              <w:left w:val="nil"/>
              <w:bottom w:val="nil"/>
              <w:right w:val="nil"/>
            </w:tcBorders>
          </w:tcPr>
          <w:p w14:paraId="2E695A8C" w14:textId="77777777" w:rsidR="0011262F" w:rsidRPr="00626D32" w:rsidRDefault="0011262F" w:rsidP="00B54007">
            <w:pPr>
              <w:pStyle w:val="BoxSpaceBelow"/>
            </w:pPr>
          </w:p>
        </w:tc>
      </w:tr>
    </w:tbl>
    <w:p w14:paraId="59BD1694" w14:textId="77777777" w:rsidR="0011262F" w:rsidRDefault="0011262F" w:rsidP="0011262F">
      <w:pPr>
        <w:rPr>
          <w:szCs w:val="20"/>
        </w:rPr>
      </w:pPr>
      <w:r>
        <w:rPr>
          <w:szCs w:val="20"/>
        </w:rPr>
        <w:br w:type="page"/>
      </w:r>
    </w:p>
    <w:p w14:paraId="46180DB2" w14:textId="77777777" w:rsidR="0011262F" w:rsidRDefault="0011262F" w:rsidP="0011262F">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1262F" w14:paraId="3FF94587" w14:textId="77777777" w:rsidTr="00B54007">
        <w:trPr>
          <w:tblHeader/>
        </w:trPr>
        <w:tc>
          <w:tcPr>
            <w:tcW w:w="5000" w:type="pct"/>
            <w:tcBorders>
              <w:top w:val="single" w:sz="6" w:space="0" w:color="78A22F"/>
              <w:left w:val="nil"/>
              <w:bottom w:val="nil"/>
              <w:right w:val="nil"/>
            </w:tcBorders>
            <w:shd w:val="clear" w:color="auto" w:fill="auto"/>
          </w:tcPr>
          <w:p w14:paraId="23D24F04" w14:textId="77777777" w:rsidR="0011262F" w:rsidRPr="00F1457E" w:rsidRDefault="0011262F" w:rsidP="00B54007">
            <w:pPr>
              <w:pStyle w:val="TableTitle"/>
              <w:rPr>
                <w:spacing w:val="-2"/>
              </w:rPr>
            </w:pPr>
            <w:r>
              <w:rPr>
                <w:b w:val="0"/>
              </w:rPr>
              <w:t xml:space="preserve">Table </w:t>
            </w:r>
            <w:proofErr w:type="spellStart"/>
            <w:r>
              <w:rPr>
                <w:b w:val="0"/>
              </w:rPr>
              <w:t>G.4</w:t>
            </w:r>
            <w:proofErr w:type="spellEnd"/>
            <w:r>
              <w:tab/>
            </w:r>
            <w:r>
              <w:rPr>
                <w:spacing w:val="-2"/>
              </w:rPr>
              <w:t>Panel</w:t>
            </w:r>
            <w:r w:rsidRPr="00F1457E">
              <w:rPr>
                <w:spacing w:val="-2"/>
              </w:rPr>
              <w:t xml:space="preserve"> regression: </w:t>
            </w:r>
            <w:r>
              <w:rPr>
                <w:spacing w:val="-2"/>
              </w:rPr>
              <w:t>annual</w:t>
            </w:r>
            <w:r w:rsidRPr="00F1457E">
              <w:rPr>
                <w:spacing w:val="-2"/>
              </w:rPr>
              <w:t xml:space="preserve"> net returns and </w:t>
            </w:r>
            <w:r>
              <w:t>benchmark adjusted returns</w:t>
            </w:r>
            <w:r w:rsidRPr="00F1457E">
              <w:rPr>
                <w:rStyle w:val="NoteLabel"/>
              </w:rPr>
              <w:t>a</w:t>
            </w:r>
          </w:p>
          <w:p w14:paraId="562E0EC3" w14:textId="77777777" w:rsidR="0011262F" w:rsidRPr="00784A05" w:rsidRDefault="0011262F" w:rsidP="00B54007">
            <w:pPr>
              <w:pStyle w:val="Subtitle"/>
            </w:pPr>
            <w:r>
              <w:t>2014 to 2017</w:t>
            </w:r>
          </w:p>
        </w:tc>
      </w:tr>
      <w:tr w:rsidR="0011262F" w14:paraId="6CA00A6F" w14:textId="77777777" w:rsidTr="00B5400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302"/>
              <w:gridCol w:w="1471"/>
              <w:gridCol w:w="1866"/>
              <w:gridCol w:w="1866"/>
            </w:tblGrid>
            <w:tr w:rsidR="0011262F" w14:paraId="4EC06BD1" w14:textId="77777777" w:rsidTr="00B54007">
              <w:trPr>
                <w:tblHeader/>
              </w:trPr>
              <w:tc>
                <w:tcPr>
                  <w:tcW w:w="1941" w:type="pct"/>
                  <w:tcBorders>
                    <w:top w:val="single" w:sz="6" w:space="0" w:color="BFBFBF"/>
                    <w:bottom w:val="single" w:sz="6" w:space="0" w:color="BFBFBF"/>
                  </w:tcBorders>
                  <w:shd w:val="clear" w:color="auto" w:fill="auto"/>
                  <w:tcMar>
                    <w:top w:w="28" w:type="dxa"/>
                  </w:tcMar>
                </w:tcPr>
                <w:p w14:paraId="58ED1B17" w14:textId="77777777" w:rsidR="0011262F" w:rsidRDefault="0011262F" w:rsidP="00B54007">
                  <w:pPr>
                    <w:pStyle w:val="TableColumnHeading"/>
                    <w:jc w:val="left"/>
                  </w:pPr>
                </w:p>
              </w:tc>
              <w:tc>
                <w:tcPr>
                  <w:tcW w:w="1962" w:type="pct"/>
                  <w:gridSpan w:val="2"/>
                  <w:tcBorders>
                    <w:top w:val="single" w:sz="6" w:space="0" w:color="BFBFBF"/>
                    <w:bottom w:val="single" w:sz="6" w:space="0" w:color="BFBFBF"/>
                  </w:tcBorders>
                  <w:shd w:val="clear" w:color="auto" w:fill="auto"/>
                  <w:tcMar>
                    <w:top w:w="28" w:type="dxa"/>
                  </w:tcMar>
                  <w:vAlign w:val="bottom"/>
                </w:tcPr>
                <w:p w14:paraId="1B353366" w14:textId="77777777" w:rsidR="0011262F" w:rsidRDefault="0011262F" w:rsidP="00B54007">
                  <w:pPr>
                    <w:pStyle w:val="TableColumnHeading"/>
                  </w:pPr>
                  <w:r>
                    <w:t>Annual net return</w:t>
                  </w:r>
                </w:p>
              </w:tc>
              <w:tc>
                <w:tcPr>
                  <w:tcW w:w="1097" w:type="pct"/>
                  <w:tcBorders>
                    <w:top w:val="single" w:sz="6" w:space="0" w:color="BFBFBF"/>
                    <w:bottom w:val="single" w:sz="6" w:space="0" w:color="BFBFBF"/>
                  </w:tcBorders>
                  <w:vAlign w:val="bottom"/>
                </w:tcPr>
                <w:p w14:paraId="63019510" w14:textId="77777777" w:rsidR="0011262F" w:rsidRDefault="0011262F" w:rsidP="00B54007">
                  <w:pPr>
                    <w:pStyle w:val="TableColumnHeading"/>
                  </w:pPr>
                  <w:r>
                    <w:t>Benchmark adjusted return</w:t>
                  </w:r>
                </w:p>
              </w:tc>
            </w:tr>
            <w:tr w:rsidR="0011262F" w:rsidRPr="00913E2B" w14:paraId="487704AB" w14:textId="77777777" w:rsidTr="00B54007">
              <w:tc>
                <w:tcPr>
                  <w:tcW w:w="1941" w:type="pct"/>
                  <w:tcBorders>
                    <w:top w:val="single" w:sz="6" w:space="0" w:color="BFBFBF"/>
                  </w:tcBorders>
                </w:tcPr>
                <w:p w14:paraId="46F50512" w14:textId="77777777" w:rsidR="0011262F" w:rsidRPr="00913E2B" w:rsidRDefault="0011262F" w:rsidP="00B54007">
                  <w:pPr>
                    <w:pStyle w:val="TableUnitsRow"/>
                    <w:jc w:val="left"/>
                  </w:pPr>
                  <w:r>
                    <w:t>Net assets</w:t>
                  </w:r>
                </w:p>
              </w:tc>
              <w:tc>
                <w:tcPr>
                  <w:tcW w:w="865" w:type="pct"/>
                  <w:vAlign w:val="center"/>
                </w:tcPr>
                <w:p w14:paraId="40D05CB4" w14:textId="77777777" w:rsidR="0011262F" w:rsidRPr="00913E2B" w:rsidRDefault="0011262F" w:rsidP="00B54007">
                  <w:pPr>
                    <w:pStyle w:val="TableBodyText"/>
                  </w:pPr>
                  <w:r>
                    <w:t>0.200</w:t>
                  </w:r>
                  <w:r>
                    <w:rPr>
                      <w:vertAlign w:val="superscript"/>
                    </w:rPr>
                    <w:t>**</w:t>
                  </w:r>
                </w:p>
              </w:tc>
              <w:tc>
                <w:tcPr>
                  <w:tcW w:w="1097" w:type="pct"/>
                  <w:vAlign w:val="center"/>
                </w:tcPr>
                <w:p w14:paraId="14814514" w14:textId="77777777" w:rsidR="0011262F" w:rsidRPr="00913E2B" w:rsidRDefault="0011262F" w:rsidP="00B54007">
                  <w:pPr>
                    <w:pStyle w:val="TableBodyText"/>
                    <w:ind w:right="28"/>
                  </w:pPr>
                  <w:r>
                    <w:t>0.071</w:t>
                  </w:r>
                </w:p>
              </w:tc>
              <w:tc>
                <w:tcPr>
                  <w:tcW w:w="1097" w:type="pct"/>
                  <w:vAlign w:val="center"/>
                </w:tcPr>
                <w:p w14:paraId="3E43C205" w14:textId="77777777" w:rsidR="0011262F" w:rsidRPr="00D837F4" w:rsidRDefault="0011262F" w:rsidP="00B54007">
                  <w:pPr>
                    <w:pStyle w:val="TableBodyText"/>
                  </w:pPr>
                  <w:r>
                    <w:t>0.062</w:t>
                  </w:r>
                </w:p>
              </w:tc>
            </w:tr>
            <w:tr w:rsidR="0011262F" w:rsidRPr="00913E2B" w14:paraId="5A54423F" w14:textId="77777777" w:rsidTr="00B54007">
              <w:tc>
                <w:tcPr>
                  <w:tcW w:w="1941" w:type="pct"/>
                </w:tcPr>
                <w:p w14:paraId="18FAFF92" w14:textId="77777777" w:rsidR="0011262F" w:rsidRPr="00913E2B" w:rsidRDefault="0011262F" w:rsidP="00B54007">
                  <w:pPr>
                    <w:pStyle w:val="TableBodyText"/>
                    <w:jc w:val="left"/>
                  </w:pPr>
                </w:p>
              </w:tc>
              <w:tc>
                <w:tcPr>
                  <w:tcW w:w="865" w:type="pct"/>
                  <w:vAlign w:val="center"/>
                </w:tcPr>
                <w:p w14:paraId="702B49A5" w14:textId="77777777" w:rsidR="0011262F" w:rsidRPr="00913E2B" w:rsidRDefault="0011262F" w:rsidP="00B54007">
                  <w:pPr>
                    <w:pStyle w:val="TableBodyText"/>
                  </w:pPr>
                  <w:r>
                    <w:t>(0.084)</w:t>
                  </w:r>
                </w:p>
              </w:tc>
              <w:tc>
                <w:tcPr>
                  <w:tcW w:w="1097" w:type="pct"/>
                  <w:vAlign w:val="center"/>
                </w:tcPr>
                <w:p w14:paraId="47B53554" w14:textId="77777777" w:rsidR="0011262F" w:rsidRPr="00913E2B" w:rsidRDefault="0011262F" w:rsidP="00B54007">
                  <w:pPr>
                    <w:pStyle w:val="TableBodyText"/>
                    <w:ind w:right="28"/>
                  </w:pPr>
                  <w:r>
                    <w:t>(0.170)</w:t>
                  </w:r>
                </w:p>
              </w:tc>
              <w:tc>
                <w:tcPr>
                  <w:tcW w:w="1097" w:type="pct"/>
                  <w:vAlign w:val="center"/>
                </w:tcPr>
                <w:p w14:paraId="0DCBB10F" w14:textId="77777777" w:rsidR="0011262F" w:rsidRPr="00D837F4" w:rsidRDefault="0011262F" w:rsidP="00B54007">
                  <w:pPr>
                    <w:pStyle w:val="TableBodyText"/>
                  </w:pPr>
                  <w:r>
                    <w:t>(0.299)</w:t>
                  </w:r>
                </w:p>
              </w:tc>
            </w:tr>
            <w:tr w:rsidR="0011262F" w:rsidRPr="00913E2B" w14:paraId="40C54984" w14:textId="77777777" w:rsidTr="00B54007">
              <w:tc>
                <w:tcPr>
                  <w:tcW w:w="1941" w:type="pct"/>
                  <w:shd w:val="clear" w:color="auto" w:fill="F2F2F2" w:themeFill="background1" w:themeFillShade="F2"/>
                  <w:vAlign w:val="center"/>
                </w:tcPr>
                <w:p w14:paraId="6D7E54C2" w14:textId="77777777" w:rsidR="0011262F" w:rsidRPr="004F3392" w:rsidRDefault="0011262F" w:rsidP="00B54007">
                  <w:pPr>
                    <w:pStyle w:val="TableUnitsRow"/>
                    <w:jc w:val="left"/>
                  </w:pPr>
                  <w:r>
                    <w:t>Defensive assets (proportion)</w:t>
                  </w:r>
                </w:p>
              </w:tc>
              <w:tc>
                <w:tcPr>
                  <w:tcW w:w="865" w:type="pct"/>
                  <w:shd w:val="clear" w:color="auto" w:fill="F2F2F2" w:themeFill="background1" w:themeFillShade="F2"/>
                  <w:vAlign w:val="center"/>
                </w:tcPr>
                <w:p w14:paraId="22868992" w14:textId="77777777" w:rsidR="0011262F" w:rsidRPr="004F3392" w:rsidRDefault="0011262F" w:rsidP="00B54007">
                  <w:pPr>
                    <w:pStyle w:val="TableBodyText"/>
                  </w:pPr>
                  <w:r>
                    <w:t>-6.345</w:t>
                  </w:r>
                  <w:r>
                    <w:rPr>
                      <w:vertAlign w:val="superscript"/>
                    </w:rPr>
                    <w:t>***</w:t>
                  </w:r>
                </w:p>
              </w:tc>
              <w:tc>
                <w:tcPr>
                  <w:tcW w:w="1097" w:type="pct"/>
                  <w:shd w:val="clear" w:color="auto" w:fill="F2F2F2" w:themeFill="background1" w:themeFillShade="F2"/>
                  <w:vAlign w:val="center"/>
                </w:tcPr>
                <w:p w14:paraId="1E585984" w14:textId="77777777" w:rsidR="0011262F" w:rsidRPr="004F3392" w:rsidRDefault="0011262F" w:rsidP="00B54007">
                  <w:pPr>
                    <w:pStyle w:val="TableBodyText"/>
                    <w:ind w:right="28"/>
                  </w:pPr>
                  <w:r>
                    <w:t>-5.883</w:t>
                  </w:r>
                  <w:r>
                    <w:rPr>
                      <w:vertAlign w:val="superscript"/>
                    </w:rPr>
                    <w:t>***</w:t>
                  </w:r>
                </w:p>
              </w:tc>
              <w:tc>
                <w:tcPr>
                  <w:tcW w:w="1097" w:type="pct"/>
                  <w:shd w:val="clear" w:color="auto" w:fill="F2F2F2" w:themeFill="background1" w:themeFillShade="F2"/>
                  <w:vAlign w:val="center"/>
                </w:tcPr>
                <w:p w14:paraId="3E6EEEA0" w14:textId="77777777" w:rsidR="0011262F" w:rsidRPr="00D837F4" w:rsidRDefault="0011262F" w:rsidP="00B54007">
                  <w:pPr>
                    <w:pStyle w:val="TableBodyText"/>
                  </w:pPr>
                </w:p>
              </w:tc>
            </w:tr>
            <w:tr w:rsidR="0011262F" w:rsidRPr="00913E2B" w14:paraId="6F15AB1F" w14:textId="77777777" w:rsidTr="00B54007">
              <w:tc>
                <w:tcPr>
                  <w:tcW w:w="1941" w:type="pct"/>
                  <w:shd w:val="clear" w:color="auto" w:fill="F2F2F2" w:themeFill="background1" w:themeFillShade="F2"/>
                  <w:vAlign w:val="center"/>
                </w:tcPr>
                <w:p w14:paraId="6BA21B2D" w14:textId="77777777" w:rsidR="0011262F" w:rsidRPr="004F3392" w:rsidRDefault="0011262F" w:rsidP="00B54007">
                  <w:pPr>
                    <w:pStyle w:val="TableUnitsRow"/>
                    <w:jc w:val="left"/>
                  </w:pPr>
                </w:p>
              </w:tc>
              <w:tc>
                <w:tcPr>
                  <w:tcW w:w="865" w:type="pct"/>
                  <w:shd w:val="clear" w:color="auto" w:fill="F2F2F2" w:themeFill="background1" w:themeFillShade="F2"/>
                  <w:vAlign w:val="center"/>
                </w:tcPr>
                <w:p w14:paraId="44F97F77" w14:textId="77777777" w:rsidR="0011262F" w:rsidRPr="004F3392" w:rsidRDefault="0011262F" w:rsidP="00B54007">
                  <w:pPr>
                    <w:pStyle w:val="TableBodyText"/>
                  </w:pPr>
                  <w:r>
                    <w:t>(1.089)</w:t>
                  </w:r>
                </w:p>
              </w:tc>
              <w:tc>
                <w:tcPr>
                  <w:tcW w:w="1097" w:type="pct"/>
                  <w:shd w:val="clear" w:color="auto" w:fill="F2F2F2" w:themeFill="background1" w:themeFillShade="F2"/>
                  <w:vAlign w:val="center"/>
                </w:tcPr>
                <w:p w14:paraId="329BC449" w14:textId="77777777" w:rsidR="0011262F" w:rsidRPr="004F3392" w:rsidRDefault="0011262F" w:rsidP="00B54007">
                  <w:pPr>
                    <w:pStyle w:val="TableBodyText"/>
                    <w:ind w:right="28"/>
                  </w:pPr>
                  <w:r>
                    <w:t>(0.990)</w:t>
                  </w:r>
                </w:p>
              </w:tc>
              <w:tc>
                <w:tcPr>
                  <w:tcW w:w="1097" w:type="pct"/>
                  <w:shd w:val="clear" w:color="auto" w:fill="F2F2F2" w:themeFill="background1" w:themeFillShade="F2"/>
                  <w:vAlign w:val="center"/>
                </w:tcPr>
                <w:p w14:paraId="1CC5E602" w14:textId="77777777" w:rsidR="0011262F" w:rsidRPr="00D837F4" w:rsidRDefault="0011262F" w:rsidP="00B54007">
                  <w:pPr>
                    <w:pStyle w:val="TableBodyText"/>
                  </w:pPr>
                </w:p>
              </w:tc>
            </w:tr>
            <w:tr w:rsidR="0011262F" w:rsidRPr="00913E2B" w14:paraId="0E47AD1C" w14:textId="77777777" w:rsidTr="00B54007">
              <w:tc>
                <w:tcPr>
                  <w:tcW w:w="1941" w:type="pct"/>
                  <w:vAlign w:val="center"/>
                </w:tcPr>
                <w:p w14:paraId="2D52C0A5" w14:textId="77777777" w:rsidR="0011262F" w:rsidRPr="00913E2B" w:rsidRDefault="0011262F" w:rsidP="00B54007">
                  <w:pPr>
                    <w:pStyle w:val="TableUnitsRow"/>
                    <w:jc w:val="left"/>
                  </w:pPr>
                  <w:r>
                    <w:t>Unlisted infrastructure (proportion)</w:t>
                  </w:r>
                </w:p>
              </w:tc>
              <w:tc>
                <w:tcPr>
                  <w:tcW w:w="865" w:type="pct"/>
                  <w:vAlign w:val="center"/>
                </w:tcPr>
                <w:p w14:paraId="5AB5417F" w14:textId="77777777" w:rsidR="0011262F" w:rsidRPr="00913E2B" w:rsidRDefault="0011262F" w:rsidP="00B54007">
                  <w:pPr>
                    <w:pStyle w:val="TableBodyText"/>
                  </w:pPr>
                  <w:r>
                    <w:t>12.069</w:t>
                  </w:r>
                  <w:r>
                    <w:rPr>
                      <w:vertAlign w:val="superscript"/>
                    </w:rPr>
                    <w:t>***</w:t>
                  </w:r>
                </w:p>
              </w:tc>
              <w:tc>
                <w:tcPr>
                  <w:tcW w:w="1097" w:type="pct"/>
                  <w:vAlign w:val="center"/>
                </w:tcPr>
                <w:p w14:paraId="769E90E1" w14:textId="77777777" w:rsidR="0011262F" w:rsidRPr="00913E2B" w:rsidRDefault="0011262F" w:rsidP="00B54007">
                  <w:pPr>
                    <w:pStyle w:val="TableBodyText"/>
                    <w:ind w:right="28"/>
                  </w:pPr>
                  <w:r>
                    <w:t>4.082</w:t>
                  </w:r>
                  <w:r>
                    <w:rPr>
                      <w:vertAlign w:val="superscript"/>
                    </w:rPr>
                    <w:t>*</w:t>
                  </w:r>
                </w:p>
              </w:tc>
              <w:tc>
                <w:tcPr>
                  <w:tcW w:w="1097" w:type="pct"/>
                  <w:vAlign w:val="center"/>
                </w:tcPr>
                <w:p w14:paraId="3C290F95" w14:textId="77777777" w:rsidR="0011262F" w:rsidRPr="00D837F4" w:rsidRDefault="0011262F" w:rsidP="00B54007">
                  <w:pPr>
                    <w:pStyle w:val="TableBodyText"/>
                  </w:pPr>
                </w:p>
              </w:tc>
            </w:tr>
            <w:tr w:rsidR="0011262F" w:rsidRPr="00913E2B" w14:paraId="4F6EDB7B" w14:textId="77777777" w:rsidTr="00B54007">
              <w:tc>
                <w:tcPr>
                  <w:tcW w:w="1941" w:type="pct"/>
                  <w:vAlign w:val="center"/>
                </w:tcPr>
                <w:p w14:paraId="6EC8C6D0" w14:textId="77777777" w:rsidR="0011262F" w:rsidRPr="00913E2B" w:rsidRDefault="0011262F" w:rsidP="00B54007">
                  <w:pPr>
                    <w:pStyle w:val="TableUnitsRow"/>
                    <w:jc w:val="left"/>
                  </w:pPr>
                </w:p>
              </w:tc>
              <w:tc>
                <w:tcPr>
                  <w:tcW w:w="865" w:type="pct"/>
                  <w:vAlign w:val="center"/>
                </w:tcPr>
                <w:p w14:paraId="278009E2" w14:textId="77777777" w:rsidR="0011262F" w:rsidRPr="00913E2B" w:rsidRDefault="0011262F" w:rsidP="00B54007">
                  <w:pPr>
                    <w:pStyle w:val="TableBodyText"/>
                  </w:pPr>
                  <w:r>
                    <w:t>(3.462)</w:t>
                  </w:r>
                </w:p>
              </w:tc>
              <w:tc>
                <w:tcPr>
                  <w:tcW w:w="1097" w:type="pct"/>
                  <w:vAlign w:val="center"/>
                </w:tcPr>
                <w:p w14:paraId="7607E15D" w14:textId="77777777" w:rsidR="0011262F" w:rsidRPr="00913E2B" w:rsidRDefault="0011262F" w:rsidP="00B54007">
                  <w:pPr>
                    <w:pStyle w:val="TableBodyText"/>
                    <w:ind w:right="28"/>
                  </w:pPr>
                  <w:r>
                    <w:t>(2.390)</w:t>
                  </w:r>
                </w:p>
              </w:tc>
              <w:tc>
                <w:tcPr>
                  <w:tcW w:w="1097" w:type="pct"/>
                  <w:vAlign w:val="center"/>
                </w:tcPr>
                <w:p w14:paraId="275DAAD1" w14:textId="77777777" w:rsidR="0011262F" w:rsidRPr="00D837F4" w:rsidRDefault="0011262F" w:rsidP="00B54007">
                  <w:pPr>
                    <w:pStyle w:val="TableBodyText"/>
                  </w:pPr>
                </w:p>
              </w:tc>
            </w:tr>
            <w:tr w:rsidR="0011262F" w:rsidRPr="00913E2B" w14:paraId="29B0A82E" w14:textId="77777777" w:rsidTr="00B54007">
              <w:tc>
                <w:tcPr>
                  <w:tcW w:w="1941" w:type="pct"/>
                  <w:shd w:val="clear" w:color="auto" w:fill="F2F2F2" w:themeFill="background1" w:themeFillShade="F2"/>
                  <w:vAlign w:val="center"/>
                </w:tcPr>
                <w:p w14:paraId="6AE6E96E" w14:textId="77777777" w:rsidR="0011262F" w:rsidRPr="00913E2B" w:rsidRDefault="0011262F" w:rsidP="00B54007">
                  <w:pPr>
                    <w:pStyle w:val="TableUnitsRow"/>
                    <w:jc w:val="left"/>
                  </w:pPr>
                  <w:r>
                    <w:t>Unlisted property (proportion)</w:t>
                  </w:r>
                </w:p>
              </w:tc>
              <w:tc>
                <w:tcPr>
                  <w:tcW w:w="865" w:type="pct"/>
                  <w:shd w:val="clear" w:color="auto" w:fill="F2F2F2" w:themeFill="background1" w:themeFillShade="F2"/>
                  <w:vAlign w:val="center"/>
                </w:tcPr>
                <w:p w14:paraId="37960272" w14:textId="77777777" w:rsidR="0011262F" w:rsidRPr="00913E2B" w:rsidRDefault="0011262F" w:rsidP="00B54007">
                  <w:pPr>
                    <w:pStyle w:val="TableBodyText"/>
                  </w:pPr>
                  <w:r>
                    <w:t>-0.889</w:t>
                  </w:r>
                </w:p>
              </w:tc>
              <w:tc>
                <w:tcPr>
                  <w:tcW w:w="1097" w:type="pct"/>
                  <w:shd w:val="clear" w:color="auto" w:fill="F2F2F2" w:themeFill="background1" w:themeFillShade="F2"/>
                  <w:vAlign w:val="center"/>
                </w:tcPr>
                <w:p w14:paraId="10E88F08" w14:textId="77777777" w:rsidR="0011262F" w:rsidRPr="00913E2B" w:rsidRDefault="0011262F" w:rsidP="00B54007">
                  <w:pPr>
                    <w:pStyle w:val="TableBodyText"/>
                    <w:ind w:right="28"/>
                  </w:pPr>
                  <w:r>
                    <w:t>-5.538</w:t>
                  </w:r>
                </w:p>
              </w:tc>
              <w:tc>
                <w:tcPr>
                  <w:tcW w:w="1097" w:type="pct"/>
                  <w:shd w:val="clear" w:color="auto" w:fill="F2F2F2" w:themeFill="background1" w:themeFillShade="F2"/>
                  <w:vAlign w:val="center"/>
                </w:tcPr>
                <w:p w14:paraId="44C3E18D" w14:textId="77777777" w:rsidR="0011262F" w:rsidRPr="00D837F4" w:rsidRDefault="0011262F" w:rsidP="00B54007">
                  <w:pPr>
                    <w:pStyle w:val="TableBodyText"/>
                  </w:pPr>
                </w:p>
              </w:tc>
            </w:tr>
            <w:tr w:rsidR="0011262F" w:rsidRPr="00913E2B" w14:paraId="61991D8A" w14:textId="77777777" w:rsidTr="00B54007">
              <w:tc>
                <w:tcPr>
                  <w:tcW w:w="1941" w:type="pct"/>
                  <w:shd w:val="clear" w:color="auto" w:fill="F2F2F2" w:themeFill="background1" w:themeFillShade="F2"/>
                  <w:vAlign w:val="center"/>
                </w:tcPr>
                <w:p w14:paraId="7930AAE6" w14:textId="77777777" w:rsidR="0011262F" w:rsidRPr="00913E2B" w:rsidRDefault="0011262F" w:rsidP="00B54007">
                  <w:pPr>
                    <w:pStyle w:val="TableUnitsRow"/>
                    <w:jc w:val="left"/>
                  </w:pPr>
                </w:p>
              </w:tc>
              <w:tc>
                <w:tcPr>
                  <w:tcW w:w="865" w:type="pct"/>
                  <w:shd w:val="clear" w:color="auto" w:fill="F2F2F2" w:themeFill="background1" w:themeFillShade="F2"/>
                  <w:vAlign w:val="center"/>
                </w:tcPr>
                <w:p w14:paraId="5B19309D" w14:textId="77777777" w:rsidR="0011262F" w:rsidRPr="00913E2B" w:rsidRDefault="0011262F" w:rsidP="00B54007">
                  <w:pPr>
                    <w:pStyle w:val="TableBodyText"/>
                  </w:pPr>
                  <w:r>
                    <w:t>(4.152)</w:t>
                  </w:r>
                </w:p>
              </w:tc>
              <w:tc>
                <w:tcPr>
                  <w:tcW w:w="1097" w:type="pct"/>
                  <w:shd w:val="clear" w:color="auto" w:fill="F2F2F2" w:themeFill="background1" w:themeFillShade="F2"/>
                  <w:vAlign w:val="center"/>
                </w:tcPr>
                <w:p w14:paraId="706AE900" w14:textId="77777777" w:rsidR="0011262F" w:rsidRPr="00913E2B" w:rsidRDefault="0011262F" w:rsidP="00B54007">
                  <w:pPr>
                    <w:pStyle w:val="TableBodyText"/>
                    <w:ind w:right="28"/>
                  </w:pPr>
                  <w:r>
                    <w:t>(3.392)</w:t>
                  </w:r>
                </w:p>
              </w:tc>
              <w:tc>
                <w:tcPr>
                  <w:tcW w:w="1097" w:type="pct"/>
                  <w:shd w:val="clear" w:color="auto" w:fill="F2F2F2" w:themeFill="background1" w:themeFillShade="F2"/>
                  <w:vAlign w:val="center"/>
                </w:tcPr>
                <w:p w14:paraId="50798967" w14:textId="77777777" w:rsidR="0011262F" w:rsidRPr="00D837F4" w:rsidRDefault="0011262F" w:rsidP="00B54007">
                  <w:pPr>
                    <w:pStyle w:val="TableBodyText"/>
                  </w:pPr>
                </w:p>
              </w:tc>
            </w:tr>
            <w:tr w:rsidR="0011262F" w:rsidRPr="00913E2B" w14:paraId="42DFF105" w14:textId="77777777" w:rsidTr="00B54007">
              <w:tc>
                <w:tcPr>
                  <w:tcW w:w="1941" w:type="pct"/>
                  <w:vAlign w:val="center"/>
                </w:tcPr>
                <w:p w14:paraId="4A0F3144" w14:textId="77777777" w:rsidR="0011262F" w:rsidRPr="00913E2B" w:rsidRDefault="0011262F" w:rsidP="00B54007">
                  <w:pPr>
                    <w:pStyle w:val="TableUnitsRow"/>
                    <w:jc w:val="left"/>
                  </w:pPr>
                  <w:r>
                    <w:t>Private equity (proportion)</w:t>
                  </w:r>
                </w:p>
              </w:tc>
              <w:tc>
                <w:tcPr>
                  <w:tcW w:w="865" w:type="pct"/>
                  <w:vAlign w:val="center"/>
                </w:tcPr>
                <w:p w14:paraId="43E1DA64" w14:textId="77777777" w:rsidR="0011262F" w:rsidRPr="00913E2B" w:rsidRDefault="0011262F" w:rsidP="00B54007">
                  <w:pPr>
                    <w:pStyle w:val="TableBodyText"/>
                  </w:pPr>
                  <w:r>
                    <w:t>0.669</w:t>
                  </w:r>
                </w:p>
              </w:tc>
              <w:tc>
                <w:tcPr>
                  <w:tcW w:w="1097" w:type="pct"/>
                  <w:vAlign w:val="center"/>
                </w:tcPr>
                <w:p w14:paraId="4A83FC41" w14:textId="77777777" w:rsidR="0011262F" w:rsidRPr="00913E2B" w:rsidRDefault="0011262F" w:rsidP="00B54007">
                  <w:pPr>
                    <w:pStyle w:val="TableBodyText"/>
                    <w:ind w:right="28"/>
                  </w:pPr>
                  <w:r>
                    <w:t>0.534</w:t>
                  </w:r>
                </w:p>
              </w:tc>
              <w:tc>
                <w:tcPr>
                  <w:tcW w:w="1097" w:type="pct"/>
                  <w:vAlign w:val="center"/>
                </w:tcPr>
                <w:p w14:paraId="44711FDB" w14:textId="77777777" w:rsidR="0011262F" w:rsidRPr="00D837F4" w:rsidRDefault="0011262F" w:rsidP="00B54007">
                  <w:pPr>
                    <w:pStyle w:val="TableBodyText"/>
                  </w:pPr>
                </w:p>
              </w:tc>
            </w:tr>
            <w:tr w:rsidR="0011262F" w:rsidRPr="00913E2B" w14:paraId="0F0DB72A" w14:textId="77777777" w:rsidTr="00B54007">
              <w:tc>
                <w:tcPr>
                  <w:tcW w:w="1941" w:type="pct"/>
                  <w:vAlign w:val="center"/>
                </w:tcPr>
                <w:p w14:paraId="242E2C34" w14:textId="77777777" w:rsidR="0011262F" w:rsidRPr="00913E2B" w:rsidRDefault="0011262F" w:rsidP="00B54007">
                  <w:pPr>
                    <w:pStyle w:val="TableUnitsRow"/>
                    <w:jc w:val="left"/>
                  </w:pPr>
                </w:p>
              </w:tc>
              <w:tc>
                <w:tcPr>
                  <w:tcW w:w="865" w:type="pct"/>
                  <w:vAlign w:val="center"/>
                </w:tcPr>
                <w:p w14:paraId="1A628323" w14:textId="77777777" w:rsidR="0011262F" w:rsidRPr="00913E2B" w:rsidRDefault="0011262F" w:rsidP="00B54007">
                  <w:pPr>
                    <w:pStyle w:val="TableBodyText"/>
                  </w:pPr>
                  <w:r>
                    <w:t>(1.091)</w:t>
                  </w:r>
                </w:p>
              </w:tc>
              <w:tc>
                <w:tcPr>
                  <w:tcW w:w="1097" w:type="pct"/>
                  <w:vAlign w:val="center"/>
                </w:tcPr>
                <w:p w14:paraId="504D8AB0" w14:textId="77777777" w:rsidR="0011262F" w:rsidRPr="00913E2B" w:rsidRDefault="0011262F" w:rsidP="00B54007">
                  <w:pPr>
                    <w:pStyle w:val="TableBodyText"/>
                    <w:ind w:right="28"/>
                  </w:pPr>
                  <w:r>
                    <w:t>(1.171)</w:t>
                  </w:r>
                </w:p>
              </w:tc>
              <w:tc>
                <w:tcPr>
                  <w:tcW w:w="1097" w:type="pct"/>
                  <w:vAlign w:val="center"/>
                </w:tcPr>
                <w:p w14:paraId="49CE6BE3" w14:textId="77777777" w:rsidR="0011262F" w:rsidRPr="00D837F4" w:rsidRDefault="0011262F" w:rsidP="00B54007">
                  <w:pPr>
                    <w:pStyle w:val="TableBodyText"/>
                  </w:pPr>
                </w:p>
              </w:tc>
            </w:tr>
            <w:tr w:rsidR="0011262F" w:rsidRPr="00913E2B" w14:paraId="2C5C0FF7" w14:textId="77777777" w:rsidTr="00B54007">
              <w:tc>
                <w:tcPr>
                  <w:tcW w:w="1941" w:type="pct"/>
                  <w:shd w:val="clear" w:color="auto" w:fill="F2F2F2" w:themeFill="background1" w:themeFillShade="F2"/>
                  <w:vAlign w:val="center"/>
                </w:tcPr>
                <w:p w14:paraId="1C38759D" w14:textId="77777777" w:rsidR="0011262F" w:rsidRPr="00913E2B" w:rsidRDefault="0011262F" w:rsidP="00B54007">
                  <w:pPr>
                    <w:pStyle w:val="TableUnitsRow"/>
                    <w:jc w:val="left"/>
                  </w:pPr>
                  <w:r>
                    <w:t>Industry</w:t>
                  </w:r>
                </w:p>
              </w:tc>
              <w:tc>
                <w:tcPr>
                  <w:tcW w:w="865" w:type="pct"/>
                  <w:shd w:val="clear" w:color="auto" w:fill="F2F2F2" w:themeFill="background1" w:themeFillShade="F2"/>
                  <w:vAlign w:val="center"/>
                </w:tcPr>
                <w:p w14:paraId="3D04DA15" w14:textId="77777777" w:rsidR="0011262F" w:rsidRPr="00913E2B" w:rsidRDefault="0011262F" w:rsidP="00B54007">
                  <w:pPr>
                    <w:pStyle w:val="TableBodyText"/>
                  </w:pPr>
                </w:p>
              </w:tc>
              <w:tc>
                <w:tcPr>
                  <w:tcW w:w="1097" w:type="pct"/>
                  <w:shd w:val="clear" w:color="auto" w:fill="F2F2F2" w:themeFill="background1" w:themeFillShade="F2"/>
                  <w:vAlign w:val="center"/>
                </w:tcPr>
                <w:p w14:paraId="7E2F2D7E" w14:textId="77777777" w:rsidR="0011262F" w:rsidRPr="00913E2B" w:rsidRDefault="0011262F" w:rsidP="00B54007">
                  <w:pPr>
                    <w:pStyle w:val="TableBodyText"/>
                    <w:ind w:right="28"/>
                  </w:pPr>
                  <w:r>
                    <w:t>-4.578</w:t>
                  </w:r>
                  <w:r>
                    <w:rPr>
                      <w:vertAlign w:val="superscript"/>
                    </w:rPr>
                    <w:t>**</w:t>
                  </w:r>
                </w:p>
              </w:tc>
              <w:tc>
                <w:tcPr>
                  <w:tcW w:w="1097" w:type="pct"/>
                  <w:shd w:val="clear" w:color="auto" w:fill="F2F2F2" w:themeFill="background1" w:themeFillShade="F2"/>
                  <w:vAlign w:val="center"/>
                </w:tcPr>
                <w:p w14:paraId="72F1411E" w14:textId="77777777" w:rsidR="0011262F" w:rsidRPr="00D837F4" w:rsidRDefault="0011262F" w:rsidP="00B54007">
                  <w:pPr>
                    <w:pStyle w:val="TableBodyText"/>
                  </w:pPr>
                  <w:r>
                    <w:t>-6.170</w:t>
                  </w:r>
                </w:p>
              </w:tc>
            </w:tr>
            <w:tr w:rsidR="0011262F" w:rsidRPr="00913E2B" w14:paraId="7CDB9199" w14:textId="77777777" w:rsidTr="00B54007">
              <w:tc>
                <w:tcPr>
                  <w:tcW w:w="1941" w:type="pct"/>
                  <w:shd w:val="clear" w:color="auto" w:fill="F2F2F2" w:themeFill="background1" w:themeFillShade="F2"/>
                  <w:vAlign w:val="center"/>
                </w:tcPr>
                <w:p w14:paraId="62DD3824" w14:textId="77777777" w:rsidR="0011262F" w:rsidRPr="00913E2B" w:rsidRDefault="0011262F" w:rsidP="00B54007">
                  <w:pPr>
                    <w:pStyle w:val="TableUnitsRow"/>
                    <w:jc w:val="left"/>
                  </w:pPr>
                </w:p>
              </w:tc>
              <w:tc>
                <w:tcPr>
                  <w:tcW w:w="865" w:type="pct"/>
                  <w:shd w:val="clear" w:color="auto" w:fill="F2F2F2" w:themeFill="background1" w:themeFillShade="F2"/>
                  <w:vAlign w:val="center"/>
                </w:tcPr>
                <w:p w14:paraId="5BBFACDF" w14:textId="77777777" w:rsidR="0011262F" w:rsidRPr="00913E2B" w:rsidRDefault="0011262F" w:rsidP="00B54007">
                  <w:pPr>
                    <w:pStyle w:val="TableBodyText"/>
                  </w:pPr>
                </w:p>
              </w:tc>
              <w:tc>
                <w:tcPr>
                  <w:tcW w:w="1097" w:type="pct"/>
                  <w:shd w:val="clear" w:color="auto" w:fill="F2F2F2" w:themeFill="background1" w:themeFillShade="F2"/>
                  <w:vAlign w:val="center"/>
                </w:tcPr>
                <w:p w14:paraId="6357C126" w14:textId="77777777" w:rsidR="0011262F" w:rsidRPr="00913E2B" w:rsidRDefault="0011262F" w:rsidP="00B54007">
                  <w:pPr>
                    <w:pStyle w:val="TableBodyText"/>
                    <w:ind w:right="28"/>
                  </w:pPr>
                  <w:r>
                    <w:t>(2.279)</w:t>
                  </w:r>
                </w:p>
              </w:tc>
              <w:tc>
                <w:tcPr>
                  <w:tcW w:w="1097" w:type="pct"/>
                  <w:shd w:val="clear" w:color="auto" w:fill="F2F2F2" w:themeFill="background1" w:themeFillShade="F2"/>
                  <w:vAlign w:val="center"/>
                </w:tcPr>
                <w:p w14:paraId="3899BC5A" w14:textId="77777777" w:rsidR="0011262F" w:rsidRPr="00D837F4" w:rsidRDefault="0011262F" w:rsidP="00B54007">
                  <w:pPr>
                    <w:pStyle w:val="TableBodyText"/>
                  </w:pPr>
                  <w:r>
                    <w:t>(3.861)</w:t>
                  </w:r>
                </w:p>
              </w:tc>
            </w:tr>
            <w:tr w:rsidR="0011262F" w:rsidRPr="00913E2B" w14:paraId="17E4F8FC" w14:textId="77777777" w:rsidTr="00B54007">
              <w:tc>
                <w:tcPr>
                  <w:tcW w:w="1941" w:type="pct"/>
                  <w:vAlign w:val="center"/>
                </w:tcPr>
                <w:p w14:paraId="0E6D90AC" w14:textId="77777777" w:rsidR="0011262F" w:rsidRPr="004F3392" w:rsidRDefault="0011262F" w:rsidP="00B54007">
                  <w:pPr>
                    <w:pStyle w:val="TableUnitsRow"/>
                    <w:jc w:val="left"/>
                  </w:pPr>
                  <w:r>
                    <w:t>Public sector</w:t>
                  </w:r>
                </w:p>
              </w:tc>
              <w:tc>
                <w:tcPr>
                  <w:tcW w:w="865" w:type="pct"/>
                  <w:vAlign w:val="center"/>
                </w:tcPr>
                <w:p w14:paraId="1C53D427" w14:textId="77777777" w:rsidR="0011262F" w:rsidRPr="00913E2B" w:rsidRDefault="0011262F" w:rsidP="00B54007">
                  <w:pPr>
                    <w:pStyle w:val="TableBodyText"/>
                  </w:pPr>
                </w:p>
              </w:tc>
              <w:tc>
                <w:tcPr>
                  <w:tcW w:w="1097" w:type="pct"/>
                  <w:vAlign w:val="center"/>
                </w:tcPr>
                <w:p w14:paraId="56FEA273" w14:textId="77777777" w:rsidR="0011262F" w:rsidRPr="00913E2B" w:rsidRDefault="0011262F" w:rsidP="00B54007">
                  <w:pPr>
                    <w:pStyle w:val="TableBodyText"/>
                    <w:ind w:right="28"/>
                  </w:pPr>
                  <w:r>
                    <w:t>-5.039</w:t>
                  </w:r>
                  <w:r>
                    <w:rPr>
                      <w:vertAlign w:val="superscript"/>
                    </w:rPr>
                    <w:t>**</w:t>
                  </w:r>
                </w:p>
              </w:tc>
              <w:tc>
                <w:tcPr>
                  <w:tcW w:w="1097" w:type="pct"/>
                  <w:vAlign w:val="center"/>
                </w:tcPr>
                <w:p w14:paraId="01AAFE28" w14:textId="77777777" w:rsidR="0011262F" w:rsidRPr="00D837F4" w:rsidRDefault="0011262F" w:rsidP="00B54007">
                  <w:pPr>
                    <w:pStyle w:val="TableBodyText"/>
                  </w:pPr>
                  <w:r>
                    <w:t>-6.161</w:t>
                  </w:r>
                </w:p>
              </w:tc>
            </w:tr>
            <w:tr w:rsidR="0011262F" w:rsidRPr="00913E2B" w14:paraId="57889AE3" w14:textId="77777777" w:rsidTr="00B54007">
              <w:tc>
                <w:tcPr>
                  <w:tcW w:w="1941" w:type="pct"/>
                  <w:vAlign w:val="center"/>
                </w:tcPr>
                <w:p w14:paraId="463094B8" w14:textId="77777777" w:rsidR="0011262F" w:rsidRPr="00913E2B" w:rsidRDefault="0011262F" w:rsidP="00B54007">
                  <w:pPr>
                    <w:pStyle w:val="TableUnitsRow"/>
                    <w:jc w:val="left"/>
                  </w:pPr>
                </w:p>
              </w:tc>
              <w:tc>
                <w:tcPr>
                  <w:tcW w:w="865" w:type="pct"/>
                  <w:vAlign w:val="center"/>
                </w:tcPr>
                <w:p w14:paraId="50C63806" w14:textId="77777777" w:rsidR="0011262F" w:rsidRPr="00913E2B" w:rsidRDefault="0011262F" w:rsidP="00B54007">
                  <w:pPr>
                    <w:pStyle w:val="TableBodyText"/>
                  </w:pPr>
                </w:p>
              </w:tc>
              <w:tc>
                <w:tcPr>
                  <w:tcW w:w="1097" w:type="pct"/>
                  <w:vAlign w:val="center"/>
                </w:tcPr>
                <w:p w14:paraId="5F602E92" w14:textId="77777777" w:rsidR="0011262F" w:rsidRPr="00913E2B" w:rsidRDefault="0011262F" w:rsidP="00B54007">
                  <w:pPr>
                    <w:pStyle w:val="TableBodyText"/>
                    <w:ind w:right="28"/>
                  </w:pPr>
                  <w:r>
                    <w:t>(2.494)</w:t>
                  </w:r>
                </w:p>
              </w:tc>
              <w:tc>
                <w:tcPr>
                  <w:tcW w:w="1097" w:type="pct"/>
                  <w:vAlign w:val="center"/>
                </w:tcPr>
                <w:p w14:paraId="07E78291" w14:textId="77777777" w:rsidR="0011262F" w:rsidRPr="00D837F4" w:rsidRDefault="0011262F" w:rsidP="00B54007">
                  <w:pPr>
                    <w:pStyle w:val="TableBodyText"/>
                  </w:pPr>
                  <w:r>
                    <w:t>(4.207)</w:t>
                  </w:r>
                </w:p>
              </w:tc>
            </w:tr>
            <w:tr w:rsidR="0011262F" w:rsidRPr="00913E2B" w14:paraId="652CE29D" w14:textId="77777777" w:rsidTr="00B54007">
              <w:tc>
                <w:tcPr>
                  <w:tcW w:w="1941" w:type="pct"/>
                  <w:shd w:val="clear" w:color="auto" w:fill="F2F2F2" w:themeFill="background1" w:themeFillShade="F2"/>
                  <w:vAlign w:val="center"/>
                </w:tcPr>
                <w:p w14:paraId="2EAAE8BB" w14:textId="77777777" w:rsidR="0011262F" w:rsidRPr="00913E2B" w:rsidRDefault="0011262F" w:rsidP="00B54007">
                  <w:pPr>
                    <w:pStyle w:val="TableUnitsRow"/>
                    <w:jc w:val="left"/>
                  </w:pPr>
                  <w:r>
                    <w:t>Retail</w:t>
                  </w:r>
                </w:p>
              </w:tc>
              <w:tc>
                <w:tcPr>
                  <w:tcW w:w="865" w:type="pct"/>
                  <w:shd w:val="clear" w:color="auto" w:fill="F2F2F2" w:themeFill="background1" w:themeFillShade="F2"/>
                  <w:vAlign w:val="center"/>
                </w:tcPr>
                <w:p w14:paraId="6DAF27D8" w14:textId="77777777" w:rsidR="0011262F" w:rsidRPr="00913E2B" w:rsidRDefault="0011262F" w:rsidP="00B54007">
                  <w:pPr>
                    <w:pStyle w:val="TableBodyText"/>
                  </w:pPr>
                </w:p>
              </w:tc>
              <w:tc>
                <w:tcPr>
                  <w:tcW w:w="1097" w:type="pct"/>
                  <w:shd w:val="clear" w:color="auto" w:fill="F2F2F2" w:themeFill="background1" w:themeFillShade="F2"/>
                  <w:vAlign w:val="center"/>
                </w:tcPr>
                <w:p w14:paraId="73988878" w14:textId="77777777" w:rsidR="0011262F" w:rsidRPr="00913E2B" w:rsidRDefault="0011262F" w:rsidP="00B54007">
                  <w:pPr>
                    <w:pStyle w:val="TableBodyText"/>
                    <w:ind w:right="28"/>
                  </w:pPr>
                  <w:r>
                    <w:t>-3.583</w:t>
                  </w:r>
                </w:p>
              </w:tc>
              <w:tc>
                <w:tcPr>
                  <w:tcW w:w="1097" w:type="pct"/>
                  <w:shd w:val="clear" w:color="auto" w:fill="F2F2F2" w:themeFill="background1" w:themeFillShade="F2"/>
                  <w:vAlign w:val="center"/>
                </w:tcPr>
                <w:p w14:paraId="3DB85F4D" w14:textId="77777777" w:rsidR="0011262F" w:rsidRPr="00913E2B" w:rsidRDefault="0011262F" w:rsidP="00B54007">
                  <w:pPr>
                    <w:pStyle w:val="TableBodyText"/>
                  </w:pPr>
                  <w:r>
                    <w:t>-6.019</w:t>
                  </w:r>
                </w:p>
              </w:tc>
            </w:tr>
            <w:tr w:rsidR="0011262F" w:rsidRPr="00913E2B" w14:paraId="5C6FC0CE" w14:textId="77777777" w:rsidTr="00B54007">
              <w:tc>
                <w:tcPr>
                  <w:tcW w:w="1941" w:type="pct"/>
                  <w:shd w:val="clear" w:color="auto" w:fill="F2F2F2" w:themeFill="background1" w:themeFillShade="F2"/>
                  <w:vAlign w:val="center"/>
                </w:tcPr>
                <w:p w14:paraId="05FE927B" w14:textId="77777777" w:rsidR="0011262F" w:rsidRPr="00913E2B" w:rsidRDefault="0011262F" w:rsidP="00B54007">
                  <w:pPr>
                    <w:pStyle w:val="TableUnitsRow"/>
                    <w:jc w:val="left"/>
                  </w:pPr>
                </w:p>
              </w:tc>
              <w:tc>
                <w:tcPr>
                  <w:tcW w:w="865" w:type="pct"/>
                  <w:shd w:val="clear" w:color="auto" w:fill="F2F2F2" w:themeFill="background1" w:themeFillShade="F2"/>
                  <w:vAlign w:val="center"/>
                </w:tcPr>
                <w:p w14:paraId="12462C50" w14:textId="77777777" w:rsidR="0011262F" w:rsidRPr="00913E2B" w:rsidRDefault="0011262F" w:rsidP="00B54007">
                  <w:pPr>
                    <w:pStyle w:val="TableBodyText"/>
                  </w:pPr>
                </w:p>
              </w:tc>
              <w:tc>
                <w:tcPr>
                  <w:tcW w:w="1097" w:type="pct"/>
                  <w:shd w:val="clear" w:color="auto" w:fill="F2F2F2" w:themeFill="background1" w:themeFillShade="F2"/>
                  <w:vAlign w:val="center"/>
                </w:tcPr>
                <w:p w14:paraId="291EB24F" w14:textId="77777777" w:rsidR="0011262F" w:rsidRPr="00913E2B" w:rsidRDefault="0011262F" w:rsidP="00B54007">
                  <w:pPr>
                    <w:pStyle w:val="TableBodyText"/>
                    <w:ind w:right="28"/>
                  </w:pPr>
                  <w:r>
                    <w:t>(2.483)</w:t>
                  </w:r>
                </w:p>
              </w:tc>
              <w:tc>
                <w:tcPr>
                  <w:tcW w:w="1097" w:type="pct"/>
                  <w:shd w:val="clear" w:color="auto" w:fill="F2F2F2" w:themeFill="background1" w:themeFillShade="F2"/>
                  <w:vAlign w:val="center"/>
                </w:tcPr>
                <w:p w14:paraId="19AB51D9" w14:textId="77777777" w:rsidR="0011262F" w:rsidRPr="00913E2B" w:rsidRDefault="0011262F" w:rsidP="00B54007">
                  <w:pPr>
                    <w:pStyle w:val="TableBodyText"/>
                  </w:pPr>
                  <w:r>
                    <w:t>(4.319)</w:t>
                  </w:r>
                </w:p>
              </w:tc>
            </w:tr>
            <w:tr w:rsidR="0011262F" w:rsidRPr="00913E2B" w14:paraId="2369EDCF" w14:textId="77777777" w:rsidTr="00B54007">
              <w:tc>
                <w:tcPr>
                  <w:tcW w:w="1941" w:type="pct"/>
                  <w:vAlign w:val="center"/>
                </w:tcPr>
                <w:p w14:paraId="464489E9" w14:textId="77777777" w:rsidR="0011262F" w:rsidRPr="00913E2B" w:rsidRDefault="0011262F" w:rsidP="00B54007">
                  <w:pPr>
                    <w:pStyle w:val="TableUnitsRow"/>
                    <w:jc w:val="left"/>
                  </w:pPr>
                  <w:r>
                    <w:t>Net assets x Industry</w:t>
                  </w:r>
                </w:p>
              </w:tc>
              <w:tc>
                <w:tcPr>
                  <w:tcW w:w="865" w:type="pct"/>
                  <w:vAlign w:val="center"/>
                </w:tcPr>
                <w:p w14:paraId="4E6B78C6" w14:textId="77777777" w:rsidR="0011262F" w:rsidRPr="00913E2B" w:rsidRDefault="0011262F" w:rsidP="00B54007">
                  <w:pPr>
                    <w:pStyle w:val="TableBodyText"/>
                  </w:pPr>
                </w:p>
              </w:tc>
              <w:tc>
                <w:tcPr>
                  <w:tcW w:w="1097" w:type="pct"/>
                  <w:vAlign w:val="center"/>
                </w:tcPr>
                <w:p w14:paraId="0C052890" w14:textId="77777777" w:rsidR="0011262F" w:rsidRPr="00913E2B" w:rsidRDefault="0011262F" w:rsidP="00B54007">
                  <w:pPr>
                    <w:pStyle w:val="TableBodyText"/>
                    <w:ind w:right="28"/>
                  </w:pPr>
                  <w:r>
                    <w:t>0.286</w:t>
                  </w:r>
                  <w:r>
                    <w:rPr>
                      <w:vertAlign w:val="superscript"/>
                    </w:rPr>
                    <w:t>*</w:t>
                  </w:r>
                </w:p>
              </w:tc>
              <w:tc>
                <w:tcPr>
                  <w:tcW w:w="1097" w:type="pct"/>
                  <w:vAlign w:val="center"/>
                </w:tcPr>
                <w:p w14:paraId="3CF1CD9E" w14:textId="77777777" w:rsidR="0011262F" w:rsidRPr="00913E2B" w:rsidRDefault="0011262F" w:rsidP="00B54007">
                  <w:pPr>
                    <w:pStyle w:val="TableBodyText"/>
                  </w:pPr>
                  <w:r>
                    <w:t>0.412</w:t>
                  </w:r>
                </w:p>
              </w:tc>
            </w:tr>
            <w:tr w:rsidR="0011262F" w:rsidRPr="00913E2B" w14:paraId="12DCAE7F" w14:textId="77777777" w:rsidTr="00B54007">
              <w:tc>
                <w:tcPr>
                  <w:tcW w:w="1941" w:type="pct"/>
                  <w:vAlign w:val="center"/>
                </w:tcPr>
                <w:p w14:paraId="31D4D5A6" w14:textId="77777777" w:rsidR="0011262F" w:rsidRPr="00913E2B" w:rsidRDefault="0011262F" w:rsidP="00B54007">
                  <w:pPr>
                    <w:pStyle w:val="TableUnitsRow"/>
                    <w:jc w:val="left"/>
                  </w:pPr>
                </w:p>
              </w:tc>
              <w:tc>
                <w:tcPr>
                  <w:tcW w:w="865" w:type="pct"/>
                  <w:vAlign w:val="center"/>
                </w:tcPr>
                <w:p w14:paraId="4D1504AA" w14:textId="77777777" w:rsidR="0011262F" w:rsidRPr="00913E2B" w:rsidRDefault="0011262F" w:rsidP="00B54007">
                  <w:pPr>
                    <w:pStyle w:val="TableBodyText"/>
                  </w:pPr>
                </w:p>
              </w:tc>
              <w:tc>
                <w:tcPr>
                  <w:tcW w:w="1097" w:type="pct"/>
                  <w:vAlign w:val="center"/>
                </w:tcPr>
                <w:p w14:paraId="3A60D2E9" w14:textId="77777777" w:rsidR="0011262F" w:rsidRPr="00913E2B" w:rsidRDefault="0011262F" w:rsidP="00B54007">
                  <w:pPr>
                    <w:pStyle w:val="TableBodyText"/>
                    <w:ind w:right="28"/>
                  </w:pPr>
                  <w:r>
                    <w:t>(0.163)</w:t>
                  </w:r>
                </w:p>
              </w:tc>
              <w:tc>
                <w:tcPr>
                  <w:tcW w:w="1097" w:type="pct"/>
                  <w:vAlign w:val="center"/>
                </w:tcPr>
                <w:p w14:paraId="2F8816BA" w14:textId="77777777" w:rsidR="0011262F" w:rsidRPr="00913E2B" w:rsidRDefault="0011262F" w:rsidP="00B54007">
                  <w:pPr>
                    <w:pStyle w:val="TableBodyText"/>
                  </w:pPr>
                  <w:r>
                    <w:t>(0.275)</w:t>
                  </w:r>
                </w:p>
              </w:tc>
            </w:tr>
            <w:tr w:rsidR="0011262F" w:rsidRPr="00913E2B" w14:paraId="1537C359" w14:textId="77777777" w:rsidTr="00B54007">
              <w:tc>
                <w:tcPr>
                  <w:tcW w:w="1941" w:type="pct"/>
                  <w:shd w:val="clear" w:color="auto" w:fill="F2F2F2" w:themeFill="background1" w:themeFillShade="F2"/>
                  <w:vAlign w:val="center"/>
                </w:tcPr>
                <w:p w14:paraId="371EF835" w14:textId="77777777" w:rsidR="0011262F" w:rsidRPr="00913E2B" w:rsidRDefault="0011262F" w:rsidP="00B54007">
                  <w:pPr>
                    <w:pStyle w:val="TableUnitsRow"/>
                    <w:jc w:val="left"/>
                  </w:pPr>
                  <w:r>
                    <w:t>Net assets x Public sector</w:t>
                  </w:r>
                </w:p>
              </w:tc>
              <w:tc>
                <w:tcPr>
                  <w:tcW w:w="865" w:type="pct"/>
                  <w:shd w:val="clear" w:color="auto" w:fill="F2F2F2" w:themeFill="background1" w:themeFillShade="F2"/>
                  <w:vAlign w:val="center"/>
                </w:tcPr>
                <w:p w14:paraId="3A24DA54" w14:textId="77777777" w:rsidR="0011262F" w:rsidRPr="00913E2B" w:rsidRDefault="0011262F" w:rsidP="00B54007">
                  <w:pPr>
                    <w:pStyle w:val="TableBodyText"/>
                  </w:pPr>
                </w:p>
              </w:tc>
              <w:tc>
                <w:tcPr>
                  <w:tcW w:w="1097" w:type="pct"/>
                  <w:shd w:val="clear" w:color="auto" w:fill="F2F2F2" w:themeFill="background1" w:themeFillShade="F2"/>
                  <w:vAlign w:val="center"/>
                </w:tcPr>
                <w:p w14:paraId="32D89086" w14:textId="77777777" w:rsidR="0011262F" w:rsidRPr="00913E2B" w:rsidRDefault="0011262F" w:rsidP="00B54007">
                  <w:pPr>
                    <w:pStyle w:val="TableBodyText"/>
                    <w:ind w:right="28"/>
                  </w:pPr>
                  <w:r>
                    <w:t>0.292</w:t>
                  </w:r>
                  <w:r>
                    <w:rPr>
                      <w:vertAlign w:val="superscript"/>
                    </w:rPr>
                    <w:t>*</w:t>
                  </w:r>
                </w:p>
              </w:tc>
              <w:tc>
                <w:tcPr>
                  <w:tcW w:w="1097" w:type="pct"/>
                  <w:shd w:val="clear" w:color="auto" w:fill="F2F2F2" w:themeFill="background1" w:themeFillShade="F2"/>
                  <w:vAlign w:val="center"/>
                </w:tcPr>
                <w:p w14:paraId="392D2D83" w14:textId="77777777" w:rsidR="0011262F" w:rsidRPr="00913E2B" w:rsidRDefault="0011262F" w:rsidP="00B54007">
                  <w:pPr>
                    <w:pStyle w:val="TableBodyText"/>
                  </w:pPr>
                  <w:r>
                    <w:t>0.394</w:t>
                  </w:r>
                </w:p>
              </w:tc>
            </w:tr>
            <w:tr w:rsidR="0011262F" w:rsidRPr="00913E2B" w14:paraId="57BCD02C" w14:textId="77777777" w:rsidTr="00B54007">
              <w:tc>
                <w:tcPr>
                  <w:tcW w:w="1941" w:type="pct"/>
                  <w:shd w:val="clear" w:color="auto" w:fill="F2F2F2" w:themeFill="background1" w:themeFillShade="F2"/>
                  <w:vAlign w:val="center"/>
                </w:tcPr>
                <w:p w14:paraId="174DEF1F" w14:textId="77777777" w:rsidR="0011262F" w:rsidRPr="00913E2B" w:rsidRDefault="0011262F" w:rsidP="00B54007">
                  <w:pPr>
                    <w:pStyle w:val="TableUnitsRow"/>
                    <w:jc w:val="left"/>
                  </w:pPr>
                </w:p>
              </w:tc>
              <w:tc>
                <w:tcPr>
                  <w:tcW w:w="865" w:type="pct"/>
                  <w:shd w:val="clear" w:color="auto" w:fill="F2F2F2" w:themeFill="background1" w:themeFillShade="F2"/>
                  <w:vAlign w:val="center"/>
                </w:tcPr>
                <w:p w14:paraId="23DB3E2C" w14:textId="77777777" w:rsidR="0011262F" w:rsidRPr="00913E2B" w:rsidRDefault="0011262F" w:rsidP="00B54007">
                  <w:pPr>
                    <w:pStyle w:val="TableBodyText"/>
                  </w:pPr>
                </w:p>
              </w:tc>
              <w:tc>
                <w:tcPr>
                  <w:tcW w:w="1097" w:type="pct"/>
                  <w:shd w:val="clear" w:color="auto" w:fill="F2F2F2" w:themeFill="background1" w:themeFillShade="F2"/>
                  <w:vAlign w:val="center"/>
                </w:tcPr>
                <w:p w14:paraId="2CECE385" w14:textId="77777777" w:rsidR="0011262F" w:rsidRPr="00913E2B" w:rsidRDefault="0011262F" w:rsidP="00B54007">
                  <w:pPr>
                    <w:pStyle w:val="TableBodyText"/>
                    <w:ind w:right="28"/>
                  </w:pPr>
                  <w:r>
                    <w:t>(0.173)</w:t>
                  </w:r>
                </w:p>
              </w:tc>
              <w:tc>
                <w:tcPr>
                  <w:tcW w:w="1097" w:type="pct"/>
                  <w:shd w:val="clear" w:color="auto" w:fill="F2F2F2" w:themeFill="background1" w:themeFillShade="F2"/>
                  <w:vAlign w:val="center"/>
                </w:tcPr>
                <w:p w14:paraId="16E12E60" w14:textId="77777777" w:rsidR="0011262F" w:rsidRPr="00913E2B" w:rsidRDefault="0011262F" w:rsidP="00B54007">
                  <w:pPr>
                    <w:pStyle w:val="TableBodyText"/>
                  </w:pPr>
                  <w:r>
                    <w:t>(0.295)</w:t>
                  </w:r>
                </w:p>
              </w:tc>
            </w:tr>
            <w:tr w:rsidR="0011262F" w:rsidRPr="00913E2B" w14:paraId="6A7A5CC4" w14:textId="77777777" w:rsidTr="00B54007">
              <w:tc>
                <w:tcPr>
                  <w:tcW w:w="1941" w:type="pct"/>
                  <w:vAlign w:val="center"/>
                </w:tcPr>
                <w:p w14:paraId="018B03C7" w14:textId="77777777" w:rsidR="0011262F" w:rsidRPr="00913E2B" w:rsidRDefault="0011262F" w:rsidP="00B54007">
                  <w:pPr>
                    <w:pStyle w:val="TableUnitsRow"/>
                    <w:jc w:val="left"/>
                  </w:pPr>
                  <w:r>
                    <w:t>Net assets x Retail</w:t>
                  </w:r>
                </w:p>
              </w:tc>
              <w:tc>
                <w:tcPr>
                  <w:tcW w:w="865" w:type="pct"/>
                  <w:vAlign w:val="center"/>
                </w:tcPr>
                <w:p w14:paraId="4D1C89F6" w14:textId="77777777" w:rsidR="0011262F" w:rsidRPr="00913E2B" w:rsidRDefault="0011262F" w:rsidP="00B54007">
                  <w:pPr>
                    <w:pStyle w:val="TableBodyText"/>
                  </w:pPr>
                </w:p>
              </w:tc>
              <w:tc>
                <w:tcPr>
                  <w:tcW w:w="1097" w:type="pct"/>
                  <w:vAlign w:val="center"/>
                </w:tcPr>
                <w:p w14:paraId="5AE583B3" w14:textId="77777777" w:rsidR="0011262F" w:rsidRPr="00913E2B" w:rsidRDefault="0011262F" w:rsidP="00B54007">
                  <w:pPr>
                    <w:pStyle w:val="TableBodyText"/>
                    <w:ind w:right="28"/>
                  </w:pPr>
                  <w:r>
                    <w:t>0.122</w:t>
                  </w:r>
                </w:p>
              </w:tc>
              <w:tc>
                <w:tcPr>
                  <w:tcW w:w="1097" w:type="pct"/>
                  <w:vAlign w:val="center"/>
                </w:tcPr>
                <w:p w14:paraId="31FA4D75" w14:textId="77777777" w:rsidR="0011262F" w:rsidRPr="00913E2B" w:rsidRDefault="0011262F" w:rsidP="00B54007">
                  <w:pPr>
                    <w:pStyle w:val="TableBodyText"/>
                  </w:pPr>
                  <w:r>
                    <w:t>0.311</w:t>
                  </w:r>
                </w:p>
              </w:tc>
            </w:tr>
            <w:tr w:rsidR="0011262F" w:rsidRPr="00913E2B" w14:paraId="191E1CB3" w14:textId="77777777" w:rsidTr="00B54007">
              <w:tc>
                <w:tcPr>
                  <w:tcW w:w="1941" w:type="pct"/>
                  <w:vAlign w:val="center"/>
                </w:tcPr>
                <w:p w14:paraId="7345AE2E" w14:textId="77777777" w:rsidR="0011262F" w:rsidRPr="00913E2B" w:rsidRDefault="0011262F" w:rsidP="00B54007">
                  <w:pPr>
                    <w:pStyle w:val="TableUnitsRow"/>
                    <w:jc w:val="left"/>
                  </w:pPr>
                </w:p>
              </w:tc>
              <w:tc>
                <w:tcPr>
                  <w:tcW w:w="865" w:type="pct"/>
                  <w:vAlign w:val="center"/>
                </w:tcPr>
                <w:p w14:paraId="533818E4" w14:textId="77777777" w:rsidR="0011262F" w:rsidRPr="00913E2B" w:rsidRDefault="0011262F" w:rsidP="00B54007">
                  <w:pPr>
                    <w:pStyle w:val="TableBodyText"/>
                  </w:pPr>
                </w:p>
              </w:tc>
              <w:tc>
                <w:tcPr>
                  <w:tcW w:w="1097" w:type="pct"/>
                  <w:vAlign w:val="center"/>
                </w:tcPr>
                <w:p w14:paraId="2A1FB82C" w14:textId="77777777" w:rsidR="0011262F" w:rsidRPr="00913E2B" w:rsidRDefault="0011262F" w:rsidP="00B54007">
                  <w:pPr>
                    <w:pStyle w:val="TableBodyText"/>
                    <w:ind w:right="28"/>
                  </w:pPr>
                  <w:r>
                    <w:t>(0.175)</w:t>
                  </w:r>
                </w:p>
              </w:tc>
              <w:tc>
                <w:tcPr>
                  <w:tcW w:w="1097" w:type="pct"/>
                  <w:vAlign w:val="center"/>
                </w:tcPr>
                <w:p w14:paraId="1DE9458E" w14:textId="77777777" w:rsidR="0011262F" w:rsidRPr="00913E2B" w:rsidRDefault="0011262F" w:rsidP="00B54007">
                  <w:pPr>
                    <w:pStyle w:val="TableBodyText"/>
                  </w:pPr>
                  <w:r>
                    <w:t>(0.307)</w:t>
                  </w:r>
                </w:p>
              </w:tc>
            </w:tr>
            <w:tr w:rsidR="0011262F" w:rsidRPr="00913E2B" w14:paraId="3A96E50C" w14:textId="77777777" w:rsidTr="00B54007">
              <w:tc>
                <w:tcPr>
                  <w:tcW w:w="1941" w:type="pct"/>
                  <w:shd w:val="clear" w:color="auto" w:fill="F2F2F2" w:themeFill="background1" w:themeFillShade="F2"/>
                  <w:vAlign w:val="center"/>
                </w:tcPr>
                <w:p w14:paraId="333FB6C6" w14:textId="77777777" w:rsidR="0011262F" w:rsidRPr="00913E2B" w:rsidRDefault="0011262F" w:rsidP="00B54007">
                  <w:pPr>
                    <w:pStyle w:val="TableUnitsRow"/>
                    <w:jc w:val="left"/>
                  </w:pPr>
                  <w:r>
                    <w:t>Lambda</w:t>
                  </w:r>
                </w:p>
              </w:tc>
              <w:tc>
                <w:tcPr>
                  <w:tcW w:w="865" w:type="pct"/>
                  <w:shd w:val="clear" w:color="auto" w:fill="F2F2F2" w:themeFill="background1" w:themeFillShade="F2"/>
                  <w:vAlign w:val="center"/>
                </w:tcPr>
                <w:p w14:paraId="2E53A92A" w14:textId="77777777" w:rsidR="0011262F" w:rsidRPr="00913E2B" w:rsidRDefault="0011262F" w:rsidP="00B54007">
                  <w:pPr>
                    <w:pStyle w:val="TableBodyText"/>
                  </w:pPr>
                  <w:r>
                    <w:t>1.449</w:t>
                  </w:r>
                </w:p>
              </w:tc>
              <w:tc>
                <w:tcPr>
                  <w:tcW w:w="1097" w:type="pct"/>
                  <w:shd w:val="clear" w:color="auto" w:fill="F2F2F2" w:themeFill="background1" w:themeFillShade="F2"/>
                  <w:vAlign w:val="center"/>
                </w:tcPr>
                <w:p w14:paraId="5A8D84ED" w14:textId="77777777" w:rsidR="0011262F" w:rsidRPr="00913E2B" w:rsidRDefault="0011262F" w:rsidP="00B54007">
                  <w:pPr>
                    <w:pStyle w:val="TableBodyText"/>
                    <w:ind w:right="28"/>
                  </w:pPr>
                  <w:r>
                    <w:t>1.931</w:t>
                  </w:r>
                </w:p>
              </w:tc>
              <w:tc>
                <w:tcPr>
                  <w:tcW w:w="1097" w:type="pct"/>
                  <w:shd w:val="clear" w:color="auto" w:fill="F2F2F2" w:themeFill="background1" w:themeFillShade="F2"/>
                  <w:vAlign w:val="center"/>
                </w:tcPr>
                <w:p w14:paraId="02315BAE" w14:textId="77777777" w:rsidR="0011262F" w:rsidRPr="00913E2B" w:rsidRDefault="0011262F" w:rsidP="00B54007">
                  <w:pPr>
                    <w:pStyle w:val="TableBodyText"/>
                  </w:pPr>
                  <w:r>
                    <w:t>5.260</w:t>
                  </w:r>
                  <w:r>
                    <w:rPr>
                      <w:vertAlign w:val="superscript"/>
                    </w:rPr>
                    <w:t>*</w:t>
                  </w:r>
                </w:p>
              </w:tc>
            </w:tr>
            <w:tr w:rsidR="0011262F" w:rsidRPr="00913E2B" w14:paraId="3BF4CB03" w14:textId="77777777" w:rsidTr="00B54007">
              <w:tc>
                <w:tcPr>
                  <w:tcW w:w="1941" w:type="pct"/>
                  <w:shd w:val="clear" w:color="auto" w:fill="F2F2F2" w:themeFill="background1" w:themeFillShade="F2"/>
                  <w:vAlign w:val="center"/>
                </w:tcPr>
                <w:p w14:paraId="49DDD819" w14:textId="77777777" w:rsidR="0011262F" w:rsidRPr="00913E2B" w:rsidRDefault="0011262F" w:rsidP="00B54007">
                  <w:pPr>
                    <w:pStyle w:val="TableUnitsRow"/>
                    <w:jc w:val="left"/>
                  </w:pPr>
                </w:p>
              </w:tc>
              <w:tc>
                <w:tcPr>
                  <w:tcW w:w="865" w:type="pct"/>
                  <w:shd w:val="clear" w:color="auto" w:fill="F2F2F2" w:themeFill="background1" w:themeFillShade="F2"/>
                  <w:vAlign w:val="center"/>
                </w:tcPr>
                <w:p w14:paraId="5EB826A6" w14:textId="77777777" w:rsidR="0011262F" w:rsidRPr="00913E2B" w:rsidRDefault="0011262F" w:rsidP="00B54007">
                  <w:pPr>
                    <w:pStyle w:val="TableBodyText"/>
                  </w:pPr>
                  <w:r>
                    <w:t>(1.962)</w:t>
                  </w:r>
                </w:p>
              </w:tc>
              <w:tc>
                <w:tcPr>
                  <w:tcW w:w="1097" w:type="pct"/>
                  <w:shd w:val="clear" w:color="auto" w:fill="F2F2F2" w:themeFill="background1" w:themeFillShade="F2"/>
                  <w:vAlign w:val="center"/>
                </w:tcPr>
                <w:p w14:paraId="59AF99E7" w14:textId="77777777" w:rsidR="0011262F" w:rsidRPr="00913E2B" w:rsidRDefault="0011262F" w:rsidP="00B54007">
                  <w:pPr>
                    <w:pStyle w:val="TableBodyText"/>
                    <w:ind w:right="28"/>
                  </w:pPr>
                  <w:r>
                    <w:t>(1.703)</w:t>
                  </w:r>
                </w:p>
              </w:tc>
              <w:tc>
                <w:tcPr>
                  <w:tcW w:w="1097" w:type="pct"/>
                  <w:shd w:val="clear" w:color="auto" w:fill="F2F2F2" w:themeFill="background1" w:themeFillShade="F2"/>
                  <w:vAlign w:val="center"/>
                </w:tcPr>
                <w:p w14:paraId="40B00677" w14:textId="77777777" w:rsidR="0011262F" w:rsidRPr="00913E2B" w:rsidRDefault="0011262F" w:rsidP="00B54007">
                  <w:pPr>
                    <w:pStyle w:val="TableBodyText"/>
                  </w:pPr>
                  <w:r>
                    <w:t>(2.901)</w:t>
                  </w:r>
                </w:p>
              </w:tc>
            </w:tr>
            <w:tr w:rsidR="0011262F" w:rsidRPr="00913E2B" w14:paraId="5D5CDA37" w14:textId="77777777" w:rsidTr="00B54007">
              <w:tc>
                <w:tcPr>
                  <w:tcW w:w="1941" w:type="pct"/>
                  <w:shd w:val="clear" w:color="auto" w:fill="auto"/>
                </w:tcPr>
                <w:p w14:paraId="391D0C61" w14:textId="77777777" w:rsidR="0011262F" w:rsidRPr="00913E2B" w:rsidRDefault="0011262F" w:rsidP="00B54007">
                  <w:pPr>
                    <w:pStyle w:val="TableUnitsRow"/>
                    <w:jc w:val="left"/>
                  </w:pPr>
                </w:p>
              </w:tc>
              <w:tc>
                <w:tcPr>
                  <w:tcW w:w="865" w:type="pct"/>
                  <w:shd w:val="clear" w:color="auto" w:fill="auto"/>
                </w:tcPr>
                <w:p w14:paraId="2A70BA5C" w14:textId="77777777" w:rsidR="0011262F" w:rsidRPr="00913E2B" w:rsidRDefault="0011262F" w:rsidP="00B54007">
                  <w:pPr>
                    <w:pStyle w:val="TableBodyText"/>
                  </w:pPr>
                </w:p>
              </w:tc>
              <w:tc>
                <w:tcPr>
                  <w:tcW w:w="1097" w:type="pct"/>
                  <w:shd w:val="clear" w:color="auto" w:fill="auto"/>
                </w:tcPr>
                <w:p w14:paraId="41AA1C16" w14:textId="77777777" w:rsidR="0011262F" w:rsidRPr="00913E2B" w:rsidRDefault="0011262F" w:rsidP="00B54007">
                  <w:pPr>
                    <w:pStyle w:val="TableBodyText"/>
                    <w:ind w:right="28"/>
                  </w:pPr>
                </w:p>
              </w:tc>
              <w:tc>
                <w:tcPr>
                  <w:tcW w:w="1097" w:type="pct"/>
                </w:tcPr>
                <w:p w14:paraId="36044877" w14:textId="77777777" w:rsidR="0011262F" w:rsidRPr="00913E2B" w:rsidRDefault="0011262F" w:rsidP="00B54007">
                  <w:pPr>
                    <w:pStyle w:val="TableBodyText"/>
                  </w:pPr>
                </w:p>
              </w:tc>
            </w:tr>
            <w:tr w:rsidR="0011262F" w:rsidRPr="00913E2B" w14:paraId="1B4342BE" w14:textId="77777777" w:rsidTr="00B54007">
              <w:tc>
                <w:tcPr>
                  <w:tcW w:w="1941" w:type="pct"/>
                  <w:vAlign w:val="center"/>
                </w:tcPr>
                <w:p w14:paraId="4E2C59C7" w14:textId="77777777" w:rsidR="0011262F" w:rsidRPr="00913E2B" w:rsidRDefault="0011262F" w:rsidP="00B54007">
                  <w:pPr>
                    <w:pStyle w:val="TableUnitsRow"/>
                    <w:jc w:val="left"/>
                  </w:pPr>
                  <m:oMathPara>
                    <m:oMathParaPr>
                      <m:jc m:val="left"/>
                    </m:oMathParaPr>
                    <m:oMath>
                      <m:r>
                        <w:rPr>
                          <w:rFonts w:ascii="Cambria Math" w:hAnsi="Cambria Math"/>
                        </w:rPr>
                        <m:t>N</m:t>
                      </m:r>
                    </m:oMath>
                  </m:oMathPara>
                </w:p>
              </w:tc>
              <w:tc>
                <w:tcPr>
                  <w:tcW w:w="865" w:type="pct"/>
                  <w:vAlign w:val="center"/>
                </w:tcPr>
                <w:p w14:paraId="167D136B" w14:textId="77777777" w:rsidR="0011262F" w:rsidRPr="00913E2B" w:rsidRDefault="0011262F" w:rsidP="00B54007">
                  <w:pPr>
                    <w:pStyle w:val="TableBodyText"/>
                  </w:pPr>
                  <w:r>
                    <w:t>712</w:t>
                  </w:r>
                </w:p>
              </w:tc>
              <w:tc>
                <w:tcPr>
                  <w:tcW w:w="1097" w:type="pct"/>
                  <w:vAlign w:val="center"/>
                </w:tcPr>
                <w:p w14:paraId="575EA777" w14:textId="77777777" w:rsidR="0011262F" w:rsidRPr="00913E2B" w:rsidRDefault="0011262F" w:rsidP="00B54007">
                  <w:pPr>
                    <w:pStyle w:val="TableBodyText"/>
                    <w:ind w:right="28"/>
                  </w:pPr>
                  <w:r>
                    <w:t>712</w:t>
                  </w:r>
                </w:p>
              </w:tc>
              <w:tc>
                <w:tcPr>
                  <w:tcW w:w="1097" w:type="pct"/>
                  <w:vAlign w:val="center"/>
                </w:tcPr>
                <w:p w14:paraId="654B77E4" w14:textId="77777777" w:rsidR="0011262F" w:rsidRPr="00D837F4" w:rsidRDefault="0011262F" w:rsidP="00B54007">
                  <w:pPr>
                    <w:pStyle w:val="TableBodyText"/>
                  </w:pPr>
                  <w:r>
                    <w:t>712</w:t>
                  </w:r>
                </w:p>
              </w:tc>
            </w:tr>
            <w:tr w:rsidR="0011262F" w:rsidRPr="00913E2B" w14:paraId="23870569" w14:textId="77777777" w:rsidTr="00B54007">
              <w:tc>
                <w:tcPr>
                  <w:tcW w:w="1941" w:type="pct"/>
                  <w:vAlign w:val="center"/>
                </w:tcPr>
                <w:p w14:paraId="7E642F7D" w14:textId="77777777" w:rsidR="0011262F" w:rsidRPr="00913E2B" w:rsidRDefault="002F0937" w:rsidP="00B54007">
                  <w:pPr>
                    <w:pStyle w:val="TableUnitsRow"/>
                    <w:jc w:val="left"/>
                  </w:pPr>
                  <m:oMathPara>
                    <m:oMathParaPr>
                      <m:jc m:val="left"/>
                    </m:oMathParaPr>
                    <m:oMath>
                      <m:sSup>
                        <m:sSupPr>
                          <m:ctrlPr>
                            <w:rPr>
                              <w:rFonts w:ascii="Cambria Math" w:hAnsi="Cambria Math"/>
                              <w:i/>
                            </w:rPr>
                          </m:ctrlPr>
                        </m:sSupPr>
                        <m:e>
                          <m:r>
                            <w:rPr>
                              <w:rFonts w:ascii="Cambria Math" w:hAnsi="Cambria Math"/>
                            </w:rPr>
                            <m:t>R</m:t>
                          </m:r>
                        </m:e>
                        <m:sup>
                          <m:r>
                            <w:rPr>
                              <w:rFonts w:ascii="Cambria Math" w:hAnsi="Cambria Math"/>
                            </w:rPr>
                            <m:t>2</m:t>
                          </m:r>
                        </m:sup>
                      </m:sSup>
                    </m:oMath>
                  </m:oMathPara>
                </w:p>
              </w:tc>
              <w:tc>
                <w:tcPr>
                  <w:tcW w:w="865" w:type="pct"/>
                  <w:vAlign w:val="center"/>
                </w:tcPr>
                <w:p w14:paraId="647EBEA7" w14:textId="77777777" w:rsidR="0011262F" w:rsidRPr="00913E2B" w:rsidRDefault="0011262F" w:rsidP="00B54007">
                  <w:pPr>
                    <w:pStyle w:val="TableBodyText"/>
                  </w:pPr>
                  <w:r w:rsidRPr="0004117D">
                    <w:t>0.</w:t>
                  </w:r>
                  <w:r>
                    <w:t>257</w:t>
                  </w:r>
                </w:p>
              </w:tc>
              <w:tc>
                <w:tcPr>
                  <w:tcW w:w="1097" w:type="pct"/>
                  <w:vAlign w:val="center"/>
                </w:tcPr>
                <w:p w14:paraId="6D64EA67" w14:textId="77777777" w:rsidR="0011262F" w:rsidRPr="00913E2B" w:rsidRDefault="0011262F" w:rsidP="00B54007">
                  <w:pPr>
                    <w:pStyle w:val="TableBodyText"/>
                    <w:ind w:right="28"/>
                  </w:pPr>
                  <w:r w:rsidRPr="0004117D">
                    <w:t>0.</w:t>
                  </w:r>
                  <w:r>
                    <w:t>322</w:t>
                  </w:r>
                </w:p>
              </w:tc>
              <w:tc>
                <w:tcPr>
                  <w:tcW w:w="1097" w:type="pct"/>
                  <w:vAlign w:val="center"/>
                </w:tcPr>
                <w:p w14:paraId="5381542C" w14:textId="77777777" w:rsidR="0011262F" w:rsidRPr="00D837F4" w:rsidRDefault="0011262F" w:rsidP="00B54007">
                  <w:pPr>
                    <w:pStyle w:val="TableBodyText"/>
                  </w:pPr>
                  <w:r w:rsidRPr="0004117D">
                    <w:t>0.</w:t>
                  </w:r>
                  <w:r>
                    <w:t>078</w:t>
                  </w:r>
                </w:p>
              </w:tc>
            </w:tr>
            <w:tr w:rsidR="0011262F" w14:paraId="5954D9E2" w14:textId="77777777" w:rsidTr="00B54007">
              <w:tc>
                <w:tcPr>
                  <w:tcW w:w="1941" w:type="pct"/>
                  <w:shd w:val="clear" w:color="auto" w:fill="auto"/>
                </w:tcPr>
                <w:p w14:paraId="0DE7566E" w14:textId="77777777" w:rsidR="0011262F" w:rsidRDefault="0011262F" w:rsidP="00B54007">
                  <w:pPr>
                    <w:pStyle w:val="TableBodyText"/>
                    <w:jc w:val="left"/>
                  </w:pPr>
                  <w:r>
                    <w:t xml:space="preserve">Adjusted </w:t>
                  </w:r>
                  <m:oMath>
                    <m:sSup>
                      <m:sSupPr>
                        <m:ctrlPr>
                          <w:rPr>
                            <w:rFonts w:ascii="Cambria Math" w:hAnsi="Cambria Math"/>
                            <w:i/>
                          </w:rPr>
                        </m:ctrlPr>
                      </m:sSupPr>
                      <m:e>
                        <m:r>
                          <w:rPr>
                            <w:rFonts w:ascii="Cambria Math" w:hAnsi="Cambria Math"/>
                          </w:rPr>
                          <m:t>R</m:t>
                        </m:r>
                      </m:e>
                      <m:sup>
                        <m:r>
                          <w:rPr>
                            <w:rFonts w:ascii="Cambria Math" w:hAnsi="Cambria Math"/>
                          </w:rPr>
                          <m:t>2</m:t>
                        </m:r>
                      </m:sup>
                    </m:sSup>
                  </m:oMath>
                </w:p>
              </w:tc>
              <w:tc>
                <w:tcPr>
                  <w:tcW w:w="865" w:type="pct"/>
                  <w:shd w:val="clear" w:color="auto" w:fill="auto"/>
                  <w:vAlign w:val="center"/>
                </w:tcPr>
                <w:p w14:paraId="7EEB5FCC" w14:textId="77777777" w:rsidR="0011262F" w:rsidRDefault="0011262F" w:rsidP="00B54007">
                  <w:pPr>
                    <w:pStyle w:val="TableBodyText"/>
                  </w:pPr>
                  <w:r w:rsidRPr="0004117D">
                    <w:t>0.</w:t>
                  </w:r>
                  <w:r>
                    <w:t>247</w:t>
                  </w:r>
                </w:p>
              </w:tc>
              <w:tc>
                <w:tcPr>
                  <w:tcW w:w="1097" w:type="pct"/>
                  <w:shd w:val="clear" w:color="auto" w:fill="auto"/>
                  <w:vAlign w:val="center"/>
                </w:tcPr>
                <w:p w14:paraId="26C70AE6" w14:textId="77777777" w:rsidR="0011262F" w:rsidRDefault="0011262F" w:rsidP="00B54007">
                  <w:pPr>
                    <w:pStyle w:val="TableBodyText"/>
                    <w:ind w:right="28"/>
                  </w:pPr>
                  <w:r w:rsidRPr="0004117D">
                    <w:t>0.</w:t>
                  </w:r>
                  <w:r>
                    <w:t>307</w:t>
                  </w:r>
                </w:p>
              </w:tc>
              <w:tc>
                <w:tcPr>
                  <w:tcW w:w="1097" w:type="pct"/>
                  <w:vAlign w:val="center"/>
                </w:tcPr>
                <w:p w14:paraId="3CF9E1B6" w14:textId="77777777" w:rsidR="0011262F" w:rsidRPr="00D837F4" w:rsidRDefault="0011262F" w:rsidP="00B54007">
                  <w:pPr>
                    <w:pStyle w:val="TableBodyText"/>
                  </w:pPr>
                  <w:r w:rsidRPr="0004117D">
                    <w:t>0.</w:t>
                  </w:r>
                  <w:r>
                    <w:t>064</w:t>
                  </w:r>
                </w:p>
              </w:tc>
            </w:tr>
            <w:tr w:rsidR="0011262F" w14:paraId="2E55B8CF" w14:textId="77777777" w:rsidTr="00B54007">
              <w:tc>
                <w:tcPr>
                  <w:tcW w:w="1941" w:type="pct"/>
                  <w:tcBorders>
                    <w:bottom w:val="single" w:sz="6" w:space="0" w:color="BFBFBF"/>
                  </w:tcBorders>
                  <w:shd w:val="clear" w:color="auto" w:fill="auto"/>
                </w:tcPr>
                <w:p w14:paraId="273799FB" w14:textId="77777777" w:rsidR="0011262F" w:rsidRPr="002803B7" w:rsidRDefault="0011262F" w:rsidP="00B54007">
                  <w:pPr>
                    <w:pStyle w:val="TableBodyText"/>
                    <w:jc w:val="left"/>
                    <w:rPr>
                      <w:i/>
                    </w:rPr>
                  </w:pPr>
                  <w:r w:rsidRPr="002803B7">
                    <w:rPr>
                      <w:i/>
                    </w:rPr>
                    <w:t>F</w:t>
                  </w:r>
                </w:p>
              </w:tc>
              <w:tc>
                <w:tcPr>
                  <w:tcW w:w="865" w:type="pct"/>
                  <w:tcBorders>
                    <w:bottom w:val="single" w:sz="6" w:space="0" w:color="BFBFBF"/>
                  </w:tcBorders>
                  <w:shd w:val="clear" w:color="auto" w:fill="auto"/>
                </w:tcPr>
                <w:p w14:paraId="1B1AF4B9" w14:textId="77777777" w:rsidR="0011262F" w:rsidRPr="00D837F4" w:rsidRDefault="0011262F" w:rsidP="00B54007">
                  <w:pPr>
                    <w:pStyle w:val="TableBodyText"/>
                  </w:pPr>
                  <w:r>
                    <w:t>27.135</w:t>
                  </w:r>
                  <w:r w:rsidRPr="0004117D">
                    <w:t>***</w:t>
                  </w:r>
                </w:p>
              </w:tc>
              <w:tc>
                <w:tcPr>
                  <w:tcW w:w="1097" w:type="pct"/>
                  <w:tcBorders>
                    <w:bottom w:val="single" w:sz="6" w:space="0" w:color="BFBFBF"/>
                  </w:tcBorders>
                  <w:shd w:val="clear" w:color="auto" w:fill="auto"/>
                </w:tcPr>
                <w:p w14:paraId="742B1C12" w14:textId="77777777" w:rsidR="0011262F" w:rsidRPr="00D837F4" w:rsidRDefault="0011262F" w:rsidP="00B54007">
                  <w:pPr>
                    <w:pStyle w:val="TableBodyText"/>
                    <w:ind w:right="28"/>
                  </w:pPr>
                  <w:r>
                    <w:t>36.700</w:t>
                  </w:r>
                  <w:r w:rsidRPr="0004117D">
                    <w:t>***</w:t>
                  </w:r>
                </w:p>
              </w:tc>
              <w:tc>
                <w:tcPr>
                  <w:tcW w:w="1097" w:type="pct"/>
                  <w:tcBorders>
                    <w:bottom w:val="single" w:sz="6" w:space="0" w:color="BFBFBF"/>
                  </w:tcBorders>
                </w:tcPr>
                <w:p w14:paraId="34E0C797" w14:textId="77777777" w:rsidR="0011262F" w:rsidRDefault="0011262F" w:rsidP="00B54007">
                  <w:pPr>
                    <w:pStyle w:val="TableBodyText"/>
                  </w:pPr>
                  <w:r>
                    <w:t>13.995</w:t>
                  </w:r>
                  <w:r w:rsidRPr="0004117D">
                    <w:t>***</w:t>
                  </w:r>
                </w:p>
              </w:tc>
            </w:tr>
          </w:tbl>
          <w:p w14:paraId="299FA595" w14:textId="77777777" w:rsidR="0011262F" w:rsidRDefault="0011262F" w:rsidP="00B54007">
            <w:pPr>
              <w:pStyle w:val="Box"/>
            </w:pPr>
          </w:p>
        </w:tc>
      </w:tr>
      <w:tr w:rsidR="0011262F" w14:paraId="42149F8D" w14:textId="77777777" w:rsidTr="00B54007">
        <w:tc>
          <w:tcPr>
            <w:tcW w:w="5000" w:type="pct"/>
            <w:tcBorders>
              <w:top w:val="nil"/>
              <w:left w:val="nil"/>
              <w:bottom w:val="nil"/>
              <w:right w:val="nil"/>
            </w:tcBorders>
            <w:shd w:val="clear" w:color="auto" w:fill="auto"/>
          </w:tcPr>
          <w:p w14:paraId="52BD4533" w14:textId="77777777" w:rsidR="0011262F" w:rsidRDefault="0011262F" w:rsidP="00B54007">
            <w:pPr>
              <w:pStyle w:val="Note"/>
              <w:rPr>
                <w:i/>
              </w:rPr>
            </w:pPr>
            <w:r w:rsidRPr="008E77FE">
              <w:rPr>
                <w:rStyle w:val="NoteLabel"/>
              </w:rPr>
              <w:t>a</w:t>
            </w:r>
            <w:r>
              <w:t xml:space="preserve"> Time fixed effects</w:t>
            </w:r>
            <w:r>
              <w:rPr>
                <w:szCs w:val="18"/>
              </w:rPr>
              <w:t xml:space="preserve"> are </w:t>
            </w:r>
            <w:r>
              <w:t>used</w:t>
            </w:r>
            <w:r>
              <w:rPr>
                <w:szCs w:val="18"/>
              </w:rPr>
              <w:t xml:space="preserve"> and </w:t>
            </w:r>
            <w:r>
              <w:t>standard errors are clustered by fund.</w:t>
            </w:r>
            <w:r>
              <w:rPr>
                <w:szCs w:val="18"/>
              </w:rPr>
              <w:t xml:space="preserve"> </w:t>
            </w:r>
            <w:r w:rsidRPr="00132196">
              <w:rPr>
                <w:szCs w:val="18"/>
              </w:rPr>
              <w:t xml:space="preserve">The reference fund type is </w:t>
            </w:r>
            <w:r>
              <w:rPr>
                <w:szCs w:val="18"/>
              </w:rPr>
              <w:t>‘</w:t>
            </w:r>
            <w:r w:rsidRPr="00132196">
              <w:rPr>
                <w:szCs w:val="18"/>
              </w:rPr>
              <w:t>Corporate</w:t>
            </w:r>
            <w:r>
              <w:rPr>
                <w:szCs w:val="18"/>
              </w:rPr>
              <w:t>’</w:t>
            </w:r>
            <w:r w:rsidRPr="00132196">
              <w:rPr>
                <w:szCs w:val="18"/>
              </w:rPr>
              <w:t>.</w:t>
            </w:r>
            <w:r>
              <w:t xml:space="preserve"> Defensive assets include cash and fixed </w:t>
            </w:r>
            <w:r w:rsidRPr="00C358C1">
              <w:t>in</w:t>
            </w:r>
            <w:r>
              <w:t xml:space="preserve">come. Standard errors in parentheses. Lambda is the coefficient for the survival correction term. </w:t>
            </w:r>
            <w:r w:rsidRPr="00132196">
              <w:rPr>
                <w:szCs w:val="18"/>
                <w:vertAlign w:val="superscript"/>
              </w:rPr>
              <w:t>***</w:t>
            </w:r>
            <w:r>
              <w:rPr>
                <w:szCs w:val="18"/>
                <w:vertAlign w:val="superscript"/>
              </w:rPr>
              <w:t> </w:t>
            </w:r>
            <w:r w:rsidRPr="00132196">
              <w:rPr>
                <w:szCs w:val="18"/>
              </w:rPr>
              <w:t xml:space="preserve">Significant at the 1 per cent level. </w:t>
            </w:r>
            <w:r w:rsidRPr="00132196">
              <w:rPr>
                <w:szCs w:val="18"/>
                <w:vertAlign w:val="superscript"/>
              </w:rPr>
              <w:t>**</w:t>
            </w:r>
            <w:r>
              <w:rPr>
                <w:szCs w:val="18"/>
                <w:vertAlign w:val="superscript"/>
              </w:rPr>
              <w:t> </w:t>
            </w:r>
            <w:r w:rsidRPr="00132196">
              <w:rPr>
                <w:szCs w:val="18"/>
              </w:rPr>
              <w:t xml:space="preserve">Significant at the 5 per cent level. </w:t>
            </w:r>
            <w:r w:rsidRPr="00132196">
              <w:rPr>
                <w:szCs w:val="18"/>
                <w:vertAlign w:val="superscript"/>
              </w:rPr>
              <w:t>*</w:t>
            </w:r>
            <w:r>
              <w:rPr>
                <w:szCs w:val="18"/>
                <w:vertAlign w:val="superscript"/>
              </w:rPr>
              <w:t> </w:t>
            </w:r>
            <w:r w:rsidRPr="00132196">
              <w:rPr>
                <w:szCs w:val="18"/>
              </w:rPr>
              <w:t>Significant at the 10 per cent level.</w:t>
            </w:r>
          </w:p>
        </w:tc>
      </w:tr>
      <w:tr w:rsidR="0011262F" w14:paraId="3E5CDC10" w14:textId="77777777" w:rsidTr="00B54007">
        <w:tc>
          <w:tcPr>
            <w:tcW w:w="5000" w:type="pct"/>
            <w:tcBorders>
              <w:top w:val="nil"/>
              <w:left w:val="nil"/>
              <w:bottom w:val="nil"/>
              <w:right w:val="nil"/>
            </w:tcBorders>
            <w:shd w:val="clear" w:color="auto" w:fill="auto"/>
          </w:tcPr>
          <w:p w14:paraId="2C39BEE3" w14:textId="77777777" w:rsidR="0011262F" w:rsidRDefault="0011262F" w:rsidP="00B54007">
            <w:pPr>
              <w:pStyle w:val="Source"/>
            </w:pPr>
            <w:r w:rsidRPr="00F1457E">
              <w:rPr>
                <w:i/>
              </w:rPr>
              <w:t>Source</w:t>
            </w:r>
            <w:r w:rsidRPr="00F1457E">
              <w:t xml:space="preserve">: </w:t>
            </w:r>
            <w:r>
              <w:rPr>
                <w:rFonts w:eastAsia="+mn-ea" w:cs="Arial"/>
                <w:color w:val="000000" w:themeColor="text1"/>
                <w:kern w:val="24"/>
                <w:szCs w:val="18"/>
              </w:rPr>
              <w:t>PC analysis of unpublished APRA data (</w:t>
            </w:r>
            <w:r w:rsidRPr="00481B71">
              <w:rPr>
                <w:rFonts w:eastAsia="+mn-ea" w:cs="Arial"/>
                <w:color w:val="000000" w:themeColor="text1"/>
                <w:kern w:val="24"/>
                <w:szCs w:val="18"/>
              </w:rPr>
              <w:t>2014</w:t>
            </w:r>
            <w:r>
              <w:rPr>
                <w:rFonts w:eastAsia="+mn-ea" w:cs="Arial"/>
                <w:color w:val="000000" w:themeColor="text1"/>
                <w:kern w:val="24"/>
                <w:szCs w:val="18"/>
              </w:rPr>
              <w:t>–</w:t>
            </w:r>
            <w:r w:rsidRPr="00481B71">
              <w:rPr>
                <w:rFonts w:eastAsia="+mn-ea" w:cs="Arial"/>
                <w:color w:val="000000" w:themeColor="text1"/>
                <w:kern w:val="24"/>
                <w:szCs w:val="18"/>
              </w:rPr>
              <w:t>17</w:t>
            </w:r>
            <w:r>
              <w:rPr>
                <w:rFonts w:eastAsia="+mn-ea" w:cs="Arial"/>
                <w:color w:val="000000" w:themeColor="text1"/>
                <w:kern w:val="24"/>
                <w:szCs w:val="18"/>
              </w:rPr>
              <w:t>).</w:t>
            </w:r>
          </w:p>
        </w:tc>
      </w:tr>
      <w:tr w:rsidR="0011262F" w14:paraId="5B41E424" w14:textId="77777777" w:rsidTr="00B54007">
        <w:tc>
          <w:tcPr>
            <w:tcW w:w="5000" w:type="pct"/>
            <w:tcBorders>
              <w:top w:val="nil"/>
              <w:left w:val="nil"/>
              <w:bottom w:val="single" w:sz="6" w:space="0" w:color="78A22F"/>
              <w:right w:val="nil"/>
            </w:tcBorders>
            <w:shd w:val="clear" w:color="auto" w:fill="auto"/>
          </w:tcPr>
          <w:p w14:paraId="0B73243D" w14:textId="77777777" w:rsidR="0011262F" w:rsidRDefault="0011262F" w:rsidP="00B54007">
            <w:pPr>
              <w:pStyle w:val="Box"/>
              <w:spacing w:before="0" w:line="120" w:lineRule="exact"/>
            </w:pPr>
          </w:p>
        </w:tc>
      </w:tr>
      <w:tr w:rsidR="0011262F" w:rsidRPr="000863A5" w14:paraId="11A989CB" w14:textId="77777777" w:rsidTr="00B54007">
        <w:trPr>
          <w:trHeight w:val="53"/>
        </w:trPr>
        <w:tc>
          <w:tcPr>
            <w:tcW w:w="5000" w:type="pct"/>
            <w:tcBorders>
              <w:top w:val="single" w:sz="6" w:space="0" w:color="78A22F"/>
              <w:left w:val="nil"/>
              <w:bottom w:val="nil"/>
              <w:right w:val="nil"/>
            </w:tcBorders>
          </w:tcPr>
          <w:p w14:paraId="09DA2AD3" w14:textId="77777777" w:rsidR="0011262F" w:rsidRPr="00626D32" w:rsidRDefault="0011262F" w:rsidP="00B54007">
            <w:pPr>
              <w:pStyle w:val="BoxSpaceBelow"/>
            </w:pPr>
          </w:p>
        </w:tc>
      </w:tr>
    </w:tbl>
    <w:p w14:paraId="3017D982" w14:textId="77777777" w:rsidR="0011262F" w:rsidRDefault="0011262F" w:rsidP="0011262F">
      <w:pPr>
        <w:rPr>
          <w:szCs w:val="20"/>
        </w:rPr>
      </w:pPr>
    </w:p>
    <w:p w14:paraId="1E0022E0" w14:textId="77777777" w:rsidR="0011262F" w:rsidRDefault="0011262F" w:rsidP="0011262F">
      <w:pPr>
        <w:rPr>
          <w:szCs w:val="20"/>
        </w:rPr>
      </w:pPr>
      <w:r>
        <w:rPr>
          <w:szCs w:val="20"/>
        </w:rPr>
        <w:br w:type="page"/>
      </w:r>
    </w:p>
    <w:p w14:paraId="0646AC44" w14:textId="77777777" w:rsidR="0011262F" w:rsidRDefault="0011262F" w:rsidP="0011262F">
      <w:pPr>
        <w:pStyle w:val="Heading3"/>
      </w:pPr>
      <w:r>
        <w:lastRenderedPageBreak/>
        <w:t>References</w:t>
      </w:r>
    </w:p>
    <w:p w14:paraId="604B6BB7" w14:textId="77777777" w:rsidR="0011262F" w:rsidRPr="005D63B1" w:rsidRDefault="0011262F" w:rsidP="0011262F">
      <w:pPr>
        <w:pStyle w:val="Reference"/>
        <w:spacing w:before="100" w:line="280" w:lineRule="atLeast"/>
        <w:rPr>
          <w:sz w:val="22"/>
          <w:szCs w:val="22"/>
        </w:rPr>
      </w:pPr>
      <w:r w:rsidRPr="005D63B1">
        <w:rPr>
          <w:sz w:val="22"/>
          <w:szCs w:val="22"/>
        </w:rPr>
        <w:t>APRA (Australian Prudential Regulation Authority) 2018, Annual Fund-level Superannuation Statistics 2017 (privacy unmasked edition), APRA, Sydney.</w:t>
      </w:r>
    </w:p>
    <w:p w14:paraId="48704277" w14:textId="77777777" w:rsidR="0011262F" w:rsidRPr="005D63B1" w:rsidRDefault="0011262F" w:rsidP="0011262F">
      <w:pPr>
        <w:pStyle w:val="Reference"/>
        <w:spacing w:before="100" w:line="280" w:lineRule="atLeast"/>
        <w:rPr>
          <w:sz w:val="22"/>
          <w:szCs w:val="22"/>
        </w:rPr>
      </w:pPr>
      <w:r w:rsidRPr="005D63B1">
        <w:rPr>
          <w:sz w:val="22"/>
          <w:szCs w:val="22"/>
        </w:rPr>
        <w:t xml:space="preserve">Carpenter, B., Andrew </w:t>
      </w:r>
      <w:proofErr w:type="spellStart"/>
      <w:r w:rsidRPr="005D63B1">
        <w:rPr>
          <w:sz w:val="22"/>
          <w:szCs w:val="22"/>
        </w:rPr>
        <w:t>Gelman</w:t>
      </w:r>
      <w:proofErr w:type="spellEnd"/>
      <w:r w:rsidRPr="005D63B1">
        <w:rPr>
          <w:sz w:val="22"/>
          <w:szCs w:val="22"/>
        </w:rPr>
        <w:t>, Hoffman, M., Lee, D. and Goodrich 2017, ‘Stan: A probabilistic programming language’, Journal of Statistical Software, vol. 76, no. 1, pp. 1–32.</w:t>
      </w:r>
    </w:p>
    <w:p w14:paraId="15B2BA28" w14:textId="77777777" w:rsidR="0011262F" w:rsidRPr="005D63B1" w:rsidRDefault="0011262F" w:rsidP="0011262F">
      <w:pPr>
        <w:pStyle w:val="Reference"/>
        <w:spacing w:before="100" w:line="280" w:lineRule="atLeast"/>
        <w:rPr>
          <w:sz w:val="22"/>
          <w:szCs w:val="22"/>
        </w:rPr>
      </w:pPr>
      <w:r w:rsidRPr="005D63B1">
        <w:rPr>
          <w:sz w:val="22"/>
          <w:szCs w:val="22"/>
        </w:rPr>
        <w:t xml:space="preserve">Cummings, </w:t>
      </w:r>
      <w:proofErr w:type="spellStart"/>
      <w:r w:rsidRPr="005D63B1">
        <w:rPr>
          <w:sz w:val="22"/>
          <w:szCs w:val="22"/>
        </w:rPr>
        <w:t>J.R</w:t>
      </w:r>
      <w:proofErr w:type="spellEnd"/>
      <w:r w:rsidRPr="005D63B1">
        <w:rPr>
          <w:sz w:val="22"/>
          <w:szCs w:val="22"/>
        </w:rPr>
        <w:t>. 2016, ‘Effect of fund size on the performance of Australian superannuation funds’, Accounting and Finance, no. 56, pp. 695–725.</w:t>
      </w:r>
    </w:p>
    <w:p w14:paraId="049C4BBB" w14:textId="77777777" w:rsidR="0011262F" w:rsidRPr="005D63B1" w:rsidRDefault="0011262F" w:rsidP="0011262F">
      <w:pPr>
        <w:pStyle w:val="Reference"/>
        <w:spacing w:before="100" w:line="280" w:lineRule="atLeast"/>
        <w:rPr>
          <w:sz w:val="22"/>
          <w:szCs w:val="22"/>
        </w:rPr>
      </w:pPr>
      <w:r w:rsidRPr="005D63B1">
        <w:rPr>
          <w:sz w:val="22"/>
          <w:szCs w:val="22"/>
        </w:rPr>
        <w:t>Evans, R., Moore, A. and Rees, D. 2018, ‘The cyclical behaviour of labour force participation’, Reserve Bank of Australia Bulletin, September 2018.</w:t>
      </w:r>
    </w:p>
    <w:p w14:paraId="7B11E513" w14:textId="77777777" w:rsidR="0011262F" w:rsidRPr="005D63B1" w:rsidRDefault="0011262F" w:rsidP="0011262F">
      <w:pPr>
        <w:pStyle w:val="Reference"/>
        <w:spacing w:before="100" w:line="280" w:lineRule="atLeast"/>
        <w:rPr>
          <w:sz w:val="22"/>
          <w:szCs w:val="22"/>
        </w:rPr>
      </w:pPr>
      <w:proofErr w:type="spellStart"/>
      <w:r w:rsidRPr="005D63B1">
        <w:rPr>
          <w:sz w:val="22"/>
          <w:szCs w:val="22"/>
        </w:rPr>
        <w:t>Gelman</w:t>
      </w:r>
      <w:proofErr w:type="spellEnd"/>
      <w:r w:rsidRPr="005D63B1">
        <w:rPr>
          <w:sz w:val="22"/>
          <w:szCs w:val="22"/>
        </w:rPr>
        <w:t>, Andrew 2016, Bayesian statistics: What’s it all about?, https://</w:t>
      </w:r>
      <w:proofErr w:type="spellStart"/>
      <w:r w:rsidRPr="005D63B1">
        <w:rPr>
          <w:sz w:val="22"/>
          <w:szCs w:val="22"/>
        </w:rPr>
        <w:t>andrewgelman.com</w:t>
      </w:r>
      <w:proofErr w:type="spellEnd"/>
      <w:r w:rsidRPr="005D63B1">
        <w:rPr>
          <w:sz w:val="22"/>
          <w:szCs w:val="22"/>
        </w:rPr>
        <w:t>/2016/12/13/</w:t>
      </w:r>
      <w:proofErr w:type="spellStart"/>
      <w:r w:rsidRPr="005D63B1">
        <w:rPr>
          <w:sz w:val="22"/>
          <w:szCs w:val="22"/>
        </w:rPr>
        <w:t>bayesian</w:t>
      </w:r>
      <w:proofErr w:type="spellEnd"/>
      <w:r w:rsidRPr="005D63B1">
        <w:rPr>
          <w:sz w:val="22"/>
          <w:szCs w:val="22"/>
        </w:rPr>
        <w:t>-statistics-</w:t>
      </w:r>
      <w:proofErr w:type="spellStart"/>
      <w:r w:rsidRPr="005D63B1">
        <w:rPr>
          <w:sz w:val="22"/>
          <w:szCs w:val="22"/>
        </w:rPr>
        <w:t>whats</w:t>
      </w:r>
      <w:proofErr w:type="spellEnd"/>
      <w:r w:rsidRPr="005D63B1">
        <w:rPr>
          <w:sz w:val="22"/>
          <w:szCs w:val="22"/>
        </w:rPr>
        <w:t>/ (accessed 19 October 2018).</w:t>
      </w:r>
    </w:p>
    <w:p w14:paraId="788E072E" w14:textId="77777777" w:rsidR="0011262F" w:rsidRPr="005D63B1" w:rsidRDefault="0011262F" w:rsidP="0011262F">
      <w:pPr>
        <w:pStyle w:val="Reference"/>
        <w:spacing w:before="100" w:line="280" w:lineRule="atLeast"/>
        <w:rPr>
          <w:sz w:val="22"/>
          <w:szCs w:val="22"/>
        </w:rPr>
      </w:pPr>
      <w:r w:rsidRPr="005D63B1">
        <w:rPr>
          <w:sz w:val="22"/>
          <w:szCs w:val="22"/>
        </w:rPr>
        <w:t xml:space="preserve">Goldstein, H., Browne, </w:t>
      </w:r>
      <w:proofErr w:type="spellStart"/>
      <w:r w:rsidRPr="005D63B1">
        <w:rPr>
          <w:sz w:val="22"/>
          <w:szCs w:val="22"/>
        </w:rPr>
        <w:t>W.J</w:t>
      </w:r>
      <w:proofErr w:type="spellEnd"/>
      <w:r w:rsidRPr="005D63B1">
        <w:rPr>
          <w:sz w:val="22"/>
          <w:szCs w:val="22"/>
        </w:rPr>
        <w:t>. and Charlton, C. 2018, ‘A Bayesian model for measurement and misclassification errors alongside missing data, with an application to higher education participation in Australia’, Journal of Applied Statistics, vol. 45, no. 5, pp. 918–931.</w:t>
      </w:r>
    </w:p>
    <w:p w14:paraId="7BB66485" w14:textId="77777777" w:rsidR="0011262F" w:rsidRPr="005D63B1" w:rsidRDefault="0011262F" w:rsidP="0011262F">
      <w:pPr>
        <w:pStyle w:val="Reference"/>
        <w:spacing w:before="100" w:line="280" w:lineRule="atLeast"/>
        <w:rPr>
          <w:sz w:val="22"/>
          <w:szCs w:val="22"/>
        </w:rPr>
      </w:pPr>
      <w:r w:rsidRPr="005D63B1">
        <w:rPr>
          <w:sz w:val="22"/>
          <w:szCs w:val="22"/>
        </w:rPr>
        <w:t xml:space="preserve">Heckman, </w:t>
      </w:r>
      <w:proofErr w:type="spellStart"/>
      <w:r w:rsidRPr="005D63B1">
        <w:rPr>
          <w:sz w:val="22"/>
          <w:szCs w:val="22"/>
        </w:rPr>
        <w:t>J.J</w:t>
      </w:r>
      <w:proofErr w:type="spellEnd"/>
      <w:r w:rsidRPr="005D63B1">
        <w:rPr>
          <w:sz w:val="22"/>
          <w:szCs w:val="22"/>
        </w:rPr>
        <w:t xml:space="preserve">. 1979, ‘Sample selection bias as a specification error’, </w:t>
      </w:r>
      <w:proofErr w:type="spellStart"/>
      <w:r w:rsidRPr="005D63B1">
        <w:rPr>
          <w:sz w:val="22"/>
          <w:szCs w:val="22"/>
        </w:rPr>
        <w:t>Econometrica</w:t>
      </w:r>
      <w:proofErr w:type="spellEnd"/>
      <w:r w:rsidRPr="005D63B1">
        <w:rPr>
          <w:sz w:val="22"/>
          <w:szCs w:val="22"/>
        </w:rPr>
        <w:t>, vol. 47, no. 1, pp. 153–161.</w:t>
      </w:r>
    </w:p>
    <w:p w14:paraId="1F3B496A" w14:textId="77777777" w:rsidR="0011262F" w:rsidRPr="005D63B1" w:rsidRDefault="0011262F" w:rsidP="0011262F">
      <w:pPr>
        <w:pStyle w:val="Reference"/>
        <w:spacing w:before="100" w:line="280" w:lineRule="atLeast"/>
        <w:rPr>
          <w:sz w:val="22"/>
          <w:szCs w:val="22"/>
        </w:rPr>
      </w:pPr>
      <w:r w:rsidRPr="005D63B1">
        <w:rPr>
          <w:sz w:val="22"/>
          <w:szCs w:val="22"/>
        </w:rPr>
        <w:t>Higgs, H. and Worthington, A. 2012, ‘Economies of scale and scope in Australian superannuation (pension) funds’, Pensions, vol. 17, no. 4, pp. 252–259.</w:t>
      </w:r>
    </w:p>
    <w:p w14:paraId="407C2E2A" w14:textId="77777777" w:rsidR="0011262F" w:rsidRPr="005D63B1" w:rsidRDefault="0011262F" w:rsidP="0011262F">
      <w:pPr>
        <w:pStyle w:val="Reference"/>
        <w:spacing w:before="100" w:line="280" w:lineRule="atLeast"/>
        <w:rPr>
          <w:sz w:val="22"/>
          <w:szCs w:val="22"/>
        </w:rPr>
      </w:pPr>
      <w:proofErr w:type="spellStart"/>
      <w:r w:rsidRPr="005D63B1">
        <w:rPr>
          <w:sz w:val="22"/>
          <w:szCs w:val="22"/>
        </w:rPr>
        <w:t>Lewandowksi</w:t>
      </w:r>
      <w:proofErr w:type="spellEnd"/>
      <w:r w:rsidRPr="005D63B1">
        <w:rPr>
          <w:sz w:val="22"/>
          <w:szCs w:val="22"/>
        </w:rPr>
        <w:t xml:space="preserve">, D., </w:t>
      </w:r>
      <w:proofErr w:type="spellStart"/>
      <w:r w:rsidRPr="005D63B1">
        <w:rPr>
          <w:sz w:val="22"/>
          <w:szCs w:val="22"/>
        </w:rPr>
        <w:t>Kurowicka</w:t>
      </w:r>
      <w:proofErr w:type="spellEnd"/>
      <w:r w:rsidRPr="005D63B1">
        <w:rPr>
          <w:sz w:val="22"/>
          <w:szCs w:val="22"/>
        </w:rPr>
        <w:t>, D. and Joe, H. 2009, ‘Generating random correlation matrices based on vines and extended onion method’, Journal of Multivariate Analysis, vol. 100, no. 9, pp. 1989–2001.</w:t>
      </w:r>
    </w:p>
    <w:p w14:paraId="7703E61C" w14:textId="77777777" w:rsidR="0011262F" w:rsidRPr="005D63B1" w:rsidRDefault="0011262F" w:rsidP="0011262F">
      <w:pPr>
        <w:pStyle w:val="Reference"/>
        <w:spacing w:before="100" w:line="280" w:lineRule="atLeast"/>
        <w:rPr>
          <w:sz w:val="22"/>
          <w:szCs w:val="22"/>
        </w:rPr>
      </w:pPr>
      <w:proofErr w:type="spellStart"/>
      <w:r w:rsidRPr="005D63B1">
        <w:rPr>
          <w:sz w:val="22"/>
          <w:szCs w:val="22"/>
        </w:rPr>
        <w:t>McCririck</w:t>
      </w:r>
      <w:proofErr w:type="spellEnd"/>
      <w:r w:rsidRPr="005D63B1">
        <w:rPr>
          <w:sz w:val="22"/>
          <w:szCs w:val="22"/>
        </w:rPr>
        <w:t>, R. and Rees, D. 2017, ‘The neutral interest rate’, Reserve Bank of Australia Bulletin, September 2017.</w:t>
      </w:r>
    </w:p>
    <w:p w14:paraId="6B9FACBE" w14:textId="77777777" w:rsidR="0011262F" w:rsidRPr="005D63B1" w:rsidRDefault="0011262F" w:rsidP="0011262F">
      <w:pPr>
        <w:pStyle w:val="Reference"/>
        <w:spacing w:before="100" w:line="280" w:lineRule="atLeast"/>
        <w:rPr>
          <w:sz w:val="22"/>
          <w:szCs w:val="22"/>
        </w:rPr>
      </w:pPr>
      <w:proofErr w:type="spellStart"/>
      <w:r w:rsidRPr="005D63B1">
        <w:rPr>
          <w:sz w:val="22"/>
          <w:szCs w:val="22"/>
        </w:rPr>
        <w:t>Meager</w:t>
      </w:r>
      <w:proofErr w:type="spellEnd"/>
      <w:r w:rsidRPr="005D63B1">
        <w:rPr>
          <w:sz w:val="22"/>
          <w:szCs w:val="22"/>
        </w:rPr>
        <w:t>, R. forthcoming, ‘Understanding the average impact of microcredit expansions: A Bayesian hierarchical analysis of seven randomized experiments’, American Economic Journal: Applied Economics, https://</w:t>
      </w:r>
      <w:proofErr w:type="spellStart"/>
      <w:r w:rsidRPr="005D63B1">
        <w:rPr>
          <w:sz w:val="22"/>
          <w:szCs w:val="22"/>
        </w:rPr>
        <w:t>sites.google.com</w:t>
      </w:r>
      <w:proofErr w:type="spellEnd"/>
      <w:r w:rsidRPr="005D63B1">
        <w:rPr>
          <w:sz w:val="22"/>
          <w:szCs w:val="22"/>
        </w:rPr>
        <w:t>/view/</w:t>
      </w:r>
      <w:proofErr w:type="spellStart"/>
      <w:r w:rsidRPr="005D63B1">
        <w:rPr>
          <w:sz w:val="22"/>
          <w:szCs w:val="22"/>
        </w:rPr>
        <w:t>rachaelmeager</w:t>
      </w:r>
      <w:proofErr w:type="spellEnd"/>
      <w:r w:rsidRPr="005D63B1">
        <w:rPr>
          <w:sz w:val="22"/>
          <w:szCs w:val="22"/>
        </w:rPr>
        <w:t xml:space="preserve"> (accessed 12 November 2018).</w:t>
      </w:r>
    </w:p>
    <w:p w14:paraId="67B2D681" w14:textId="77777777" w:rsidR="0011262F" w:rsidRPr="005D63B1" w:rsidRDefault="0011262F" w:rsidP="0011262F">
      <w:pPr>
        <w:pStyle w:val="Reference"/>
        <w:spacing w:before="100" w:line="280" w:lineRule="atLeast"/>
        <w:rPr>
          <w:sz w:val="22"/>
          <w:szCs w:val="22"/>
        </w:rPr>
      </w:pPr>
      <w:proofErr w:type="spellStart"/>
      <w:r w:rsidRPr="005D63B1">
        <w:rPr>
          <w:sz w:val="22"/>
          <w:szCs w:val="22"/>
        </w:rPr>
        <w:t>Minifie</w:t>
      </w:r>
      <w:proofErr w:type="spellEnd"/>
      <w:r w:rsidRPr="005D63B1">
        <w:rPr>
          <w:sz w:val="22"/>
          <w:szCs w:val="22"/>
        </w:rPr>
        <w:t>, J., Cameron, T. and Savage, J. 2014, Super Sting: How to Stop Australians Paying Too Much for Superannuation, Grattan Institute, Melbourne.</w:t>
      </w:r>
    </w:p>
    <w:p w14:paraId="52DBF8D7" w14:textId="77777777" w:rsidR="0011262F" w:rsidRPr="005D63B1" w:rsidRDefault="0011262F" w:rsidP="0011262F">
      <w:pPr>
        <w:pStyle w:val="Reference"/>
        <w:spacing w:before="100" w:line="280" w:lineRule="atLeast"/>
        <w:rPr>
          <w:sz w:val="22"/>
          <w:szCs w:val="22"/>
        </w:rPr>
      </w:pPr>
      <w:r w:rsidRPr="005D63B1">
        <w:rPr>
          <w:sz w:val="22"/>
          <w:szCs w:val="22"/>
        </w:rPr>
        <w:t>——, —— and —— 2015, Super Savings, Grattan Institute, Melbourne.</w:t>
      </w:r>
    </w:p>
    <w:p w14:paraId="5BE6321C" w14:textId="77777777" w:rsidR="0011262F" w:rsidRPr="005D63B1" w:rsidRDefault="0011262F" w:rsidP="0011262F">
      <w:pPr>
        <w:pStyle w:val="Reference"/>
        <w:spacing w:before="100" w:line="280" w:lineRule="atLeast"/>
        <w:rPr>
          <w:sz w:val="22"/>
          <w:szCs w:val="22"/>
        </w:rPr>
      </w:pPr>
      <w:r w:rsidRPr="005D63B1">
        <w:rPr>
          <w:sz w:val="22"/>
          <w:szCs w:val="22"/>
        </w:rPr>
        <w:t>PC (Productivity Commission) 2016, How to Assess the Competitiveness and Efficiency of the Superannuation System, Research Report, Canberra.</w:t>
      </w:r>
    </w:p>
    <w:p w14:paraId="291D4C7E" w14:textId="77777777" w:rsidR="0011262F" w:rsidRPr="005D63B1" w:rsidRDefault="0011262F" w:rsidP="0011262F">
      <w:pPr>
        <w:pStyle w:val="Reference"/>
        <w:spacing w:before="100" w:line="280" w:lineRule="atLeast"/>
        <w:rPr>
          <w:sz w:val="22"/>
          <w:szCs w:val="22"/>
        </w:rPr>
      </w:pPr>
      <w:r w:rsidRPr="005D63B1">
        <w:rPr>
          <w:sz w:val="22"/>
          <w:szCs w:val="22"/>
        </w:rPr>
        <w:t>Rice Warner 2014, Superannuation Fees: Financial System Inquiry, Sydney.</w:t>
      </w:r>
    </w:p>
    <w:p w14:paraId="640C3BF6" w14:textId="77777777" w:rsidR="0011262F" w:rsidRPr="005D63B1" w:rsidRDefault="0011262F" w:rsidP="0011262F">
      <w:pPr>
        <w:pStyle w:val="Reference"/>
        <w:spacing w:before="100" w:line="280" w:lineRule="atLeast"/>
        <w:rPr>
          <w:sz w:val="22"/>
          <w:szCs w:val="22"/>
        </w:rPr>
      </w:pPr>
      <w:proofErr w:type="spellStart"/>
      <w:r w:rsidRPr="005D63B1">
        <w:rPr>
          <w:sz w:val="22"/>
          <w:szCs w:val="22"/>
        </w:rPr>
        <w:t>Stockspot</w:t>
      </w:r>
      <w:proofErr w:type="spellEnd"/>
      <w:r w:rsidRPr="005D63B1">
        <w:rPr>
          <w:sz w:val="22"/>
          <w:szCs w:val="22"/>
        </w:rPr>
        <w:t xml:space="preserve"> 2018, ETFs Compared, https://</w:t>
      </w:r>
      <w:proofErr w:type="spellStart"/>
      <w:r w:rsidRPr="005D63B1">
        <w:rPr>
          <w:sz w:val="22"/>
          <w:szCs w:val="22"/>
        </w:rPr>
        <w:t>www.stockspot.com.au</w:t>
      </w:r>
      <w:proofErr w:type="spellEnd"/>
      <w:r w:rsidRPr="005D63B1">
        <w:rPr>
          <w:sz w:val="22"/>
          <w:szCs w:val="22"/>
        </w:rPr>
        <w:t>/ (accessed 9 November 2018).</w:t>
      </w:r>
    </w:p>
    <w:p w14:paraId="4465436E" w14:textId="77777777" w:rsidR="0011262F" w:rsidRPr="005D63B1" w:rsidRDefault="0011262F" w:rsidP="0011262F">
      <w:pPr>
        <w:pStyle w:val="Reference"/>
        <w:rPr>
          <w:sz w:val="22"/>
          <w:szCs w:val="22"/>
        </w:rPr>
      </w:pPr>
      <w:proofErr w:type="spellStart"/>
      <w:r w:rsidRPr="005D63B1">
        <w:rPr>
          <w:sz w:val="22"/>
          <w:szCs w:val="22"/>
        </w:rPr>
        <w:t>Sy</w:t>
      </w:r>
      <w:proofErr w:type="spellEnd"/>
      <w:r w:rsidRPr="005D63B1">
        <w:rPr>
          <w:sz w:val="22"/>
          <w:szCs w:val="22"/>
        </w:rPr>
        <w:t xml:space="preserve">, W. 2012, </w:t>
      </w:r>
      <w:r w:rsidRPr="005D63B1">
        <w:rPr>
          <w:i/>
          <w:iCs/>
          <w:sz w:val="22"/>
          <w:szCs w:val="22"/>
        </w:rPr>
        <w:t>Scale and competition in Australian superannuation</w:t>
      </w:r>
      <w:r w:rsidRPr="005D63B1">
        <w:rPr>
          <w:sz w:val="22"/>
          <w:szCs w:val="22"/>
        </w:rPr>
        <w:t xml:space="preserve">, </w:t>
      </w:r>
      <w:proofErr w:type="spellStart"/>
      <w:r w:rsidRPr="005D63B1">
        <w:rPr>
          <w:sz w:val="22"/>
          <w:szCs w:val="22"/>
        </w:rPr>
        <w:t>SSRN</w:t>
      </w:r>
      <w:proofErr w:type="spellEnd"/>
      <w:r w:rsidRPr="005D63B1">
        <w:rPr>
          <w:sz w:val="22"/>
          <w:szCs w:val="22"/>
        </w:rPr>
        <w:t xml:space="preserve"> Scholarly Paper ID 2374930, 2 November.</w:t>
      </w:r>
    </w:p>
    <w:sectPr w:rsidR="0011262F" w:rsidRPr="005D63B1" w:rsidSect="00B45772">
      <w:headerReference w:type="even" r:id="rId47"/>
      <w:headerReference w:type="default" r:id="rId48"/>
      <w:footerReference w:type="even" r:id="rId49"/>
      <w:footerReference w:type="default" r:id="rId50"/>
      <w:headerReference w:type="first" r:id="rId51"/>
      <w:footerReference w:type="first" r:id="rId52"/>
      <w:pgSz w:w="11907" w:h="16840" w:code="9"/>
      <w:pgMar w:top="1985" w:right="1304" w:bottom="1418" w:left="1814" w:header="1701" w:footer="567" w:gutter="0"/>
      <w:pgNumType w:start="1" w:chapSep="period"/>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FCB341" w14:textId="77777777" w:rsidR="00B54007" w:rsidRDefault="00B54007">
      <w:r>
        <w:separator/>
      </w:r>
    </w:p>
  </w:endnote>
  <w:endnote w:type="continuationSeparator" w:id="0">
    <w:p w14:paraId="14520289" w14:textId="77777777" w:rsidR="00B54007" w:rsidRDefault="00B54007">
      <w:r>
        <w:continuationSeparator/>
      </w:r>
    </w:p>
  </w:endnote>
  <w:endnote w:type="continuationNotice" w:id="1">
    <w:p w14:paraId="6688585D" w14:textId="77777777" w:rsidR="00B54007" w:rsidRDefault="00B540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T Extra">
    <w:panose1 w:val="05050102010205020202"/>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ITC Franklin Gothic Std Book">
    <w:altName w:val="ITC Franklin Gothic Std Book"/>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54007" w14:paraId="0868C58D" w14:textId="77777777" w:rsidTr="008E6FA5">
      <w:trPr>
        <w:trHeight w:hRule="exact" w:val="567"/>
      </w:trPr>
      <w:tc>
        <w:tcPr>
          <w:tcW w:w="510" w:type="dxa"/>
        </w:tcPr>
        <w:p w14:paraId="563CC21C" w14:textId="77777777" w:rsidR="00B54007" w:rsidRPr="00A24443" w:rsidRDefault="00B54007" w:rsidP="00BB06D4">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2F0937">
            <w:rPr>
              <w:rStyle w:val="PageNumber"/>
              <w:caps w:val="0"/>
              <w:noProof/>
            </w:rPr>
            <w:t>24</w:t>
          </w:r>
          <w:r w:rsidRPr="00A24443">
            <w:rPr>
              <w:rStyle w:val="PageNumber"/>
              <w:caps w:val="0"/>
            </w:rPr>
            <w:fldChar w:fldCharType="end"/>
          </w:r>
        </w:p>
      </w:tc>
      <w:tc>
        <w:tcPr>
          <w:tcW w:w="7767" w:type="dxa"/>
        </w:tcPr>
        <w:p w14:paraId="73EF99B7" w14:textId="0EA42673" w:rsidR="00B54007" w:rsidRPr="0013739A" w:rsidRDefault="00B54007" w:rsidP="00BB06D4">
          <w:pPr>
            <w:pStyle w:val="Footer"/>
            <w:rPr>
              <w:rFonts w:cs="Arial"/>
            </w:rPr>
          </w:pPr>
          <w:r>
            <w:rPr>
              <w:rFonts w:cs="Arial"/>
            </w:rPr>
            <w:t>Superannuation: Efficiency and Competitiveness</w:t>
          </w:r>
        </w:p>
      </w:tc>
      <w:tc>
        <w:tcPr>
          <w:tcW w:w="510" w:type="dxa"/>
        </w:tcPr>
        <w:p w14:paraId="49E8F0C0" w14:textId="77777777" w:rsidR="00B54007" w:rsidRDefault="00B54007" w:rsidP="00BB06D4">
          <w:pPr>
            <w:pStyle w:val="Footer"/>
          </w:pPr>
        </w:p>
      </w:tc>
    </w:tr>
  </w:tbl>
  <w:p w14:paraId="366F76DC" w14:textId="77777777" w:rsidR="00B54007" w:rsidRDefault="00B54007" w:rsidP="00094012">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54007" w14:paraId="3E89CFF6" w14:textId="77777777" w:rsidTr="005F48ED">
      <w:trPr>
        <w:trHeight w:hRule="exact" w:val="567"/>
      </w:trPr>
      <w:tc>
        <w:tcPr>
          <w:tcW w:w="510" w:type="dxa"/>
        </w:tcPr>
        <w:p w14:paraId="3E89CFF3" w14:textId="77777777" w:rsidR="00B54007" w:rsidRDefault="00B54007">
          <w:pPr>
            <w:pStyle w:val="Footer"/>
            <w:ind w:right="360" w:firstLine="360"/>
          </w:pPr>
        </w:p>
      </w:tc>
      <w:tc>
        <w:tcPr>
          <w:tcW w:w="7767" w:type="dxa"/>
        </w:tcPr>
        <w:p w14:paraId="3E89CFF4" w14:textId="0635C492" w:rsidR="00B54007" w:rsidRPr="00BA5B14" w:rsidRDefault="00B54007" w:rsidP="00B54007">
          <w:pPr>
            <w:pStyle w:val="Footer"/>
            <w:jc w:val="right"/>
            <w:rPr>
              <w:rFonts w:cs="Arial"/>
            </w:rPr>
          </w:pPr>
          <w:r>
            <w:rPr>
              <w:rFonts w:cs="Arial"/>
            </w:rPr>
            <w:t xml:space="preserve">Technical supplement </w:t>
          </w:r>
          <w:bookmarkStart w:id="78" w:name="DraftReportOdd"/>
          <w:bookmarkEnd w:id="78"/>
          <w:r>
            <w:rPr>
              <w:rFonts w:cs="Arial"/>
            </w:rPr>
            <w:t>8</w:t>
          </w:r>
        </w:p>
      </w:tc>
      <w:tc>
        <w:tcPr>
          <w:tcW w:w="510" w:type="dxa"/>
        </w:tcPr>
        <w:p w14:paraId="3E89CFF5" w14:textId="77777777" w:rsidR="00B54007" w:rsidRPr="00A24443" w:rsidRDefault="00B54007">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2F0937">
            <w:rPr>
              <w:rStyle w:val="PageNumber"/>
              <w:caps w:val="0"/>
              <w:noProof/>
            </w:rPr>
            <w:t>23</w:t>
          </w:r>
          <w:r w:rsidRPr="00A24443">
            <w:rPr>
              <w:rStyle w:val="PageNumber"/>
              <w:caps w:val="0"/>
            </w:rPr>
            <w:fldChar w:fldCharType="end"/>
          </w:r>
        </w:p>
      </w:tc>
    </w:tr>
  </w:tbl>
  <w:p w14:paraId="3E89CFF7" w14:textId="77777777" w:rsidR="00B54007" w:rsidRDefault="00B54007">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26455" w14:textId="77777777" w:rsidR="00B54007" w:rsidRDefault="00B540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6FC7A2" w14:textId="77777777" w:rsidR="00B54007" w:rsidRDefault="00B54007">
      <w:r>
        <w:separator/>
      </w:r>
    </w:p>
  </w:footnote>
  <w:footnote w:type="continuationSeparator" w:id="0">
    <w:p w14:paraId="68EF0A8F" w14:textId="77777777" w:rsidR="00B54007" w:rsidRDefault="00B54007">
      <w:r>
        <w:continuationSeparator/>
      </w:r>
    </w:p>
  </w:footnote>
  <w:footnote w:type="continuationNotice" w:id="1">
    <w:p w14:paraId="627BAD92" w14:textId="77777777" w:rsidR="00B54007" w:rsidRDefault="00B54007"/>
  </w:footnote>
  <w:footnote w:id="2">
    <w:p w14:paraId="2A6D874C" w14:textId="77777777" w:rsidR="00B54007" w:rsidRDefault="00B54007" w:rsidP="0011262F">
      <w:pPr>
        <w:pStyle w:val="FootnoteText"/>
      </w:pPr>
      <w:r>
        <w:rPr>
          <w:rStyle w:val="FootnoteReference"/>
        </w:rPr>
        <w:footnoteRef/>
      </w:r>
      <w:r>
        <w:tab/>
        <w:t>APRA</w:t>
      </w:r>
      <w:r>
        <w:noBreakHyphen/>
        <w:t>regulated funds are funds regulated by APRA with more than four members. Small APRA</w:t>
      </w:r>
      <w:r>
        <w:noBreakHyphen/>
        <w:t>regulated funds have less than five members.</w:t>
      </w:r>
    </w:p>
  </w:footnote>
  <w:footnote w:id="3">
    <w:p w14:paraId="46EC2D79" w14:textId="77777777" w:rsidR="00B54007" w:rsidRDefault="00B54007" w:rsidP="0011262F">
      <w:pPr>
        <w:pStyle w:val="FootnoteText"/>
      </w:pPr>
      <w:r w:rsidRPr="006007B3">
        <w:rPr>
          <w:rStyle w:val="FootnoteReference"/>
        </w:rPr>
        <w:footnoteRef/>
      </w:r>
      <w:r>
        <w:tab/>
        <w:t>Liana Jacobi is an Associate Professor of economics at the University of Melbourne. Her research interests are in Bayesian econometrics and their applications to health and labour economics. She also co-chairs the Bayesian analysis and modelling research group.</w:t>
      </w:r>
    </w:p>
  </w:footnote>
  <w:footnote w:id="4">
    <w:p w14:paraId="6D996401" w14:textId="77777777" w:rsidR="00B54007" w:rsidRPr="00CA3FA7" w:rsidRDefault="00B54007" w:rsidP="0011262F">
      <w:pPr>
        <w:pStyle w:val="FootnoteText"/>
        <w:rPr>
          <w:rStyle w:val="Hyperlink"/>
        </w:rPr>
      </w:pPr>
      <w:r w:rsidRPr="006007B3">
        <w:rPr>
          <w:rStyle w:val="FootnoteReference"/>
        </w:rPr>
        <w:footnoteRef/>
      </w:r>
      <w:r>
        <w:tab/>
        <w:t xml:space="preserve">Jim Savage is Head of Data Science at </w:t>
      </w:r>
      <w:r w:rsidRPr="00966B34">
        <w:t>Lendable</w:t>
      </w:r>
      <w:r>
        <w:t xml:space="preserve"> Inc., based in the United States, and previously worked at the </w:t>
      </w:r>
      <w:r w:rsidRPr="003F67BC">
        <w:rPr>
          <w:rStyle w:val="Hyperlink"/>
        </w:rPr>
        <w:t>Grattan Institute, where he contributed to papers on superannuation</w:t>
      </w:r>
      <w:r w:rsidRPr="003F67BC" w:rsidDel="00B80D61">
        <w:rPr>
          <w:rStyle w:val="Hyperlink"/>
        </w:rPr>
        <w:t xml:space="preserve"> </w:t>
      </w:r>
      <w:r w:rsidRPr="003F67BC">
        <w:rPr>
          <w:rStyle w:val="Hyperlink"/>
        </w:rPr>
        <w:t>(</w:t>
      </w:r>
      <w:proofErr w:type="spellStart"/>
      <w:r w:rsidRPr="003F67BC">
        <w:rPr>
          <w:rStyle w:val="Hyperlink"/>
        </w:rPr>
        <w:t>Minifie</w:t>
      </w:r>
      <w:proofErr w:type="spellEnd"/>
      <w:r w:rsidRPr="003F67BC">
        <w:rPr>
          <w:rStyle w:val="Hyperlink"/>
        </w:rPr>
        <w:t>, Cameron and Savage 2014, 2015)</w:t>
      </w:r>
      <w:r w:rsidRPr="00CA3FA7">
        <w:rPr>
          <w:rStyle w:val="Hyperlink"/>
        </w:rPr>
        <w:t>.</w:t>
      </w:r>
    </w:p>
  </w:footnote>
  <w:footnote w:id="5">
    <w:p w14:paraId="309E6D88" w14:textId="77777777" w:rsidR="00B54007" w:rsidRDefault="00B54007" w:rsidP="0011262F">
      <w:pPr>
        <w:pStyle w:val="FootnoteText"/>
      </w:pPr>
      <w:r>
        <w:rPr>
          <w:rStyle w:val="FootnoteReference"/>
        </w:rPr>
        <w:footnoteRef/>
      </w:r>
      <w:r>
        <w:tab/>
      </w:r>
      <w:r w:rsidRPr="003F67BC">
        <w:rPr>
          <w:rStyle w:val="Hyperlink"/>
        </w:rPr>
        <w:t>The Commission held a by-invitation technical workshop to present and discuss this further analysis in October 2018. Participants are listed in appendix A to the final inquiry report.</w:t>
      </w:r>
    </w:p>
  </w:footnote>
  <w:footnote w:id="6">
    <w:p w14:paraId="48DCB4ED" w14:textId="77777777" w:rsidR="00B54007" w:rsidRDefault="00B54007" w:rsidP="0011262F">
      <w:pPr>
        <w:pStyle w:val="FootnoteText"/>
      </w:pPr>
      <w:r w:rsidRPr="006007B3">
        <w:rPr>
          <w:rStyle w:val="FootnoteReference"/>
        </w:rPr>
        <w:footnoteRef/>
      </w:r>
      <w:r>
        <w:tab/>
        <w:t>Data were drawn from a</w:t>
      </w:r>
      <w:r>
        <w:rPr>
          <w:color w:val="000000"/>
        </w:rPr>
        <w:t>nnual fund-</w:t>
      </w:r>
      <w:r w:rsidRPr="0000036A">
        <w:t xml:space="preserve">level statistics </w:t>
      </w:r>
      <w:r>
        <w:t>in which</w:t>
      </w:r>
      <w:r w:rsidRPr="00055BE4">
        <w:t xml:space="preserve"> data for small funds were unmasked</w:t>
      </w:r>
      <w:r w:rsidRPr="0000036A">
        <w:t>.</w:t>
      </w:r>
    </w:p>
  </w:footnote>
  <w:footnote w:id="7">
    <w:p w14:paraId="5615BC9E" w14:textId="77777777" w:rsidR="00B54007" w:rsidRDefault="00B54007" w:rsidP="0011262F">
      <w:pPr>
        <w:pStyle w:val="FootnoteText"/>
      </w:pPr>
      <w:r w:rsidRPr="006007B3">
        <w:rPr>
          <w:rStyle w:val="FootnoteReference"/>
        </w:rPr>
        <w:footnoteRef/>
      </w:r>
      <w:r>
        <w:tab/>
      </w:r>
      <w:r w:rsidDel="007D179D">
        <w:t>While these data</w:t>
      </w:r>
      <w:r>
        <w:t xml:space="preserve"> could have been imputed</w:t>
      </w:r>
      <w:r w:rsidDel="007D179D">
        <w:t xml:space="preserve">, </w:t>
      </w:r>
      <w:r>
        <w:t xml:space="preserve">fund–year observations with this characteristic were immaterial, suggesting that excluding them has little </w:t>
      </w:r>
      <w:r w:rsidDel="007D179D">
        <w:t xml:space="preserve">impact on the </w:t>
      </w:r>
      <w:r>
        <w:t>results</w:t>
      </w:r>
      <w:r w:rsidDel="007D179D">
        <w:t xml:space="preserve">. </w:t>
      </w:r>
      <w:r>
        <w:t xml:space="preserve">Further, this imputation exercise would have </w:t>
      </w:r>
      <w:r w:rsidDel="007D179D">
        <w:t xml:space="preserve">significantly </w:t>
      </w:r>
      <w:r>
        <w:t>reduced</w:t>
      </w:r>
      <w:r w:rsidDel="007D179D">
        <w:t xml:space="preserve"> the tractability of the model.</w:t>
      </w:r>
    </w:p>
  </w:footnote>
  <w:footnote w:id="8">
    <w:p w14:paraId="1AF1CF0B" w14:textId="77777777" w:rsidR="00B54007" w:rsidRDefault="00B54007" w:rsidP="0011262F">
      <w:pPr>
        <w:pStyle w:val="FootnoteText"/>
      </w:pPr>
      <w:r>
        <w:rPr>
          <w:rStyle w:val="FootnoteReference"/>
        </w:rPr>
        <w:footnoteRef/>
      </w:r>
      <w:r>
        <w:tab/>
        <w:t>The method used for imputation is described below (box 8.2).</w:t>
      </w:r>
      <w:r w:rsidRPr="00ED5DDF">
        <w:rPr>
          <w:color w:val="FF0000"/>
        </w:rPr>
        <w:t xml:space="preserve"> </w:t>
      </w:r>
    </w:p>
  </w:footnote>
  <w:footnote w:id="9">
    <w:p w14:paraId="49A0A413" w14:textId="77777777" w:rsidR="00B54007" w:rsidRDefault="00B54007" w:rsidP="0011262F">
      <w:pPr>
        <w:pStyle w:val="FootnoteText"/>
      </w:pPr>
      <w:r>
        <w:rPr>
          <w:rStyle w:val="FootnoteReference"/>
        </w:rPr>
        <w:footnoteRef/>
      </w:r>
      <w:r>
        <w:tab/>
        <w:t>The sensitivity of the results to imputation of implausibly low administration and investment expenses was tested but the resulting estimates were not preferred (annex C).</w:t>
      </w:r>
    </w:p>
  </w:footnote>
  <w:footnote w:id="10">
    <w:p w14:paraId="32C346E4" w14:textId="77777777" w:rsidR="00B54007" w:rsidRPr="00EC78FA" w:rsidRDefault="00B54007" w:rsidP="0011262F">
      <w:pPr>
        <w:pStyle w:val="FootnoteText"/>
        <w:rPr>
          <w:spacing w:val="-2"/>
        </w:rPr>
      </w:pPr>
      <w:r w:rsidRPr="00EC78FA">
        <w:rPr>
          <w:rStyle w:val="FootnoteReference"/>
          <w:spacing w:val="-2"/>
        </w:rPr>
        <w:footnoteRef/>
      </w:r>
      <w:r w:rsidRPr="00EC78FA">
        <w:rPr>
          <w:spacing w:val="-2"/>
        </w:rPr>
        <w:tab/>
        <w:t xml:space="preserve">Fees were aggregated from product level data to fund level by taking the average of fees for products available for a fund in the dataset. </w:t>
      </w:r>
      <w:r>
        <w:rPr>
          <w:spacing w:val="-2"/>
        </w:rPr>
        <w:t xml:space="preserve">See annex C for further details. </w:t>
      </w:r>
    </w:p>
  </w:footnote>
  <w:footnote w:id="11">
    <w:p w14:paraId="08837871" w14:textId="77777777" w:rsidR="00B54007" w:rsidRDefault="00B54007" w:rsidP="0011262F">
      <w:pPr>
        <w:pStyle w:val="FootnoteText"/>
      </w:pPr>
      <w:r>
        <w:rPr>
          <w:rStyle w:val="FootnoteReference"/>
        </w:rPr>
        <w:footnoteRef/>
      </w:r>
      <w:r>
        <w:tab/>
      </w:r>
      <w:r>
        <w:rPr>
          <w:spacing w:val="-2"/>
        </w:rPr>
        <w:t>Use of a Bayesian framework was suggested</w:t>
      </w:r>
      <w:r w:rsidRPr="00E97CFD">
        <w:rPr>
          <w:spacing w:val="-2"/>
        </w:rPr>
        <w:t xml:space="preserve"> by </w:t>
      </w:r>
      <w:r>
        <w:rPr>
          <w:spacing w:val="-2"/>
        </w:rPr>
        <w:t>the</w:t>
      </w:r>
      <w:r w:rsidRPr="00E97CFD">
        <w:rPr>
          <w:spacing w:val="-2"/>
        </w:rPr>
        <w:t xml:space="preserve"> consultant</w:t>
      </w:r>
      <w:r>
        <w:rPr>
          <w:spacing w:val="-2"/>
        </w:rPr>
        <w:t xml:space="preserve"> to the analysis</w:t>
      </w:r>
      <w:r w:rsidRPr="00E97CFD">
        <w:rPr>
          <w:spacing w:val="-2"/>
        </w:rPr>
        <w:t>, Jim Savage</w:t>
      </w:r>
      <w:r>
        <w:rPr>
          <w:spacing w:val="-2"/>
        </w:rPr>
        <w:t>, and confirmed by Liana Jacobi in her technical peer review.</w:t>
      </w:r>
    </w:p>
  </w:footnote>
  <w:footnote w:id="12">
    <w:p w14:paraId="36B031D6" w14:textId="77777777" w:rsidR="00B54007" w:rsidRPr="003C382E" w:rsidRDefault="00B54007" w:rsidP="0011262F">
      <w:pPr>
        <w:pStyle w:val="FootnoteText"/>
      </w:pPr>
      <w:r>
        <w:rPr>
          <w:rStyle w:val="FootnoteReference"/>
        </w:rPr>
        <w:footnoteRef/>
      </w:r>
      <w:r>
        <w:tab/>
        <w:t>Participants suggested that t</w:t>
      </w:r>
      <w:r w:rsidRPr="00CF1A0E">
        <w:t xml:space="preserve">he result for corporate funds </w:t>
      </w:r>
      <w:r>
        <w:t>might reflect</w:t>
      </w:r>
      <w:r w:rsidRPr="00CF1A0E">
        <w:t xml:space="preserve"> economies stemming from companies’ use of </w:t>
      </w:r>
      <w:r>
        <w:t xml:space="preserve">their own </w:t>
      </w:r>
      <w:r w:rsidRPr="00CF1A0E">
        <w:t xml:space="preserve">human resources and payroll </w:t>
      </w:r>
      <w:r>
        <w:t>systems</w:t>
      </w:r>
      <w:r w:rsidRPr="00CF1A0E">
        <w:t xml:space="preserve"> to administer super.</w:t>
      </w:r>
    </w:p>
  </w:footnote>
  <w:footnote w:id="13">
    <w:p w14:paraId="2074ADB8" w14:textId="77777777" w:rsidR="00B54007" w:rsidRDefault="00B54007" w:rsidP="0011262F">
      <w:pPr>
        <w:pStyle w:val="FootnoteText"/>
      </w:pPr>
      <w:r>
        <w:rPr>
          <w:rStyle w:val="FootnoteReference"/>
        </w:rPr>
        <w:footnoteRef/>
      </w:r>
      <w:r>
        <w:tab/>
        <w:t>Averaging the fund</w:t>
      </w:r>
      <w:r>
        <w:noBreakHyphen/>
        <w:t>specific effects derived from the multi</w:t>
      </w:r>
      <w:r>
        <w:noBreakHyphen/>
        <w:t xml:space="preserve">level modelling (box 8.2) and the impacts of other variables produces a figure that can be hard to interpret. </w:t>
      </w:r>
    </w:p>
  </w:footnote>
  <w:footnote w:id="14">
    <w:p w14:paraId="3739308E" w14:textId="77777777" w:rsidR="00B54007" w:rsidRDefault="00B54007" w:rsidP="0011262F">
      <w:pPr>
        <w:pStyle w:val="FootnoteText"/>
      </w:pPr>
      <w:r>
        <w:rPr>
          <w:rStyle w:val="FootnoteReference"/>
        </w:rPr>
        <w:footnoteRef/>
      </w:r>
      <w:r>
        <w:tab/>
        <w:t>Strictly speaking, the power coefficient measures the degree of concavity in the relationship. This could be loosely interpreted as ‘strength’ in the sense that it implies economies of scale are more quickly realised.</w:t>
      </w:r>
    </w:p>
  </w:footnote>
  <w:footnote w:id="15">
    <w:p w14:paraId="280880B8" w14:textId="77777777" w:rsidR="00B54007" w:rsidRPr="000D2DE1" w:rsidRDefault="00B54007" w:rsidP="0011262F">
      <w:pPr>
        <w:pStyle w:val="FootnoteText"/>
        <w:rPr>
          <w:spacing w:val="-2"/>
        </w:rPr>
      </w:pPr>
      <w:r w:rsidRPr="000D2DE1">
        <w:rPr>
          <w:rStyle w:val="FootnoteReference"/>
          <w:spacing w:val="-2"/>
        </w:rPr>
        <w:footnoteRef/>
      </w:r>
      <w:r w:rsidRPr="000D2DE1">
        <w:rPr>
          <w:spacing w:val="-2"/>
        </w:rPr>
        <w:tab/>
        <w:t>And reaches a value of one at the 50</w:t>
      </w:r>
      <w:r w:rsidRPr="000D2DE1">
        <w:rPr>
          <w:spacing w:val="-2"/>
          <w:vertAlign w:val="superscript"/>
        </w:rPr>
        <w:t>th</w:t>
      </w:r>
      <w:r w:rsidRPr="000D2DE1">
        <w:rPr>
          <w:spacing w:val="-2"/>
        </w:rPr>
        <w:t xml:space="preserve"> percentile in results generated as part of sensitivity testing of the model.</w:t>
      </w:r>
    </w:p>
  </w:footnote>
  <w:footnote w:id="16">
    <w:p w14:paraId="693ED11B" w14:textId="77777777" w:rsidR="00B54007" w:rsidRDefault="00B54007" w:rsidP="0011262F">
      <w:pPr>
        <w:pStyle w:val="FootnoteText"/>
      </w:pPr>
      <w:r>
        <w:rPr>
          <w:rStyle w:val="FootnoteReference"/>
        </w:rPr>
        <w:footnoteRef/>
      </w:r>
      <w:r>
        <w:tab/>
        <w:t>The system level estimate is calculated from draws from the model’s posterior distribution — an output of Bayesian estimated models (annex A).</w:t>
      </w:r>
    </w:p>
  </w:footnote>
  <w:footnote w:id="17">
    <w:p w14:paraId="29E8F6D7" w14:textId="77777777" w:rsidR="00B54007" w:rsidRDefault="00B54007" w:rsidP="0011262F">
      <w:pPr>
        <w:pStyle w:val="FootnoteText"/>
      </w:pPr>
      <w:r>
        <w:rPr>
          <w:rStyle w:val="FootnoteReference"/>
        </w:rPr>
        <w:footnoteRef/>
      </w:r>
      <w:r>
        <w:tab/>
        <w:t>A ‘basis point’ equals one one</w:t>
      </w:r>
      <w:r>
        <w:noBreakHyphen/>
        <w:t>hundredth of one percentage point. So 50 basis points is equivalent to 0.5 per cent, or half of one per cent.</w:t>
      </w:r>
    </w:p>
  </w:footnote>
  <w:footnote w:id="18">
    <w:p w14:paraId="69525D83" w14:textId="77777777" w:rsidR="00B54007" w:rsidRDefault="00B54007" w:rsidP="0011262F">
      <w:pPr>
        <w:pStyle w:val="FootnoteText"/>
      </w:pPr>
      <w:r>
        <w:rPr>
          <w:rStyle w:val="FootnoteReference"/>
        </w:rPr>
        <w:footnoteRef/>
      </w:r>
      <w:r>
        <w:tab/>
        <w:t>Calculating a weighted mean for funds in the sample for different time periods would have been challenging given the large increases in size experienced by some funds.</w:t>
      </w:r>
    </w:p>
  </w:footnote>
  <w:footnote w:id="19">
    <w:p w14:paraId="17DA4867" w14:textId="77777777" w:rsidR="00B54007" w:rsidRDefault="00B54007" w:rsidP="0011262F">
      <w:pPr>
        <w:pStyle w:val="FootnoteText"/>
      </w:pPr>
      <w:r>
        <w:rPr>
          <w:rStyle w:val="FootnoteReference"/>
        </w:rPr>
        <w:footnoteRef/>
      </w:r>
      <w:r>
        <w:tab/>
        <w:t>This is calculated as the median gap from figure 8.11. While the sample is over 2004–2017, funds may have entered after 2004 and left before 2017. Funds with imputed expenses are excluded from this calculation.</w:t>
      </w:r>
    </w:p>
  </w:footnote>
  <w:footnote w:id="20">
    <w:p w14:paraId="2C185AC8" w14:textId="77777777" w:rsidR="00B54007" w:rsidRDefault="00B54007" w:rsidP="0011262F">
      <w:pPr>
        <w:pStyle w:val="FootnoteText"/>
      </w:pPr>
      <w:r>
        <w:rPr>
          <w:rStyle w:val="FootnoteReference"/>
        </w:rPr>
        <w:footnoteRef/>
      </w:r>
      <w:r>
        <w:tab/>
        <w:t xml:space="preserve">This is calculated as the median gap from figure 8.12. While the sample is over 2004–2017, funds may have entered after 2004 and left before 2017. Funds with imputed expenses are excluded from this calculation. The estimated gains from scale in investment expenses are much lower than the gains in administration expenses for two reasons: 1) the power coefficient for industry funds is much larger when estimating investment costs, which reduces the gains available to industry funds and 2) reported investment expenses are typically lower than administration expenses and subject to significant underreporting, which reduces the scope for gains (as shown in figure 8.12). </w:t>
      </w:r>
    </w:p>
  </w:footnote>
  <w:footnote w:id="21">
    <w:p w14:paraId="3D5F6972" w14:textId="77777777" w:rsidR="00B54007" w:rsidRDefault="00B54007" w:rsidP="0011262F">
      <w:pPr>
        <w:pStyle w:val="FootnoteText"/>
      </w:pPr>
      <w:r>
        <w:rPr>
          <w:rStyle w:val="FootnoteReference"/>
        </w:rPr>
        <w:footnoteRef/>
      </w:r>
      <w:r>
        <w:tab/>
      </w:r>
      <w:r w:rsidRPr="006007B3">
        <w:rPr>
          <w:spacing w:val="-2"/>
        </w:rPr>
        <w:t>Cost savings were calculated for a range of scenarios, each with progressively more funds being assumed to exit. Funds were assumed to merge with the 10 lowest cost funds with total average costs greater than 45 basis points (to avoid allocating assets to funds with underreported expenses).</w:t>
      </w:r>
      <w:r>
        <w:rPr>
          <w:spacing w:val="-2"/>
        </w:rPr>
        <w:t xml:space="preserve"> The mergers were conducted at random, but in proportion such that the lowest cost fund received more of the incoming assets than other funds. </w:t>
      </w:r>
    </w:p>
  </w:footnote>
  <w:footnote w:id="22">
    <w:p w14:paraId="105D1C80" w14:textId="77777777" w:rsidR="00B54007" w:rsidRDefault="00B54007" w:rsidP="0011262F">
      <w:pPr>
        <w:pStyle w:val="FootnoteText"/>
      </w:pPr>
      <w:r w:rsidRPr="006007B3">
        <w:rPr>
          <w:rStyle w:val="FootnoteReference"/>
        </w:rPr>
        <w:footnoteRef/>
      </w:r>
      <w:r>
        <w:tab/>
        <w:t>These estimates do not take into account transition costs, nor potential strategic responses by funds or changes in member behaviour — for example, increasing contributions to a lower cost fund.</w:t>
      </w:r>
    </w:p>
  </w:footnote>
  <w:footnote w:id="23">
    <w:p w14:paraId="5F1B050F" w14:textId="77777777" w:rsidR="00B54007" w:rsidRDefault="00B54007" w:rsidP="0011262F">
      <w:pPr>
        <w:pStyle w:val="FootnoteText"/>
      </w:pPr>
      <w:r>
        <w:rPr>
          <w:rStyle w:val="FootnoteReference"/>
        </w:rPr>
        <w:footnoteRef/>
      </w:r>
      <w:r>
        <w:tab/>
      </w:r>
      <w:r>
        <w:rPr>
          <w:spacing w:val="-2"/>
        </w:rPr>
        <w:t>This could occur if the model struggles to account for increased costs from asset allocation as funds get larger due to data limitations.</w:t>
      </w:r>
    </w:p>
  </w:footnote>
  <w:footnote w:id="24">
    <w:p w14:paraId="2A9DF0E2" w14:textId="77777777" w:rsidR="00B54007" w:rsidRDefault="00B54007" w:rsidP="0011262F">
      <w:pPr>
        <w:pStyle w:val="FootnoteText"/>
      </w:pPr>
      <w:r>
        <w:rPr>
          <w:rStyle w:val="FootnoteReference"/>
        </w:rPr>
        <w:footnoteRef/>
      </w:r>
      <w:r>
        <w:tab/>
        <w:t>The Commission’s supplementary paper on investment performance analysed survey data from funds and found that unlisted asset classes had higher net returns, but lower returns relative to benchmarks, between 2008–2017.</w:t>
      </w:r>
    </w:p>
  </w:footnote>
  <w:footnote w:id="25">
    <w:p w14:paraId="082EDF2D" w14:textId="77777777" w:rsidR="00B54007" w:rsidRDefault="00B54007" w:rsidP="0011262F">
      <w:pPr>
        <w:pStyle w:val="FootnoteText"/>
      </w:pPr>
      <w:r>
        <w:rPr>
          <w:rStyle w:val="FootnoteReference"/>
        </w:rPr>
        <w:footnoteRef/>
      </w:r>
      <w:r>
        <w:tab/>
        <w:t>In addition to analysing annualised/average data, the Commission also conducted a panel analysis with similar findings. The results are presented in annex G.</w:t>
      </w:r>
    </w:p>
  </w:footnote>
  <w:footnote w:id="26">
    <w:p w14:paraId="0934895B" w14:textId="77777777" w:rsidR="00B54007" w:rsidRDefault="00B54007" w:rsidP="0011262F">
      <w:pPr>
        <w:pStyle w:val="FootnoteText"/>
      </w:pPr>
      <w:r>
        <w:rPr>
          <w:rStyle w:val="FootnoteReference"/>
        </w:rPr>
        <w:footnoteRef/>
      </w:r>
      <w:r>
        <w:tab/>
        <w:t>A similar relationship is found using data from 2004 to 2017.</w:t>
      </w:r>
    </w:p>
  </w:footnote>
  <w:footnote w:id="27">
    <w:p w14:paraId="3F8630E4" w14:textId="77777777" w:rsidR="00B54007" w:rsidRDefault="00B54007" w:rsidP="0011262F">
      <w:pPr>
        <w:pStyle w:val="FootnoteText"/>
      </w:pPr>
      <w:r>
        <w:rPr>
          <w:rStyle w:val="FootnoteReference"/>
        </w:rPr>
        <w:footnoteRef/>
      </w:r>
      <w:r>
        <w:tab/>
      </w:r>
      <w:r w:rsidRPr="00D33127">
        <w:t xml:space="preserve">For example, </w:t>
      </w:r>
      <w:r>
        <w:t xml:space="preserve">(as noted above) </w:t>
      </w:r>
      <w:r w:rsidRPr="00D33127">
        <w:t xml:space="preserve">the estimated cost model suggests that an industry fund that increased </w:t>
      </w:r>
      <w:r>
        <w:t xml:space="preserve">in scale </w:t>
      </w:r>
      <w:r w:rsidRPr="00D33127">
        <w:t>from $500</w:t>
      </w:r>
      <w:r>
        <w:t> </w:t>
      </w:r>
      <w:r w:rsidRPr="00D33127">
        <w:t>m</w:t>
      </w:r>
      <w:r>
        <w:t>illion of assets</w:t>
      </w:r>
      <w:r w:rsidRPr="00D33127">
        <w:t xml:space="preserve"> to $1</w:t>
      </w:r>
      <w:r>
        <w:t> </w:t>
      </w:r>
      <w:r w:rsidRPr="00D33127">
        <w:t>b</w:t>
      </w:r>
      <w:r>
        <w:t>illion</w:t>
      </w:r>
      <w:r w:rsidRPr="00D33127">
        <w:t xml:space="preserve"> would</w:t>
      </w:r>
      <w:r>
        <w:t>,</w:t>
      </w:r>
      <w:r w:rsidRPr="00D33127">
        <w:t xml:space="preserve"> </w:t>
      </w:r>
      <w:r>
        <w:t xml:space="preserve">on </w:t>
      </w:r>
      <w:r w:rsidRPr="00D33127">
        <w:t>average</w:t>
      </w:r>
      <w:r>
        <w:t>,</w:t>
      </w:r>
      <w:r w:rsidRPr="00D33127">
        <w:t xml:space="preserve"> </w:t>
      </w:r>
      <w:r>
        <w:t xml:space="preserve">reduce its expenses by 18 basis points in total. For the same increase in size, the estimated returns relationship implies an increase in net returns of 22 basis points. </w:t>
      </w:r>
    </w:p>
  </w:footnote>
  <w:footnote w:id="28">
    <w:p w14:paraId="1A0E6396" w14:textId="77777777" w:rsidR="00B54007" w:rsidRDefault="00B54007" w:rsidP="0011262F">
      <w:pPr>
        <w:pStyle w:val="FootnoteText"/>
      </w:pPr>
      <w:r>
        <w:rPr>
          <w:rStyle w:val="FootnoteReference"/>
        </w:rPr>
        <w:footnoteRef/>
      </w:r>
      <w:r>
        <w:tab/>
        <w:t xml:space="preserve">The strong positive correlation between net returns and the proportion of assets held in </w:t>
      </w:r>
      <w:r>
        <w:rPr>
          <w:spacing w:val="-2"/>
        </w:rPr>
        <w:t xml:space="preserve">unlisted assets is unsurprising because unlisted infrastructure has performed very well over recent years, as shown in the Commission’s supplementary paper on investment performance. </w:t>
      </w:r>
      <w:r>
        <w:t>The proportion of funds in defensive asset classes is negatively correlated with net returns. There is no statistically significant correlation between net returns and the proportion of private equity. Results are presented in annex G.</w:t>
      </w:r>
    </w:p>
  </w:footnote>
  <w:footnote w:id="29">
    <w:p w14:paraId="350F3348" w14:textId="77777777" w:rsidR="00B54007" w:rsidRDefault="00B54007" w:rsidP="0011262F">
      <w:pPr>
        <w:pStyle w:val="FootnoteText"/>
      </w:pPr>
      <w:r>
        <w:rPr>
          <w:rStyle w:val="FootnoteReference"/>
        </w:rPr>
        <w:footnoteRef/>
      </w:r>
      <w:r>
        <w:tab/>
        <w:t xml:space="preserve">Fund-specific benchmarks were </w:t>
      </w:r>
      <w:r w:rsidRPr="003330A2">
        <w:rPr>
          <w:spacing w:val="-2"/>
        </w:rPr>
        <w:t>calculated using asset allocation data and asset class</w:t>
      </w:r>
      <w:r w:rsidRPr="003330A2">
        <w:rPr>
          <w:spacing w:val="-2"/>
        </w:rPr>
        <w:noBreakHyphen/>
        <w:t>specific benchmark returns following the</w:t>
      </w:r>
      <w:r>
        <w:rPr>
          <w:spacing w:val="-2"/>
        </w:rPr>
        <w:t xml:space="preserve"> updated</w:t>
      </w:r>
      <w:r w:rsidRPr="003330A2">
        <w:rPr>
          <w:spacing w:val="-2"/>
        </w:rPr>
        <w:t xml:space="preserve"> assumptions detailed in </w:t>
      </w:r>
      <w:r>
        <w:rPr>
          <w:spacing w:val="-2"/>
        </w:rPr>
        <w:t>the supplementary paper on investment performance.</w:t>
      </w:r>
    </w:p>
  </w:footnote>
  <w:footnote w:id="30">
    <w:p w14:paraId="232F1711" w14:textId="77777777" w:rsidR="00B54007" w:rsidRDefault="00B54007" w:rsidP="0011262F">
      <w:pPr>
        <w:pStyle w:val="FootnoteText"/>
      </w:pPr>
      <w:r w:rsidRPr="006007B3">
        <w:rPr>
          <w:rStyle w:val="FootnoteReference"/>
        </w:rPr>
        <w:footnoteRef/>
      </w:r>
      <w:r>
        <w:tab/>
        <w:t>The regularisation of fund-specific parameters is particularly effective in a Bayesian framework as the priors for fund-specific parameters can be determined endogenously from information from the full set of funds. This helps the regularisation to be more targeted.</w:t>
      </w:r>
    </w:p>
  </w:footnote>
  <w:footnote w:id="31">
    <w:p w14:paraId="6094ACB5" w14:textId="77777777" w:rsidR="00B54007" w:rsidRDefault="00B54007" w:rsidP="0011262F">
      <w:pPr>
        <w:pStyle w:val="FootnoteText"/>
      </w:pPr>
      <w:r w:rsidRPr="006007B3">
        <w:rPr>
          <w:rStyle w:val="FootnoteReference"/>
        </w:rPr>
        <w:footnoteRef/>
      </w:r>
      <w:r>
        <w:tab/>
        <w:t xml:space="preserve">Note that the </w:t>
      </w:r>
      <w:proofErr w:type="spellStart"/>
      <w:r>
        <w:t>LKJ</w:t>
      </w:r>
      <w:proofErr w:type="spellEnd"/>
      <w:r>
        <w:t xml:space="preserve"> distribution is named after the initials of the authors of the paper that derived the distribution </w:t>
      </w:r>
      <w:r w:rsidRPr="004C2AA0">
        <w:rPr>
          <w:szCs w:val="24"/>
        </w:rPr>
        <w:t>(</w:t>
      </w:r>
      <w:proofErr w:type="spellStart"/>
      <w:r w:rsidRPr="004C2AA0">
        <w:rPr>
          <w:szCs w:val="24"/>
        </w:rPr>
        <w:t>Lewandowksi</w:t>
      </w:r>
      <w:proofErr w:type="spellEnd"/>
      <w:r w:rsidRPr="004C2AA0">
        <w:rPr>
          <w:szCs w:val="24"/>
        </w:rPr>
        <w:t xml:space="preserve">, </w:t>
      </w:r>
      <w:proofErr w:type="spellStart"/>
      <w:r w:rsidRPr="004C2AA0">
        <w:rPr>
          <w:szCs w:val="24"/>
        </w:rPr>
        <w:t>Kurowicka</w:t>
      </w:r>
      <w:proofErr w:type="spellEnd"/>
      <w:r w:rsidRPr="004C2AA0">
        <w:rPr>
          <w:szCs w:val="24"/>
        </w:rPr>
        <w:t xml:space="preserve"> and Joe 2009)</w:t>
      </w:r>
      <w:r>
        <w:t>.</w:t>
      </w:r>
    </w:p>
  </w:footnote>
  <w:footnote w:id="32">
    <w:p w14:paraId="42B28B2C" w14:textId="77777777" w:rsidR="00B54007" w:rsidRDefault="00B54007" w:rsidP="0011262F">
      <w:pPr>
        <w:pStyle w:val="FootnoteText"/>
      </w:pPr>
      <w:r w:rsidRPr="006007B3">
        <w:rPr>
          <w:rStyle w:val="FootnoteReference"/>
        </w:rPr>
        <w:footnoteRef/>
      </w:r>
      <w:r>
        <w:tab/>
        <w:t xml:space="preserve">Including yearly fixed effects would require a significant change to the analysis, which uses predictions for 2017. Refer to the footnotes in box 8.2.  </w:t>
      </w:r>
    </w:p>
  </w:footnote>
  <w:footnote w:id="33">
    <w:p w14:paraId="5691F4A5" w14:textId="77777777" w:rsidR="00B54007" w:rsidRDefault="00B54007" w:rsidP="0011262F">
      <w:pPr>
        <w:pStyle w:val="FootnoteText"/>
      </w:pPr>
      <w:r w:rsidRPr="006007B3">
        <w:rPr>
          <w:rStyle w:val="FootnoteReference"/>
        </w:rPr>
        <w:footnoteRef/>
      </w:r>
      <w:r>
        <w:tab/>
        <w:t xml:space="preserve">A large number of fund-year observations – 1852 of 4138 fell into this bucket.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54007" w14:paraId="6A0F9E0B" w14:textId="77777777" w:rsidTr="008E6FA5">
      <w:tc>
        <w:tcPr>
          <w:tcW w:w="2155" w:type="dxa"/>
          <w:tcBorders>
            <w:top w:val="single" w:sz="24" w:space="0" w:color="auto"/>
          </w:tcBorders>
        </w:tcPr>
        <w:p w14:paraId="6CF0BA9D" w14:textId="77777777" w:rsidR="00B54007" w:rsidRDefault="00B54007" w:rsidP="00BB06D4">
          <w:pPr>
            <w:pStyle w:val="HeaderEven"/>
          </w:pPr>
        </w:p>
      </w:tc>
      <w:tc>
        <w:tcPr>
          <w:tcW w:w="6634" w:type="dxa"/>
          <w:tcBorders>
            <w:top w:val="single" w:sz="6" w:space="0" w:color="auto"/>
          </w:tcBorders>
        </w:tcPr>
        <w:p w14:paraId="6A340E25" w14:textId="77777777" w:rsidR="00B54007" w:rsidRDefault="00B54007" w:rsidP="00BB06D4">
          <w:pPr>
            <w:pStyle w:val="HeaderEven"/>
          </w:pPr>
        </w:p>
      </w:tc>
    </w:tr>
  </w:tbl>
  <w:p w14:paraId="742F0ED1" w14:textId="77777777" w:rsidR="00B54007" w:rsidRDefault="00B54007" w:rsidP="00BB06D4">
    <w:pPr>
      <w:pStyle w:val="HeaderEnd"/>
    </w:pPr>
  </w:p>
  <w:p w14:paraId="4C586DAC" w14:textId="77777777" w:rsidR="00B54007" w:rsidRDefault="00B54007" w:rsidP="00BB06D4">
    <w:pPr>
      <w:pStyle w:val="HeaderEnd"/>
    </w:pPr>
  </w:p>
  <w:p w14:paraId="1B89AEB3" w14:textId="77777777" w:rsidR="00B54007" w:rsidRDefault="00B54007">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54007" w14:paraId="3E89CFEC" w14:textId="77777777">
      <w:tc>
        <w:tcPr>
          <w:tcW w:w="6634" w:type="dxa"/>
          <w:tcBorders>
            <w:top w:val="single" w:sz="6" w:space="0" w:color="auto"/>
          </w:tcBorders>
        </w:tcPr>
        <w:p w14:paraId="3E89CFEA" w14:textId="77777777" w:rsidR="00B54007" w:rsidRDefault="00B54007" w:rsidP="00E669E2">
          <w:pPr>
            <w:pStyle w:val="HeaderOdd"/>
          </w:pPr>
        </w:p>
      </w:tc>
      <w:tc>
        <w:tcPr>
          <w:tcW w:w="2155" w:type="dxa"/>
          <w:tcBorders>
            <w:top w:val="single" w:sz="24" w:space="0" w:color="auto"/>
          </w:tcBorders>
        </w:tcPr>
        <w:p w14:paraId="3E89CFEB" w14:textId="77777777" w:rsidR="00B54007" w:rsidRDefault="00B54007" w:rsidP="00E669E2">
          <w:pPr>
            <w:pStyle w:val="HeaderOdd"/>
          </w:pPr>
        </w:p>
      </w:tc>
    </w:tr>
  </w:tbl>
  <w:p w14:paraId="3E89CFED" w14:textId="77777777" w:rsidR="00B54007" w:rsidRDefault="00B54007">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99255" w14:textId="77777777" w:rsidR="00B54007" w:rsidRDefault="00B5400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21C75D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5" w15:restartNumberingAfterBreak="0">
    <w:nsid w:val="04ED3475"/>
    <w:multiLevelType w:val="hybridMultilevel"/>
    <w:tmpl w:val="A59AA688"/>
    <w:lvl w:ilvl="0" w:tplc="5BB00852">
      <w:start w:val="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7" w15:restartNumberingAfterBreak="0">
    <w:nsid w:val="0945581A"/>
    <w:multiLevelType w:val="hybridMultilevel"/>
    <w:tmpl w:val="24D09AEA"/>
    <w:lvl w:ilvl="0" w:tplc="FF5E5B36">
      <w:start w:val="1"/>
      <w:numFmt w:val="lowerLetter"/>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8"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0F531127"/>
    <w:multiLevelType w:val="hybridMultilevel"/>
    <w:tmpl w:val="24C8977A"/>
    <w:lvl w:ilvl="0" w:tplc="FF5E5B36">
      <w:start w:val="1"/>
      <w:numFmt w:val="lowerLetter"/>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11"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2" w15:restartNumberingAfterBreak="0">
    <w:nsid w:val="12061E08"/>
    <w:multiLevelType w:val="hybridMultilevel"/>
    <w:tmpl w:val="228237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13E27CBE"/>
    <w:multiLevelType w:val="hybridMultilevel"/>
    <w:tmpl w:val="CCB23D0C"/>
    <w:lvl w:ilvl="0" w:tplc="223A84B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164917AC"/>
    <w:multiLevelType w:val="hybridMultilevel"/>
    <w:tmpl w:val="7ABCE2D4"/>
    <w:lvl w:ilvl="0" w:tplc="7AF22A86">
      <w:start w:val="6"/>
      <w:numFmt w:val="bullet"/>
      <w:pStyle w:val="TableBullet-level2"/>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AB25CDE"/>
    <w:multiLevelType w:val="singleLevel"/>
    <w:tmpl w:val="3086CA22"/>
    <w:lvl w:ilvl="0">
      <w:start w:val="1"/>
      <w:numFmt w:val="decimal"/>
      <w:lvlText w:val="%1."/>
      <w:legacy w:legacy="1" w:legacySpace="0" w:legacyIndent="340"/>
      <w:lvlJc w:val="left"/>
      <w:pPr>
        <w:ind w:left="340" w:hanging="340"/>
      </w:pPr>
    </w:lvl>
  </w:abstractNum>
  <w:abstractNum w:abstractNumId="17" w15:restartNumberingAfterBreak="0">
    <w:nsid w:val="1D421953"/>
    <w:multiLevelType w:val="hybridMultilevel"/>
    <w:tmpl w:val="C9E27E82"/>
    <w:lvl w:ilvl="0" w:tplc="FF5E5B36">
      <w:start w:val="1"/>
      <w:numFmt w:val="lowerLetter"/>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18" w15:restartNumberingAfterBreak="0">
    <w:nsid w:val="203D7DCD"/>
    <w:multiLevelType w:val="hybridMultilevel"/>
    <w:tmpl w:val="E7A8DB60"/>
    <w:lvl w:ilvl="0" w:tplc="FF5E5B36">
      <w:start w:val="1"/>
      <w:numFmt w:val="lowerLetter"/>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19"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20"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22" w15:restartNumberingAfterBreak="0">
    <w:nsid w:val="42D81F14"/>
    <w:multiLevelType w:val="hybridMultilevel"/>
    <w:tmpl w:val="BCCEB14C"/>
    <w:lvl w:ilvl="0" w:tplc="23FCBC5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5662E56"/>
    <w:multiLevelType w:val="hybridMultilevel"/>
    <w:tmpl w:val="CF3A84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A3F0F31"/>
    <w:multiLevelType w:val="hybridMultilevel"/>
    <w:tmpl w:val="BE4ACE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27"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8"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9" w15:restartNumberingAfterBreak="0">
    <w:nsid w:val="56210B18"/>
    <w:multiLevelType w:val="hybridMultilevel"/>
    <w:tmpl w:val="A7284EAE"/>
    <w:lvl w:ilvl="0" w:tplc="FF5E5B36">
      <w:start w:val="1"/>
      <w:numFmt w:val="lowerLetter"/>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30"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1" w15:restartNumberingAfterBreak="0">
    <w:nsid w:val="5EA405AB"/>
    <w:multiLevelType w:val="hybridMultilevel"/>
    <w:tmpl w:val="D3A26E02"/>
    <w:lvl w:ilvl="0" w:tplc="FC90AC56">
      <w:start w:val="4"/>
      <w:numFmt w:val="bullet"/>
      <w:lvlText w:val="-"/>
      <w:lvlJc w:val="left"/>
      <w:pPr>
        <w:ind w:left="720" w:hanging="360"/>
      </w:pPr>
      <w:rPr>
        <w:rFonts w:ascii="Times New Roman" w:eastAsia="Times New Roman" w:hAnsi="Times New Roman" w:cs="Times New Roman" w:hint="default"/>
        <w:b/>
        <w:color w:val="FF0000"/>
        <w:u w:val="dotte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34" w15:restartNumberingAfterBreak="0">
    <w:nsid w:val="67C71059"/>
    <w:multiLevelType w:val="hybridMultilevel"/>
    <w:tmpl w:val="41525484"/>
    <w:lvl w:ilvl="0" w:tplc="FF5E5B36">
      <w:start w:val="1"/>
      <w:numFmt w:val="lowerLetter"/>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35" w15:restartNumberingAfterBreak="0">
    <w:nsid w:val="6C3D1DD6"/>
    <w:multiLevelType w:val="hybridMultilevel"/>
    <w:tmpl w:val="8232451C"/>
    <w:lvl w:ilvl="0" w:tplc="9654A464">
      <w:start w:val="1"/>
      <w:numFmt w:val="bullet"/>
      <w:lvlText w:val="•"/>
      <w:lvlJc w:val="left"/>
      <w:pPr>
        <w:tabs>
          <w:tab w:val="num" w:pos="720"/>
        </w:tabs>
        <w:ind w:left="720" w:hanging="360"/>
      </w:pPr>
      <w:rPr>
        <w:rFonts w:ascii="Arial" w:hAnsi="Arial" w:hint="default"/>
      </w:rPr>
    </w:lvl>
    <w:lvl w:ilvl="1" w:tplc="1C1A661C" w:tentative="1">
      <w:start w:val="1"/>
      <w:numFmt w:val="bullet"/>
      <w:lvlText w:val="•"/>
      <w:lvlJc w:val="left"/>
      <w:pPr>
        <w:tabs>
          <w:tab w:val="num" w:pos="1440"/>
        </w:tabs>
        <w:ind w:left="1440" w:hanging="360"/>
      </w:pPr>
      <w:rPr>
        <w:rFonts w:ascii="Arial" w:hAnsi="Arial" w:hint="default"/>
      </w:rPr>
    </w:lvl>
    <w:lvl w:ilvl="2" w:tplc="BC22D98E" w:tentative="1">
      <w:start w:val="1"/>
      <w:numFmt w:val="bullet"/>
      <w:lvlText w:val="•"/>
      <w:lvlJc w:val="left"/>
      <w:pPr>
        <w:tabs>
          <w:tab w:val="num" w:pos="2160"/>
        </w:tabs>
        <w:ind w:left="2160" w:hanging="360"/>
      </w:pPr>
      <w:rPr>
        <w:rFonts w:ascii="Arial" w:hAnsi="Arial" w:hint="default"/>
      </w:rPr>
    </w:lvl>
    <w:lvl w:ilvl="3" w:tplc="B9BA9BA8" w:tentative="1">
      <w:start w:val="1"/>
      <w:numFmt w:val="bullet"/>
      <w:lvlText w:val="•"/>
      <w:lvlJc w:val="left"/>
      <w:pPr>
        <w:tabs>
          <w:tab w:val="num" w:pos="2880"/>
        </w:tabs>
        <w:ind w:left="2880" w:hanging="360"/>
      </w:pPr>
      <w:rPr>
        <w:rFonts w:ascii="Arial" w:hAnsi="Arial" w:hint="default"/>
      </w:rPr>
    </w:lvl>
    <w:lvl w:ilvl="4" w:tplc="1CB24C00" w:tentative="1">
      <w:start w:val="1"/>
      <w:numFmt w:val="bullet"/>
      <w:lvlText w:val="•"/>
      <w:lvlJc w:val="left"/>
      <w:pPr>
        <w:tabs>
          <w:tab w:val="num" w:pos="3600"/>
        </w:tabs>
        <w:ind w:left="3600" w:hanging="360"/>
      </w:pPr>
      <w:rPr>
        <w:rFonts w:ascii="Arial" w:hAnsi="Arial" w:hint="default"/>
      </w:rPr>
    </w:lvl>
    <w:lvl w:ilvl="5" w:tplc="FB14CB24" w:tentative="1">
      <w:start w:val="1"/>
      <w:numFmt w:val="bullet"/>
      <w:lvlText w:val="•"/>
      <w:lvlJc w:val="left"/>
      <w:pPr>
        <w:tabs>
          <w:tab w:val="num" w:pos="4320"/>
        </w:tabs>
        <w:ind w:left="4320" w:hanging="360"/>
      </w:pPr>
      <w:rPr>
        <w:rFonts w:ascii="Arial" w:hAnsi="Arial" w:hint="default"/>
      </w:rPr>
    </w:lvl>
    <w:lvl w:ilvl="6" w:tplc="AD10C3F2" w:tentative="1">
      <w:start w:val="1"/>
      <w:numFmt w:val="bullet"/>
      <w:lvlText w:val="•"/>
      <w:lvlJc w:val="left"/>
      <w:pPr>
        <w:tabs>
          <w:tab w:val="num" w:pos="5040"/>
        </w:tabs>
        <w:ind w:left="5040" w:hanging="360"/>
      </w:pPr>
      <w:rPr>
        <w:rFonts w:ascii="Arial" w:hAnsi="Arial" w:hint="default"/>
      </w:rPr>
    </w:lvl>
    <w:lvl w:ilvl="7" w:tplc="9DC66532" w:tentative="1">
      <w:start w:val="1"/>
      <w:numFmt w:val="bullet"/>
      <w:lvlText w:val="•"/>
      <w:lvlJc w:val="left"/>
      <w:pPr>
        <w:tabs>
          <w:tab w:val="num" w:pos="5760"/>
        </w:tabs>
        <w:ind w:left="5760" w:hanging="360"/>
      </w:pPr>
      <w:rPr>
        <w:rFonts w:ascii="Arial" w:hAnsi="Arial" w:hint="default"/>
      </w:rPr>
    </w:lvl>
    <w:lvl w:ilvl="8" w:tplc="AEF6A4D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E272C3C"/>
    <w:multiLevelType w:val="hybridMultilevel"/>
    <w:tmpl w:val="80DE6A64"/>
    <w:lvl w:ilvl="0" w:tplc="4AD43D6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9807E4E"/>
    <w:multiLevelType w:val="hybridMultilevel"/>
    <w:tmpl w:val="130035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39"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abstractNum w:abstractNumId="40" w15:restartNumberingAfterBreak="0">
    <w:nsid w:val="7C982111"/>
    <w:multiLevelType w:val="multilevel"/>
    <w:tmpl w:val="E0B8929C"/>
    <w:name w:val="StandardBulletedList"/>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Bullet"/>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1"/>
  </w:num>
  <w:num w:numId="2">
    <w:abstractNumId w:val="3"/>
  </w:num>
  <w:num w:numId="3">
    <w:abstractNumId w:val="26"/>
  </w:num>
  <w:num w:numId="4">
    <w:abstractNumId w:val="4"/>
  </w:num>
  <w:num w:numId="5">
    <w:abstractNumId w:val="33"/>
  </w:num>
  <w:num w:numId="6">
    <w:abstractNumId w:val="28"/>
  </w:num>
  <w:num w:numId="7">
    <w:abstractNumId w:val="11"/>
  </w:num>
  <w:num w:numId="8">
    <w:abstractNumId w:val="27"/>
  </w:num>
  <w:num w:numId="9">
    <w:abstractNumId w:val="9"/>
  </w:num>
  <w:num w:numId="10">
    <w:abstractNumId w:val="8"/>
  </w:num>
  <w:num w:numId="11">
    <w:abstractNumId w:val="19"/>
  </w:num>
  <w:num w:numId="12">
    <w:abstractNumId w:val="20"/>
  </w:num>
  <w:num w:numId="13">
    <w:abstractNumId w:val="6"/>
  </w:num>
  <w:num w:numId="14">
    <w:abstractNumId w:val="30"/>
  </w:num>
  <w:num w:numId="15">
    <w:abstractNumId w:val="38"/>
  </w:num>
  <w:num w:numId="16">
    <w:abstractNumId w:val="25"/>
  </w:num>
  <w:num w:numId="17">
    <w:abstractNumId w:val="39"/>
  </w:num>
  <w:num w:numId="18">
    <w:abstractNumId w:val="0"/>
  </w:num>
  <w:num w:numId="19">
    <w:abstractNumId w:val="2"/>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0">
    <w:abstractNumId w:val="32"/>
  </w:num>
  <w:num w:numId="21">
    <w:abstractNumId w:val="14"/>
  </w:num>
  <w:num w:numId="22">
    <w:abstractNumId w:val="37"/>
  </w:num>
  <w:num w:numId="23">
    <w:abstractNumId w:val="1"/>
  </w:num>
  <w:num w:numId="24">
    <w:abstractNumId w:val="31"/>
  </w:num>
  <w:num w:numId="25">
    <w:abstractNumId w:val="35"/>
  </w:num>
  <w:num w:numId="26">
    <w:abstractNumId w:val="13"/>
  </w:num>
  <w:num w:numId="27">
    <w:abstractNumId w:val="5"/>
  </w:num>
  <w:num w:numId="28">
    <w:abstractNumId w:val="36"/>
  </w:num>
  <w:num w:numId="29">
    <w:abstractNumId w:val="22"/>
  </w:num>
  <w:num w:numId="30">
    <w:abstractNumId w:val="24"/>
  </w:num>
  <w:num w:numId="31">
    <w:abstractNumId w:val="23"/>
  </w:num>
  <w:num w:numId="32">
    <w:abstractNumId w:val="12"/>
  </w:num>
  <w:num w:numId="33">
    <w:abstractNumId w:val="12"/>
  </w:num>
  <w:num w:numId="34">
    <w:abstractNumId w:val="34"/>
  </w:num>
  <w:num w:numId="35">
    <w:abstractNumId w:val="29"/>
  </w:num>
  <w:num w:numId="36">
    <w:abstractNumId w:val="18"/>
  </w:num>
  <w:num w:numId="37">
    <w:abstractNumId w:val="17"/>
  </w:num>
  <w:num w:numId="38">
    <w:abstractNumId w:val="7"/>
  </w:num>
  <w:num w:numId="39">
    <w:abstractNumId w:val="10"/>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40"/>
  </w:num>
  <w:num w:numId="45">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1392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pendixNumber" w:val="4"/>
    <w:docVar w:name="FindingOptions" w:val="1"/>
    <w:docVar w:name="RecOptions" w:val="111"/>
    <w:docVar w:name="ShortChapterTitle" w:val="Technical supplement 4"/>
    <w:docVar w:name="ShortReportTitle" w:val="Superannuation: Efficiency and Competitiveness"/>
  </w:docVars>
  <w:rsids>
    <w:rsidRoot w:val="00650A4F"/>
    <w:rsid w:val="00000CF4"/>
    <w:rsid w:val="00001CFC"/>
    <w:rsid w:val="0000204D"/>
    <w:rsid w:val="000021E4"/>
    <w:rsid w:val="00005115"/>
    <w:rsid w:val="00005C13"/>
    <w:rsid w:val="00007979"/>
    <w:rsid w:val="00007B15"/>
    <w:rsid w:val="00010589"/>
    <w:rsid w:val="000111EE"/>
    <w:rsid w:val="000113B2"/>
    <w:rsid w:val="00011545"/>
    <w:rsid w:val="00012734"/>
    <w:rsid w:val="000144B7"/>
    <w:rsid w:val="000154AB"/>
    <w:rsid w:val="00015CF9"/>
    <w:rsid w:val="00016E81"/>
    <w:rsid w:val="00017180"/>
    <w:rsid w:val="00017DCB"/>
    <w:rsid w:val="00020C06"/>
    <w:rsid w:val="000216D1"/>
    <w:rsid w:val="00021CD2"/>
    <w:rsid w:val="000227D5"/>
    <w:rsid w:val="00024562"/>
    <w:rsid w:val="000245AA"/>
    <w:rsid w:val="00025405"/>
    <w:rsid w:val="00025C1C"/>
    <w:rsid w:val="00025C5B"/>
    <w:rsid w:val="00026562"/>
    <w:rsid w:val="00027E41"/>
    <w:rsid w:val="000300E8"/>
    <w:rsid w:val="0003013A"/>
    <w:rsid w:val="00030865"/>
    <w:rsid w:val="00030C0D"/>
    <w:rsid w:val="000333AC"/>
    <w:rsid w:val="00033964"/>
    <w:rsid w:val="00033E9F"/>
    <w:rsid w:val="00034AEC"/>
    <w:rsid w:val="0003579D"/>
    <w:rsid w:val="00036523"/>
    <w:rsid w:val="0003664B"/>
    <w:rsid w:val="00037817"/>
    <w:rsid w:val="00037D90"/>
    <w:rsid w:val="00040338"/>
    <w:rsid w:val="0004111F"/>
    <w:rsid w:val="000426A8"/>
    <w:rsid w:val="0004374F"/>
    <w:rsid w:val="000477F3"/>
    <w:rsid w:val="00050262"/>
    <w:rsid w:val="00050284"/>
    <w:rsid w:val="00050A30"/>
    <w:rsid w:val="000521BD"/>
    <w:rsid w:val="0005295A"/>
    <w:rsid w:val="00052D62"/>
    <w:rsid w:val="000535B5"/>
    <w:rsid w:val="00054492"/>
    <w:rsid w:val="00055077"/>
    <w:rsid w:val="000557C1"/>
    <w:rsid w:val="000565B3"/>
    <w:rsid w:val="00056715"/>
    <w:rsid w:val="00057CD3"/>
    <w:rsid w:val="00057CEB"/>
    <w:rsid w:val="00057D85"/>
    <w:rsid w:val="000607E9"/>
    <w:rsid w:val="000619EE"/>
    <w:rsid w:val="00064BF4"/>
    <w:rsid w:val="0006572E"/>
    <w:rsid w:val="000672B2"/>
    <w:rsid w:val="00067AC4"/>
    <w:rsid w:val="00067F35"/>
    <w:rsid w:val="0007150B"/>
    <w:rsid w:val="00072871"/>
    <w:rsid w:val="00072A6D"/>
    <w:rsid w:val="000733AD"/>
    <w:rsid w:val="0007377A"/>
    <w:rsid w:val="00073E37"/>
    <w:rsid w:val="00074BCD"/>
    <w:rsid w:val="000756D0"/>
    <w:rsid w:val="0007621C"/>
    <w:rsid w:val="000778E0"/>
    <w:rsid w:val="000779FF"/>
    <w:rsid w:val="00077C89"/>
    <w:rsid w:val="00082A06"/>
    <w:rsid w:val="00082CFA"/>
    <w:rsid w:val="000830D5"/>
    <w:rsid w:val="00083563"/>
    <w:rsid w:val="00084993"/>
    <w:rsid w:val="00084A5F"/>
    <w:rsid w:val="00084E0D"/>
    <w:rsid w:val="000857C1"/>
    <w:rsid w:val="00086EF1"/>
    <w:rsid w:val="0009097C"/>
    <w:rsid w:val="000916B1"/>
    <w:rsid w:val="00091A20"/>
    <w:rsid w:val="00091FAA"/>
    <w:rsid w:val="00091FCD"/>
    <w:rsid w:val="000922C2"/>
    <w:rsid w:val="00092E4C"/>
    <w:rsid w:val="0009383C"/>
    <w:rsid w:val="000938F5"/>
    <w:rsid w:val="00093A0F"/>
    <w:rsid w:val="00094012"/>
    <w:rsid w:val="00094A9E"/>
    <w:rsid w:val="00095663"/>
    <w:rsid w:val="00096E55"/>
    <w:rsid w:val="0009783E"/>
    <w:rsid w:val="000A0FBE"/>
    <w:rsid w:val="000A2252"/>
    <w:rsid w:val="000A2965"/>
    <w:rsid w:val="000A2A34"/>
    <w:rsid w:val="000A2CC6"/>
    <w:rsid w:val="000A317B"/>
    <w:rsid w:val="000A3927"/>
    <w:rsid w:val="000A3BDE"/>
    <w:rsid w:val="000A3CA0"/>
    <w:rsid w:val="000A4EAA"/>
    <w:rsid w:val="000A722B"/>
    <w:rsid w:val="000A799A"/>
    <w:rsid w:val="000A7ABE"/>
    <w:rsid w:val="000B02C8"/>
    <w:rsid w:val="000B1022"/>
    <w:rsid w:val="000B200C"/>
    <w:rsid w:val="000B215E"/>
    <w:rsid w:val="000B5254"/>
    <w:rsid w:val="000B55D0"/>
    <w:rsid w:val="000B5DEC"/>
    <w:rsid w:val="000B601B"/>
    <w:rsid w:val="000C047C"/>
    <w:rsid w:val="000C0F9F"/>
    <w:rsid w:val="000C11F6"/>
    <w:rsid w:val="000C207E"/>
    <w:rsid w:val="000C2085"/>
    <w:rsid w:val="000C2650"/>
    <w:rsid w:val="000C2E16"/>
    <w:rsid w:val="000C591E"/>
    <w:rsid w:val="000C6FF5"/>
    <w:rsid w:val="000D02EF"/>
    <w:rsid w:val="000D0E2E"/>
    <w:rsid w:val="000D1AB0"/>
    <w:rsid w:val="000D1CCE"/>
    <w:rsid w:val="000D2FBE"/>
    <w:rsid w:val="000D3F61"/>
    <w:rsid w:val="000D41E9"/>
    <w:rsid w:val="000D48E2"/>
    <w:rsid w:val="000D48F5"/>
    <w:rsid w:val="000D490E"/>
    <w:rsid w:val="000D53F2"/>
    <w:rsid w:val="000D55DE"/>
    <w:rsid w:val="000D6C78"/>
    <w:rsid w:val="000E12A7"/>
    <w:rsid w:val="000E3300"/>
    <w:rsid w:val="000E37E2"/>
    <w:rsid w:val="000E4EED"/>
    <w:rsid w:val="000E4FCA"/>
    <w:rsid w:val="000E5092"/>
    <w:rsid w:val="000E6266"/>
    <w:rsid w:val="000E7535"/>
    <w:rsid w:val="000E7F9F"/>
    <w:rsid w:val="000F0035"/>
    <w:rsid w:val="000F04E7"/>
    <w:rsid w:val="000F060A"/>
    <w:rsid w:val="000F15B5"/>
    <w:rsid w:val="000F165A"/>
    <w:rsid w:val="000F2335"/>
    <w:rsid w:val="000F316C"/>
    <w:rsid w:val="000F420B"/>
    <w:rsid w:val="000F539C"/>
    <w:rsid w:val="000F5F35"/>
    <w:rsid w:val="000F6976"/>
    <w:rsid w:val="000F7533"/>
    <w:rsid w:val="001006DF"/>
    <w:rsid w:val="00100944"/>
    <w:rsid w:val="00101534"/>
    <w:rsid w:val="00101D5B"/>
    <w:rsid w:val="00101DFC"/>
    <w:rsid w:val="001023F6"/>
    <w:rsid w:val="00102E4F"/>
    <w:rsid w:val="00102EE8"/>
    <w:rsid w:val="00103820"/>
    <w:rsid w:val="001067E7"/>
    <w:rsid w:val="001067FF"/>
    <w:rsid w:val="00110116"/>
    <w:rsid w:val="0011262F"/>
    <w:rsid w:val="00112940"/>
    <w:rsid w:val="001149C2"/>
    <w:rsid w:val="001166D9"/>
    <w:rsid w:val="001171F4"/>
    <w:rsid w:val="00117423"/>
    <w:rsid w:val="00120072"/>
    <w:rsid w:val="00120DF7"/>
    <w:rsid w:val="001217D2"/>
    <w:rsid w:val="0012291E"/>
    <w:rsid w:val="00122A25"/>
    <w:rsid w:val="00122BF0"/>
    <w:rsid w:val="0012538D"/>
    <w:rsid w:val="00125D3F"/>
    <w:rsid w:val="00125ED9"/>
    <w:rsid w:val="00126730"/>
    <w:rsid w:val="001267A5"/>
    <w:rsid w:val="00126EB8"/>
    <w:rsid w:val="00126F53"/>
    <w:rsid w:val="001274D4"/>
    <w:rsid w:val="00131AFC"/>
    <w:rsid w:val="0013296C"/>
    <w:rsid w:val="00133385"/>
    <w:rsid w:val="001346E9"/>
    <w:rsid w:val="00134FC5"/>
    <w:rsid w:val="00136293"/>
    <w:rsid w:val="001363AA"/>
    <w:rsid w:val="00136485"/>
    <w:rsid w:val="0013739A"/>
    <w:rsid w:val="0013746E"/>
    <w:rsid w:val="00137BAC"/>
    <w:rsid w:val="00140B51"/>
    <w:rsid w:val="00140E35"/>
    <w:rsid w:val="00142165"/>
    <w:rsid w:val="001430F2"/>
    <w:rsid w:val="001432B2"/>
    <w:rsid w:val="00143D13"/>
    <w:rsid w:val="0014436B"/>
    <w:rsid w:val="001445FD"/>
    <w:rsid w:val="00145369"/>
    <w:rsid w:val="001458EB"/>
    <w:rsid w:val="001516E7"/>
    <w:rsid w:val="00151EDF"/>
    <w:rsid w:val="001520FD"/>
    <w:rsid w:val="00152C3A"/>
    <w:rsid w:val="00152E11"/>
    <w:rsid w:val="001536D3"/>
    <w:rsid w:val="0015515E"/>
    <w:rsid w:val="00156DBA"/>
    <w:rsid w:val="001575E3"/>
    <w:rsid w:val="00160752"/>
    <w:rsid w:val="00161832"/>
    <w:rsid w:val="00162434"/>
    <w:rsid w:val="00162C57"/>
    <w:rsid w:val="00163191"/>
    <w:rsid w:val="001631A3"/>
    <w:rsid w:val="00163543"/>
    <w:rsid w:val="00163A84"/>
    <w:rsid w:val="00163FE1"/>
    <w:rsid w:val="00164246"/>
    <w:rsid w:val="001642B9"/>
    <w:rsid w:val="00164480"/>
    <w:rsid w:val="00164AEC"/>
    <w:rsid w:val="00164D72"/>
    <w:rsid w:val="001652B5"/>
    <w:rsid w:val="00167915"/>
    <w:rsid w:val="00170DCD"/>
    <w:rsid w:val="00172E85"/>
    <w:rsid w:val="001730F7"/>
    <w:rsid w:val="00173F61"/>
    <w:rsid w:val="00174207"/>
    <w:rsid w:val="00175BF2"/>
    <w:rsid w:val="00175D1D"/>
    <w:rsid w:val="001770DE"/>
    <w:rsid w:val="001771AF"/>
    <w:rsid w:val="00177DEF"/>
    <w:rsid w:val="0018139B"/>
    <w:rsid w:val="00181B63"/>
    <w:rsid w:val="00183BEF"/>
    <w:rsid w:val="00183C5D"/>
    <w:rsid w:val="00183E82"/>
    <w:rsid w:val="00184E2E"/>
    <w:rsid w:val="00185176"/>
    <w:rsid w:val="00185699"/>
    <w:rsid w:val="00186481"/>
    <w:rsid w:val="001878BB"/>
    <w:rsid w:val="00187B1E"/>
    <w:rsid w:val="00187B39"/>
    <w:rsid w:val="00187CB8"/>
    <w:rsid w:val="00187D78"/>
    <w:rsid w:val="001901EF"/>
    <w:rsid w:val="00191AE0"/>
    <w:rsid w:val="00191AF7"/>
    <w:rsid w:val="00191B90"/>
    <w:rsid w:val="00191BDE"/>
    <w:rsid w:val="001925D4"/>
    <w:rsid w:val="001926AD"/>
    <w:rsid w:val="001927C6"/>
    <w:rsid w:val="0019293B"/>
    <w:rsid w:val="00192A6F"/>
    <w:rsid w:val="00193850"/>
    <w:rsid w:val="0019426B"/>
    <w:rsid w:val="001943B4"/>
    <w:rsid w:val="001961D7"/>
    <w:rsid w:val="00196F6B"/>
    <w:rsid w:val="001972E0"/>
    <w:rsid w:val="001A1134"/>
    <w:rsid w:val="001A21D4"/>
    <w:rsid w:val="001A2C7B"/>
    <w:rsid w:val="001A48BD"/>
    <w:rsid w:val="001A4DD2"/>
    <w:rsid w:val="001A4F29"/>
    <w:rsid w:val="001A5A5E"/>
    <w:rsid w:val="001A5E7A"/>
    <w:rsid w:val="001A6017"/>
    <w:rsid w:val="001A6A4B"/>
    <w:rsid w:val="001A6ECA"/>
    <w:rsid w:val="001A703F"/>
    <w:rsid w:val="001B0DC0"/>
    <w:rsid w:val="001B22F7"/>
    <w:rsid w:val="001B3182"/>
    <w:rsid w:val="001B3F41"/>
    <w:rsid w:val="001B58C5"/>
    <w:rsid w:val="001C0865"/>
    <w:rsid w:val="001C0AED"/>
    <w:rsid w:val="001C15B0"/>
    <w:rsid w:val="001C17CA"/>
    <w:rsid w:val="001C2C1E"/>
    <w:rsid w:val="001C2D64"/>
    <w:rsid w:val="001C3966"/>
    <w:rsid w:val="001C3ABA"/>
    <w:rsid w:val="001C430F"/>
    <w:rsid w:val="001C4D19"/>
    <w:rsid w:val="001C5111"/>
    <w:rsid w:val="001C6656"/>
    <w:rsid w:val="001C67CA"/>
    <w:rsid w:val="001C6FE0"/>
    <w:rsid w:val="001D05CC"/>
    <w:rsid w:val="001D2927"/>
    <w:rsid w:val="001D3748"/>
    <w:rsid w:val="001D4123"/>
    <w:rsid w:val="001D480B"/>
    <w:rsid w:val="001D4E7D"/>
    <w:rsid w:val="001D6CDF"/>
    <w:rsid w:val="001D793D"/>
    <w:rsid w:val="001D7A78"/>
    <w:rsid w:val="001E0ACD"/>
    <w:rsid w:val="001E0DDB"/>
    <w:rsid w:val="001E0EC5"/>
    <w:rsid w:val="001E10EB"/>
    <w:rsid w:val="001E1C39"/>
    <w:rsid w:val="001E2061"/>
    <w:rsid w:val="001E243A"/>
    <w:rsid w:val="001E63A9"/>
    <w:rsid w:val="001E6421"/>
    <w:rsid w:val="001E7BE8"/>
    <w:rsid w:val="001F0053"/>
    <w:rsid w:val="001F0248"/>
    <w:rsid w:val="001F2B30"/>
    <w:rsid w:val="001F3171"/>
    <w:rsid w:val="001F3ADC"/>
    <w:rsid w:val="001F3EB3"/>
    <w:rsid w:val="001F4BBF"/>
    <w:rsid w:val="001F4C79"/>
    <w:rsid w:val="001F4DD1"/>
    <w:rsid w:val="001F4F86"/>
    <w:rsid w:val="001F5D65"/>
    <w:rsid w:val="001F6A64"/>
    <w:rsid w:val="001F72CA"/>
    <w:rsid w:val="001F7498"/>
    <w:rsid w:val="00200191"/>
    <w:rsid w:val="002012FF"/>
    <w:rsid w:val="002015F0"/>
    <w:rsid w:val="00201DA9"/>
    <w:rsid w:val="002020C5"/>
    <w:rsid w:val="002025B2"/>
    <w:rsid w:val="00202C2C"/>
    <w:rsid w:val="00203050"/>
    <w:rsid w:val="0021045D"/>
    <w:rsid w:val="00210B02"/>
    <w:rsid w:val="00211095"/>
    <w:rsid w:val="00212A61"/>
    <w:rsid w:val="002135AB"/>
    <w:rsid w:val="0021380C"/>
    <w:rsid w:val="00213CB8"/>
    <w:rsid w:val="00213DD7"/>
    <w:rsid w:val="002144BE"/>
    <w:rsid w:val="00214B48"/>
    <w:rsid w:val="00214D23"/>
    <w:rsid w:val="00216196"/>
    <w:rsid w:val="0021672A"/>
    <w:rsid w:val="0021675F"/>
    <w:rsid w:val="00221A3D"/>
    <w:rsid w:val="00222060"/>
    <w:rsid w:val="0022240D"/>
    <w:rsid w:val="00223596"/>
    <w:rsid w:val="00223C59"/>
    <w:rsid w:val="00224F41"/>
    <w:rsid w:val="00226875"/>
    <w:rsid w:val="00227AC6"/>
    <w:rsid w:val="00230E23"/>
    <w:rsid w:val="002320B8"/>
    <w:rsid w:val="00232250"/>
    <w:rsid w:val="0023260B"/>
    <w:rsid w:val="002329C5"/>
    <w:rsid w:val="00232F7F"/>
    <w:rsid w:val="0023405F"/>
    <w:rsid w:val="0023406A"/>
    <w:rsid w:val="0023588C"/>
    <w:rsid w:val="00236294"/>
    <w:rsid w:val="00236982"/>
    <w:rsid w:val="0023723E"/>
    <w:rsid w:val="002373C8"/>
    <w:rsid w:val="00237713"/>
    <w:rsid w:val="00240FE0"/>
    <w:rsid w:val="00242279"/>
    <w:rsid w:val="00242881"/>
    <w:rsid w:val="002436D1"/>
    <w:rsid w:val="002436D8"/>
    <w:rsid w:val="00243997"/>
    <w:rsid w:val="0024516C"/>
    <w:rsid w:val="002453C6"/>
    <w:rsid w:val="00245C82"/>
    <w:rsid w:val="00245EF4"/>
    <w:rsid w:val="00245FAF"/>
    <w:rsid w:val="0024657D"/>
    <w:rsid w:val="00247263"/>
    <w:rsid w:val="00247CA4"/>
    <w:rsid w:val="00250F1F"/>
    <w:rsid w:val="0025157F"/>
    <w:rsid w:val="002532DB"/>
    <w:rsid w:val="00253613"/>
    <w:rsid w:val="00255081"/>
    <w:rsid w:val="00255292"/>
    <w:rsid w:val="00255B6B"/>
    <w:rsid w:val="00256AB8"/>
    <w:rsid w:val="00256BE3"/>
    <w:rsid w:val="00257632"/>
    <w:rsid w:val="00257A3A"/>
    <w:rsid w:val="00257CCD"/>
    <w:rsid w:val="00257D33"/>
    <w:rsid w:val="002608CE"/>
    <w:rsid w:val="00263380"/>
    <w:rsid w:val="00263FBE"/>
    <w:rsid w:val="0026518F"/>
    <w:rsid w:val="00265740"/>
    <w:rsid w:val="00266310"/>
    <w:rsid w:val="00270413"/>
    <w:rsid w:val="00270BE2"/>
    <w:rsid w:val="00270DF3"/>
    <w:rsid w:val="002717AB"/>
    <w:rsid w:val="002724BA"/>
    <w:rsid w:val="00272D64"/>
    <w:rsid w:val="002741DB"/>
    <w:rsid w:val="00274829"/>
    <w:rsid w:val="0027539E"/>
    <w:rsid w:val="00275542"/>
    <w:rsid w:val="00276B6E"/>
    <w:rsid w:val="0027752A"/>
    <w:rsid w:val="00280A56"/>
    <w:rsid w:val="00282588"/>
    <w:rsid w:val="0028315B"/>
    <w:rsid w:val="0028328F"/>
    <w:rsid w:val="002863C0"/>
    <w:rsid w:val="00286716"/>
    <w:rsid w:val="00286D30"/>
    <w:rsid w:val="00291B40"/>
    <w:rsid w:val="00292507"/>
    <w:rsid w:val="00292652"/>
    <w:rsid w:val="00292C3A"/>
    <w:rsid w:val="002931EE"/>
    <w:rsid w:val="002939EF"/>
    <w:rsid w:val="002968FB"/>
    <w:rsid w:val="00296EAC"/>
    <w:rsid w:val="00297558"/>
    <w:rsid w:val="002A00D0"/>
    <w:rsid w:val="002A04ED"/>
    <w:rsid w:val="002A1B43"/>
    <w:rsid w:val="002A286F"/>
    <w:rsid w:val="002A2EC2"/>
    <w:rsid w:val="002A400E"/>
    <w:rsid w:val="002A470B"/>
    <w:rsid w:val="002A544F"/>
    <w:rsid w:val="002A5B61"/>
    <w:rsid w:val="002A6883"/>
    <w:rsid w:val="002A6DA4"/>
    <w:rsid w:val="002B1F20"/>
    <w:rsid w:val="002B2C4B"/>
    <w:rsid w:val="002B3196"/>
    <w:rsid w:val="002B4008"/>
    <w:rsid w:val="002B4772"/>
    <w:rsid w:val="002B4991"/>
    <w:rsid w:val="002B5007"/>
    <w:rsid w:val="002B7642"/>
    <w:rsid w:val="002C041D"/>
    <w:rsid w:val="002C27FE"/>
    <w:rsid w:val="002C33A8"/>
    <w:rsid w:val="002C343B"/>
    <w:rsid w:val="002C439F"/>
    <w:rsid w:val="002C4953"/>
    <w:rsid w:val="002C5A8C"/>
    <w:rsid w:val="002C6A77"/>
    <w:rsid w:val="002C6BBC"/>
    <w:rsid w:val="002C71F6"/>
    <w:rsid w:val="002D07DC"/>
    <w:rsid w:val="002D0C42"/>
    <w:rsid w:val="002D0E8E"/>
    <w:rsid w:val="002D1B3B"/>
    <w:rsid w:val="002D2C5D"/>
    <w:rsid w:val="002D3CCF"/>
    <w:rsid w:val="002D466E"/>
    <w:rsid w:val="002D5111"/>
    <w:rsid w:val="002D5C8B"/>
    <w:rsid w:val="002E00B8"/>
    <w:rsid w:val="002E03AA"/>
    <w:rsid w:val="002E1699"/>
    <w:rsid w:val="002E1A97"/>
    <w:rsid w:val="002E2E59"/>
    <w:rsid w:val="002E40DE"/>
    <w:rsid w:val="002E431A"/>
    <w:rsid w:val="002E4C97"/>
    <w:rsid w:val="002E4E3B"/>
    <w:rsid w:val="002E5F93"/>
    <w:rsid w:val="002E605F"/>
    <w:rsid w:val="002E62CB"/>
    <w:rsid w:val="002E7C3C"/>
    <w:rsid w:val="002F0937"/>
    <w:rsid w:val="002F158D"/>
    <w:rsid w:val="002F17FE"/>
    <w:rsid w:val="002F36A1"/>
    <w:rsid w:val="002F4137"/>
    <w:rsid w:val="002F46CA"/>
    <w:rsid w:val="002F4FC2"/>
    <w:rsid w:val="002F5D21"/>
    <w:rsid w:val="002F7892"/>
    <w:rsid w:val="00300123"/>
    <w:rsid w:val="00300832"/>
    <w:rsid w:val="0030089A"/>
    <w:rsid w:val="00301189"/>
    <w:rsid w:val="00301E4A"/>
    <w:rsid w:val="00302919"/>
    <w:rsid w:val="003045BD"/>
    <w:rsid w:val="00306DA1"/>
    <w:rsid w:val="00306F5A"/>
    <w:rsid w:val="003072ED"/>
    <w:rsid w:val="00307556"/>
    <w:rsid w:val="003120BC"/>
    <w:rsid w:val="0031324D"/>
    <w:rsid w:val="003149EE"/>
    <w:rsid w:val="00316189"/>
    <w:rsid w:val="003168B8"/>
    <w:rsid w:val="0031705D"/>
    <w:rsid w:val="00320357"/>
    <w:rsid w:val="00320920"/>
    <w:rsid w:val="00320C87"/>
    <w:rsid w:val="00322D64"/>
    <w:rsid w:val="00323426"/>
    <w:rsid w:val="00323E09"/>
    <w:rsid w:val="00325026"/>
    <w:rsid w:val="0032506D"/>
    <w:rsid w:val="00325CF3"/>
    <w:rsid w:val="0032605D"/>
    <w:rsid w:val="0032766A"/>
    <w:rsid w:val="00327DEB"/>
    <w:rsid w:val="00330E23"/>
    <w:rsid w:val="003319BA"/>
    <w:rsid w:val="00331B3B"/>
    <w:rsid w:val="003323E4"/>
    <w:rsid w:val="00333932"/>
    <w:rsid w:val="0033453B"/>
    <w:rsid w:val="00334817"/>
    <w:rsid w:val="00334E3E"/>
    <w:rsid w:val="00335010"/>
    <w:rsid w:val="003357A5"/>
    <w:rsid w:val="003357FF"/>
    <w:rsid w:val="003370E2"/>
    <w:rsid w:val="003406AD"/>
    <w:rsid w:val="00340AA5"/>
    <w:rsid w:val="00340D10"/>
    <w:rsid w:val="00340F7B"/>
    <w:rsid w:val="00341560"/>
    <w:rsid w:val="00341645"/>
    <w:rsid w:val="0034181F"/>
    <w:rsid w:val="00342EBB"/>
    <w:rsid w:val="0034351E"/>
    <w:rsid w:val="00344C35"/>
    <w:rsid w:val="0034507A"/>
    <w:rsid w:val="00345AA3"/>
    <w:rsid w:val="003474B8"/>
    <w:rsid w:val="0035014C"/>
    <w:rsid w:val="00350B5E"/>
    <w:rsid w:val="00351337"/>
    <w:rsid w:val="003513A5"/>
    <w:rsid w:val="0035183F"/>
    <w:rsid w:val="003518AA"/>
    <w:rsid w:val="00352165"/>
    <w:rsid w:val="0035219D"/>
    <w:rsid w:val="003521AD"/>
    <w:rsid w:val="00353182"/>
    <w:rsid w:val="0035346A"/>
    <w:rsid w:val="0035394F"/>
    <w:rsid w:val="00353A13"/>
    <w:rsid w:val="00354902"/>
    <w:rsid w:val="0035498C"/>
    <w:rsid w:val="00355098"/>
    <w:rsid w:val="003565D9"/>
    <w:rsid w:val="003602E1"/>
    <w:rsid w:val="00361279"/>
    <w:rsid w:val="003622AD"/>
    <w:rsid w:val="00362926"/>
    <w:rsid w:val="00362FA9"/>
    <w:rsid w:val="00364BAE"/>
    <w:rsid w:val="00366D3F"/>
    <w:rsid w:val="0036719B"/>
    <w:rsid w:val="00367C89"/>
    <w:rsid w:val="0037026F"/>
    <w:rsid w:val="00371240"/>
    <w:rsid w:val="00371D06"/>
    <w:rsid w:val="00373FDB"/>
    <w:rsid w:val="00374731"/>
    <w:rsid w:val="00374AB0"/>
    <w:rsid w:val="00374FB2"/>
    <w:rsid w:val="00375068"/>
    <w:rsid w:val="00376E59"/>
    <w:rsid w:val="00377EC1"/>
    <w:rsid w:val="00380340"/>
    <w:rsid w:val="00381914"/>
    <w:rsid w:val="00383793"/>
    <w:rsid w:val="0038434B"/>
    <w:rsid w:val="00384A21"/>
    <w:rsid w:val="00384F1E"/>
    <w:rsid w:val="00384F73"/>
    <w:rsid w:val="003853C3"/>
    <w:rsid w:val="00385AFF"/>
    <w:rsid w:val="00385DCF"/>
    <w:rsid w:val="0038646A"/>
    <w:rsid w:val="003869BC"/>
    <w:rsid w:val="00386FFB"/>
    <w:rsid w:val="003872F5"/>
    <w:rsid w:val="00387727"/>
    <w:rsid w:val="0039178F"/>
    <w:rsid w:val="0039191E"/>
    <w:rsid w:val="003919F9"/>
    <w:rsid w:val="003920CF"/>
    <w:rsid w:val="0039222D"/>
    <w:rsid w:val="003929AD"/>
    <w:rsid w:val="0039335D"/>
    <w:rsid w:val="00394544"/>
    <w:rsid w:val="0039591E"/>
    <w:rsid w:val="00396D5B"/>
    <w:rsid w:val="003A3C28"/>
    <w:rsid w:val="003A3E8D"/>
    <w:rsid w:val="003A5B55"/>
    <w:rsid w:val="003A5DFD"/>
    <w:rsid w:val="003A6607"/>
    <w:rsid w:val="003A6E8C"/>
    <w:rsid w:val="003A7A27"/>
    <w:rsid w:val="003A7B5A"/>
    <w:rsid w:val="003A7C89"/>
    <w:rsid w:val="003B079A"/>
    <w:rsid w:val="003B0996"/>
    <w:rsid w:val="003B1DB6"/>
    <w:rsid w:val="003B23C2"/>
    <w:rsid w:val="003B27DF"/>
    <w:rsid w:val="003B5A79"/>
    <w:rsid w:val="003B6511"/>
    <w:rsid w:val="003B75FA"/>
    <w:rsid w:val="003B770E"/>
    <w:rsid w:val="003C0870"/>
    <w:rsid w:val="003C2B17"/>
    <w:rsid w:val="003C2DEE"/>
    <w:rsid w:val="003C38B5"/>
    <w:rsid w:val="003C4744"/>
    <w:rsid w:val="003C4DB3"/>
    <w:rsid w:val="003C5D99"/>
    <w:rsid w:val="003C5FF6"/>
    <w:rsid w:val="003C6087"/>
    <w:rsid w:val="003C65A8"/>
    <w:rsid w:val="003C7C28"/>
    <w:rsid w:val="003C7D16"/>
    <w:rsid w:val="003D0BE0"/>
    <w:rsid w:val="003D1087"/>
    <w:rsid w:val="003D14F1"/>
    <w:rsid w:val="003D1790"/>
    <w:rsid w:val="003D2CCB"/>
    <w:rsid w:val="003D2E6B"/>
    <w:rsid w:val="003D33AB"/>
    <w:rsid w:val="003D3A84"/>
    <w:rsid w:val="003D4B8F"/>
    <w:rsid w:val="003D5F7A"/>
    <w:rsid w:val="003D6BBD"/>
    <w:rsid w:val="003D700E"/>
    <w:rsid w:val="003E02B1"/>
    <w:rsid w:val="003E044A"/>
    <w:rsid w:val="003E2353"/>
    <w:rsid w:val="003E2F59"/>
    <w:rsid w:val="003E746B"/>
    <w:rsid w:val="003E77DA"/>
    <w:rsid w:val="003E797B"/>
    <w:rsid w:val="003E7DEA"/>
    <w:rsid w:val="003F0789"/>
    <w:rsid w:val="003F1ADE"/>
    <w:rsid w:val="003F37D0"/>
    <w:rsid w:val="003F3CF6"/>
    <w:rsid w:val="003F464D"/>
    <w:rsid w:val="003F60D8"/>
    <w:rsid w:val="003F7A80"/>
    <w:rsid w:val="004002EB"/>
    <w:rsid w:val="00400B68"/>
    <w:rsid w:val="00400ED3"/>
    <w:rsid w:val="00401882"/>
    <w:rsid w:val="0040246C"/>
    <w:rsid w:val="004026A1"/>
    <w:rsid w:val="004027E8"/>
    <w:rsid w:val="004053D1"/>
    <w:rsid w:val="00405F44"/>
    <w:rsid w:val="00406081"/>
    <w:rsid w:val="004078E5"/>
    <w:rsid w:val="004100C8"/>
    <w:rsid w:val="004106F4"/>
    <w:rsid w:val="00411452"/>
    <w:rsid w:val="00411933"/>
    <w:rsid w:val="00411DBD"/>
    <w:rsid w:val="00412351"/>
    <w:rsid w:val="004123C1"/>
    <w:rsid w:val="00412731"/>
    <w:rsid w:val="00412ACE"/>
    <w:rsid w:val="00413296"/>
    <w:rsid w:val="004136E1"/>
    <w:rsid w:val="00413DB2"/>
    <w:rsid w:val="0041415A"/>
    <w:rsid w:val="004145D2"/>
    <w:rsid w:val="00414847"/>
    <w:rsid w:val="00416957"/>
    <w:rsid w:val="004176B8"/>
    <w:rsid w:val="00420157"/>
    <w:rsid w:val="00422FA9"/>
    <w:rsid w:val="00423031"/>
    <w:rsid w:val="00423D8B"/>
    <w:rsid w:val="00424833"/>
    <w:rsid w:val="00425128"/>
    <w:rsid w:val="0042517F"/>
    <w:rsid w:val="004253DD"/>
    <w:rsid w:val="004255DB"/>
    <w:rsid w:val="00425946"/>
    <w:rsid w:val="00426CB4"/>
    <w:rsid w:val="0042769D"/>
    <w:rsid w:val="004309B4"/>
    <w:rsid w:val="00430C1B"/>
    <w:rsid w:val="00431249"/>
    <w:rsid w:val="004346FE"/>
    <w:rsid w:val="00434C19"/>
    <w:rsid w:val="0043687A"/>
    <w:rsid w:val="00437A13"/>
    <w:rsid w:val="00437E66"/>
    <w:rsid w:val="00440979"/>
    <w:rsid w:val="0044190E"/>
    <w:rsid w:val="004419D5"/>
    <w:rsid w:val="00443681"/>
    <w:rsid w:val="0044486C"/>
    <w:rsid w:val="0044518D"/>
    <w:rsid w:val="00445A49"/>
    <w:rsid w:val="00445AEC"/>
    <w:rsid w:val="00445EBF"/>
    <w:rsid w:val="00446952"/>
    <w:rsid w:val="00447CEF"/>
    <w:rsid w:val="00450810"/>
    <w:rsid w:val="00450875"/>
    <w:rsid w:val="00450A16"/>
    <w:rsid w:val="00450C57"/>
    <w:rsid w:val="00450DFB"/>
    <w:rsid w:val="00451C21"/>
    <w:rsid w:val="0045263F"/>
    <w:rsid w:val="004546DC"/>
    <w:rsid w:val="00454F19"/>
    <w:rsid w:val="0045692C"/>
    <w:rsid w:val="00460F20"/>
    <w:rsid w:val="004618BE"/>
    <w:rsid w:val="00462C59"/>
    <w:rsid w:val="00462D9A"/>
    <w:rsid w:val="004645D5"/>
    <w:rsid w:val="0046492F"/>
    <w:rsid w:val="00464966"/>
    <w:rsid w:val="00466068"/>
    <w:rsid w:val="00466785"/>
    <w:rsid w:val="00466D0B"/>
    <w:rsid w:val="0046777C"/>
    <w:rsid w:val="004700A7"/>
    <w:rsid w:val="00470737"/>
    <w:rsid w:val="00470832"/>
    <w:rsid w:val="0047190D"/>
    <w:rsid w:val="00472F41"/>
    <w:rsid w:val="004732F3"/>
    <w:rsid w:val="0047358F"/>
    <w:rsid w:val="00474159"/>
    <w:rsid w:val="00474E16"/>
    <w:rsid w:val="00475023"/>
    <w:rsid w:val="00477144"/>
    <w:rsid w:val="004772D2"/>
    <w:rsid w:val="00477718"/>
    <w:rsid w:val="004804A8"/>
    <w:rsid w:val="00481B35"/>
    <w:rsid w:val="0048279B"/>
    <w:rsid w:val="00482D59"/>
    <w:rsid w:val="004845F2"/>
    <w:rsid w:val="0048691D"/>
    <w:rsid w:val="00486C24"/>
    <w:rsid w:val="00486FBF"/>
    <w:rsid w:val="00487BB1"/>
    <w:rsid w:val="0049037A"/>
    <w:rsid w:val="00491380"/>
    <w:rsid w:val="00492DBD"/>
    <w:rsid w:val="0049459F"/>
    <w:rsid w:val="004948A1"/>
    <w:rsid w:val="00494EC2"/>
    <w:rsid w:val="00495B49"/>
    <w:rsid w:val="00497C97"/>
    <w:rsid w:val="004A0052"/>
    <w:rsid w:val="004A0EFE"/>
    <w:rsid w:val="004A1EC6"/>
    <w:rsid w:val="004A33DF"/>
    <w:rsid w:val="004A35C3"/>
    <w:rsid w:val="004A38DD"/>
    <w:rsid w:val="004A435C"/>
    <w:rsid w:val="004A466B"/>
    <w:rsid w:val="004A47D6"/>
    <w:rsid w:val="004A596B"/>
    <w:rsid w:val="004A6BA7"/>
    <w:rsid w:val="004B0D7B"/>
    <w:rsid w:val="004B0FF3"/>
    <w:rsid w:val="004B2D25"/>
    <w:rsid w:val="004B3369"/>
    <w:rsid w:val="004B43AE"/>
    <w:rsid w:val="004B6A3C"/>
    <w:rsid w:val="004B6F8C"/>
    <w:rsid w:val="004C0861"/>
    <w:rsid w:val="004C0DDF"/>
    <w:rsid w:val="004C0F0E"/>
    <w:rsid w:val="004C129E"/>
    <w:rsid w:val="004C30ED"/>
    <w:rsid w:val="004C319A"/>
    <w:rsid w:val="004C3780"/>
    <w:rsid w:val="004C3C42"/>
    <w:rsid w:val="004C40E6"/>
    <w:rsid w:val="004C49E5"/>
    <w:rsid w:val="004C5433"/>
    <w:rsid w:val="004C573B"/>
    <w:rsid w:val="004C59C0"/>
    <w:rsid w:val="004C5C67"/>
    <w:rsid w:val="004C5CFB"/>
    <w:rsid w:val="004C72F0"/>
    <w:rsid w:val="004C7E5B"/>
    <w:rsid w:val="004D0865"/>
    <w:rsid w:val="004D0C6F"/>
    <w:rsid w:val="004D278E"/>
    <w:rsid w:val="004D5210"/>
    <w:rsid w:val="004D527E"/>
    <w:rsid w:val="004D5670"/>
    <w:rsid w:val="004D5675"/>
    <w:rsid w:val="004D762C"/>
    <w:rsid w:val="004E04BF"/>
    <w:rsid w:val="004E0D41"/>
    <w:rsid w:val="004E195D"/>
    <w:rsid w:val="004E1DBE"/>
    <w:rsid w:val="004E273C"/>
    <w:rsid w:val="004E67E7"/>
    <w:rsid w:val="004F07A7"/>
    <w:rsid w:val="004F086D"/>
    <w:rsid w:val="004F18F0"/>
    <w:rsid w:val="004F1A85"/>
    <w:rsid w:val="004F1E91"/>
    <w:rsid w:val="004F3242"/>
    <w:rsid w:val="004F472D"/>
    <w:rsid w:val="004F4900"/>
    <w:rsid w:val="004F4A39"/>
    <w:rsid w:val="004F6600"/>
    <w:rsid w:val="004F74A5"/>
    <w:rsid w:val="005012CF"/>
    <w:rsid w:val="005021FD"/>
    <w:rsid w:val="0050582B"/>
    <w:rsid w:val="00506656"/>
    <w:rsid w:val="0050690F"/>
    <w:rsid w:val="00511331"/>
    <w:rsid w:val="005117D6"/>
    <w:rsid w:val="00512FD7"/>
    <w:rsid w:val="0051306E"/>
    <w:rsid w:val="00514D3A"/>
    <w:rsid w:val="00517795"/>
    <w:rsid w:val="00520413"/>
    <w:rsid w:val="005204E4"/>
    <w:rsid w:val="00521AA7"/>
    <w:rsid w:val="00523639"/>
    <w:rsid w:val="00523EE5"/>
    <w:rsid w:val="0052403B"/>
    <w:rsid w:val="00524315"/>
    <w:rsid w:val="00525257"/>
    <w:rsid w:val="005264DA"/>
    <w:rsid w:val="00530C92"/>
    <w:rsid w:val="00531FE5"/>
    <w:rsid w:val="00532FA7"/>
    <w:rsid w:val="00533FC0"/>
    <w:rsid w:val="005340C6"/>
    <w:rsid w:val="00536BFB"/>
    <w:rsid w:val="00536EFB"/>
    <w:rsid w:val="005402FA"/>
    <w:rsid w:val="00541E1A"/>
    <w:rsid w:val="005429D6"/>
    <w:rsid w:val="00542AA5"/>
    <w:rsid w:val="00542C8B"/>
    <w:rsid w:val="00543B4D"/>
    <w:rsid w:val="00544ED5"/>
    <w:rsid w:val="0054502D"/>
    <w:rsid w:val="00546601"/>
    <w:rsid w:val="00547320"/>
    <w:rsid w:val="005519D6"/>
    <w:rsid w:val="00551B2C"/>
    <w:rsid w:val="00551D11"/>
    <w:rsid w:val="00552291"/>
    <w:rsid w:val="00552B94"/>
    <w:rsid w:val="00552FE6"/>
    <w:rsid w:val="00553035"/>
    <w:rsid w:val="00553C71"/>
    <w:rsid w:val="00554001"/>
    <w:rsid w:val="005548BA"/>
    <w:rsid w:val="005551CC"/>
    <w:rsid w:val="00555256"/>
    <w:rsid w:val="005553E8"/>
    <w:rsid w:val="00555B6E"/>
    <w:rsid w:val="00555BE8"/>
    <w:rsid w:val="00555F09"/>
    <w:rsid w:val="00556EF0"/>
    <w:rsid w:val="00556F2C"/>
    <w:rsid w:val="00556F51"/>
    <w:rsid w:val="00557960"/>
    <w:rsid w:val="00557F30"/>
    <w:rsid w:val="00560512"/>
    <w:rsid w:val="00561E97"/>
    <w:rsid w:val="00563B23"/>
    <w:rsid w:val="00564DE8"/>
    <w:rsid w:val="00566B5B"/>
    <w:rsid w:val="00566C5D"/>
    <w:rsid w:val="00567511"/>
    <w:rsid w:val="00567DE3"/>
    <w:rsid w:val="00567EF0"/>
    <w:rsid w:val="005729BD"/>
    <w:rsid w:val="00572ACB"/>
    <w:rsid w:val="00572E21"/>
    <w:rsid w:val="005730EE"/>
    <w:rsid w:val="00573437"/>
    <w:rsid w:val="00573BE3"/>
    <w:rsid w:val="00573EC0"/>
    <w:rsid w:val="005740F5"/>
    <w:rsid w:val="00576BE6"/>
    <w:rsid w:val="00577671"/>
    <w:rsid w:val="005777CE"/>
    <w:rsid w:val="00577C71"/>
    <w:rsid w:val="00580122"/>
    <w:rsid w:val="00580154"/>
    <w:rsid w:val="005808F2"/>
    <w:rsid w:val="0058195B"/>
    <w:rsid w:val="00581A87"/>
    <w:rsid w:val="00582070"/>
    <w:rsid w:val="00582D5B"/>
    <w:rsid w:val="00582D89"/>
    <w:rsid w:val="0058308F"/>
    <w:rsid w:val="00583146"/>
    <w:rsid w:val="0058334B"/>
    <w:rsid w:val="0058395A"/>
    <w:rsid w:val="00583C39"/>
    <w:rsid w:val="00583C66"/>
    <w:rsid w:val="005842AD"/>
    <w:rsid w:val="00584C2D"/>
    <w:rsid w:val="00586199"/>
    <w:rsid w:val="00586A90"/>
    <w:rsid w:val="00586C16"/>
    <w:rsid w:val="00586FB5"/>
    <w:rsid w:val="00587105"/>
    <w:rsid w:val="00587476"/>
    <w:rsid w:val="005877BB"/>
    <w:rsid w:val="00587F28"/>
    <w:rsid w:val="0059099D"/>
    <w:rsid w:val="005909CF"/>
    <w:rsid w:val="00590DA4"/>
    <w:rsid w:val="0059110C"/>
    <w:rsid w:val="005911B5"/>
    <w:rsid w:val="00591E71"/>
    <w:rsid w:val="00592ACF"/>
    <w:rsid w:val="005932C0"/>
    <w:rsid w:val="00593317"/>
    <w:rsid w:val="00593A87"/>
    <w:rsid w:val="00593BF3"/>
    <w:rsid w:val="00594B6D"/>
    <w:rsid w:val="00594DA3"/>
    <w:rsid w:val="005950B9"/>
    <w:rsid w:val="00596B2E"/>
    <w:rsid w:val="005978DD"/>
    <w:rsid w:val="00597A14"/>
    <w:rsid w:val="005A0800"/>
    <w:rsid w:val="005A0D41"/>
    <w:rsid w:val="005A18E0"/>
    <w:rsid w:val="005A18ED"/>
    <w:rsid w:val="005A1F5B"/>
    <w:rsid w:val="005A3549"/>
    <w:rsid w:val="005A4C7C"/>
    <w:rsid w:val="005A526A"/>
    <w:rsid w:val="005A6C25"/>
    <w:rsid w:val="005A72E2"/>
    <w:rsid w:val="005B1AFC"/>
    <w:rsid w:val="005B3958"/>
    <w:rsid w:val="005B5176"/>
    <w:rsid w:val="005B5C9C"/>
    <w:rsid w:val="005C17B4"/>
    <w:rsid w:val="005C2516"/>
    <w:rsid w:val="005C2A92"/>
    <w:rsid w:val="005C2EFB"/>
    <w:rsid w:val="005C3446"/>
    <w:rsid w:val="005C36FA"/>
    <w:rsid w:val="005C3C16"/>
    <w:rsid w:val="005C4066"/>
    <w:rsid w:val="005C40BA"/>
    <w:rsid w:val="005C6361"/>
    <w:rsid w:val="005C6A8A"/>
    <w:rsid w:val="005C7B8D"/>
    <w:rsid w:val="005D01B2"/>
    <w:rsid w:val="005D048D"/>
    <w:rsid w:val="005D05FF"/>
    <w:rsid w:val="005D0A3B"/>
    <w:rsid w:val="005D2ADC"/>
    <w:rsid w:val="005D329F"/>
    <w:rsid w:val="005D5F2F"/>
    <w:rsid w:val="005D5F69"/>
    <w:rsid w:val="005D6051"/>
    <w:rsid w:val="005D6C72"/>
    <w:rsid w:val="005D74F3"/>
    <w:rsid w:val="005D7948"/>
    <w:rsid w:val="005E0B9F"/>
    <w:rsid w:val="005E1081"/>
    <w:rsid w:val="005E247F"/>
    <w:rsid w:val="005E44C4"/>
    <w:rsid w:val="005E522F"/>
    <w:rsid w:val="005E5603"/>
    <w:rsid w:val="005E5702"/>
    <w:rsid w:val="005E58E5"/>
    <w:rsid w:val="005E65E8"/>
    <w:rsid w:val="005E6B7E"/>
    <w:rsid w:val="005E6FFA"/>
    <w:rsid w:val="005F04E2"/>
    <w:rsid w:val="005F1A9D"/>
    <w:rsid w:val="005F2080"/>
    <w:rsid w:val="005F2FBD"/>
    <w:rsid w:val="005F3469"/>
    <w:rsid w:val="005F37DB"/>
    <w:rsid w:val="005F48ED"/>
    <w:rsid w:val="005F5060"/>
    <w:rsid w:val="005F5ACA"/>
    <w:rsid w:val="005F5DBA"/>
    <w:rsid w:val="0060050B"/>
    <w:rsid w:val="00601B38"/>
    <w:rsid w:val="00603AD9"/>
    <w:rsid w:val="00603CB1"/>
    <w:rsid w:val="006057DA"/>
    <w:rsid w:val="00605A28"/>
    <w:rsid w:val="00606AFD"/>
    <w:rsid w:val="00606E78"/>
    <w:rsid w:val="00606F28"/>
    <w:rsid w:val="00607BF1"/>
    <w:rsid w:val="00610E1E"/>
    <w:rsid w:val="00612255"/>
    <w:rsid w:val="0061273E"/>
    <w:rsid w:val="0061380D"/>
    <w:rsid w:val="00616032"/>
    <w:rsid w:val="0061702C"/>
    <w:rsid w:val="006179EC"/>
    <w:rsid w:val="006202E4"/>
    <w:rsid w:val="0062058C"/>
    <w:rsid w:val="00620764"/>
    <w:rsid w:val="00621693"/>
    <w:rsid w:val="006242C8"/>
    <w:rsid w:val="006242F7"/>
    <w:rsid w:val="0062436D"/>
    <w:rsid w:val="00624ECC"/>
    <w:rsid w:val="00625941"/>
    <w:rsid w:val="0063011D"/>
    <w:rsid w:val="0063078E"/>
    <w:rsid w:val="00630D4D"/>
    <w:rsid w:val="00631199"/>
    <w:rsid w:val="00632A74"/>
    <w:rsid w:val="00632B12"/>
    <w:rsid w:val="006333D4"/>
    <w:rsid w:val="00633DDD"/>
    <w:rsid w:val="00634562"/>
    <w:rsid w:val="0063583F"/>
    <w:rsid w:val="00635CDD"/>
    <w:rsid w:val="00640418"/>
    <w:rsid w:val="0064076C"/>
    <w:rsid w:val="006415FA"/>
    <w:rsid w:val="00641C6E"/>
    <w:rsid w:val="00642CC5"/>
    <w:rsid w:val="00642CEF"/>
    <w:rsid w:val="006441BA"/>
    <w:rsid w:val="00645D24"/>
    <w:rsid w:val="00645EE5"/>
    <w:rsid w:val="00646955"/>
    <w:rsid w:val="00647F8C"/>
    <w:rsid w:val="0065097A"/>
    <w:rsid w:val="00650A4F"/>
    <w:rsid w:val="00651EA1"/>
    <w:rsid w:val="00652CC4"/>
    <w:rsid w:val="00653B52"/>
    <w:rsid w:val="00654413"/>
    <w:rsid w:val="00654D42"/>
    <w:rsid w:val="00655E53"/>
    <w:rsid w:val="00655ECE"/>
    <w:rsid w:val="006602CB"/>
    <w:rsid w:val="0066046F"/>
    <w:rsid w:val="006620C4"/>
    <w:rsid w:val="00662B0A"/>
    <w:rsid w:val="00663785"/>
    <w:rsid w:val="00663804"/>
    <w:rsid w:val="00663F07"/>
    <w:rsid w:val="006644EE"/>
    <w:rsid w:val="00664F43"/>
    <w:rsid w:val="00665030"/>
    <w:rsid w:val="0066639F"/>
    <w:rsid w:val="00666E02"/>
    <w:rsid w:val="00670368"/>
    <w:rsid w:val="00670AD4"/>
    <w:rsid w:val="006730B9"/>
    <w:rsid w:val="0067330A"/>
    <w:rsid w:val="00676FC8"/>
    <w:rsid w:val="00677676"/>
    <w:rsid w:val="00677C2D"/>
    <w:rsid w:val="00677FA5"/>
    <w:rsid w:val="0068420A"/>
    <w:rsid w:val="00684407"/>
    <w:rsid w:val="0068516F"/>
    <w:rsid w:val="00685407"/>
    <w:rsid w:val="00686256"/>
    <w:rsid w:val="00686939"/>
    <w:rsid w:val="00686FD5"/>
    <w:rsid w:val="006878CB"/>
    <w:rsid w:val="00690CD1"/>
    <w:rsid w:val="0069203F"/>
    <w:rsid w:val="00692468"/>
    <w:rsid w:val="00692A17"/>
    <w:rsid w:val="0069491F"/>
    <w:rsid w:val="00694A44"/>
    <w:rsid w:val="00695162"/>
    <w:rsid w:val="0069557F"/>
    <w:rsid w:val="0069594B"/>
    <w:rsid w:val="00695A1D"/>
    <w:rsid w:val="00696D90"/>
    <w:rsid w:val="00696EC3"/>
    <w:rsid w:val="0069722B"/>
    <w:rsid w:val="006976E8"/>
    <w:rsid w:val="006A125E"/>
    <w:rsid w:val="006A24B0"/>
    <w:rsid w:val="006A267D"/>
    <w:rsid w:val="006A2745"/>
    <w:rsid w:val="006A40FC"/>
    <w:rsid w:val="006A4655"/>
    <w:rsid w:val="006A4B92"/>
    <w:rsid w:val="006A7272"/>
    <w:rsid w:val="006A7CC6"/>
    <w:rsid w:val="006B0DE2"/>
    <w:rsid w:val="006B1131"/>
    <w:rsid w:val="006B1E73"/>
    <w:rsid w:val="006B2B3C"/>
    <w:rsid w:val="006B4277"/>
    <w:rsid w:val="006B4D98"/>
    <w:rsid w:val="006B665E"/>
    <w:rsid w:val="006B6CFB"/>
    <w:rsid w:val="006B7146"/>
    <w:rsid w:val="006B75F9"/>
    <w:rsid w:val="006B7790"/>
    <w:rsid w:val="006C0150"/>
    <w:rsid w:val="006C113F"/>
    <w:rsid w:val="006C1D81"/>
    <w:rsid w:val="006C2C67"/>
    <w:rsid w:val="006C316D"/>
    <w:rsid w:val="006C31BD"/>
    <w:rsid w:val="006C4E69"/>
    <w:rsid w:val="006C51B3"/>
    <w:rsid w:val="006C5CEA"/>
    <w:rsid w:val="006C7038"/>
    <w:rsid w:val="006C7558"/>
    <w:rsid w:val="006D0C26"/>
    <w:rsid w:val="006D2953"/>
    <w:rsid w:val="006D2DE9"/>
    <w:rsid w:val="006D3168"/>
    <w:rsid w:val="006D4A2A"/>
    <w:rsid w:val="006D73F3"/>
    <w:rsid w:val="006D7921"/>
    <w:rsid w:val="006D7E7D"/>
    <w:rsid w:val="006E0B06"/>
    <w:rsid w:val="006E0BA8"/>
    <w:rsid w:val="006E18D8"/>
    <w:rsid w:val="006E2206"/>
    <w:rsid w:val="006E2A00"/>
    <w:rsid w:val="006E3514"/>
    <w:rsid w:val="006E4582"/>
    <w:rsid w:val="006E4DE7"/>
    <w:rsid w:val="006E5445"/>
    <w:rsid w:val="006E6C90"/>
    <w:rsid w:val="006E73EF"/>
    <w:rsid w:val="006E7C24"/>
    <w:rsid w:val="006F00AA"/>
    <w:rsid w:val="006F0404"/>
    <w:rsid w:val="006F0F29"/>
    <w:rsid w:val="006F1982"/>
    <w:rsid w:val="006F2D5D"/>
    <w:rsid w:val="006F3E11"/>
    <w:rsid w:val="006F3F46"/>
    <w:rsid w:val="006F7A09"/>
    <w:rsid w:val="00701145"/>
    <w:rsid w:val="0070168D"/>
    <w:rsid w:val="00702878"/>
    <w:rsid w:val="00702931"/>
    <w:rsid w:val="00703565"/>
    <w:rsid w:val="007041D8"/>
    <w:rsid w:val="00704A50"/>
    <w:rsid w:val="00707387"/>
    <w:rsid w:val="00707751"/>
    <w:rsid w:val="007079C9"/>
    <w:rsid w:val="007114CC"/>
    <w:rsid w:val="00711DD3"/>
    <w:rsid w:val="00712406"/>
    <w:rsid w:val="00713ADF"/>
    <w:rsid w:val="00714571"/>
    <w:rsid w:val="00714D4D"/>
    <w:rsid w:val="00714F1A"/>
    <w:rsid w:val="00714F95"/>
    <w:rsid w:val="00715B6F"/>
    <w:rsid w:val="0071624D"/>
    <w:rsid w:val="00717880"/>
    <w:rsid w:val="00720C22"/>
    <w:rsid w:val="00721A42"/>
    <w:rsid w:val="00721ACF"/>
    <w:rsid w:val="00722414"/>
    <w:rsid w:val="00723526"/>
    <w:rsid w:val="00723A63"/>
    <w:rsid w:val="00724832"/>
    <w:rsid w:val="00725254"/>
    <w:rsid w:val="007254F1"/>
    <w:rsid w:val="00726315"/>
    <w:rsid w:val="007264AD"/>
    <w:rsid w:val="007266D3"/>
    <w:rsid w:val="00732029"/>
    <w:rsid w:val="007323A3"/>
    <w:rsid w:val="00733C11"/>
    <w:rsid w:val="00733D39"/>
    <w:rsid w:val="00734DCF"/>
    <w:rsid w:val="00736067"/>
    <w:rsid w:val="00740D4A"/>
    <w:rsid w:val="007410BA"/>
    <w:rsid w:val="007429FE"/>
    <w:rsid w:val="00742C50"/>
    <w:rsid w:val="0074319B"/>
    <w:rsid w:val="007432B3"/>
    <w:rsid w:val="007439F4"/>
    <w:rsid w:val="0074461C"/>
    <w:rsid w:val="00746582"/>
    <w:rsid w:val="00746B4C"/>
    <w:rsid w:val="00747E7A"/>
    <w:rsid w:val="00750AED"/>
    <w:rsid w:val="00750E3A"/>
    <w:rsid w:val="007531C0"/>
    <w:rsid w:val="00753223"/>
    <w:rsid w:val="00753497"/>
    <w:rsid w:val="00754FEB"/>
    <w:rsid w:val="0075504E"/>
    <w:rsid w:val="0075511D"/>
    <w:rsid w:val="007553A7"/>
    <w:rsid w:val="007558F3"/>
    <w:rsid w:val="00760161"/>
    <w:rsid w:val="007604BB"/>
    <w:rsid w:val="00760E7D"/>
    <w:rsid w:val="007610C9"/>
    <w:rsid w:val="00762756"/>
    <w:rsid w:val="00762EBA"/>
    <w:rsid w:val="00763529"/>
    <w:rsid w:val="00763843"/>
    <w:rsid w:val="0076699E"/>
    <w:rsid w:val="00766DE2"/>
    <w:rsid w:val="00767191"/>
    <w:rsid w:val="007702F6"/>
    <w:rsid w:val="00770F41"/>
    <w:rsid w:val="00771034"/>
    <w:rsid w:val="00772909"/>
    <w:rsid w:val="0077298B"/>
    <w:rsid w:val="00772D6E"/>
    <w:rsid w:val="00772E3C"/>
    <w:rsid w:val="00772FAC"/>
    <w:rsid w:val="00774ACA"/>
    <w:rsid w:val="00774C7C"/>
    <w:rsid w:val="00776DD3"/>
    <w:rsid w:val="00777478"/>
    <w:rsid w:val="007801F8"/>
    <w:rsid w:val="00783368"/>
    <w:rsid w:val="00783B03"/>
    <w:rsid w:val="0078407E"/>
    <w:rsid w:val="00785232"/>
    <w:rsid w:val="0078567A"/>
    <w:rsid w:val="00785F76"/>
    <w:rsid w:val="00786331"/>
    <w:rsid w:val="00792567"/>
    <w:rsid w:val="007950D6"/>
    <w:rsid w:val="0079570D"/>
    <w:rsid w:val="00795779"/>
    <w:rsid w:val="0079580E"/>
    <w:rsid w:val="00796A34"/>
    <w:rsid w:val="0079701E"/>
    <w:rsid w:val="0079787A"/>
    <w:rsid w:val="007A076E"/>
    <w:rsid w:val="007A0FE0"/>
    <w:rsid w:val="007A17A8"/>
    <w:rsid w:val="007A21EB"/>
    <w:rsid w:val="007A2905"/>
    <w:rsid w:val="007B1A93"/>
    <w:rsid w:val="007B2AE1"/>
    <w:rsid w:val="007B329B"/>
    <w:rsid w:val="007B34AC"/>
    <w:rsid w:val="007B4D4A"/>
    <w:rsid w:val="007B5307"/>
    <w:rsid w:val="007B5656"/>
    <w:rsid w:val="007B65B2"/>
    <w:rsid w:val="007B794B"/>
    <w:rsid w:val="007C0840"/>
    <w:rsid w:val="007C0A6F"/>
    <w:rsid w:val="007C0CC3"/>
    <w:rsid w:val="007C1166"/>
    <w:rsid w:val="007C27AC"/>
    <w:rsid w:val="007C28FA"/>
    <w:rsid w:val="007C2A7E"/>
    <w:rsid w:val="007C33D7"/>
    <w:rsid w:val="007C36C9"/>
    <w:rsid w:val="007C5946"/>
    <w:rsid w:val="007C6996"/>
    <w:rsid w:val="007C79D4"/>
    <w:rsid w:val="007D1200"/>
    <w:rsid w:val="007D1371"/>
    <w:rsid w:val="007D1A32"/>
    <w:rsid w:val="007D1CAD"/>
    <w:rsid w:val="007D31BB"/>
    <w:rsid w:val="007D3D91"/>
    <w:rsid w:val="007D58C2"/>
    <w:rsid w:val="007D6101"/>
    <w:rsid w:val="007D6401"/>
    <w:rsid w:val="007E01E4"/>
    <w:rsid w:val="007E0C0B"/>
    <w:rsid w:val="007E0F35"/>
    <w:rsid w:val="007E1223"/>
    <w:rsid w:val="007E186D"/>
    <w:rsid w:val="007E32FA"/>
    <w:rsid w:val="007E4760"/>
    <w:rsid w:val="007E586B"/>
    <w:rsid w:val="007E5B77"/>
    <w:rsid w:val="007E65B4"/>
    <w:rsid w:val="007E66C3"/>
    <w:rsid w:val="007E7A12"/>
    <w:rsid w:val="007E7E37"/>
    <w:rsid w:val="007E7E5B"/>
    <w:rsid w:val="007F10C7"/>
    <w:rsid w:val="007F1B16"/>
    <w:rsid w:val="007F1EC5"/>
    <w:rsid w:val="007F2436"/>
    <w:rsid w:val="007F3BC5"/>
    <w:rsid w:val="007F5E91"/>
    <w:rsid w:val="007F6B22"/>
    <w:rsid w:val="007F6EFD"/>
    <w:rsid w:val="007F7107"/>
    <w:rsid w:val="00800D4C"/>
    <w:rsid w:val="00800E0A"/>
    <w:rsid w:val="008044A6"/>
    <w:rsid w:val="008053E4"/>
    <w:rsid w:val="008056A5"/>
    <w:rsid w:val="008065F7"/>
    <w:rsid w:val="00806B08"/>
    <w:rsid w:val="00806E3B"/>
    <w:rsid w:val="0080783D"/>
    <w:rsid w:val="0081030F"/>
    <w:rsid w:val="008111B3"/>
    <w:rsid w:val="008113C3"/>
    <w:rsid w:val="00811C52"/>
    <w:rsid w:val="00812F4A"/>
    <w:rsid w:val="0081358A"/>
    <w:rsid w:val="00813DB9"/>
    <w:rsid w:val="008142F7"/>
    <w:rsid w:val="00816BF3"/>
    <w:rsid w:val="0082087D"/>
    <w:rsid w:val="00824F54"/>
    <w:rsid w:val="00826F45"/>
    <w:rsid w:val="008271A7"/>
    <w:rsid w:val="00831F86"/>
    <w:rsid w:val="00832AC4"/>
    <w:rsid w:val="00832FE7"/>
    <w:rsid w:val="0083331C"/>
    <w:rsid w:val="008353A1"/>
    <w:rsid w:val="00835626"/>
    <w:rsid w:val="00835771"/>
    <w:rsid w:val="00836DC9"/>
    <w:rsid w:val="00837E9F"/>
    <w:rsid w:val="00840268"/>
    <w:rsid w:val="008412F4"/>
    <w:rsid w:val="0084234F"/>
    <w:rsid w:val="00842933"/>
    <w:rsid w:val="00842F05"/>
    <w:rsid w:val="008433E5"/>
    <w:rsid w:val="00844A13"/>
    <w:rsid w:val="0084555A"/>
    <w:rsid w:val="00845B73"/>
    <w:rsid w:val="00846844"/>
    <w:rsid w:val="00846CF1"/>
    <w:rsid w:val="00847595"/>
    <w:rsid w:val="0085032E"/>
    <w:rsid w:val="008508FE"/>
    <w:rsid w:val="008536F5"/>
    <w:rsid w:val="00854070"/>
    <w:rsid w:val="00854660"/>
    <w:rsid w:val="00856435"/>
    <w:rsid w:val="008568C2"/>
    <w:rsid w:val="0085737C"/>
    <w:rsid w:val="0085779B"/>
    <w:rsid w:val="008604B2"/>
    <w:rsid w:val="0086082C"/>
    <w:rsid w:val="008617FB"/>
    <w:rsid w:val="00861E54"/>
    <w:rsid w:val="00862168"/>
    <w:rsid w:val="00862240"/>
    <w:rsid w:val="0086322F"/>
    <w:rsid w:val="008633C4"/>
    <w:rsid w:val="00863761"/>
    <w:rsid w:val="00864ADC"/>
    <w:rsid w:val="00866DA0"/>
    <w:rsid w:val="008676DA"/>
    <w:rsid w:val="008709AB"/>
    <w:rsid w:val="00870BB9"/>
    <w:rsid w:val="00870D6C"/>
    <w:rsid w:val="008711B2"/>
    <w:rsid w:val="008721F3"/>
    <w:rsid w:val="008723C7"/>
    <w:rsid w:val="00872986"/>
    <w:rsid w:val="008739E1"/>
    <w:rsid w:val="00875B4A"/>
    <w:rsid w:val="00875EDF"/>
    <w:rsid w:val="00877365"/>
    <w:rsid w:val="00877564"/>
    <w:rsid w:val="00880153"/>
    <w:rsid w:val="00880E48"/>
    <w:rsid w:val="00880F97"/>
    <w:rsid w:val="0088133A"/>
    <w:rsid w:val="00884F19"/>
    <w:rsid w:val="00884F4F"/>
    <w:rsid w:val="00885539"/>
    <w:rsid w:val="00885A25"/>
    <w:rsid w:val="00885F23"/>
    <w:rsid w:val="00885FED"/>
    <w:rsid w:val="008861B7"/>
    <w:rsid w:val="00886CBE"/>
    <w:rsid w:val="008877F8"/>
    <w:rsid w:val="00887927"/>
    <w:rsid w:val="00891479"/>
    <w:rsid w:val="0089198B"/>
    <w:rsid w:val="00891B6B"/>
    <w:rsid w:val="00891E15"/>
    <w:rsid w:val="0089285E"/>
    <w:rsid w:val="0089436C"/>
    <w:rsid w:val="00894AE3"/>
    <w:rsid w:val="00894E85"/>
    <w:rsid w:val="00894F63"/>
    <w:rsid w:val="00895265"/>
    <w:rsid w:val="00895572"/>
    <w:rsid w:val="00896689"/>
    <w:rsid w:val="00896C4C"/>
    <w:rsid w:val="008A1E10"/>
    <w:rsid w:val="008A20C0"/>
    <w:rsid w:val="008A26A6"/>
    <w:rsid w:val="008A2BC4"/>
    <w:rsid w:val="008A2EC8"/>
    <w:rsid w:val="008A3A5A"/>
    <w:rsid w:val="008A3C15"/>
    <w:rsid w:val="008A57F3"/>
    <w:rsid w:val="008A7688"/>
    <w:rsid w:val="008B18FC"/>
    <w:rsid w:val="008B1969"/>
    <w:rsid w:val="008B1F9A"/>
    <w:rsid w:val="008B1FE8"/>
    <w:rsid w:val="008B31F4"/>
    <w:rsid w:val="008B34ED"/>
    <w:rsid w:val="008B3539"/>
    <w:rsid w:val="008B37CB"/>
    <w:rsid w:val="008B44FE"/>
    <w:rsid w:val="008B4A36"/>
    <w:rsid w:val="008B62F6"/>
    <w:rsid w:val="008C0DCD"/>
    <w:rsid w:val="008C3DAE"/>
    <w:rsid w:val="008C51F5"/>
    <w:rsid w:val="008C6188"/>
    <w:rsid w:val="008C6735"/>
    <w:rsid w:val="008D2006"/>
    <w:rsid w:val="008D22D3"/>
    <w:rsid w:val="008D30EC"/>
    <w:rsid w:val="008D365C"/>
    <w:rsid w:val="008D3EC3"/>
    <w:rsid w:val="008D49AF"/>
    <w:rsid w:val="008D4BC2"/>
    <w:rsid w:val="008D570A"/>
    <w:rsid w:val="008D5822"/>
    <w:rsid w:val="008D7622"/>
    <w:rsid w:val="008E08BF"/>
    <w:rsid w:val="008E0AB9"/>
    <w:rsid w:val="008E0FA9"/>
    <w:rsid w:val="008E1400"/>
    <w:rsid w:val="008E1A41"/>
    <w:rsid w:val="008E358A"/>
    <w:rsid w:val="008E4D70"/>
    <w:rsid w:val="008E69EC"/>
    <w:rsid w:val="008E6F7E"/>
    <w:rsid w:val="008E6FA5"/>
    <w:rsid w:val="008E742F"/>
    <w:rsid w:val="008F0381"/>
    <w:rsid w:val="008F042E"/>
    <w:rsid w:val="008F0B3B"/>
    <w:rsid w:val="008F1EE2"/>
    <w:rsid w:val="008F25AE"/>
    <w:rsid w:val="008F29F4"/>
    <w:rsid w:val="008F3703"/>
    <w:rsid w:val="008F38C6"/>
    <w:rsid w:val="008F43E2"/>
    <w:rsid w:val="008F4D7A"/>
    <w:rsid w:val="008F5201"/>
    <w:rsid w:val="008F541F"/>
    <w:rsid w:val="008F6CF6"/>
    <w:rsid w:val="008F7F24"/>
    <w:rsid w:val="0090048F"/>
    <w:rsid w:val="00900B1F"/>
    <w:rsid w:val="00901778"/>
    <w:rsid w:val="009021A6"/>
    <w:rsid w:val="009030BF"/>
    <w:rsid w:val="009031C6"/>
    <w:rsid w:val="00903669"/>
    <w:rsid w:val="00903B52"/>
    <w:rsid w:val="0090412B"/>
    <w:rsid w:val="009049FA"/>
    <w:rsid w:val="00904A12"/>
    <w:rsid w:val="00906D47"/>
    <w:rsid w:val="0090738D"/>
    <w:rsid w:val="0091032F"/>
    <w:rsid w:val="009108D2"/>
    <w:rsid w:val="00910955"/>
    <w:rsid w:val="00911BA4"/>
    <w:rsid w:val="009128D0"/>
    <w:rsid w:val="00912B8D"/>
    <w:rsid w:val="009132F5"/>
    <w:rsid w:val="009135E7"/>
    <w:rsid w:val="00914368"/>
    <w:rsid w:val="00914DDA"/>
    <w:rsid w:val="00915A73"/>
    <w:rsid w:val="0092112B"/>
    <w:rsid w:val="009214B1"/>
    <w:rsid w:val="00921E0E"/>
    <w:rsid w:val="009226FE"/>
    <w:rsid w:val="009278F3"/>
    <w:rsid w:val="00930165"/>
    <w:rsid w:val="00931076"/>
    <w:rsid w:val="009321EE"/>
    <w:rsid w:val="00933279"/>
    <w:rsid w:val="0093374A"/>
    <w:rsid w:val="00934296"/>
    <w:rsid w:val="009345D9"/>
    <w:rsid w:val="00934949"/>
    <w:rsid w:val="00934B15"/>
    <w:rsid w:val="00934CCB"/>
    <w:rsid w:val="00935806"/>
    <w:rsid w:val="009360E7"/>
    <w:rsid w:val="00937573"/>
    <w:rsid w:val="00937F4D"/>
    <w:rsid w:val="009402C2"/>
    <w:rsid w:val="00940C5A"/>
    <w:rsid w:val="00940C87"/>
    <w:rsid w:val="00942A10"/>
    <w:rsid w:val="00942B62"/>
    <w:rsid w:val="009432DA"/>
    <w:rsid w:val="00943C8F"/>
    <w:rsid w:val="009446A2"/>
    <w:rsid w:val="00945484"/>
    <w:rsid w:val="00945527"/>
    <w:rsid w:val="00945BF2"/>
    <w:rsid w:val="009514F8"/>
    <w:rsid w:val="009517D1"/>
    <w:rsid w:val="00952972"/>
    <w:rsid w:val="00952AA5"/>
    <w:rsid w:val="0095323B"/>
    <w:rsid w:val="009545F3"/>
    <w:rsid w:val="00954D18"/>
    <w:rsid w:val="00955045"/>
    <w:rsid w:val="00956295"/>
    <w:rsid w:val="0095635B"/>
    <w:rsid w:val="00956A0C"/>
    <w:rsid w:val="00956BD9"/>
    <w:rsid w:val="00957556"/>
    <w:rsid w:val="00960939"/>
    <w:rsid w:val="00960D3E"/>
    <w:rsid w:val="009617E8"/>
    <w:rsid w:val="00961E6B"/>
    <w:rsid w:val="009623ED"/>
    <w:rsid w:val="00962489"/>
    <w:rsid w:val="0096485D"/>
    <w:rsid w:val="00967CD3"/>
    <w:rsid w:val="00967E32"/>
    <w:rsid w:val="00970390"/>
    <w:rsid w:val="00970769"/>
    <w:rsid w:val="0097135C"/>
    <w:rsid w:val="00972201"/>
    <w:rsid w:val="009728B7"/>
    <w:rsid w:val="00972A74"/>
    <w:rsid w:val="00972A78"/>
    <w:rsid w:val="009739A6"/>
    <w:rsid w:val="00973C2D"/>
    <w:rsid w:val="0097544B"/>
    <w:rsid w:val="009754FE"/>
    <w:rsid w:val="00976415"/>
    <w:rsid w:val="0097649D"/>
    <w:rsid w:val="00981383"/>
    <w:rsid w:val="00982065"/>
    <w:rsid w:val="009821D8"/>
    <w:rsid w:val="00984819"/>
    <w:rsid w:val="00984B97"/>
    <w:rsid w:val="0098582A"/>
    <w:rsid w:val="00985D45"/>
    <w:rsid w:val="0098625D"/>
    <w:rsid w:val="00987345"/>
    <w:rsid w:val="0099013B"/>
    <w:rsid w:val="00990C2C"/>
    <w:rsid w:val="0099234C"/>
    <w:rsid w:val="00994913"/>
    <w:rsid w:val="00995D3B"/>
    <w:rsid w:val="0099705A"/>
    <w:rsid w:val="0099722B"/>
    <w:rsid w:val="00997BC2"/>
    <w:rsid w:val="009A0860"/>
    <w:rsid w:val="009A09C1"/>
    <w:rsid w:val="009A11C7"/>
    <w:rsid w:val="009A33D5"/>
    <w:rsid w:val="009A3D6A"/>
    <w:rsid w:val="009A3E96"/>
    <w:rsid w:val="009A50A1"/>
    <w:rsid w:val="009A5171"/>
    <w:rsid w:val="009A52D6"/>
    <w:rsid w:val="009A5BF6"/>
    <w:rsid w:val="009A78F9"/>
    <w:rsid w:val="009B00AD"/>
    <w:rsid w:val="009B0B20"/>
    <w:rsid w:val="009B1316"/>
    <w:rsid w:val="009B2938"/>
    <w:rsid w:val="009B2C57"/>
    <w:rsid w:val="009B5622"/>
    <w:rsid w:val="009B7C64"/>
    <w:rsid w:val="009C0409"/>
    <w:rsid w:val="009C11B8"/>
    <w:rsid w:val="009C2A14"/>
    <w:rsid w:val="009C3AED"/>
    <w:rsid w:val="009C495F"/>
    <w:rsid w:val="009C4E36"/>
    <w:rsid w:val="009C51C5"/>
    <w:rsid w:val="009C5B61"/>
    <w:rsid w:val="009C668D"/>
    <w:rsid w:val="009C671A"/>
    <w:rsid w:val="009C7A93"/>
    <w:rsid w:val="009D0F04"/>
    <w:rsid w:val="009D18F4"/>
    <w:rsid w:val="009D1B32"/>
    <w:rsid w:val="009D2ED6"/>
    <w:rsid w:val="009D5425"/>
    <w:rsid w:val="009D7DC0"/>
    <w:rsid w:val="009E04FB"/>
    <w:rsid w:val="009E0FC3"/>
    <w:rsid w:val="009E10B7"/>
    <w:rsid w:val="009E1844"/>
    <w:rsid w:val="009E1BBA"/>
    <w:rsid w:val="009E2936"/>
    <w:rsid w:val="009E29FA"/>
    <w:rsid w:val="009E2F02"/>
    <w:rsid w:val="009E2F30"/>
    <w:rsid w:val="009E3919"/>
    <w:rsid w:val="009E4121"/>
    <w:rsid w:val="009E4F20"/>
    <w:rsid w:val="009E591C"/>
    <w:rsid w:val="009E648D"/>
    <w:rsid w:val="009E7B03"/>
    <w:rsid w:val="009E7EB2"/>
    <w:rsid w:val="009F071C"/>
    <w:rsid w:val="009F0D1B"/>
    <w:rsid w:val="009F29C1"/>
    <w:rsid w:val="009F2A93"/>
    <w:rsid w:val="009F38EB"/>
    <w:rsid w:val="009F3A22"/>
    <w:rsid w:val="009F53DD"/>
    <w:rsid w:val="009F5B9F"/>
    <w:rsid w:val="009F5BBD"/>
    <w:rsid w:val="009F696D"/>
    <w:rsid w:val="009F6A6A"/>
    <w:rsid w:val="009F6BC6"/>
    <w:rsid w:val="009F74EF"/>
    <w:rsid w:val="00A00E1D"/>
    <w:rsid w:val="00A01C22"/>
    <w:rsid w:val="00A02826"/>
    <w:rsid w:val="00A02BCA"/>
    <w:rsid w:val="00A02F2C"/>
    <w:rsid w:val="00A03375"/>
    <w:rsid w:val="00A046B8"/>
    <w:rsid w:val="00A04C39"/>
    <w:rsid w:val="00A04D85"/>
    <w:rsid w:val="00A05D69"/>
    <w:rsid w:val="00A06568"/>
    <w:rsid w:val="00A06F53"/>
    <w:rsid w:val="00A105A8"/>
    <w:rsid w:val="00A1143D"/>
    <w:rsid w:val="00A127EE"/>
    <w:rsid w:val="00A1316D"/>
    <w:rsid w:val="00A1460D"/>
    <w:rsid w:val="00A15BE8"/>
    <w:rsid w:val="00A15D5A"/>
    <w:rsid w:val="00A16323"/>
    <w:rsid w:val="00A1638A"/>
    <w:rsid w:val="00A16F8D"/>
    <w:rsid w:val="00A17328"/>
    <w:rsid w:val="00A173B1"/>
    <w:rsid w:val="00A17686"/>
    <w:rsid w:val="00A2073F"/>
    <w:rsid w:val="00A23A20"/>
    <w:rsid w:val="00A23D60"/>
    <w:rsid w:val="00A24443"/>
    <w:rsid w:val="00A24967"/>
    <w:rsid w:val="00A24B1E"/>
    <w:rsid w:val="00A25551"/>
    <w:rsid w:val="00A268B9"/>
    <w:rsid w:val="00A26BFF"/>
    <w:rsid w:val="00A26C21"/>
    <w:rsid w:val="00A26C82"/>
    <w:rsid w:val="00A2703A"/>
    <w:rsid w:val="00A306A2"/>
    <w:rsid w:val="00A30CE0"/>
    <w:rsid w:val="00A3248B"/>
    <w:rsid w:val="00A329BC"/>
    <w:rsid w:val="00A32D77"/>
    <w:rsid w:val="00A33763"/>
    <w:rsid w:val="00A33DFF"/>
    <w:rsid w:val="00A35115"/>
    <w:rsid w:val="00A36D9A"/>
    <w:rsid w:val="00A36E39"/>
    <w:rsid w:val="00A37196"/>
    <w:rsid w:val="00A40E9A"/>
    <w:rsid w:val="00A41D86"/>
    <w:rsid w:val="00A42FD7"/>
    <w:rsid w:val="00A436B4"/>
    <w:rsid w:val="00A451DC"/>
    <w:rsid w:val="00A45ED2"/>
    <w:rsid w:val="00A45EFA"/>
    <w:rsid w:val="00A469F6"/>
    <w:rsid w:val="00A46E78"/>
    <w:rsid w:val="00A47B07"/>
    <w:rsid w:val="00A5015D"/>
    <w:rsid w:val="00A502A0"/>
    <w:rsid w:val="00A5068B"/>
    <w:rsid w:val="00A50CF0"/>
    <w:rsid w:val="00A5128A"/>
    <w:rsid w:val="00A51809"/>
    <w:rsid w:val="00A51A77"/>
    <w:rsid w:val="00A526FA"/>
    <w:rsid w:val="00A52B59"/>
    <w:rsid w:val="00A53857"/>
    <w:rsid w:val="00A55154"/>
    <w:rsid w:val="00A554AB"/>
    <w:rsid w:val="00A554CD"/>
    <w:rsid w:val="00A566CE"/>
    <w:rsid w:val="00A56D24"/>
    <w:rsid w:val="00A57062"/>
    <w:rsid w:val="00A61876"/>
    <w:rsid w:val="00A62440"/>
    <w:rsid w:val="00A64042"/>
    <w:rsid w:val="00A6560E"/>
    <w:rsid w:val="00A67781"/>
    <w:rsid w:val="00A70B71"/>
    <w:rsid w:val="00A70E8C"/>
    <w:rsid w:val="00A71BB3"/>
    <w:rsid w:val="00A73855"/>
    <w:rsid w:val="00A73B1B"/>
    <w:rsid w:val="00A73C69"/>
    <w:rsid w:val="00A75D24"/>
    <w:rsid w:val="00A761F9"/>
    <w:rsid w:val="00A767EB"/>
    <w:rsid w:val="00A826BC"/>
    <w:rsid w:val="00A83DB3"/>
    <w:rsid w:val="00A848A1"/>
    <w:rsid w:val="00A84B50"/>
    <w:rsid w:val="00A8500E"/>
    <w:rsid w:val="00A854A9"/>
    <w:rsid w:val="00A86305"/>
    <w:rsid w:val="00A86E69"/>
    <w:rsid w:val="00A87662"/>
    <w:rsid w:val="00A87BEE"/>
    <w:rsid w:val="00A9012F"/>
    <w:rsid w:val="00A927F6"/>
    <w:rsid w:val="00A92B53"/>
    <w:rsid w:val="00A93BE5"/>
    <w:rsid w:val="00A94FA6"/>
    <w:rsid w:val="00A9545D"/>
    <w:rsid w:val="00A956C5"/>
    <w:rsid w:val="00A96D05"/>
    <w:rsid w:val="00A972D7"/>
    <w:rsid w:val="00A9753F"/>
    <w:rsid w:val="00A97708"/>
    <w:rsid w:val="00A97970"/>
    <w:rsid w:val="00AA14EB"/>
    <w:rsid w:val="00AA1840"/>
    <w:rsid w:val="00AA1895"/>
    <w:rsid w:val="00AA1912"/>
    <w:rsid w:val="00AA1A86"/>
    <w:rsid w:val="00AA3183"/>
    <w:rsid w:val="00AA3284"/>
    <w:rsid w:val="00AA49A0"/>
    <w:rsid w:val="00AA4F62"/>
    <w:rsid w:val="00AA6251"/>
    <w:rsid w:val="00AA6710"/>
    <w:rsid w:val="00AA6C2E"/>
    <w:rsid w:val="00AA709D"/>
    <w:rsid w:val="00AB0681"/>
    <w:rsid w:val="00AB2A37"/>
    <w:rsid w:val="00AB3441"/>
    <w:rsid w:val="00AB441D"/>
    <w:rsid w:val="00AB54BE"/>
    <w:rsid w:val="00AB694D"/>
    <w:rsid w:val="00AB6B79"/>
    <w:rsid w:val="00AB6CD6"/>
    <w:rsid w:val="00AB728E"/>
    <w:rsid w:val="00AB77BD"/>
    <w:rsid w:val="00AB785A"/>
    <w:rsid w:val="00AB7AC3"/>
    <w:rsid w:val="00AC0249"/>
    <w:rsid w:val="00AC0891"/>
    <w:rsid w:val="00AC1D8A"/>
    <w:rsid w:val="00AC223C"/>
    <w:rsid w:val="00AC3A15"/>
    <w:rsid w:val="00AC4661"/>
    <w:rsid w:val="00AC48A0"/>
    <w:rsid w:val="00AC4B3D"/>
    <w:rsid w:val="00AC525F"/>
    <w:rsid w:val="00AC5E90"/>
    <w:rsid w:val="00AC68B5"/>
    <w:rsid w:val="00AD0DAE"/>
    <w:rsid w:val="00AD133E"/>
    <w:rsid w:val="00AD1856"/>
    <w:rsid w:val="00AD20E1"/>
    <w:rsid w:val="00AD257B"/>
    <w:rsid w:val="00AD509F"/>
    <w:rsid w:val="00AD520B"/>
    <w:rsid w:val="00AD558F"/>
    <w:rsid w:val="00AD562E"/>
    <w:rsid w:val="00AD5C38"/>
    <w:rsid w:val="00AD5FAE"/>
    <w:rsid w:val="00AD6643"/>
    <w:rsid w:val="00AD728F"/>
    <w:rsid w:val="00AD743F"/>
    <w:rsid w:val="00AD7EE0"/>
    <w:rsid w:val="00AE03BE"/>
    <w:rsid w:val="00AE15B6"/>
    <w:rsid w:val="00AE34F9"/>
    <w:rsid w:val="00AE3BCC"/>
    <w:rsid w:val="00AE3D2E"/>
    <w:rsid w:val="00AE5AD9"/>
    <w:rsid w:val="00AE67D2"/>
    <w:rsid w:val="00AE755B"/>
    <w:rsid w:val="00AF02E6"/>
    <w:rsid w:val="00AF17F0"/>
    <w:rsid w:val="00AF26E2"/>
    <w:rsid w:val="00AF3A38"/>
    <w:rsid w:val="00AF3A5F"/>
    <w:rsid w:val="00AF3F38"/>
    <w:rsid w:val="00AF4E82"/>
    <w:rsid w:val="00AF63BB"/>
    <w:rsid w:val="00AF6AE3"/>
    <w:rsid w:val="00AF7139"/>
    <w:rsid w:val="00AF755B"/>
    <w:rsid w:val="00AF7774"/>
    <w:rsid w:val="00B00D25"/>
    <w:rsid w:val="00B01B60"/>
    <w:rsid w:val="00B0240F"/>
    <w:rsid w:val="00B02ABB"/>
    <w:rsid w:val="00B0314A"/>
    <w:rsid w:val="00B03C2A"/>
    <w:rsid w:val="00B0490B"/>
    <w:rsid w:val="00B04ECF"/>
    <w:rsid w:val="00B06B1A"/>
    <w:rsid w:val="00B10A7F"/>
    <w:rsid w:val="00B10DB0"/>
    <w:rsid w:val="00B11593"/>
    <w:rsid w:val="00B12602"/>
    <w:rsid w:val="00B12D42"/>
    <w:rsid w:val="00B13187"/>
    <w:rsid w:val="00B1363F"/>
    <w:rsid w:val="00B157D5"/>
    <w:rsid w:val="00B16D7D"/>
    <w:rsid w:val="00B17E9A"/>
    <w:rsid w:val="00B20224"/>
    <w:rsid w:val="00B21E23"/>
    <w:rsid w:val="00B223E3"/>
    <w:rsid w:val="00B22D55"/>
    <w:rsid w:val="00B24220"/>
    <w:rsid w:val="00B3232B"/>
    <w:rsid w:val="00B34310"/>
    <w:rsid w:val="00B34BA2"/>
    <w:rsid w:val="00B34E8D"/>
    <w:rsid w:val="00B377D3"/>
    <w:rsid w:val="00B37E7F"/>
    <w:rsid w:val="00B4011A"/>
    <w:rsid w:val="00B413D1"/>
    <w:rsid w:val="00B41E0B"/>
    <w:rsid w:val="00B42545"/>
    <w:rsid w:val="00B425C3"/>
    <w:rsid w:val="00B42755"/>
    <w:rsid w:val="00B434C8"/>
    <w:rsid w:val="00B4373D"/>
    <w:rsid w:val="00B440AD"/>
    <w:rsid w:val="00B44EAF"/>
    <w:rsid w:val="00B45772"/>
    <w:rsid w:val="00B479BB"/>
    <w:rsid w:val="00B517CC"/>
    <w:rsid w:val="00B5268B"/>
    <w:rsid w:val="00B53E7E"/>
    <w:rsid w:val="00B53EAE"/>
    <w:rsid w:val="00B54007"/>
    <w:rsid w:val="00B54363"/>
    <w:rsid w:val="00B54704"/>
    <w:rsid w:val="00B54827"/>
    <w:rsid w:val="00B54858"/>
    <w:rsid w:val="00B57867"/>
    <w:rsid w:val="00B579CC"/>
    <w:rsid w:val="00B61BE2"/>
    <w:rsid w:val="00B61E79"/>
    <w:rsid w:val="00B62C57"/>
    <w:rsid w:val="00B62EFA"/>
    <w:rsid w:val="00B6342E"/>
    <w:rsid w:val="00B63745"/>
    <w:rsid w:val="00B64074"/>
    <w:rsid w:val="00B64189"/>
    <w:rsid w:val="00B65113"/>
    <w:rsid w:val="00B7094A"/>
    <w:rsid w:val="00B70A46"/>
    <w:rsid w:val="00B7113F"/>
    <w:rsid w:val="00B724C5"/>
    <w:rsid w:val="00B733E6"/>
    <w:rsid w:val="00B73A62"/>
    <w:rsid w:val="00B744A4"/>
    <w:rsid w:val="00B74D09"/>
    <w:rsid w:val="00B75234"/>
    <w:rsid w:val="00B766D6"/>
    <w:rsid w:val="00B76CA5"/>
    <w:rsid w:val="00B7705A"/>
    <w:rsid w:val="00B772E9"/>
    <w:rsid w:val="00B8018B"/>
    <w:rsid w:val="00B80534"/>
    <w:rsid w:val="00B80555"/>
    <w:rsid w:val="00B80795"/>
    <w:rsid w:val="00B80815"/>
    <w:rsid w:val="00B81833"/>
    <w:rsid w:val="00B831CA"/>
    <w:rsid w:val="00B837B0"/>
    <w:rsid w:val="00B846FE"/>
    <w:rsid w:val="00B84730"/>
    <w:rsid w:val="00B847DD"/>
    <w:rsid w:val="00B8493C"/>
    <w:rsid w:val="00B849AB"/>
    <w:rsid w:val="00B84B87"/>
    <w:rsid w:val="00B853FC"/>
    <w:rsid w:val="00B86948"/>
    <w:rsid w:val="00B90305"/>
    <w:rsid w:val="00B93143"/>
    <w:rsid w:val="00B93747"/>
    <w:rsid w:val="00B9398A"/>
    <w:rsid w:val="00B950A6"/>
    <w:rsid w:val="00B951D3"/>
    <w:rsid w:val="00B953D7"/>
    <w:rsid w:val="00B95C56"/>
    <w:rsid w:val="00B96FAF"/>
    <w:rsid w:val="00B97868"/>
    <w:rsid w:val="00BA1D38"/>
    <w:rsid w:val="00BA2467"/>
    <w:rsid w:val="00BA2BCF"/>
    <w:rsid w:val="00BA2C76"/>
    <w:rsid w:val="00BA2E4D"/>
    <w:rsid w:val="00BA3897"/>
    <w:rsid w:val="00BA5B14"/>
    <w:rsid w:val="00BA623E"/>
    <w:rsid w:val="00BA6975"/>
    <w:rsid w:val="00BA73B6"/>
    <w:rsid w:val="00BA78FC"/>
    <w:rsid w:val="00BA79F9"/>
    <w:rsid w:val="00BA7E27"/>
    <w:rsid w:val="00BB06D4"/>
    <w:rsid w:val="00BB0792"/>
    <w:rsid w:val="00BB1835"/>
    <w:rsid w:val="00BB1B1B"/>
    <w:rsid w:val="00BB1D68"/>
    <w:rsid w:val="00BB2603"/>
    <w:rsid w:val="00BB2721"/>
    <w:rsid w:val="00BB2D3C"/>
    <w:rsid w:val="00BB3B2F"/>
    <w:rsid w:val="00BB4D90"/>
    <w:rsid w:val="00BB4FCD"/>
    <w:rsid w:val="00BB57B1"/>
    <w:rsid w:val="00BB57BC"/>
    <w:rsid w:val="00BB59B8"/>
    <w:rsid w:val="00BB61DC"/>
    <w:rsid w:val="00BB6285"/>
    <w:rsid w:val="00BB76B3"/>
    <w:rsid w:val="00BB7CB3"/>
    <w:rsid w:val="00BB7E86"/>
    <w:rsid w:val="00BB7EBC"/>
    <w:rsid w:val="00BC04E9"/>
    <w:rsid w:val="00BC1293"/>
    <w:rsid w:val="00BC190C"/>
    <w:rsid w:val="00BC191F"/>
    <w:rsid w:val="00BC2832"/>
    <w:rsid w:val="00BC2C44"/>
    <w:rsid w:val="00BC358D"/>
    <w:rsid w:val="00BC4D1A"/>
    <w:rsid w:val="00BC5B6E"/>
    <w:rsid w:val="00BC69AB"/>
    <w:rsid w:val="00BC69C4"/>
    <w:rsid w:val="00BD13EA"/>
    <w:rsid w:val="00BD1B4D"/>
    <w:rsid w:val="00BD5B3A"/>
    <w:rsid w:val="00BD61FD"/>
    <w:rsid w:val="00BD6516"/>
    <w:rsid w:val="00BD690C"/>
    <w:rsid w:val="00BE0A95"/>
    <w:rsid w:val="00BE1038"/>
    <w:rsid w:val="00BE1562"/>
    <w:rsid w:val="00BE2101"/>
    <w:rsid w:val="00BE3808"/>
    <w:rsid w:val="00BE3D92"/>
    <w:rsid w:val="00BE41EA"/>
    <w:rsid w:val="00BE52AC"/>
    <w:rsid w:val="00BE629D"/>
    <w:rsid w:val="00BE7F6D"/>
    <w:rsid w:val="00BF0C9D"/>
    <w:rsid w:val="00BF2517"/>
    <w:rsid w:val="00BF49BB"/>
    <w:rsid w:val="00BF5225"/>
    <w:rsid w:val="00BF5934"/>
    <w:rsid w:val="00BF5DE4"/>
    <w:rsid w:val="00BF6FE4"/>
    <w:rsid w:val="00BF7184"/>
    <w:rsid w:val="00BF72DD"/>
    <w:rsid w:val="00C001C1"/>
    <w:rsid w:val="00C00C85"/>
    <w:rsid w:val="00C00F69"/>
    <w:rsid w:val="00C0121F"/>
    <w:rsid w:val="00C02A0C"/>
    <w:rsid w:val="00C03113"/>
    <w:rsid w:val="00C034C8"/>
    <w:rsid w:val="00C03B88"/>
    <w:rsid w:val="00C044D6"/>
    <w:rsid w:val="00C04787"/>
    <w:rsid w:val="00C04C4B"/>
    <w:rsid w:val="00C05347"/>
    <w:rsid w:val="00C062E9"/>
    <w:rsid w:val="00C0647C"/>
    <w:rsid w:val="00C0647F"/>
    <w:rsid w:val="00C069AA"/>
    <w:rsid w:val="00C07551"/>
    <w:rsid w:val="00C07557"/>
    <w:rsid w:val="00C0773D"/>
    <w:rsid w:val="00C07B64"/>
    <w:rsid w:val="00C118F2"/>
    <w:rsid w:val="00C12AFE"/>
    <w:rsid w:val="00C13166"/>
    <w:rsid w:val="00C1346E"/>
    <w:rsid w:val="00C13721"/>
    <w:rsid w:val="00C146FB"/>
    <w:rsid w:val="00C14767"/>
    <w:rsid w:val="00C14EAD"/>
    <w:rsid w:val="00C14FE4"/>
    <w:rsid w:val="00C16336"/>
    <w:rsid w:val="00C16CD5"/>
    <w:rsid w:val="00C22A43"/>
    <w:rsid w:val="00C247D1"/>
    <w:rsid w:val="00C252B1"/>
    <w:rsid w:val="00C25A18"/>
    <w:rsid w:val="00C26670"/>
    <w:rsid w:val="00C3066D"/>
    <w:rsid w:val="00C30F52"/>
    <w:rsid w:val="00C3119C"/>
    <w:rsid w:val="00C3159B"/>
    <w:rsid w:val="00C31BC1"/>
    <w:rsid w:val="00C31F35"/>
    <w:rsid w:val="00C331BC"/>
    <w:rsid w:val="00C33539"/>
    <w:rsid w:val="00C357CA"/>
    <w:rsid w:val="00C35EBA"/>
    <w:rsid w:val="00C362FD"/>
    <w:rsid w:val="00C36836"/>
    <w:rsid w:val="00C36F87"/>
    <w:rsid w:val="00C371CC"/>
    <w:rsid w:val="00C3746A"/>
    <w:rsid w:val="00C40315"/>
    <w:rsid w:val="00C41776"/>
    <w:rsid w:val="00C4501F"/>
    <w:rsid w:val="00C45512"/>
    <w:rsid w:val="00C45ABE"/>
    <w:rsid w:val="00C46462"/>
    <w:rsid w:val="00C466DD"/>
    <w:rsid w:val="00C4704F"/>
    <w:rsid w:val="00C472AD"/>
    <w:rsid w:val="00C51682"/>
    <w:rsid w:val="00C51954"/>
    <w:rsid w:val="00C51C77"/>
    <w:rsid w:val="00C52416"/>
    <w:rsid w:val="00C53B54"/>
    <w:rsid w:val="00C54183"/>
    <w:rsid w:val="00C543F4"/>
    <w:rsid w:val="00C54D24"/>
    <w:rsid w:val="00C55ABE"/>
    <w:rsid w:val="00C56865"/>
    <w:rsid w:val="00C56AA4"/>
    <w:rsid w:val="00C571F4"/>
    <w:rsid w:val="00C57E4C"/>
    <w:rsid w:val="00C6021D"/>
    <w:rsid w:val="00C6044C"/>
    <w:rsid w:val="00C60B94"/>
    <w:rsid w:val="00C620FC"/>
    <w:rsid w:val="00C6291C"/>
    <w:rsid w:val="00C63209"/>
    <w:rsid w:val="00C633CB"/>
    <w:rsid w:val="00C63775"/>
    <w:rsid w:val="00C63928"/>
    <w:rsid w:val="00C64E86"/>
    <w:rsid w:val="00C65CC3"/>
    <w:rsid w:val="00C664CD"/>
    <w:rsid w:val="00C66C2D"/>
    <w:rsid w:val="00C677CB"/>
    <w:rsid w:val="00C67D5C"/>
    <w:rsid w:val="00C709DD"/>
    <w:rsid w:val="00C7129C"/>
    <w:rsid w:val="00C71AC5"/>
    <w:rsid w:val="00C7234F"/>
    <w:rsid w:val="00C73235"/>
    <w:rsid w:val="00C73494"/>
    <w:rsid w:val="00C736B7"/>
    <w:rsid w:val="00C73E28"/>
    <w:rsid w:val="00C74AE8"/>
    <w:rsid w:val="00C75233"/>
    <w:rsid w:val="00C77D78"/>
    <w:rsid w:val="00C77EDF"/>
    <w:rsid w:val="00C80917"/>
    <w:rsid w:val="00C81041"/>
    <w:rsid w:val="00C81074"/>
    <w:rsid w:val="00C81D4A"/>
    <w:rsid w:val="00C8407E"/>
    <w:rsid w:val="00C8439C"/>
    <w:rsid w:val="00C847C4"/>
    <w:rsid w:val="00C85025"/>
    <w:rsid w:val="00C85057"/>
    <w:rsid w:val="00C853A9"/>
    <w:rsid w:val="00C86CB2"/>
    <w:rsid w:val="00C8762C"/>
    <w:rsid w:val="00C90088"/>
    <w:rsid w:val="00C90C12"/>
    <w:rsid w:val="00C91645"/>
    <w:rsid w:val="00C91CAE"/>
    <w:rsid w:val="00C920D0"/>
    <w:rsid w:val="00C92F0A"/>
    <w:rsid w:val="00C9302C"/>
    <w:rsid w:val="00C93F64"/>
    <w:rsid w:val="00C95038"/>
    <w:rsid w:val="00C950B3"/>
    <w:rsid w:val="00C9528F"/>
    <w:rsid w:val="00C95651"/>
    <w:rsid w:val="00C97266"/>
    <w:rsid w:val="00CA00F9"/>
    <w:rsid w:val="00CA01F8"/>
    <w:rsid w:val="00CA05E1"/>
    <w:rsid w:val="00CA2552"/>
    <w:rsid w:val="00CA25B2"/>
    <w:rsid w:val="00CA2961"/>
    <w:rsid w:val="00CA31D5"/>
    <w:rsid w:val="00CA3B20"/>
    <w:rsid w:val="00CA4914"/>
    <w:rsid w:val="00CA5256"/>
    <w:rsid w:val="00CA5AC0"/>
    <w:rsid w:val="00CA70D6"/>
    <w:rsid w:val="00CA7F60"/>
    <w:rsid w:val="00CB06DA"/>
    <w:rsid w:val="00CB0DB9"/>
    <w:rsid w:val="00CB0DE9"/>
    <w:rsid w:val="00CB2041"/>
    <w:rsid w:val="00CB32BE"/>
    <w:rsid w:val="00CB3866"/>
    <w:rsid w:val="00CB3A5F"/>
    <w:rsid w:val="00CB41B7"/>
    <w:rsid w:val="00CB460C"/>
    <w:rsid w:val="00CB47EF"/>
    <w:rsid w:val="00CB4BD9"/>
    <w:rsid w:val="00CB50D7"/>
    <w:rsid w:val="00CB7177"/>
    <w:rsid w:val="00CB7515"/>
    <w:rsid w:val="00CB7C2A"/>
    <w:rsid w:val="00CB7CED"/>
    <w:rsid w:val="00CC0078"/>
    <w:rsid w:val="00CC070F"/>
    <w:rsid w:val="00CC1582"/>
    <w:rsid w:val="00CC1998"/>
    <w:rsid w:val="00CC2908"/>
    <w:rsid w:val="00CC4946"/>
    <w:rsid w:val="00CC5D3F"/>
    <w:rsid w:val="00CC64A1"/>
    <w:rsid w:val="00CC6D9D"/>
    <w:rsid w:val="00CC72F8"/>
    <w:rsid w:val="00CD036D"/>
    <w:rsid w:val="00CD0C2E"/>
    <w:rsid w:val="00CD10AE"/>
    <w:rsid w:val="00CD2102"/>
    <w:rsid w:val="00CD2C78"/>
    <w:rsid w:val="00CD38F2"/>
    <w:rsid w:val="00CD3A59"/>
    <w:rsid w:val="00CD3D0D"/>
    <w:rsid w:val="00CD7C21"/>
    <w:rsid w:val="00CD7D8F"/>
    <w:rsid w:val="00CE1AA5"/>
    <w:rsid w:val="00CE3882"/>
    <w:rsid w:val="00CE38B8"/>
    <w:rsid w:val="00CE3A4A"/>
    <w:rsid w:val="00CE4EB5"/>
    <w:rsid w:val="00CE5E39"/>
    <w:rsid w:val="00CE6327"/>
    <w:rsid w:val="00CE6912"/>
    <w:rsid w:val="00CE6D9B"/>
    <w:rsid w:val="00CF1343"/>
    <w:rsid w:val="00CF1A0D"/>
    <w:rsid w:val="00CF2013"/>
    <w:rsid w:val="00CF3B11"/>
    <w:rsid w:val="00CF40E9"/>
    <w:rsid w:val="00CF460A"/>
    <w:rsid w:val="00CF4682"/>
    <w:rsid w:val="00CF47F6"/>
    <w:rsid w:val="00CF4E43"/>
    <w:rsid w:val="00D00059"/>
    <w:rsid w:val="00D006B3"/>
    <w:rsid w:val="00D00944"/>
    <w:rsid w:val="00D00AF7"/>
    <w:rsid w:val="00D0139D"/>
    <w:rsid w:val="00D0205B"/>
    <w:rsid w:val="00D0364F"/>
    <w:rsid w:val="00D03987"/>
    <w:rsid w:val="00D05852"/>
    <w:rsid w:val="00D065ED"/>
    <w:rsid w:val="00D07A25"/>
    <w:rsid w:val="00D10774"/>
    <w:rsid w:val="00D10B2E"/>
    <w:rsid w:val="00D11470"/>
    <w:rsid w:val="00D15846"/>
    <w:rsid w:val="00D16479"/>
    <w:rsid w:val="00D16FF5"/>
    <w:rsid w:val="00D17951"/>
    <w:rsid w:val="00D20552"/>
    <w:rsid w:val="00D20594"/>
    <w:rsid w:val="00D220F9"/>
    <w:rsid w:val="00D22310"/>
    <w:rsid w:val="00D23705"/>
    <w:rsid w:val="00D23B23"/>
    <w:rsid w:val="00D23B3E"/>
    <w:rsid w:val="00D2526D"/>
    <w:rsid w:val="00D26133"/>
    <w:rsid w:val="00D26775"/>
    <w:rsid w:val="00D270A4"/>
    <w:rsid w:val="00D27516"/>
    <w:rsid w:val="00D275D1"/>
    <w:rsid w:val="00D31C62"/>
    <w:rsid w:val="00D31FE9"/>
    <w:rsid w:val="00D32256"/>
    <w:rsid w:val="00D3311E"/>
    <w:rsid w:val="00D34AA6"/>
    <w:rsid w:val="00D34E1B"/>
    <w:rsid w:val="00D355D5"/>
    <w:rsid w:val="00D35CD3"/>
    <w:rsid w:val="00D3613D"/>
    <w:rsid w:val="00D365C5"/>
    <w:rsid w:val="00D3727E"/>
    <w:rsid w:val="00D376BA"/>
    <w:rsid w:val="00D4022F"/>
    <w:rsid w:val="00D41E06"/>
    <w:rsid w:val="00D42240"/>
    <w:rsid w:val="00D4284F"/>
    <w:rsid w:val="00D42AD0"/>
    <w:rsid w:val="00D434A0"/>
    <w:rsid w:val="00D441F4"/>
    <w:rsid w:val="00D4444E"/>
    <w:rsid w:val="00D45431"/>
    <w:rsid w:val="00D45634"/>
    <w:rsid w:val="00D45B0E"/>
    <w:rsid w:val="00D45C64"/>
    <w:rsid w:val="00D46C44"/>
    <w:rsid w:val="00D47788"/>
    <w:rsid w:val="00D50276"/>
    <w:rsid w:val="00D509D4"/>
    <w:rsid w:val="00D514F7"/>
    <w:rsid w:val="00D53A13"/>
    <w:rsid w:val="00D5568A"/>
    <w:rsid w:val="00D56075"/>
    <w:rsid w:val="00D56BD2"/>
    <w:rsid w:val="00D60553"/>
    <w:rsid w:val="00D61755"/>
    <w:rsid w:val="00D617A6"/>
    <w:rsid w:val="00D625C8"/>
    <w:rsid w:val="00D63D73"/>
    <w:rsid w:val="00D6410C"/>
    <w:rsid w:val="00D64452"/>
    <w:rsid w:val="00D64546"/>
    <w:rsid w:val="00D652AA"/>
    <w:rsid w:val="00D65308"/>
    <w:rsid w:val="00D659BF"/>
    <w:rsid w:val="00D65A47"/>
    <w:rsid w:val="00D66CC9"/>
    <w:rsid w:val="00D66E1E"/>
    <w:rsid w:val="00D6714D"/>
    <w:rsid w:val="00D67B2C"/>
    <w:rsid w:val="00D7011D"/>
    <w:rsid w:val="00D70696"/>
    <w:rsid w:val="00D709F7"/>
    <w:rsid w:val="00D7165B"/>
    <w:rsid w:val="00D718D2"/>
    <w:rsid w:val="00D72376"/>
    <w:rsid w:val="00D75005"/>
    <w:rsid w:val="00D75722"/>
    <w:rsid w:val="00D76849"/>
    <w:rsid w:val="00D80156"/>
    <w:rsid w:val="00D802EB"/>
    <w:rsid w:val="00D803E4"/>
    <w:rsid w:val="00D804DE"/>
    <w:rsid w:val="00D80CF5"/>
    <w:rsid w:val="00D814F6"/>
    <w:rsid w:val="00D832F6"/>
    <w:rsid w:val="00D8402E"/>
    <w:rsid w:val="00D84683"/>
    <w:rsid w:val="00D84719"/>
    <w:rsid w:val="00D84EC7"/>
    <w:rsid w:val="00D85FAF"/>
    <w:rsid w:val="00D87A4C"/>
    <w:rsid w:val="00D90BC5"/>
    <w:rsid w:val="00D90C59"/>
    <w:rsid w:val="00D9212A"/>
    <w:rsid w:val="00D9378B"/>
    <w:rsid w:val="00D951AE"/>
    <w:rsid w:val="00D95BA0"/>
    <w:rsid w:val="00D963D4"/>
    <w:rsid w:val="00DA182E"/>
    <w:rsid w:val="00DA191C"/>
    <w:rsid w:val="00DA2E24"/>
    <w:rsid w:val="00DA2EAD"/>
    <w:rsid w:val="00DA3114"/>
    <w:rsid w:val="00DA46B4"/>
    <w:rsid w:val="00DA5BBA"/>
    <w:rsid w:val="00DA60D1"/>
    <w:rsid w:val="00DA6EAE"/>
    <w:rsid w:val="00DA746C"/>
    <w:rsid w:val="00DB0404"/>
    <w:rsid w:val="00DB0B3F"/>
    <w:rsid w:val="00DB2369"/>
    <w:rsid w:val="00DB26D2"/>
    <w:rsid w:val="00DB2ACC"/>
    <w:rsid w:val="00DB38C5"/>
    <w:rsid w:val="00DB4051"/>
    <w:rsid w:val="00DB4AB5"/>
    <w:rsid w:val="00DB4B93"/>
    <w:rsid w:val="00DB5A13"/>
    <w:rsid w:val="00DB67C9"/>
    <w:rsid w:val="00DB75C8"/>
    <w:rsid w:val="00DC0C95"/>
    <w:rsid w:val="00DC4449"/>
    <w:rsid w:val="00DC45B4"/>
    <w:rsid w:val="00DC4F0B"/>
    <w:rsid w:val="00DC4FF6"/>
    <w:rsid w:val="00DC5DB1"/>
    <w:rsid w:val="00DC6032"/>
    <w:rsid w:val="00DC6638"/>
    <w:rsid w:val="00DC6681"/>
    <w:rsid w:val="00DC6D6C"/>
    <w:rsid w:val="00DC6F16"/>
    <w:rsid w:val="00DC7C87"/>
    <w:rsid w:val="00DD1142"/>
    <w:rsid w:val="00DD1993"/>
    <w:rsid w:val="00DD271C"/>
    <w:rsid w:val="00DD281B"/>
    <w:rsid w:val="00DD39A8"/>
    <w:rsid w:val="00DD3BAC"/>
    <w:rsid w:val="00DD4F82"/>
    <w:rsid w:val="00DD5C95"/>
    <w:rsid w:val="00DD6580"/>
    <w:rsid w:val="00DD6DD6"/>
    <w:rsid w:val="00DD7745"/>
    <w:rsid w:val="00DD79E5"/>
    <w:rsid w:val="00DE05B1"/>
    <w:rsid w:val="00DE1258"/>
    <w:rsid w:val="00DE329B"/>
    <w:rsid w:val="00DE4F82"/>
    <w:rsid w:val="00DE6E52"/>
    <w:rsid w:val="00DF0D67"/>
    <w:rsid w:val="00DF121D"/>
    <w:rsid w:val="00DF141A"/>
    <w:rsid w:val="00DF242A"/>
    <w:rsid w:val="00DF31DB"/>
    <w:rsid w:val="00DF3317"/>
    <w:rsid w:val="00DF3340"/>
    <w:rsid w:val="00DF39EC"/>
    <w:rsid w:val="00DF3B2C"/>
    <w:rsid w:val="00DF4A1B"/>
    <w:rsid w:val="00DF75D7"/>
    <w:rsid w:val="00E00193"/>
    <w:rsid w:val="00E005C6"/>
    <w:rsid w:val="00E01D7F"/>
    <w:rsid w:val="00E03588"/>
    <w:rsid w:val="00E03C83"/>
    <w:rsid w:val="00E03D6C"/>
    <w:rsid w:val="00E04E23"/>
    <w:rsid w:val="00E0505C"/>
    <w:rsid w:val="00E05295"/>
    <w:rsid w:val="00E05413"/>
    <w:rsid w:val="00E0567F"/>
    <w:rsid w:val="00E05C03"/>
    <w:rsid w:val="00E05DD1"/>
    <w:rsid w:val="00E06F28"/>
    <w:rsid w:val="00E072DF"/>
    <w:rsid w:val="00E072F7"/>
    <w:rsid w:val="00E07968"/>
    <w:rsid w:val="00E07F8A"/>
    <w:rsid w:val="00E11302"/>
    <w:rsid w:val="00E1157C"/>
    <w:rsid w:val="00E119E3"/>
    <w:rsid w:val="00E11DC3"/>
    <w:rsid w:val="00E147AF"/>
    <w:rsid w:val="00E14892"/>
    <w:rsid w:val="00E14C6E"/>
    <w:rsid w:val="00E14C8A"/>
    <w:rsid w:val="00E1506B"/>
    <w:rsid w:val="00E15698"/>
    <w:rsid w:val="00E15EF6"/>
    <w:rsid w:val="00E165EA"/>
    <w:rsid w:val="00E1673B"/>
    <w:rsid w:val="00E17212"/>
    <w:rsid w:val="00E177A0"/>
    <w:rsid w:val="00E17C72"/>
    <w:rsid w:val="00E17E6E"/>
    <w:rsid w:val="00E203D3"/>
    <w:rsid w:val="00E20422"/>
    <w:rsid w:val="00E21A31"/>
    <w:rsid w:val="00E21FC6"/>
    <w:rsid w:val="00E23932"/>
    <w:rsid w:val="00E25647"/>
    <w:rsid w:val="00E30DBA"/>
    <w:rsid w:val="00E31549"/>
    <w:rsid w:val="00E3184F"/>
    <w:rsid w:val="00E31B83"/>
    <w:rsid w:val="00E31D28"/>
    <w:rsid w:val="00E31F96"/>
    <w:rsid w:val="00E32057"/>
    <w:rsid w:val="00E32738"/>
    <w:rsid w:val="00E33AAD"/>
    <w:rsid w:val="00E34207"/>
    <w:rsid w:val="00E34483"/>
    <w:rsid w:val="00E35595"/>
    <w:rsid w:val="00E35643"/>
    <w:rsid w:val="00E35BE1"/>
    <w:rsid w:val="00E35C07"/>
    <w:rsid w:val="00E36CF6"/>
    <w:rsid w:val="00E36D66"/>
    <w:rsid w:val="00E36F14"/>
    <w:rsid w:val="00E3732B"/>
    <w:rsid w:val="00E422B4"/>
    <w:rsid w:val="00E426B3"/>
    <w:rsid w:val="00E431A9"/>
    <w:rsid w:val="00E435AD"/>
    <w:rsid w:val="00E43721"/>
    <w:rsid w:val="00E44DD5"/>
    <w:rsid w:val="00E45567"/>
    <w:rsid w:val="00E46339"/>
    <w:rsid w:val="00E46742"/>
    <w:rsid w:val="00E47E1E"/>
    <w:rsid w:val="00E50F1A"/>
    <w:rsid w:val="00E532F3"/>
    <w:rsid w:val="00E54118"/>
    <w:rsid w:val="00E55DA9"/>
    <w:rsid w:val="00E55DDF"/>
    <w:rsid w:val="00E5619E"/>
    <w:rsid w:val="00E56439"/>
    <w:rsid w:val="00E604D5"/>
    <w:rsid w:val="00E6198C"/>
    <w:rsid w:val="00E62918"/>
    <w:rsid w:val="00E62EE8"/>
    <w:rsid w:val="00E659BF"/>
    <w:rsid w:val="00E65A9E"/>
    <w:rsid w:val="00E65ABD"/>
    <w:rsid w:val="00E66577"/>
    <w:rsid w:val="00E6670D"/>
    <w:rsid w:val="00E669E2"/>
    <w:rsid w:val="00E674EC"/>
    <w:rsid w:val="00E67D83"/>
    <w:rsid w:val="00E700A7"/>
    <w:rsid w:val="00E701FD"/>
    <w:rsid w:val="00E7088A"/>
    <w:rsid w:val="00E71072"/>
    <w:rsid w:val="00E72C59"/>
    <w:rsid w:val="00E74D4F"/>
    <w:rsid w:val="00E74E62"/>
    <w:rsid w:val="00E75830"/>
    <w:rsid w:val="00E75F25"/>
    <w:rsid w:val="00E760A7"/>
    <w:rsid w:val="00E76135"/>
    <w:rsid w:val="00E76455"/>
    <w:rsid w:val="00E77B85"/>
    <w:rsid w:val="00E77E75"/>
    <w:rsid w:val="00E77F78"/>
    <w:rsid w:val="00E817B0"/>
    <w:rsid w:val="00E81FDD"/>
    <w:rsid w:val="00E82699"/>
    <w:rsid w:val="00E82F4F"/>
    <w:rsid w:val="00E847DA"/>
    <w:rsid w:val="00E864DF"/>
    <w:rsid w:val="00E86932"/>
    <w:rsid w:val="00E86A17"/>
    <w:rsid w:val="00E90530"/>
    <w:rsid w:val="00E93B4C"/>
    <w:rsid w:val="00E94331"/>
    <w:rsid w:val="00E949F0"/>
    <w:rsid w:val="00E9603A"/>
    <w:rsid w:val="00E96B66"/>
    <w:rsid w:val="00EA0772"/>
    <w:rsid w:val="00EA17D0"/>
    <w:rsid w:val="00EA18B8"/>
    <w:rsid w:val="00EA2099"/>
    <w:rsid w:val="00EA3586"/>
    <w:rsid w:val="00EA3C00"/>
    <w:rsid w:val="00EA43E0"/>
    <w:rsid w:val="00EA5D1A"/>
    <w:rsid w:val="00EB0476"/>
    <w:rsid w:val="00EB04A6"/>
    <w:rsid w:val="00EB2CC3"/>
    <w:rsid w:val="00EB3446"/>
    <w:rsid w:val="00EB3479"/>
    <w:rsid w:val="00EB5022"/>
    <w:rsid w:val="00EB5B41"/>
    <w:rsid w:val="00EB6990"/>
    <w:rsid w:val="00EC0A60"/>
    <w:rsid w:val="00EC0FE9"/>
    <w:rsid w:val="00EC1708"/>
    <w:rsid w:val="00EC256F"/>
    <w:rsid w:val="00EC2844"/>
    <w:rsid w:val="00EC3DFC"/>
    <w:rsid w:val="00EC4E4E"/>
    <w:rsid w:val="00EC5500"/>
    <w:rsid w:val="00EC6C3B"/>
    <w:rsid w:val="00ED0CC0"/>
    <w:rsid w:val="00ED18F8"/>
    <w:rsid w:val="00ED2BB2"/>
    <w:rsid w:val="00ED3723"/>
    <w:rsid w:val="00ED478B"/>
    <w:rsid w:val="00ED48C5"/>
    <w:rsid w:val="00ED4A2A"/>
    <w:rsid w:val="00ED4EFE"/>
    <w:rsid w:val="00ED5093"/>
    <w:rsid w:val="00ED5356"/>
    <w:rsid w:val="00ED5AC0"/>
    <w:rsid w:val="00ED5FBF"/>
    <w:rsid w:val="00ED70AC"/>
    <w:rsid w:val="00ED7C70"/>
    <w:rsid w:val="00EE20E3"/>
    <w:rsid w:val="00EE217A"/>
    <w:rsid w:val="00EE285C"/>
    <w:rsid w:val="00EE367A"/>
    <w:rsid w:val="00EE3C8C"/>
    <w:rsid w:val="00EE3F65"/>
    <w:rsid w:val="00EE3FB6"/>
    <w:rsid w:val="00EE4216"/>
    <w:rsid w:val="00EE5022"/>
    <w:rsid w:val="00EE5041"/>
    <w:rsid w:val="00EE5595"/>
    <w:rsid w:val="00EE6519"/>
    <w:rsid w:val="00EE6EDA"/>
    <w:rsid w:val="00EE778E"/>
    <w:rsid w:val="00EF0848"/>
    <w:rsid w:val="00EF1256"/>
    <w:rsid w:val="00EF35CC"/>
    <w:rsid w:val="00EF3F55"/>
    <w:rsid w:val="00EF42E4"/>
    <w:rsid w:val="00EF4551"/>
    <w:rsid w:val="00EF5684"/>
    <w:rsid w:val="00EF5F55"/>
    <w:rsid w:val="00EF6545"/>
    <w:rsid w:val="00EF6719"/>
    <w:rsid w:val="00EF677A"/>
    <w:rsid w:val="00EF6C6C"/>
    <w:rsid w:val="00EF6F66"/>
    <w:rsid w:val="00EF79A9"/>
    <w:rsid w:val="00F00954"/>
    <w:rsid w:val="00F011E7"/>
    <w:rsid w:val="00F01B84"/>
    <w:rsid w:val="00F03532"/>
    <w:rsid w:val="00F056FC"/>
    <w:rsid w:val="00F05873"/>
    <w:rsid w:val="00F0632F"/>
    <w:rsid w:val="00F06860"/>
    <w:rsid w:val="00F069AE"/>
    <w:rsid w:val="00F070E1"/>
    <w:rsid w:val="00F077A8"/>
    <w:rsid w:val="00F10476"/>
    <w:rsid w:val="00F10958"/>
    <w:rsid w:val="00F1215F"/>
    <w:rsid w:val="00F12BC4"/>
    <w:rsid w:val="00F135D8"/>
    <w:rsid w:val="00F1391E"/>
    <w:rsid w:val="00F13A5D"/>
    <w:rsid w:val="00F1459F"/>
    <w:rsid w:val="00F158B6"/>
    <w:rsid w:val="00F15918"/>
    <w:rsid w:val="00F201E4"/>
    <w:rsid w:val="00F21E50"/>
    <w:rsid w:val="00F21EE0"/>
    <w:rsid w:val="00F23D9E"/>
    <w:rsid w:val="00F25563"/>
    <w:rsid w:val="00F27C44"/>
    <w:rsid w:val="00F27D43"/>
    <w:rsid w:val="00F31299"/>
    <w:rsid w:val="00F31925"/>
    <w:rsid w:val="00F3208B"/>
    <w:rsid w:val="00F343B8"/>
    <w:rsid w:val="00F34577"/>
    <w:rsid w:val="00F34740"/>
    <w:rsid w:val="00F3534A"/>
    <w:rsid w:val="00F35B96"/>
    <w:rsid w:val="00F35BFB"/>
    <w:rsid w:val="00F36ACC"/>
    <w:rsid w:val="00F37226"/>
    <w:rsid w:val="00F374FB"/>
    <w:rsid w:val="00F415A8"/>
    <w:rsid w:val="00F416E8"/>
    <w:rsid w:val="00F4199F"/>
    <w:rsid w:val="00F41D4D"/>
    <w:rsid w:val="00F423DD"/>
    <w:rsid w:val="00F42E7F"/>
    <w:rsid w:val="00F45D6A"/>
    <w:rsid w:val="00F463AE"/>
    <w:rsid w:val="00F4700D"/>
    <w:rsid w:val="00F47F36"/>
    <w:rsid w:val="00F51609"/>
    <w:rsid w:val="00F52499"/>
    <w:rsid w:val="00F52543"/>
    <w:rsid w:val="00F530A6"/>
    <w:rsid w:val="00F5364E"/>
    <w:rsid w:val="00F53709"/>
    <w:rsid w:val="00F541D3"/>
    <w:rsid w:val="00F548BB"/>
    <w:rsid w:val="00F54D6C"/>
    <w:rsid w:val="00F55AFF"/>
    <w:rsid w:val="00F55C25"/>
    <w:rsid w:val="00F562EE"/>
    <w:rsid w:val="00F565B6"/>
    <w:rsid w:val="00F56C9B"/>
    <w:rsid w:val="00F57225"/>
    <w:rsid w:val="00F57DF5"/>
    <w:rsid w:val="00F658C6"/>
    <w:rsid w:val="00F66338"/>
    <w:rsid w:val="00F66658"/>
    <w:rsid w:val="00F70DC4"/>
    <w:rsid w:val="00F71A90"/>
    <w:rsid w:val="00F723DC"/>
    <w:rsid w:val="00F72FBD"/>
    <w:rsid w:val="00F730FD"/>
    <w:rsid w:val="00F73727"/>
    <w:rsid w:val="00F73FDA"/>
    <w:rsid w:val="00F766A7"/>
    <w:rsid w:val="00F7689B"/>
    <w:rsid w:val="00F76E77"/>
    <w:rsid w:val="00F771B4"/>
    <w:rsid w:val="00F80344"/>
    <w:rsid w:val="00F804B3"/>
    <w:rsid w:val="00F80A78"/>
    <w:rsid w:val="00F81006"/>
    <w:rsid w:val="00F8192E"/>
    <w:rsid w:val="00F81CD9"/>
    <w:rsid w:val="00F83816"/>
    <w:rsid w:val="00F842FC"/>
    <w:rsid w:val="00F84A12"/>
    <w:rsid w:val="00F84A74"/>
    <w:rsid w:val="00F851B1"/>
    <w:rsid w:val="00F851F5"/>
    <w:rsid w:val="00F85325"/>
    <w:rsid w:val="00F8615B"/>
    <w:rsid w:val="00F87649"/>
    <w:rsid w:val="00F90EFB"/>
    <w:rsid w:val="00F92F49"/>
    <w:rsid w:val="00F9300C"/>
    <w:rsid w:val="00F9479F"/>
    <w:rsid w:val="00F95AE5"/>
    <w:rsid w:val="00F96535"/>
    <w:rsid w:val="00F96FA2"/>
    <w:rsid w:val="00F97C7A"/>
    <w:rsid w:val="00F97E62"/>
    <w:rsid w:val="00FA284C"/>
    <w:rsid w:val="00FA3D42"/>
    <w:rsid w:val="00FA44D4"/>
    <w:rsid w:val="00FA4A49"/>
    <w:rsid w:val="00FA63EB"/>
    <w:rsid w:val="00FA6889"/>
    <w:rsid w:val="00FA6B75"/>
    <w:rsid w:val="00FA7268"/>
    <w:rsid w:val="00FA7C5A"/>
    <w:rsid w:val="00FB2A2D"/>
    <w:rsid w:val="00FB36DF"/>
    <w:rsid w:val="00FB3816"/>
    <w:rsid w:val="00FB3A66"/>
    <w:rsid w:val="00FB4450"/>
    <w:rsid w:val="00FB5284"/>
    <w:rsid w:val="00FB6352"/>
    <w:rsid w:val="00FB6CB8"/>
    <w:rsid w:val="00FB6E1C"/>
    <w:rsid w:val="00FB7A8A"/>
    <w:rsid w:val="00FC0FBA"/>
    <w:rsid w:val="00FC1706"/>
    <w:rsid w:val="00FC201D"/>
    <w:rsid w:val="00FC2470"/>
    <w:rsid w:val="00FC3431"/>
    <w:rsid w:val="00FC37A9"/>
    <w:rsid w:val="00FC4405"/>
    <w:rsid w:val="00FC4F96"/>
    <w:rsid w:val="00FC65BF"/>
    <w:rsid w:val="00FD18C8"/>
    <w:rsid w:val="00FD1DD1"/>
    <w:rsid w:val="00FD1FE0"/>
    <w:rsid w:val="00FD22B1"/>
    <w:rsid w:val="00FD33F1"/>
    <w:rsid w:val="00FD3566"/>
    <w:rsid w:val="00FD41F5"/>
    <w:rsid w:val="00FD59A9"/>
    <w:rsid w:val="00FD637C"/>
    <w:rsid w:val="00FD6F57"/>
    <w:rsid w:val="00FD7209"/>
    <w:rsid w:val="00FD789F"/>
    <w:rsid w:val="00FE02AA"/>
    <w:rsid w:val="00FE3902"/>
    <w:rsid w:val="00FE3A33"/>
    <w:rsid w:val="00FE3C71"/>
    <w:rsid w:val="00FE4116"/>
    <w:rsid w:val="00FE499A"/>
    <w:rsid w:val="00FE5397"/>
    <w:rsid w:val="00FE5CA7"/>
    <w:rsid w:val="00FE6225"/>
    <w:rsid w:val="00FE6391"/>
    <w:rsid w:val="00FE76BD"/>
    <w:rsid w:val="00FF0F1F"/>
    <w:rsid w:val="00FF0F79"/>
    <w:rsid w:val="00FF76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9265"/>
    <o:shapelayout v:ext="edit">
      <o:idmap v:ext="edit" data="1"/>
    </o:shapelayout>
  </w:shapeDefaults>
  <w:decimalSymbol w:val="."/>
  <w:listSeparator w:val=","/>
  <w14:docId w14:val="3E89CFD0"/>
  <w15:docId w15:val="{E90E72B3-5A75-4D41-938C-3E672D808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55256"/>
    <w:rPr>
      <w:sz w:val="24"/>
      <w:szCs w:val="24"/>
    </w:rPr>
  </w:style>
  <w:style w:type="paragraph" w:styleId="Heading1">
    <w:name w:val="heading 1"/>
    <w:basedOn w:val="Normal"/>
    <w:next w:val="BodyText"/>
    <w:link w:val="Heading1Char"/>
    <w:rsid w:val="00FD22B1"/>
    <w:pPr>
      <w:keepNext/>
      <w:spacing w:before="160" w:after="1360" w:line="600" w:lineRule="exact"/>
      <w:ind w:left="907" w:hanging="907"/>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semiHidden/>
    <w:rsid w:val="00A17328"/>
    <w:pPr>
      <w:spacing w:after="60"/>
      <w:jc w:val="left"/>
      <w:outlineLvl w:val="5"/>
    </w:pPr>
    <w:rPr>
      <w:i/>
      <w:sz w:val="22"/>
    </w:rPr>
  </w:style>
  <w:style w:type="paragraph" w:styleId="Heading7">
    <w:name w:val="heading 7"/>
    <w:basedOn w:val="BodyText"/>
    <w:next w:val="BodyText"/>
    <w:semiHidden/>
    <w:rsid w:val="00A17328"/>
    <w:pPr>
      <w:spacing w:after="60" w:line="240" w:lineRule="auto"/>
      <w:jc w:val="left"/>
      <w:outlineLvl w:val="6"/>
    </w:pPr>
    <w:rPr>
      <w:rFonts w:ascii="Arial" w:hAnsi="Arial"/>
      <w:sz w:val="20"/>
    </w:rPr>
  </w:style>
  <w:style w:type="paragraph" w:styleId="Heading8">
    <w:name w:val="heading 8"/>
    <w:basedOn w:val="BodyText"/>
    <w:next w:val="BodyText"/>
    <w:semiHidden/>
    <w:rsid w:val="00A17328"/>
    <w:pPr>
      <w:spacing w:after="60" w:line="240" w:lineRule="auto"/>
      <w:jc w:val="left"/>
      <w:outlineLvl w:val="7"/>
    </w:pPr>
    <w:rPr>
      <w:rFonts w:ascii="Arial" w:hAnsi="Arial"/>
      <w:i/>
      <w:sz w:val="20"/>
    </w:rPr>
  </w:style>
  <w:style w:type="paragraph" w:styleId="Heading9">
    <w:name w:val="heading 9"/>
    <w:basedOn w:val="BodyText"/>
    <w:next w:val="BodyText"/>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link w:val="BoxListBulletChar"/>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link w:val="SourceChar"/>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link w:val="TableBodyTextChar"/>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link w:val="TableTitleChar"/>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20"/>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21"/>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uiPriority w:val="39"/>
    <w:rsid w:val="00F73727"/>
    <w:rPr>
      <w:rFonts w:ascii="Arial" w:hAnsi="Arial"/>
      <w:b/>
      <w:sz w:val="26"/>
      <w:szCs w:val="26"/>
      <w:lang w:eastAsia="en-US"/>
    </w:rPr>
  </w:style>
  <w:style w:type="character" w:customStyle="1" w:styleId="Continuedintitle">
    <w:name w:val="Continued (in title)"/>
    <w:basedOn w:val="DefaultParagraphFont"/>
    <w:rsid w:val="00573BE3"/>
    <w:rPr>
      <w:rFonts w:ascii="Arial" w:hAnsi="Arial"/>
      <w:b/>
      <w:sz w:val="18"/>
    </w:rPr>
  </w:style>
  <w:style w:type="character" w:styleId="Hyperlink">
    <w:name w:val="Hyperlink"/>
    <w:basedOn w:val="DefaultParagraphFont"/>
    <w:unhideWhenUsed/>
    <w:rsid w:val="00555256"/>
    <w:rPr>
      <w:color w:val="000000" w:themeColor="hyperlink"/>
      <w:u w:val="single"/>
    </w:rPr>
  </w:style>
  <w:style w:type="character" w:customStyle="1" w:styleId="CommentTextChar">
    <w:name w:val="Comment Text Char"/>
    <w:basedOn w:val="DefaultParagraphFont"/>
    <w:link w:val="CommentText"/>
    <w:semiHidden/>
    <w:rsid w:val="00555256"/>
    <w:rPr>
      <w:szCs w:val="24"/>
    </w:rPr>
  </w:style>
  <w:style w:type="paragraph" w:styleId="CommentSubject">
    <w:name w:val="annotation subject"/>
    <w:basedOn w:val="CommentText"/>
    <w:next w:val="CommentText"/>
    <w:link w:val="CommentSubjectChar"/>
    <w:semiHidden/>
    <w:unhideWhenUsed/>
    <w:rsid w:val="00F1459F"/>
    <w:pPr>
      <w:spacing w:before="0" w:line="240" w:lineRule="auto"/>
      <w:ind w:left="0" w:firstLine="0"/>
    </w:pPr>
    <w:rPr>
      <w:b/>
      <w:bCs/>
      <w:szCs w:val="20"/>
    </w:rPr>
  </w:style>
  <w:style w:type="character" w:customStyle="1" w:styleId="CommentSubjectChar">
    <w:name w:val="Comment Subject Char"/>
    <w:basedOn w:val="CommentTextChar"/>
    <w:link w:val="CommentSubject"/>
    <w:semiHidden/>
    <w:rsid w:val="00F1459F"/>
    <w:rPr>
      <w:b/>
      <w:bCs/>
      <w:szCs w:val="24"/>
    </w:rPr>
  </w:style>
  <w:style w:type="paragraph" w:styleId="Revision">
    <w:name w:val="Revision"/>
    <w:hidden/>
    <w:uiPriority w:val="99"/>
    <w:semiHidden/>
    <w:rsid w:val="00577671"/>
    <w:rPr>
      <w:sz w:val="24"/>
      <w:szCs w:val="24"/>
    </w:rPr>
  </w:style>
  <w:style w:type="paragraph" w:customStyle="1" w:styleId="Default">
    <w:name w:val="Default"/>
    <w:rsid w:val="009E2F30"/>
    <w:pPr>
      <w:autoSpaceDE w:val="0"/>
      <w:autoSpaceDN w:val="0"/>
      <w:adjustRightInd w:val="0"/>
    </w:pPr>
    <w:rPr>
      <w:rFonts w:ascii="Arial" w:hAnsi="Arial" w:cs="Arial"/>
      <w:color w:val="000000"/>
      <w:sz w:val="24"/>
      <w:szCs w:val="24"/>
    </w:rPr>
  </w:style>
  <w:style w:type="paragraph" w:styleId="HTMLPreformatted">
    <w:name w:val="HTML Preformatted"/>
    <w:basedOn w:val="Normal"/>
    <w:link w:val="HTMLPreformattedChar"/>
    <w:uiPriority w:val="99"/>
    <w:unhideWhenUsed/>
    <w:rsid w:val="00867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676DA"/>
    <w:rPr>
      <w:rFonts w:ascii="Courier New" w:hAnsi="Courier New" w:cs="Courier New"/>
    </w:rPr>
  </w:style>
  <w:style w:type="character" w:styleId="PlaceholderText">
    <w:name w:val="Placeholder Text"/>
    <w:basedOn w:val="DefaultParagraphFont"/>
    <w:uiPriority w:val="99"/>
    <w:semiHidden/>
    <w:rsid w:val="00E701FD"/>
    <w:rPr>
      <w:color w:val="808080"/>
    </w:rPr>
  </w:style>
  <w:style w:type="character" w:styleId="FollowedHyperlink">
    <w:name w:val="FollowedHyperlink"/>
    <w:basedOn w:val="DefaultParagraphFont"/>
    <w:semiHidden/>
    <w:unhideWhenUsed/>
    <w:rsid w:val="00ED48C5"/>
    <w:rPr>
      <w:color w:val="BFBFBF" w:themeColor="followedHyperlink"/>
      <w:u w:val="single"/>
    </w:rPr>
  </w:style>
  <w:style w:type="character" w:customStyle="1" w:styleId="gnkrckgcgsb">
    <w:name w:val="gnkrckgcgsb"/>
    <w:basedOn w:val="DefaultParagraphFont"/>
    <w:rsid w:val="004804A8"/>
  </w:style>
  <w:style w:type="paragraph" w:styleId="NormalWeb">
    <w:name w:val="Normal (Web)"/>
    <w:basedOn w:val="Normal"/>
    <w:uiPriority w:val="99"/>
    <w:unhideWhenUsed/>
    <w:rsid w:val="00734DCF"/>
    <w:pPr>
      <w:spacing w:before="100" w:beforeAutospacing="1" w:after="100" w:afterAutospacing="1"/>
    </w:pPr>
    <w:rPr>
      <w:rFonts w:eastAsiaTheme="minorEastAsia"/>
    </w:rPr>
  </w:style>
  <w:style w:type="paragraph" w:styleId="ListParagraph">
    <w:name w:val="List Paragraph"/>
    <w:basedOn w:val="Normal"/>
    <w:uiPriority w:val="34"/>
    <w:qFormat/>
    <w:rsid w:val="00175D1D"/>
    <w:pPr>
      <w:ind w:left="720"/>
    </w:pPr>
    <w:rPr>
      <w:rFonts w:ascii="Calibri" w:eastAsiaTheme="minorHAnsi" w:hAnsi="Calibri"/>
      <w:sz w:val="22"/>
      <w:szCs w:val="22"/>
      <w:lang w:eastAsia="en-US"/>
    </w:rPr>
  </w:style>
  <w:style w:type="paragraph" w:styleId="Bibliography">
    <w:name w:val="Bibliography"/>
    <w:basedOn w:val="Normal"/>
    <w:next w:val="Normal"/>
    <w:uiPriority w:val="37"/>
    <w:unhideWhenUsed/>
    <w:rsid w:val="00BF5934"/>
    <w:pPr>
      <w:spacing w:after="240"/>
    </w:pPr>
  </w:style>
  <w:style w:type="character" w:customStyle="1" w:styleId="BoxChar">
    <w:name w:val="Box Char"/>
    <w:basedOn w:val="DefaultParagraphFont"/>
    <w:link w:val="Box"/>
    <w:locked/>
    <w:rsid w:val="00B22D55"/>
    <w:rPr>
      <w:rFonts w:ascii="Arial" w:hAnsi="Arial"/>
    </w:rPr>
  </w:style>
  <w:style w:type="paragraph" w:customStyle="1" w:styleId="Copyrightheading">
    <w:name w:val="Copyright heading"/>
    <w:basedOn w:val="TOC1"/>
    <w:link w:val="CopyrightheadingChar"/>
    <w:qFormat/>
    <w:rsid w:val="00B22D55"/>
    <w:pPr>
      <w:spacing w:line="300" w:lineRule="exact"/>
    </w:pPr>
    <w:rPr>
      <w:sz w:val="22"/>
    </w:rPr>
  </w:style>
  <w:style w:type="character" w:customStyle="1" w:styleId="CopyrightheadingChar">
    <w:name w:val="Copyright heading Char"/>
    <w:basedOn w:val="TOC1Char"/>
    <w:link w:val="Copyrightheading"/>
    <w:rsid w:val="00B22D55"/>
    <w:rPr>
      <w:rFonts w:ascii="Arial" w:hAnsi="Arial"/>
      <w:b/>
      <w:sz w:val="22"/>
      <w:szCs w:val="26"/>
      <w:lang w:eastAsia="en-US"/>
    </w:rPr>
  </w:style>
  <w:style w:type="paragraph" w:customStyle="1" w:styleId="Copyrightsubtitle">
    <w:name w:val="Copyright subtitle"/>
    <w:basedOn w:val="BodyText"/>
    <w:rsid w:val="00B22D55"/>
    <w:rPr>
      <w:rFonts w:ascii="Arial" w:hAnsi="Arial"/>
      <w:b/>
      <w:sz w:val="22"/>
      <w:szCs w:val="25"/>
    </w:rPr>
  </w:style>
  <w:style w:type="paragraph" w:customStyle="1" w:styleId="Copyrightbodytext">
    <w:name w:val="Copyright bodytext"/>
    <w:basedOn w:val="BodyText"/>
    <w:link w:val="CopyrightbodytextChar"/>
    <w:qFormat/>
    <w:rsid w:val="00B22D55"/>
    <w:pPr>
      <w:spacing w:before="60"/>
    </w:pPr>
  </w:style>
  <w:style w:type="character" w:customStyle="1" w:styleId="CopyrightbodytextChar">
    <w:name w:val="Copyright bodytext Char"/>
    <w:basedOn w:val="BodyTextChar"/>
    <w:link w:val="Copyrightbodytext"/>
    <w:rsid w:val="00B22D55"/>
    <w:rPr>
      <w:sz w:val="24"/>
    </w:rPr>
  </w:style>
  <w:style w:type="character" w:customStyle="1" w:styleId="Heading1Char">
    <w:name w:val="Heading 1 Char"/>
    <w:basedOn w:val="DefaultParagraphFont"/>
    <w:link w:val="Heading1"/>
    <w:rsid w:val="0011262F"/>
    <w:rPr>
      <w:sz w:val="52"/>
      <w:szCs w:val="24"/>
    </w:rPr>
  </w:style>
  <w:style w:type="character" w:customStyle="1" w:styleId="Heading2Char">
    <w:name w:val="Heading 2 Char"/>
    <w:basedOn w:val="DefaultParagraphFont"/>
    <w:link w:val="Heading2"/>
    <w:rsid w:val="0011262F"/>
    <w:rPr>
      <w:rFonts w:ascii="Arial" w:hAnsi="Arial"/>
      <w:b/>
      <w:sz w:val="32"/>
      <w:szCs w:val="24"/>
    </w:rPr>
  </w:style>
  <w:style w:type="character" w:customStyle="1" w:styleId="Heading3Char">
    <w:name w:val="Heading 3 Char"/>
    <w:basedOn w:val="DefaultParagraphFont"/>
    <w:link w:val="Heading3"/>
    <w:rsid w:val="0011262F"/>
    <w:rPr>
      <w:rFonts w:ascii="Arial" w:hAnsi="Arial"/>
      <w:b/>
      <w:sz w:val="26"/>
      <w:szCs w:val="24"/>
    </w:rPr>
  </w:style>
  <w:style w:type="character" w:customStyle="1" w:styleId="Heading4Char">
    <w:name w:val="Heading 4 Char"/>
    <w:basedOn w:val="DefaultParagraphFont"/>
    <w:link w:val="Heading4"/>
    <w:rsid w:val="0011262F"/>
    <w:rPr>
      <w:rFonts w:ascii="Arial" w:hAnsi="Arial"/>
      <w:sz w:val="24"/>
      <w:szCs w:val="24"/>
    </w:rPr>
  </w:style>
  <w:style w:type="character" w:customStyle="1" w:styleId="HeaderChar">
    <w:name w:val="Header Char"/>
    <w:basedOn w:val="DefaultParagraphFont"/>
    <w:link w:val="Header"/>
    <w:rsid w:val="0011262F"/>
    <w:rPr>
      <w:rFonts w:ascii="Arial" w:hAnsi="Arial"/>
      <w:caps/>
      <w:sz w:val="24"/>
    </w:rPr>
  </w:style>
  <w:style w:type="character" w:customStyle="1" w:styleId="BoxListBulletChar">
    <w:name w:val="Box List Bullet Char"/>
    <w:basedOn w:val="DefaultParagraphFont"/>
    <w:link w:val="BoxListBullet"/>
    <w:locked/>
    <w:rsid w:val="0011262F"/>
    <w:rPr>
      <w:rFonts w:ascii="Arial" w:hAnsi="Arial"/>
    </w:rPr>
  </w:style>
  <w:style w:type="character" w:customStyle="1" w:styleId="SourceChar">
    <w:name w:val="Source Char"/>
    <w:link w:val="Source"/>
    <w:rsid w:val="0011262F"/>
    <w:rPr>
      <w:rFonts w:ascii="Arial" w:hAnsi="Arial"/>
      <w:sz w:val="18"/>
    </w:rPr>
  </w:style>
  <w:style w:type="character" w:customStyle="1" w:styleId="CommentTextChar1">
    <w:name w:val="Comment Text Char1"/>
    <w:basedOn w:val="DefaultParagraphFont"/>
    <w:semiHidden/>
    <w:rsid w:val="0011262F"/>
    <w:rPr>
      <w:szCs w:val="24"/>
    </w:rPr>
  </w:style>
  <w:style w:type="character" w:customStyle="1" w:styleId="FootnoteTextChar">
    <w:name w:val="Footnote Text Char"/>
    <w:basedOn w:val="DefaultParagraphFont"/>
    <w:link w:val="FootnoteText"/>
    <w:rsid w:val="0011262F"/>
  </w:style>
  <w:style w:type="character" w:customStyle="1" w:styleId="QuoteChar">
    <w:name w:val="Quote Char"/>
    <w:basedOn w:val="DefaultParagraphFont"/>
    <w:link w:val="Quote"/>
    <w:rsid w:val="0011262F"/>
    <w:rPr>
      <w:sz w:val="22"/>
    </w:rPr>
  </w:style>
  <w:style w:type="character" w:customStyle="1" w:styleId="TableBodyTextChar">
    <w:name w:val="Table Body Text Char"/>
    <w:link w:val="TableBodyText"/>
    <w:rsid w:val="0011262F"/>
    <w:rPr>
      <w:rFonts w:ascii="Arial" w:hAnsi="Arial"/>
      <w:sz w:val="18"/>
    </w:rPr>
  </w:style>
  <w:style w:type="character" w:customStyle="1" w:styleId="TableTitleChar">
    <w:name w:val="Table Title Char"/>
    <w:basedOn w:val="DefaultParagraphFont"/>
    <w:link w:val="TableTitle"/>
    <w:rsid w:val="0011262F"/>
    <w:rPr>
      <w:rFonts w:ascii="Arial" w:hAnsi="Arial"/>
      <w:b/>
      <w:sz w:val="24"/>
      <w:szCs w:val="24"/>
    </w:rPr>
  </w:style>
  <w:style w:type="character" w:styleId="EndnoteReference">
    <w:name w:val="endnote reference"/>
    <w:basedOn w:val="DefaultParagraphFont"/>
    <w:semiHidden/>
    <w:unhideWhenUsed/>
    <w:rsid w:val="0011262F"/>
    <w:rPr>
      <w:vertAlign w:val="superscript"/>
    </w:rPr>
  </w:style>
  <w:style w:type="paragraph" w:customStyle="1" w:styleId="Compact">
    <w:name w:val="Compact"/>
    <w:qFormat/>
    <w:rsid w:val="0011262F"/>
    <w:pPr>
      <w:keepNext/>
      <w:keepLines/>
      <w:spacing w:before="36" w:after="36"/>
    </w:pPr>
    <w:rPr>
      <w:rFonts w:ascii="Arial" w:eastAsiaTheme="minorHAnsi" w:hAnsi="Arial" w:cs="Arial"/>
      <w:sz w:val="18"/>
      <w:szCs w:val="24"/>
      <w:lang w:val="en-US" w:eastAsia="en-US"/>
    </w:rPr>
  </w:style>
  <w:style w:type="paragraph" w:customStyle="1" w:styleId="TableCaption">
    <w:name w:val="Table Caption"/>
    <w:basedOn w:val="Caption"/>
    <w:rsid w:val="0011262F"/>
    <w:pPr>
      <w:keepLines w:val="0"/>
      <w:spacing w:before="240" w:after="0" w:line="240" w:lineRule="auto"/>
      <w:ind w:left="0" w:firstLine="0"/>
    </w:pPr>
    <w:rPr>
      <w:rFonts w:eastAsiaTheme="minorHAnsi" w:cstheme="minorBidi"/>
      <w:b w:val="0"/>
      <w:i/>
      <w:color w:val="808080" w:themeColor="background1" w:themeShade="80"/>
      <w:sz w:val="20"/>
      <w:lang w:val="en-US" w:eastAsia="en-US"/>
    </w:rPr>
  </w:style>
  <w:style w:type="paragraph" w:customStyle="1" w:styleId="BoxSpaceAboveElement">
    <w:name w:val="Box Space Above Element"/>
    <w:basedOn w:val="BoxSpaceAbove"/>
    <w:link w:val="BoxSpaceAboveElementChar"/>
    <w:qFormat/>
    <w:rsid w:val="0011262F"/>
    <w:pPr>
      <w:spacing w:before="240"/>
    </w:pPr>
    <w:rPr>
      <w:b/>
      <w:vanish/>
      <w:color w:val="FF00FF"/>
      <w:sz w:val="14"/>
    </w:rPr>
  </w:style>
  <w:style w:type="character" w:customStyle="1" w:styleId="BoxSpaceAboveElementChar">
    <w:name w:val="Box Space Above Element Char"/>
    <w:basedOn w:val="DefaultParagraphFont"/>
    <w:link w:val="BoxSpaceAboveElement"/>
    <w:rsid w:val="0011262F"/>
    <w:rPr>
      <w:b/>
      <w:vanish/>
      <w:color w:val="FF00FF"/>
      <w:sz w:val="14"/>
    </w:rPr>
  </w:style>
  <w:style w:type="paragraph" w:customStyle="1" w:styleId="C126">
    <w:name w:val="C1.26"/>
    <w:basedOn w:val="Heading1"/>
    <w:rsid w:val="0011262F"/>
    <w:rPr>
      <w:szCs w:val="20"/>
    </w:rPr>
  </w:style>
  <w:style w:type="table" w:customStyle="1" w:styleId="Banded">
    <w:name w:val="Banded"/>
    <w:basedOn w:val="TableNormal"/>
    <w:uiPriority w:val="99"/>
    <w:rsid w:val="0011262F"/>
    <w:tblPr>
      <w:tblStyleRowBandSize w:val="1"/>
      <w:tblBorders>
        <w:top w:val="single" w:sz="4" w:space="0" w:color="BFBFBF" w:themeColor="background1" w:themeShade="BF"/>
        <w:bottom w:val="single" w:sz="4" w:space="0" w:color="BFBFBF" w:themeColor="background1" w:themeShade="BF"/>
      </w:tblBorders>
      <w:tblCellMar>
        <w:top w:w="28" w:type="dxa"/>
        <w:left w:w="0" w:type="dxa"/>
        <w:right w:w="0" w:type="dxa"/>
      </w:tblCellMar>
    </w:tblPr>
    <w:tblStylePr w:type="firstRow">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shd w:val="clear" w:color="auto" w:fill="F2F2F2" w:themeFill="background1" w:themeFillShade="F2"/>
      </w:tcPr>
    </w:tblStylePr>
  </w:style>
  <w:style w:type="paragraph" w:customStyle="1" w:styleId="TableParagraph">
    <w:name w:val="Table Paragraph"/>
    <w:basedOn w:val="Normal"/>
    <w:uiPriority w:val="1"/>
    <w:qFormat/>
    <w:rsid w:val="0011262F"/>
    <w:pPr>
      <w:widowControl w:val="0"/>
      <w:autoSpaceDE w:val="0"/>
      <w:autoSpaceDN w:val="0"/>
    </w:pPr>
    <w:rPr>
      <w:rFonts w:ascii="Arial Unicode MS" w:eastAsia="Arial Unicode MS" w:hAnsi="Arial Unicode MS" w:cs="Arial Unicode MS"/>
      <w:sz w:val="22"/>
      <w:szCs w:val="22"/>
      <w:lang w:val="en-US" w:eastAsia="en-US"/>
    </w:rPr>
  </w:style>
  <w:style w:type="paragraph" w:customStyle="1" w:styleId="default0">
    <w:name w:val="default"/>
    <w:basedOn w:val="Normal"/>
    <w:uiPriority w:val="99"/>
    <w:rsid w:val="0011262F"/>
    <w:pPr>
      <w:autoSpaceDE w:val="0"/>
      <w:autoSpaceDN w:val="0"/>
    </w:pPr>
    <w:rPr>
      <w:rFonts w:ascii="Arial" w:eastAsiaTheme="minorHAnsi" w:hAnsi="Arial" w:cs="Arial"/>
      <w:color w:val="000000"/>
    </w:rPr>
  </w:style>
  <w:style w:type="character" w:customStyle="1" w:styleId="fntblue1">
    <w:name w:val="fnt_blue1"/>
    <w:basedOn w:val="DefaultParagraphFont"/>
    <w:rsid w:val="0011262F"/>
    <w:rPr>
      <w:color w:val="007A90"/>
    </w:rPr>
  </w:style>
  <w:style w:type="character" w:customStyle="1" w:styleId="at4-visually-hidden1">
    <w:name w:val="at4-visually-hidden1"/>
    <w:basedOn w:val="DefaultParagraphFont"/>
    <w:rsid w:val="0011262F"/>
    <w:rPr>
      <w:bdr w:val="none" w:sz="0" w:space="0" w:color="auto" w:frame="1"/>
    </w:rPr>
  </w:style>
  <w:style w:type="character" w:customStyle="1" w:styleId="A7">
    <w:name w:val="A7"/>
    <w:uiPriority w:val="99"/>
    <w:rsid w:val="0011262F"/>
    <w:rPr>
      <w:rFonts w:cs="HelveticaNeueLT Std Lt"/>
      <w:color w:val="000000"/>
      <w:sz w:val="11"/>
      <w:szCs w:val="11"/>
    </w:rPr>
  </w:style>
  <w:style w:type="paragraph" w:customStyle="1" w:styleId="Heading1NotTOC">
    <w:name w:val="Heading 1 Not TOC"/>
    <w:basedOn w:val="Heading1"/>
    <w:next w:val="BodyText"/>
    <w:rsid w:val="0011262F"/>
    <w:rPr>
      <w:kern w:val="28"/>
      <w:szCs w:val="26"/>
      <w:lang w:eastAsia="en-US"/>
    </w:rPr>
  </w:style>
  <w:style w:type="paragraph" w:styleId="TOCHeading">
    <w:name w:val="TOC Heading"/>
    <w:basedOn w:val="Heading1"/>
    <w:next w:val="Normal"/>
    <w:uiPriority w:val="39"/>
    <w:unhideWhenUsed/>
    <w:qFormat/>
    <w:rsid w:val="0011262F"/>
    <w:pPr>
      <w:keepLines/>
      <w:spacing w:before="240" w:after="0" w:line="259" w:lineRule="auto"/>
      <w:ind w:left="0" w:firstLine="0"/>
      <w:outlineLvl w:val="9"/>
    </w:pPr>
    <w:rPr>
      <w:rFonts w:asciiTheme="majorHAnsi" w:eastAsiaTheme="majorEastAsia" w:hAnsiTheme="majorHAnsi" w:cstheme="majorBidi"/>
      <w:color w:val="597923" w:themeColor="accent1" w:themeShade="BF"/>
      <w:sz w:val="32"/>
      <w:szCs w:val="32"/>
      <w:lang w:val="en-US" w:eastAsia="en-US"/>
    </w:rPr>
  </w:style>
  <w:style w:type="paragraph" w:customStyle="1" w:styleId="TableBullet-level2">
    <w:name w:val="Table Bullet - level 2"/>
    <w:basedOn w:val="TableBullet"/>
    <w:rsid w:val="0011262F"/>
    <w:pPr>
      <w:numPr>
        <w:numId w:val="43"/>
      </w:numPr>
      <w:ind w:left="567" w:hanging="340"/>
    </w:pPr>
  </w:style>
  <w:style w:type="character" w:styleId="Strong">
    <w:name w:val="Strong"/>
    <w:basedOn w:val="DefaultParagraphFont"/>
    <w:uiPriority w:val="22"/>
    <w:qFormat/>
    <w:rsid w:val="0011262F"/>
    <w:rPr>
      <w:b/>
      <w:bCs/>
    </w:rPr>
  </w:style>
  <w:style w:type="paragraph" w:customStyle="1" w:styleId="Headingr">
    <w:name w:val="Heading r"/>
    <w:basedOn w:val="BodyText"/>
    <w:rsid w:val="0011262F"/>
  </w:style>
  <w:style w:type="paragraph" w:customStyle="1" w:styleId="selectionshareable">
    <w:name w:val="selectionshareable"/>
    <w:basedOn w:val="Normal"/>
    <w:rsid w:val="0011262F"/>
    <w:pPr>
      <w:spacing w:before="240" w:after="240"/>
    </w:pPr>
  </w:style>
  <w:style w:type="character" w:customStyle="1" w:styleId="tgc">
    <w:name w:val="_tgc"/>
    <w:basedOn w:val="DefaultParagraphFont"/>
    <w:rsid w:val="0011262F"/>
  </w:style>
  <w:style w:type="paragraph" w:customStyle="1" w:styleId="Bullet">
    <w:name w:val="Bullet"/>
    <w:basedOn w:val="Normal"/>
    <w:rsid w:val="0011262F"/>
    <w:pPr>
      <w:numPr>
        <w:ilvl w:val="1"/>
        <w:numId w:val="44"/>
      </w:numPr>
      <w:tabs>
        <w:tab w:val="clear" w:pos="1040"/>
        <w:tab w:val="num" w:pos="520"/>
      </w:tabs>
      <w:spacing w:line="276" w:lineRule="auto"/>
      <w:ind w:left="520"/>
    </w:pPr>
    <w:rPr>
      <w:rFonts w:asciiTheme="minorHAnsi" w:eastAsiaTheme="minorHAnsi" w:hAnsiTheme="minorHAnsi" w:cstheme="minorBidi"/>
      <w:sz w:val="22"/>
      <w:szCs w:val="22"/>
      <w:lang w:eastAsia="en-US"/>
    </w:rPr>
  </w:style>
  <w:style w:type="paragraph" w:customStyle="1" w:styleId="Dash">
    <w:name w:val="Dash"/>
    <w:basedOn w:val="Normal"/>
    <w:link w:val="DashChar"/>
    <w:rsid w:val="0011262F"/>
    <w:pPr>
      <w:tabs>
        <w:tab w:val="num" w:pos="1040"/>
      </w:tabs>
      <w:spacing w:line="276" w:lineRule="auto"/>
      <w:ind w:left="1040" w:hanging="520"/>
    </w:pPr>
    <w:rPr>
      <w:rFonts w:asciiTheme="minorHAnsi" w:eastAsiaTheme="minorHAnsi" w:hAnsiTheme="minorHAnsi" w:cstheme="minorBidi"/>
      <w:sz w:val="22"/>
      <w:szCs w:val="22"/>
      <w:lang w:eastAsia="en-US"/>
    </w:rPr>
  </w:style>
  <w:style w:type="character" w:customStyle="1" w:styleId="DashChar">
    <w:name w:val="Dash Char"/>
    <w:basedOn w:val="DefaultParagraphFont"/>
    <w:link w:val="Dash"/>
    <w:rsid w:val="0011262F"/>
    <w:rPr>
      <w:rFonts w:asciiTheme="minorHAnsi" w:eastAsiaTheme="minorHAnsi" w:hAnsiTheme="minorHAnsi" w:cstheme="minorBidi"/>
      <w:sz w:val="22"/>
      <w:szCs w:val="22"/>
      <w:lang w:eastAsia="en-US"/>
    </w:rPr>
  </w:style>
  <w:style w:type="paragraph" w:customStyle="1" w:styleId="DoubleDot">
    <w:name w:val="Double Dot"/>
    <w:basedOn w:val="Normal"/>
    <w:rsid w:val="0011262F"/>
    <w:pPr>
      <w:numPr>
        <w:ilvl w:val="2"/>
        <w:numId w:val="44"/>
      </w:numPr>
      <w:spacing w:line="276" w:lineRule="auto"/>
    </w:pPr>
    <w:rPr>
      <w:rFonts w:asciiTheme="minorHAnsi" w:eastAsiaTheme="minorHAnsi" w:hAnsiTheme="minorHAnsi" w:cstheme="minorBidi"/>
      <w:sz w:val="22"/>
      <w:szCs w:val="22"/>
      <w:lang w:eastAsia="en-US"/>
    </w:rPr>
  </w:style>
  <w:style w:type="paragraph" w:customStyle="1" w:styleId="Footnote">
    <w:name w:val="Footnote"/>
    <w:basedOn w:val="BodyText"/>
    <w:rsid w:val="0011262F"/>
  </w:style>
  <w:style w:type="paragraph" w:customStyle="1" w:styleId="Pa0">
    <w:name w:val="Pa0"/>
    <w:basedOn w:val="Default"/>
    <w:next w:val="Default"/>
    <w:uiPriority w:val="99"/>
    <w:rsid w:val="0011262F"/>
    <w:pPr>
      <w:spacing w:line="191" w:lineRule="atLeast"/>
    </w:pPr>
    <w:rPr>
      <w:rFonts w:ascii="ITC Franklin Gothic Std Book" w:hAnsi="ITC Franklin Gothic Std Book" w:cs="Times New Roman"/>
      <w:color w:val="auto"/>
    </w:rPr>
  </w:style>
  <w:style w:type="paragraph" w:customStyle="1" w:styleId="Heaeding5">
    <w:name w:val="Heaeding 5"/>
    <w:basedOn w:val="ListNumber"/>
    <w:rsid w:val="0011262F"/>
  </w:style>
  <w:style w:type="paragraph" w:customStyle="1" w:styleId="Heading40">
    <w:name w:val="Heading4"/>
    <w:basedOn w:val="BodyText"/>
    <w:rsid w:val="0011262F"/>
  </w:style>
  <w:style w:type="paragraph" w:customStyle="1" w:styleId="Level3">
    <w:name w:val="Level 3"/>
    <w:basedOn w:val="Bibliography"/>
    <w:rsid w:val="0011262F"/>
    <w:pPr>
      <w:ind w:left="720" w:hanging="720"/>
    </w:pPr>
  </w:style>
  <w:style w:type="paragraph" w:customStyle="1" w:styleId="Heading10">
    <w:name w:val="Heading1"/>
    <w:basedOn w:val="Chapter"/>
    <w:rsid w:val="0011262F"/>
    <w:pPr>
      <w:spacing w:after="800"/>
      <w:ind w:left="907" w:hanging="907"/>
    </w:pPr>
    <w:rPr>
      <w:szCs w:val="20"/>
    </w:rPr>
  </w:style>
  <w:style w:type="paragraph" w:customStyle="1" w:styleId="PCAddress">
    <w:name w:val="PC Address"/>
    <w:basedOn w:val="Normal"/>
    <w:rsid w:val="0011262F"/>
    <w:pPr>
      <w:tabs>
        <w:tab w:val="left" w:pos="866"/>
      </w:tabs>
      <w:spacing w:after="60"/>
    </w:pPr>
    <w:rPr>
      <w:sz w:val="16"/>
      <w:szCs w:val="20"/>
    </w:rPr>
  </w:style>
  <w:style w:type="paragraph" w:styleId="Salutation">
    <w:name w:val="Salutation"/>
    <w:basedOn w:val="Normal"/>
    <w:next w:val="Normal"/>
    <w:link w:val="SalutationChar"/>
    <w:autoRedefine/>
    <w:rsid w:val="0011262F"/>
    <w:rPr>
      <w:noProof/>
      <w:szCs w:val="20"/>
    </w:rPr>
  </w:style>
  <w:style w:type="character" w:customStyle="1" w:styleId="SalutationChar">
    <w:name w:val="Salutation Char"/>
    <w:basedOn w:val="DefaultParagraphFont"/>
    <w:link w:val="Salutation"/>
    <w:rsid w:val="0011262F"/>
    <w:rPr>
      <w:noProof/>
      <w:sz w:val="24"/>
    </w:rPr>
  </w:style>
  <w:style w:type="paragraph" w:customStyle="1" w:styleId="Signoff">
    <w:name w:val="Signoff"/>
    <w:basedOn w:val="Normal"/>
    <w:autoRedefine/>
    <w:rsid w:val="0011262F"/>
    <w:pPr>
      <w:spacing w:before="480"/>
    </w:pPr>
    <w:rPr>
      <w:szCs w:val="20"/>
    </w:rPr>
  </w:style>
  <w:style w:type="paragraph" w:customStyle="1" w:styleId="LetterDate">
    <w:name w:val="Letter Date"/>
    <w:basedOn w:val="BodyText"/>
    <w:rsid w:val="0011262F"/>
    <w:pPr>
      <w:spacing w:before="0" w:after="240" w:line="240" w:lineRule="auto"/>
      <w:ind w:left="-108"/>
      <w:jc w:val="left"/>
    </w:pPr>
  </w:style>
  <w:style w:type="paragraph" w:customStyle="1" w:styleId="LetterAddress">
    <w:name w:val="Letter Address"/>
    <w:basedOn w:val="BodyText"/>
    <w:rsid w:val="0011262F"/>
    <w:pPr>
      <w:spacing w:before="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2629">
      <w:marLeft w:val="0"/>
      <w:marRight w:val="0"/>
      <w:marTop w:val="0"/>
      <w:marBottom w:val="0"/>
      <w:divBdr>
        <w:top w:val="none" w:sz="0" w:space="0" w:color="auto"/>
        <w:left w:val="none" w:sz="0" w:space="0" w:color="auto"/>
        <w:bottom w:val="none" w:sz="0" w:space="0" w:color="auto"/>
        <w:right w:val="none" w:sz="0" w:space="0" w:color="auto"/>
      </w:divBdr>
      <w:divsChild>
        <w:div w:id="927269511">
          <w:marLeft w:val="0"/>
          <w:marRight w:val="0"/>
          <w:marTop w:val="0"/>
          <w:marBottom w:val="0"/>
          <w:divBdr>
            <w:top w:val="none" w:sz="0" w:space="0" w:color="auto"/>
            <w:left w:val="none" w:sz="0" w:space="0" w:color="auto"/>
            <w:bottom w:val="none" w:sz="0" w:space="0" w:color="auto"/>
            <w:right w:val="none" w:sz="0" w:space="0" w:color="auto"/>
          </w:divBdr>
        </w:div>
      </w:divsChild>
    </w:div>
    <w:div w:id="1205704">
      <w:bodyDiv w:val="1"/>
      <w:marLeft w:val="0"/>
      <w:marRight w:val="0"/>
      <w:marTop w:val="0"/>
      <w:marBottom w:val="0"/>
      <w:divBdr>
        <w:top w:val="none" w:sz="0" w:space="0" w:color="auto"/>
        <w:left w:val="none" w:sz="0" w:space="0" w:color="auto"/>
        <w:bottom w:val="none" w:sz="0" w:space="0" w:color="auto"/>
        <w:right w:val="none" w:sz="0" w:space="0" w:color="auto"/>
      </w:divBdr>
    </w:div>
    <w:div w:id="2780722">
      <w:marLeft w:val="0"/>
      <w:marRight w:val="0"/>
      <w:marTop w:val="0"/>
      <w:marBottom w:val="0"/>
      <w:divBdr>
        <w:top w:val="none" w:sz="0" w:space="0" w:color="auto"/>
        <w:left w:val="none" w:sz="0" w:space="0" w:color="auto"/>
        <w:bottom w:val="none" w:sz="0" w:space="0" w:color="auto"/>
        <w:right w:val="none" w:sz="0" w:space="0" w:color="auto"/>
      </w:divBdr>
      <w:divsChild>
        <w:div w:id="42796289">
          <w:marLeft w:val="0"/>
          <w:marRight w:val="0"/>
          <w:marTop w:val="0"/>
          <w:marBottom w:val="0"/>
          <w:divBdr>
            <w:top w:val="none" w:sz="0" w:space="0" w:color="auto"/>
            <w:left w:val="none" w:sz="0" w:space="0" w:color="auto"/>
            <w:bottom w:val="none" w:sz="0" w:space="0" w:color="auto"/>
            <w:right w:val="none" w:sz="0" w:space="0" w:color="auto"/>
          </w:divBdr>
        </w:div>
      </w:divsChild>
    </w:div>
    <w:div w:id="4063310">
      <w:marLeft w:val="0"/>
      <w:marRight w:val="0"/>
      <w:marTop w:val="0"/>
      <w:marBottom w:val="0"/>
      <w:divBdr>
        <w:top w:val="none" w:sz="0" w:space="0" w:color="auto"/>
        <w:left w:val="none" w:sz="0" w:space="0" w:color="auto"/>
        <w:bottom w:val="none" w:sz="0" w:space="0" w:color="auto"/>
        <w:right w:val="none" w:sz="0" w:space="0" w:color="auto"/>
      </w:divBdr>
      <w:divsChild>
        <w:div w:id="1318462259">
          <w:marLeft w:val="0"/>
          <w:marRight w:val="0"/>
          <w:marTop w:val="0"/>
          <w:marBottom w:val="0"/>
          <w:divBdr>
            <w:top w:val="none" w:sz="0" w:space="0" w:color="auto"/>
            <w:left w:val="none" w:sz="0" w:space="0" w:color="auto"/>
            <w:bottom w:val="none" w:sz="0" w:space="0" w:color="auto"/>
            <w:right w:val="none" w:sz="0" w:space="0" w:color="auto"/>
          </w:divBdr>
        </w:div>
      </w:divsChild>
    </w:div>
    <w:div w:id="9380182">
      <w:bodyDiv w:val="1"/>
      <w:marLeft w:val="0"/>
      <w:marRight w:val="0"/>
      <w:marTop w:val="0"/>
      <w:marBottom w:val="0"/>
      <w:divBdr>
        <w:top w:val="none" w:sz="0" w:space="0" w:color="auto"/>
        <w:left w:val="none" w:sz="0" w:space="0" w:color="auto"/>
        <w:bottom w:val="none" w:sz="0" w:space="0" w:color="auto"/>
        <w:right w:val="none" w:sz="0" w:space="0" w:color="auto"/>
      </w:divBdr>
    </w:div>
    <w:div w:id="17124220">
      <w:bodyDiv w:val="1"/>
      <w:marLeft w:val="0"/>
      <w:marRight w:val="0"/>
      <w:marTop w:val="0"/>
      <w:marBottom w:val="0"/>
      <w:divBdr>
        <w:top w:val="none" w:sz="0" w:space="0" w:color="auto"/>
        <w:left w:val="none" w:sz="0" w:space="0" w:color="auto"/>
        <w:bottom w:val="none" w:sz="0" w:space="0" w:color="auto"/>
        <w:right w:val="none" w:sz="0" w:space="0" w:color="auto"/>
      </w:divBdr>
    </w:div>
    <w:div w:id="18893968">
      <w:bodyDiv w:val="1"/>
      <w:marLeft w:val="0"/>
      <w:marRight w:val="0"/>
      <w:marTop w:val="0"/>
      <w:marBottom w:val="0"/>
      <w:divBdr>
        <w:top w:val="none" w:sz="0" w:space="0" w:color="auto"/>
        <w:left w:val="none" w:sz="0" w:space="0" w:color="auto"/>
        <w:bottom w:val="none" w:sz="0" w:space="0" w:color="auto"/>
        <w:right w:val="none" w:sz="0" w:space="0" w:color="auto"/>
      </w:divBdr>
    </w:div>
    <w:div w:id="23484170">
      <w:marLeft w:val="0"/>
      <w:marRight w:val="0"/>
      <w:marTop w:val="0"/>
      <w:marBottom w:val="0"/>
      <w:divBdr>
        <w:top w:val="none" w:sz="0" w:space="0" w:color="auto"/>
        <w:left w:val="none" w:sz="0" w:space="0" w:color="auto"/>
        <w:bottom w:val="none" w:sz="0" w:space="0" w:color="auto"/>
        <w:right w:val="none" w:sz="0" w:space="0" w:color="auto"/>
      </w:divBdr>
      <w:divsChild>
        <w:div w:id="2063014490">
          <w:marLeft w:val="0"/>
          <w:marRight w:val="0"/>
          <w:marTop w:val="0"/>
          <w:marBottom w:val="0"/>
          <w:divBdr>
            <w:top w:val="none" w:sz="0" w:space="0" w:color="auto"/>
            <w:left w:val="none" w:sz="0" w:space="0" w:color="auto"/>
            <w:bottom w:val="none" w:sz="0" w:space="0" w:color="auto"/>
            <w:right w:val="none" w:sz="0" w:space="0" w:color="auto"/>
          </w:divBdr>
        </w:div>
      </w:divsChild>
    </w:div>
    <w:div w:id="24411633">
      <w:marLeft w:val="0"/>
      <w:marRight w:val="0"/>
      <w:marTop w:val="0"/>
      <w:marBottom w:val="0"/>
      <w:divBdr>
        <w:top w:val="none" w:sz="0" w:space="0" w:color="auto"/>
        <w:left w:val="none" w:sz="0" w:space="0" w:color="auto"/>
        <w:bottom w:val="none" w:sz="0" w:space="0" w:color="auto"/>
        <w:right w:val="none" w:sz="0" w:space="0" w:color="auto"/>
      </w:divBdr>
      <w:divsChild>
        <w:div w:id="831219369">
          <w:marLeft w:val="0"/>
          <w:marRight w:val="0"/>
          <w:marTop w:val="0"/>
          <w:marBottom w:val="0"/>
          <w:divBdr>
            <w:top w:val="none" w:sz="0" w:space="0" w:color="auto"/>
            <w:left w:val="none" w:sz="0" w:space="0" w:color="auto"/>
            <w:bottom w:val="none" w:sz="0" w:space="0" w:color="auto"/>
            <w:right w:val="none" w:sz="0" w:space="0" w:color="auto"/>
          </w:divBdr>
        </w:div>
      </w:divsChild>
    </w:div>
    <w:div w:id="24604724">
      <w:marLeft w:val="0"/>
      <w:marRight w:val="0"/>
      <w:marTop w:val="0"/>
      <w:marBottom w:val="0"/>
      <w:divBdr>
        <w:top w:val="none" w:sz="0" w:space="0" w:color="auto"/>
        <w:left w:val="none" w:sz="0" w:space="0" w:color="auto"/>
        <w:bottom w:val="none" w:sz="0" w:space="0" w:color="auto"/>
        <w:right w:val="none" w:sz="0" w:space="0" w:color="auto"/>
      </w:divBdr>
      <w:divsChild>
        <w:div w:id="733892967">
          <w:marLeft w:val="0"/>
          <w:marRight w:val="0"/>
          <w:marTop w:val="0"/>
          <w:marBottom w:val="0"/>
          <w:divBdr>
            <w:top w:val="none" w:sz="0" w:space="0" w:color="auto"/>
            <w:left w:val="none" w:sz="0" w:space="0" w:color="auto"/>
            <w:bottom w:val="none" w:sz="0" w:space="0" w:color="auto"/>
            <w:right w:val="none" w:sz="0" w:space="0" w:color="auto"/>
          </w:divBdr>
        </w:div>
      </w:divsChild>
    </w:div>
    <w:div w:id="26684221">
      <w:bodyDiv w:val="1"/>
      <w:marLeft w:val="0"/>
      <w:marRight w:val="0"/>
      <w:marTop w:val="0"/>
      <w:marBottom w:val="0"/>
      <w:divBdr>
        <w:top w:val="none" w:sz="0" w:space="0" w:color="auto"/>
        <w:left w:val="none" w:sz="0" w:space="0" w:color="auto"/>
        <w:bottom w:val="none" w:sz="0" w:space="0" w:color="auto"/>
        <w:right w:val="none" w:sz="0" w:space="0" w:color="auto"/>
      </w:divBdr>
    </w:div>
    <w:div w:id="32535834">
      <w:bodyDiv w:val="1"/>
      <w:marLeft w:val="0"/>
      <w:marRight w:val="0"/>
      <w:marTop w:val="0"/>
      <w:marBottom w:val="0"/>
      <w:divBdr>
        <w:top w:val="none" w:sz="0" w:space="0" w:color="auto"/>
        <w:left w:val="none" w:sz="0" w:space="0" w:color="auto"/>
        <w:bottom w:val="none" w:sz="0" w:space="0" w:color="auto"/>
        <w:right w:val="none" w:sz="0" w:space="0" w:color="auto"/>
      </w:divBdr>
    </w:div>
    <w:div w:id="35739958">
      <w:bodyDiv w:val="1"/>
      <w:marLeft w:val="0"/>
      <w:marRight w:val="0"/>
      <w:marTop w:val="0"/>
      <w:marBottom w:val="0"/>
      <w:divBdr>
        <w:top w:val="none" w:sz="0" w:space="0" w:color="auto"/>
        <w:left w:val="none" w:sz="0" w:space="0" w:color="auto"/>
        <w:bottom w:val="none" w:sz="0" w:space="0" w:color="auto"/>
        <w:right w:val="none" w:sz="0" w:space="0" w:color="auto"/>
      </w:divBdr>
    </w:div>
    <w:div w:id="37516355">
      <w:marLeft w:val="0"/>
      <w:marRight w:val="0"/>
      <w:marTop w:val="0"/>
      <w:marBottom w:val="0"/>
      <w:divBdr>
        <w:top w:val="none" w:sz="0" w:space="0" w:color="auto"/>
        <w:left w:val="none" w:sz="0" w:space="0" w:color="auto"/>
        <w:bottom w:val="none" w:sz="0" w:space="0" w:color="auto"/>
        <w:right w:val="none" w:sz="0" w:space="0" w:color="auto"/>
      </w:divBdr>
      <w:divsChild>
        <w:div w:id="848057814">
          <w:marLeft w:val="0"/>
          <w:marRight w:val="0"/>
          <w:marTop w:val="0"/>
          <w:marBottom w:val="0"/>
          <w:divBdr>
            <w:top w:val="none" w:sz="0" w:space="0" w:color="auto"/>
            <w:left w:val="none" w:sz="0" w:space="0" w:color="auto"/>
            <w:bottom w:val="none" w:sz="0" w:space="0" w:color="auto"/>
            <w:right w:val="none" w:sz="0" w:space="0" w:color="auto"/>
          </w:divBdr>
        </w:div>
      </w:divsChild>
    </w:div>
    <w:div w:id="51387456">
      <w:marLeft w:val="0"/>
      <w:marRight w:val="0"/>
      <w:marTop w:val="0"/>
      <w:marBottom w:val="0"/>
      <w:divBdr>
        <w:top w:val="none" w:sz="0" w:space="0" w:color="auto"/>
        <w:left w:val="none" w:sz="0" w:space="0" w:color="auto"/>
        <w:bottom w:val="none" w:sz="0" w:space="0" w:color="auto"/>
        <w:right w:val="none" w:sz="0" w:space="0" w:color="auto"/>
      </w:divBdr>
      <w:divsChild>
        <w:div w:id="741412675">
          <w:marLeft w:val="0"/>
          <w:marRight w:val="0"/>
          <w:marTop w:val="0"/>
          <w:marBottom w:val="0"/>
          <w:divBdr>
            <w:top w:val="none" w:sz="0" w:space="0" w:color="auto"/>
            <w:left w:val="none" w:sz="0" w:space="0" w:color="auto"/>
            <w:bottom w:val="none" w:sz="0" w:space="0" w:color="auto"/>
            <w:right w:val="none" w:sz="0" w:space="0" w:color="auto"/>
          </w:divBdr>
        </w:div>
      </w:divsChild>
    </w:div>
    <w:div w:id="56124307">
      <w:marLeft w:val="0"/>
      <w:marRight w:val="0"/>
      <w:marTop w:val="0"/>
      <w:marBottom w:val="0"/>
      <w:divBdr>
        <w:top w:val="none" w:sz="0" w:space="0" w:color="auto"/>
        <w:left w:val="none" w:sz="0" w:space="0" w:color="auto"/>
        <w:bottom w:val="none" w:sz="0" w:space="0" w:color="auto"/>
        <w:right w:val="none" w:sz="0" w:space="0" w:color="auto"/>
      </w:divBdr>
      <w:divsChild>
        <w:div w:id="1527792258">
          <w:marLeft w:val="0"/>
          <w:marRight w:val="0"/>
          <w:marTop w:val="0"/>
          <w:marBottom w:val="0"/>
          <w:divBdr>
            <w:top w:val="none" w:sz="0" w:space="0" w:color="auto"/>
            <w:left w:val="none" w:sz="0" w:space="0" w:color="auto"/>
            <w:bottom w:val="none" w:sz="0" w:space="0" w:color="auto"/>
            <w:right w:val="none" w:sz="0" w:space="0" w:color="auto"/>
          </w:divBdr>
        </w:div>
      </w:divsChild>
    </w:div>
    <w:div w:id="58482934">
      <w:marLeft w:val="0"/>
      <w:marRight w:val="0"/>
      <w:marTop w:val="0"/>
      <w:marBottom w:val="0"/>
      <w:divBdr>
        <w:top w:val="none" w:sz="0" w:space="0" w:color="auto"/>
        <w:left w:val="none" w:sz="0" w:space="0" w:color="auto"/>
        <w:bottom w:val="none" w:sz="0" w:space="0" w:color="auto"/>
        <w:right w:val="none" w:sz="0" w:space="0" w:color="auto"/>
      </w:divBdr>
      <w:divsChild>
        <w:div w:id="1908224237">
          <w:marLeft w:val="0"/>
          <w:marRight w:val="0"/>
          <w:marTop w:val="0"/>
          <w:marBottom w:val="0"/>
          <w:divBdr>
            <w:top w:val="none" w:sz="0" w:space="0" w:color="auto"/>
            <w:left w:val="none" w:sz="0" w:space="0" w:color="auto"/>
            <w:bottom w:val="none" w:sz="0" w:space="0" w:color="auto"/>
            <w:right w:val="none" w:sz="0" w:space="0" w:color="auto"/>
          </w:divBdr>
        </w:div>
      </w:divsChild>
    </w:div>
    <w:div w:id="59794352">
      <w:bodyDiv w:val="1"/>
      <w:marLeft w:val="0"/>
      <w:marRight w:val="0"/>
      <w:marTop w:val="0"/>
      <w:marBottom w:val="0"/>
      <w:divBdr>
        <w:top w:val="none" w:sz="0" w:space="0" w:color="auto"/>
        <w:left w:val="none" w:sz="0" w:space="0" w:color="auto"/>
        <w:bottom w:val="none" w:sz="0" w:space="0" w:color="auto"/>
        <w:right w:val="none" w:sz="0" w:space="0" w:color="auto"/>
      </w:divBdr>
    </w:div>
    <w:div w:id="60299551">
      <w:marLeft w:val="0"/>
      <w:marRight w:val="0"/>
      <w:marTop w:val="0"/>
      <w:marBottom w:val="0"/>
      <w:divBdr>
        <w:top w:val="none" w:sz="0" w:space="0" w:color="auto"/>
        <w:left w:val="none" w:sz="0" w:space="0" w:color="auto"/>
        <w:bottom w:val="none" w:sz="0" w:space="0" w:color="auto"/>
        <w:right w:val="none" w:sz="0" w:space="0" w:color="auto"/>
      </w:divBdr>
      <w:divsChild>
        <w:div w:id="1467041023">
          <w:marLeft w:val="0"/>
          <w:marRight w:val="0"/>
          <w:marTop w:val="0"/>
          <w:marBottom w:val="0"/>
          <w:divBdr>
            <w:top w:val="none" w:sz="0" w:space="0" w:color="auto"/>
            <w:left w:val="none" w:sz="0" w:space="0" w:color="auto"/>
            <w:bottom w:val="none" w:sz="0" w:space="0" w:color="auto"/>
            <w:right w:val="none" w:sz="0" w:space="0" w:color="auto"/>
          </w:divBdr>
        </w:div>
      </w:divsChild>
    </w:div>
    <w:div w:id="76564090">
      <w:marLeft w:val="0"/>
      <w:marRight w:val="0"/>
      <w:marTop w:val="0"/>
      <w:marBottom w:val="0"/>
      <w:divBdr>
        <w:top w:val="none" w:sz="0" w:space="0" w:color="auto"/>
        <w:left w:val="none" w:sz="0" w:space="0" w:color="auto"/>
        <w:bottom w:val="none" w:sz="0" w:space="0" w:color="auto"/>
        <w:right w:val="none" w:sz="0" w:space="0" w:color="auto"/>
      </w:divBdr>
      <w:divsChild>
        <w:div w:id="616528938">
          <w:marLeft w:val="0"/>
          <w:marRight w:val="0"/>
          <w:marTop w:val="0"/>
          <w:marBottom w:val="0"/>
          <w:divBdr>
            <w:top w:val="none" w:sz="0" w:space="0" w:color="auto"/>
            <w:left w:val="none" w:sz="0" w:space="0" w:color="auto"/>
            <w:bottom w:val="none" w:sz="0" w:space="0" w:color="auto"/>
            <w:right w:val="none" w:sz="0" w:space="0" w:color="auto"/>
          </w:divBdr>
        </w:div>
      </w:divsChild>
    </w:div>
    <w:div w:id="77210890">
      <w:bodyDiv w:val="1"/>
      <w:marLeft w:val="0"/>
      <w:marRight w:val="0"/>
      <w:marTop w:val="0"/>
      <w:marBottom w:val="0"/>
      <w:divBdr>
        <w:top w:val="none" w:sz="0" w:space="0" w:color="auto"/>
        <w:left w:val="none" w:sz="0" w:space="0" w:color="auto"/>
        <w:bottom w:val="none" w:sz="0" w:space="0" w:color="auto"/>
        <w:right w:val="none" w:sz="0" w:space="0" w:color="auto"/>
      </w:divBdr>
    </w:div>
    <w:div w:id="86539444">
      <w:marLeft w:val="0"/>
      <w:marRight w:val="0"/>
      <w:marTop w:val="0"/>
      <w:marBottom w:val="0"/>
      <w:divBdr>
        <w:top w:val="none" w:sz="0" w:space="0" w:color="auto"/>
        <w:left w:val="none" w:sz="0" w:space="0" w:color="auto"/>
        <w:bottom w:val="none" w:sz="0" w:space="0" w:color="auto"/>
        <w:right w:val="none" w:sz="0" w:space="0" w:color="auto"/>
      </w:divBdr>
      <w:divsChild>
        <w:div w:id="1509558416">
          <w:marLeft w:val="0"/>
          <w:marRight w:val="0"/>
          <w:marTop w:val="0"/>
          <w:marBottom w:val="0"/>
          <w:divBdr>
            <w:top w:val="none" w:sz="0" w:space="0" w:color="auto"/>
            <w:left w:val="none" w:sz="0" w:space="0" w:color="auto"/>
            <w:bottom w:val="none" w:sz="0" w:space="0" w:color="auto"/>
            <w:right w:val="none" w:sz="0" w:space="0" w:color="auto"/>
          </w:divBdr>
        </w:div>
      </w:divsChild>
    </w:div>
    <w:div w:id="88163399">
      <w:marLeft w:val="0"/>
      <w:marRight w:val="0"/>
      <w:marTop w:val="0"/>
      <w:marBottom w:val="0"/>
      <w:divBdr>
        <w:top w:val="none" w:sz="0" w:space="0" w:color="auto"/>
        <w:left w:val="none" w:sz="0" w:space="0" w:color="auto"/>
        <w:bottom w:val="none" w:sz="0" w:space="0" w:color="auto"/>
        <w:right w:val="none" w:sz="0" w:space="0" w:color="auto"/>
      </w:divBdr>
      <w:divsChild>
        <w:div w:id="1882208280">
          <w:marLeft w:val="0"/>
          <w:marRight w:val="0"/>
          <w:marTop w:val="0"/>
          <w:marBottom w:val="0"/>
          <w:divBdr>
            <w:top w:val="none" w:sz="0" w:space="0" w:color="auto"/>
            <w:left w:val="none" w:sz="0" w:space="0" w:color="auto"/>
            <w:bottom w:val="none" w:sz="0" w:space="0" w:color="auto"/>
            <w:right w:val="none" w:sz="0" w:space="0" w:color="auto"/>
          </w:divBdr>
        </w:div>
      </w:divsChild>
    </w:div>
    <w:div w:id="89398624">
      <w:marLeft w:val="0"/>
      <w:marRight w:val="0"/>
      <w:marTop w:val="0"/>
      <w:marBottom w:val="0"/>
      <w:divBdr>
        <w:top w:val="none" w:sz="0" w:space="0" w:color="auto"/>
        <w:left w:val="none" w:sz="0" w:space="0" w:color="auto"/>
        <w:bottom w:val="none" w:sz="0" w:space="0" w:color="auto"/>
        <w:right w:val="none" w:sz="0" w:space="0" w:color="auto"/>
      </w:divBdr>
      <w:divsChild>
        <w:div w:id="1849101053">
          <w:marLeft w:val="0"/>
          <w:marRight w:val="0"/>
          <w:marTop w:val="0"/>
          <w:marBottom w:val="0"/>
          <w:divBdr>
            <w:top w:val="none" w:sz="0" w:space="0" w:color="auto"/>
            <w:left w:val="none" w:sz="0" w:space="0" w:color="auto"/>
            <w:bottom w:val="none" w:sz="0" w:space="0" w:color="auto"/>
            <w:right w:val="none" w:sz="0" w:space="0" w:color="auto"/>
          </w:divBdr>
        </w:div>
      </w:divsChild>
    </w:div>
    <w:div w:id="92409418">
      <w:marLeft w:val="0"/>
      <w:marRight w:val="0"/>
      <w:marTop w:val="0"/>
      <w:marBottom w:val="0"/>
      <w:divBdr>
        <w:top w:val="none" w:sz="0" w:space="0" w:color="auto"/>
        <w:left w:val="none" w:sz="0" w:space="0" w:color="auto"/>
        <w:bottom w:val="none" w:sz="0" w:space="0" w:color="auto"/>
        <w:right w:val="none" w:sz="0" w:space="0" w:color="auto"/>
      </w:divBdr>
      <w:divsChild>
        <w:div w:id="1801681171">
          <w:marLeft w:val="0"/>
          <w:marRight w:val="0"/>
          <w:marTop w:val="0"/>
          <w:marBottom w:val="0"/>
          <w:divBdr>
            <w:top w:val="none" w:sz="0" w:space="0" w:color="auto"/>
            <w:left w:val="none" w:sz="0" w:space="0" w:color="auto"/>
            <w:bottom w:val="none" w:sz="0" w:space="0" w:color="auto"/>
            <w:right w:val="none" w:sz="0" w:space="0" w:color="auto"/>
          </w:divBdr>
        </w:div>
      </w:divsChild>
    </w:div>
    <w:div w:id="96946000">
      <w:marLeft w:val="0"/>
      <w:marRight w:val="0"/>
      <w:marTop w:val="0"/>
      <w:marBottom w:val="0"/>
      <w:divBdr>
        <w:top w:val="none" w:sz="0" w:space="0" w:color="auto"/>
        <w:left w:val="none" w:sz="0" w:space="0" w:color="auto"/>
        <w:bottom w:val="none" w:sz="0" w:space="0" w:color="auto"/>
        <w:right w:val="none" w:sz="0" w:space="0" w:color="auto"/>
      </w:divBdr>
      <w:divsChild>
        <w:div w:id="1646158712">
          <w:marLeft w:val="0"/>
          <w:marRight w:val="0"/>
          <w:marTop w:val="0"/>
          <w:marBottom w:val="0"/>
          <w:divBdr>
            <w:top w:val="none" w:sz="0" w:space="0" w:color="auto"/>
            <w:left w:val="none" w:sz="0" w:space="0" w:color="auto"/>
            <w:bottom w:val="none" w:sz="0" w:space="0" w:color="auto"/>
            <w:right w:val="none" w:sz="0" w:space="0" w:color="auto"/>
          </w:divBdr>
        </w:div>
      </w:divsChild>
    </w:div>
    <w:div w:id="104616409">
      <w:marLeft w:val="0"/>
      <w:marRight w:val="0"/>
      <w:marTop w:val="0"/>
      <w:marBottom w:val="0"/>
      <w:divBdr>
        <w:top w:val="none" w:sz="0" w:space="0" w:color="auto"/>
        <w:left w:val="none" w:sz="0" w:space="0" w:color="auto"/>
        <w:bottom w:val="none" w:sz="0" w:space="0" w:color="auto"/>
        <w:right w:val="none" w:sz="0" w:space="0" w:color="auto"/>
      </w:divBdr>
      <w:divsChild>
        <w:div w:id="387846839">
          <w:marLeft w:val="0"/>
          <w:marRight w:val="0"/>
          <w:marTop w:val="0"/>
          <w:marBottom w:val="0"/>
          <w:divBdr>
            <w:top w:val="none" w:sz="0" w:space="0" w:color="auto"/>
            <w:left w:val="none" w:sz="0" w:space="0" w:color="auto"/>
            <w:bottom w:val="none" w:sz="0" w:space="0" w:color="auto"/>
            <w:right w:val="none" w:sz="0" w:space="0" w:color="auto"/>
          </w:divBdr>
        </w:div>
      </w:divsChild>
    </w:div>
    <w:div w:id="109596487">
      <w:marLeft w:val="0"/>
      <w:marRight w:val="0"/>
      <w:marTop w:val="0"/>
      <w:marBottom w:val="0"/>
      <w:divBdr>
        <w:top w:val="none" w:sz="0" w:space="0" w:color="auto"/>
        <w:left w:val="none" w:sz="0" w:space="0" w:color="auto"/>
        <w:bottom w:val="none" w:sz="0" w:space="0" w:color="auto"/>
        <w:right w:val="none" w:sz="0" w:space="0" w:color="auto"/>
      </w:divBdr>
      <w:divsChild>
        <w:div w:id="1878541420">
          <w:marLeft w:val="0"/>
          <w:marRight w:val="0"/>
          <w:marTop w:val="0"/>
          <w:marBottom w:val="0"/>
          <w:divBdr>
            <w:top w:val="none" w:sz="0" w:space="0" w:color="auto"/>
            <w:left w:val="none" w:sz="0" w:space="0" w:color="auto"/>
            <w:bottom w:val="none" w:sz="0" w:space="0" w:color="auto"/>
            <w:right w:val="none" w:sz="0" w:space="0" w:color="auto"/>
          </w:divBdr>
        </w:div>
      </w:divsChild>
    </w:div>
    <w:div w:id="115223523">
      <w:marLeft w:val="0"/>
      <w:marRight w:val="0"/>
      <w:marTop w:val="0"/>
      <w:marBottom w:val="0"/>
      <w:divBdr>
        <w:top w:val="none" w:sz="0" w:space="0" w:color="auto"/>
        <w:left w:val="none" w:sz="0" w:space="0" w:color="auto"/>
        <w:bottom w:val="none" w:sz="0" w:space="0" w:color="auto"/>
        <w:right w:val="none" w:sz="0" w:space="0" w:color="auto"/>
      </w:divBdr>
      <w:divsChild>
        <w:div w:id="497186881">
          <w:marLeft w:val="0"/>
          <w:marRight w:val="0"/>
          <w:marTop w:val="0"/>
          <w:marBottom w:val="0"/>
          <w:divBdr>
            <w:top w:val="none" w:sz="0" w:space="0" w:color="auto"/>
            <w:left w:val="none" w:sz="0" w:space="0" w:color="auto"/>
            <w:bottom w:val="none" w:sz="0" w:space="0" w:color="auto"/>
            <w:right w:val="none" w:sz="0" w:space="0" w:color="auto"/>
          </w:divBdr>
        </w:div>
      </w:divsChild>
    </w:div>
    <w:div w:id="119812295">
      <w:marLeft w:val="0"/>
      <w:marRight w:val="0"/>
      <w:marTop w:val="0"/>
      <w:marBottom w:val="0"/>
      <w:divBdr>
        <w:top w:val="none" w:sz="0" w:space="0" w:color="auto"/>
        <w:left w:val="none" w:sz="0" w:space="0" w:color="auto"/>
        <w:bottom w:val="none" w:sz="0" w:space="0" w:color="auto"/>
        <w:right w:val="none" w:sz="0" w:space="0" w:color="auto"/>
      </w:divBdr>
      <w:divsChild>
        <w:div w:id="234510642">
          <w:marLeft w:val="0"/>
          <w:marRight w:val="0"/>
          <w:marTop w:val="0"/>
          <w:marBottom w:val="0"/>
          <w:divBdr>
            <w:top w:val="none" w:sz="0" w:space="0" w:color="auto"/>
            <w:left w:val="none" w:sz="0" w:space="0" w:color="auto"/>
            <w:bottom w:val="none" w:sz="0" w:space="0" w:color="auto"/>
            <w:right w:val="none" w:sz="0" w:space="0" w:color="auto"/>
          </w:divBdr>
        </w:div>
      </w:divsChild>
    </w:div>
    <w:div w:id="120926551">
      <w:marLeft w:val="0"/>
      <w:marRight w:val="0"/>
      <w:marTop w:val="0"/>
      <w:marBottom w:val="0"/>
      <w:divBdr>
        <w:top w:val="none" w:sz="0" w:space="0" w:color="auto"/>
        <w:left w:val="none" w:sz="0" w:space="0" w:color="auto"/>
        <w:bottom w:val="none" w:sz="0" w:space="0" w:color="auto"/>
        <w:right w:val="none" w:sz="0" w:space="0" w:color="auto"/>
      </w:divBdr>
      <w:divsChild>
        <w:div w:id="1831292483">
          <w:marLeft w:val="0"/>
          <w:marRight w:val="0"/>
          <w:marTop w:val="0"/>
          <w:marBottom w:val="0"/>
          <w:divBdr>
            <w:top w:val="none" w:sz="0" w:space="0" w:color="auto"/>
            <w:left w:val="none" w:sz="0" w:space="0" w:color="auto"/>
            <w:bottom w:val="none" w:sz="0" w:space="0" w:color="auto"/>
            <w:right w:val="none" w:sz="0" w:space="0" w:color="auto"/>
          </w:divBdr>
        </w:div>
      </w:divsChild>
    </w:div>
    <w:div w:id="127629701">
      <w:marLeft w:val="0"/>
      <w:marRight w:val="0"/>
      <w:marTop w:val="0"/>
      <w:marBottom w:val="0"/>
      <w:divBdr>
        <w:top w:val="none" w:sz="0" w:space="0" w:color="auto"/>
        <w:left w:val="none" w:sz="0" w:space="0" w:color="auto"/>
        <w:bottom w:val="none" w:sz="0" w:space="0" w:color="auto"/>
        <w:right w:val="none" w:sz="0" w:space="0" w:color="auto"/>
      </w:divBdr>
      <w:divsChild>
        <w:div w:id="1531600396">
          <w:marLeft w:val="0"/>
          <w:marRight w:val="0"/>
          <w:marTop w:val="0"/>
          <w:marBottom w:val="0"/>
          <w:divBdr>
            <w:top w:val="none" w:sz="0" w:space="0" w:color="auto"/>
            <w:left w:val="none" w:sz="0" w:space="0" w:color="auto"/>
            <w:bottom w:val="none" w:sz="0" w:space="0" w:color="auto"/>
            <w:right w:val="none" w:sz="0" w:space="0" w:color="auto"/>
          </w:divBdr>
        </w:div>
      </w:divsChild>
    </w:div>
    <w:div w:id="128938020">
      <w:bodyDiv w:val="1"/>
      <w:marLeft w:val="0"/>
      <w:marRight w:val="0"/>
      <w:marTop w:val="0"/>
      <w:marBottom w:val="0"/>
      <w:divBdr>
        <w:top w:val="none" w:sz="0" w:space="0" w:color="auto"/>
        <w:left w:val="none" w:sz="0" w:space="0" w:color="auto"/>
        <w:bottom w:val="none" w:sz="0" w:space="0" w:color="auto"/>
        <w:right w:val="none" w:sz="0" w:space="0" w:color="auto"/>
      </w:divBdr>
    </w:div>
    <w:div w:id="129517972">
      <w:marLeft w:val="0"/>
      <w:marRight w:val="0"/>
      <w:marTop w:val="0"/>
      <w:marBottom w:val="0"/>
      <w:divBdr>
        <w:top w:val="none" w:sz="0" w:space="0" w:color="auto"/>
        <w:left w:val="none" w:sz="0" w:space="0" w:color="auto"/>
        <w:bottom w:val="none" w:sz="0" w:space="0" w:color="auto"/>
        <w:right w:val="none" w:sz="0" w:space="0" w:color="auto"/>
      </w:divBdr>
      <w:divsChild>
        <w:div w:id="312295442">
          <w:marLeft w:val="0"/>
          <w:marRight w:val="0"/>
          <w:marTop w:val="0"/>
          <w:marBottom w:val="0"/>
          <w:divBdr>
            <w:top w:val="none" w:sz="0" w:space="0" w:color="auto"/>
            <w:left w:val="none" w:sz="0" w:space="0" w:color="auto"/>
            <w:bottom w:val="none" w:sz="0" w:space="0" w:color="auto"/>
            <w:right w:val="none" w:sz="0" w:space="0" w:color="auto"/>
          </w:divBdr>
        </w:div>
      </w:divsChild>
    </w:div>
    <w:div w:id="129565629">
      <w:marLeft w:val="0"/>
      <w:marRight w:val="0"/>
      <w:marTop w:val="0"/>
      <w:marBottom w:val="0"/>
      <w:divBdr>
        <w:top w:val="none" w:sz="0" w:space="0" w:color="auto"/>
        <w:left w:val="none" w:sz="0" w:space="0" w:color="auto"/>
        <w:bottom w:val="none" w:sz="0" w:space="0" w:color="auto"/>
        <w:right w:val="none" w:sz="0" w:space="0" w:color="auto"/>
      </w:divBdr>
      <w:divsChild>
        <w:div w:id="1670521191">
          <w:marLeft w:val="0"/>
          <w:marRight w:val="0"/>
          <w:marTop w:val="0"/>
          <w:marBottom w:val="0"/>
          <w:divBdr>
            <w:top w:val="none" w:sz="0" w:space="0" w:color="auto"/>
            <w:left w:val="none" w:sz="0" w:space="0" w:color="auto"/>
            <w:bottom w:val="none" w:sz="0" w:space="0" w:color="auto"/>
            <w:right w:val="none" w:sz="0" w:space="0" w:color="auto"/>
          </w:divBdr>
        </w:div>
      </w:divsChild>
    </w:div>
    <w:div w:id="129715666">
      <w:marLeft w:val="0"/>
      <w:marRight w:val="150"/>
      <w:marTop w:val="0"/>
      <w:marBottom w:val="0"/>
      <w:divBdr>
        <w:top w:val="none" w:sz="0" w:space="0" w:color="auto"/>
        <w:left w:val="none" w:sz="0" w:space="0" w:color="auto"/>
        <w:bottom w:val="none" w:sz="0" w:space="0" w:color="auto"/>
        <w:right w:val="none" w:sz="0" w:space="0" w:color="auto"/>
      </w:divBdr>
      <w:divsChild>
        <w:div w:id="1843201121">
          <w:marLeft w:val="0"/>
          <w:marRight w:val="150"/>
          <w:marTop w:val="0"/>
          <w:marBottom w:val="0"/>
          <w:divBdr>
            <w:top w:val="none" w:sz="0" w:space="0" w:color="auto"/>
            <w:left w:val="none" w:sz="0" w:space="0" w:color="auto"/>
            <w:bottom w:val="none" w:sz="0" w:space="0" w:color="auto"/>
            <w:right w:val="none" w:sz="0" w:space="0" w:color="auto"/>
          </w:divBdr>
        </w:div>
      </w:divsChild>
    </w:div>
    <w:div w:id="130513794">
      <w:marLeft w:val="0"/>
      <w:marRight w:val="0"/>
      <w:marTop w:val="0"/>
      <w:marBottom w:val="0"/>
      <w:divBdr>
        <w:top w:val="none" w:sz="0" w:space="0" w:color="auto"/>
        <w:left w:val="none" w:sz="0" w:space="0" w:color="auto"/>
        <w:bottom w:val="none" w:sz="0" w:space="0" w:color="auto"/>
        <w:right w:val="none" w:sz="0" w:space="0" w:color="auto"/>
      </w:divBdr>
      <w:divsChild>
        <w:div w:id="488520705">
          <w:marLeft w:val="0"/>
          <w:marRight w:val="0"/>
          <w:marTop w:val="0"/>
          <w:marBottom w:val="0"/>
          <w:divBdr>
            <w:top w:val="none" w:sz="0" w:space="0" w:color="auto"/>
            <w:left w:val="none" w:sz="0" w:space="0" w:color="auto"/>
            <w:bottom w:val="none" w:sz="0" w:space="0" w:color="auto"/>
            <w:right w:val="none" w:sz="0" w:space="0" w:color="auto"/>
          </w:divBdr>
        </w:div>
      </w:divsChild>
    </w:div>
    <w:div w:id="134489664">
      <w:marLeft w:val="0"/>
      <w:marRight w:val="0"/>
      <w:marTop w:val="0"/>
      <w:marBottom w:val="0"/>
      <w:divBdr>
        <w:top w:val="none" w:sz="0" w:space="0" w:color="auto"/>
        <w:left w:val="none" w:sz="0" w:space="0" w:color="auto"/>
        <w:bottom w:val="none" w:sz="0" w:space="0" w:color="auto"/>
        <w:right w:val="none" w:sz="0" w:space="0" w:color="auto"/>
      </w:divBdr>
      <w:divsChild>
        <w:div w:id="511263051">
          <w:marLeft w:val="0"/>
          <w:marRight w:val="0"/>
          <w:marTop w:val="0"/>
          <w:marBottom w:val="0"/>
          <w:divBdr>
            <w:top w:val="none" w:sz="0" w:space="0" w:color="auto"/>
            <w:left w:val="none" w:sz="0" w:space="0" w:color="auto"/>
            <w:bottom w:val="none" w:sz="0" w:space="0" w:color="auto"/>
            <w:right w:val="none" w:sz="0" w:space="0" w:color="auto"/>
          </w:divBdr>
        </w:div>
      </w:divsChild>
    </w:div>
    <w:div w:id="136075310">
      <w:bodyDiv w:val="1"/>
      <w:marLeft w:val="0"/>
      <w:marRight w:val="0"/>
      <w:marTop w:val="0"/>
      <w:marBottom w:val="0"/>
      <w:divBdr>
        <w:top w:val="none" w:sz="0" w:space="0" w:color="auto"/>
        <w:left w:val="none" w:sz="0" w:space="0" w:color="auto"/>
        <w:bottom w:val="none" w:sz="0" w:space="0" w:color="auto"/>
        <w:right w:val="none" w:sz="0" w:space="0" w:color="auto"/>
      </w:divBdr>
    </w:div>
    <w:div w:id="138570773">
      <w:bodyDiv w:val="1"/>
      <w:marLeft w:val="0"/>
      <w:marRight w:val="0"/>
      <w:marTop w:val="0"/>
      <w:marBottom w:val="0"/>
      <w:divBdr>
        <w:top w:val="none" w:sz="0" w:space="0" w:color="auto"/>
        <w:left w:val="none" w:sz="0" w:space="0" w:color="auto"/>
        <w:bottom w:val="none" w:sz="0" w:space="0" w:color="auto"/>
        <w:right w:val="none" w:sz="0" w:space="0" w:color="auto"/>
      </w:divBdr>
    </w:div>
    <w:div w:id="139810608">
      <w:marLeft w:val="0"/>
      <w:marRight w:val="0"/>
      <w:marTop w:val="0"/>
      <w:marBottom w:val="0"/>
      <w:divBdr>
        <w:top w:val="none" w:sz="0" w:space="0" w:color="auto"/>
        <w:left w:val="none" w:sz="0" w:space="0" w:color="auto"/>
        <w:bottom w:val="none" w:sz="0" w:space="0" w:color="auto"/>
        <w:right w:val="none" w:sz="0" w:space="0" w:color="auto"/>
      </w:divBdr>
      <w:divsChild>
        <w:div w:id="1670015264">
          <w:marLeft w:val="0"/>
          <w:marRight w:val="0"/>
          <w:marTop w:val="0"/>
          <w:marBottom w:val="0"/>
          <w:divBdr>
            <w:top w:val="none" w:sz="0" w:space="0" w:color="auto"/>
            <w:left w:val="none" w:sz="0" w:space="0" w:color="auto"/>
            <w:bottom w:val="none" w:sz="0" w:space="0" w:color="auto"/>
            <w:right w:val="none" w:sz="0" w:space="0" w:color="auto"/>
          </w:divBdr>
        </w:div>
      </w:divsChild>
    </w:div>
    <w:div w:id="142822030">
      <w:bodyDiv w:val="1"/>
      <w:marLeft w:val="0"/>
      <w:marRight w:val="0"/>
      <w:marTop w:val="0"/>
      <w:marBottom w:val="0"/>
      <w:divBdr>
        <w:top w:val="none" w:sz="0" w:space="0" w:color="auto"/>
        <w:left w:val="none" w:sz="0" w:space="0" w:color="auto"/>
        <w:bottom w:val="none" w:sz="0" w:space="0" w:color="auto"/>
        <w:right w:val="none" w:sz="0" w:space="0" w:color="auto"/>
      </w:divBdr>
    </w:div>
    <w:div w:id="143546050">
      <w:marLeft w:val="0"/>
      <w:marRight w:val="0"/>
      <w:marTop w:val="0"/>
      <w:marBottom w:val="0"/>
      <w:divBdr>
        <w:top w:val="none" w:sz="0" w:space="0" w:color="auto"/>
        <w:left w:val="none" w:sz="0" w:space="0" w:color="auto"/>
        <w:bottom w:val="none" w:sz="0" w:space="0" w:color="auto"/>
        <w:right w:val="none" w:sz="0" w:space="0" w:color="auto"/>
      </w:divBdr>
      <w:divsChild>
        <w:div w:id="1149712832">
          <w:marLeft w:val="0"/>
          <w:marRight w:val="0"/>
          <w:marTop w:val="0"/>
          <w:marBottom w:val="0"/>
          <w:divBdr>
            <w:top w:val="none" w:sz="0" w:space="0" w:color="auto"/>
            <w:left w:val="none" w:sz="0" w:space="0" w:color="auto"/>
            <w:bottom w:val="none" w:sz="0" w:space="0" w:color="auto"/>
            <w:right w:val="none" w:sz="0" w:space="0" w:color="auto"/>
          </w:divBdr>
        </w:div>
      </w:divsChild>
    </w:div>
    <w:div w:id="144127978">
      <w:bodyDiv w:val="1"/>
      <w:marLeft w:val="0"/>
      <w:marRight w:val="0"/>
      <w:marTop w:val="0"/>
      <w:marBottom w:val="0"/>
      <w:divBdr>
        <w:top w:val="none" w:sz="0" w:space="0" w:color="auto"/>
        <w:left w:val="none" w:sz="0" w:space="0" w:color="auto"/>
        <w:bottom w:val="none" w:sz="0" w:space="0" w:color="auto"/>
        <w:right w:val="none" w:sz="0" w:space="0" w:color="auto"/>
      </w:divBdr>
    </w:div>
    <w:div w:id="146287475">
      <w:marLeft w:val="0"/>
      <w:marRight w:val="0"/>
      <w:marTop w:val="0"/>
      <w:marBottom w:val="0"/>
      <w:divBdr>
        <w:top w:val="none" w:sz="0" w:space="0" w:color="auto"/>
        <w:left w:val="none" w:sz="0" w:space="0" w:color="auto"/>
        <w:bottom w:val="none" w:sz="0" w:space="0" w:color="auto"/>
        <w:right w:val="none" w:sz="0" w:space="0" w:color="auto"/>
      </w:divBdr>
      <w:divsChild>
        <w:div w:id="639962336">
          <w:marLeft w:val="0"/>
          <w:marRight w:val="0"/>
          <w:marTop w:val="0"/>
          <w:marBottom w:val="0"/>
          <w:divBdr>
            <w:top w:val="none" w:sz="0" w:space="0" w:color="auto"/>
            <w:left w:val="none" w:sz="0" w:space="0" w:color="auto"/>
            <w:bottom w:val="none" w:sz="0" w:space="0" w:color="auto"/>
            <w:right w:val="none" w:sz="0" w:space="0" w:color="auto"/>
          </w:divBdr>
        </w:div>
      </w:divsChild>
    </w:div>
    <w:div w:id="147481660">
      <w:marLeft w:val="0"/>
      <w:marRight w:val="0"/>
      <w:marTop w:val="0"/>
      <w:marBottom w:val="0"/>
      <w:divBdr>
        <w:top w:val="none" w:sz="0" w:space="0" w:color="auto"/>
        <w:left w:val="none" w:sz="0" w:space="0" w:color="auto"/>
        <w:bottom w:val="none" w:sz="0" w:space="0" w:color="auto"/>
        <w:right w:val="none" w:sz="0" w:space="0" w:color="auto"/>
      </w:divBdr>
      <w:divsChild>
        <w:div w:id="439685798">
          <w:marLeft w:val="0"/>
          <w:marRight w:val="0"/>
          <w:marTop w:val="0"/>
          <w:marBottom w:val="0"/>
          <w:divBdr>
            <w:top w:val="none" w:sz="0" w:space="0" w:color="auto"/>
            <w:left w:val="none" w:sz="0" w:space="0" w:color="auto"/>
            <w:bottom w:val="none" w:sz="0" w:space="0" w:color="auto"/>
            <w:right w:val="none" w:sz="0" w:space="0" w:color="auto"/>
          </w:divBdr>
        </w:div>
      </w:divsChild>
    </w:div>
    <w:div w:id="148177850">
      <w:bodyDiv w:val="1"/>
      <w:marLeft w:val="0"/>
      <w:marRight w:val="0"/>
      <w:marTop w:val="0"/>
      <w:marBottom w:val="0"/>
      <w:divBdr>
        <w:top w:val="none" w:sz="0" w:space="0" w:color="auto"/>
        <w:left w:val="none" w:sz="0" w:space="0" w:color="auto"/>
        <w:bottom w:val="none" w:sz="0" w:space="0" w:color="auto"/>
        <w:right w:val="none" w:sz="0" w:space="0" w:color="auto"/>
      </w:divBdr>
    </w:div>
    <w:div w:id="149642493">
      <w:marLeft w:val="0"/>
      <w:marRight w:val="0"/>
      <w:marTop w:val="0"/>
      <w:marBottom w:val="0"/>
      <w:divBdr>
        <w:top w:val="none" w:sz="0" w:space="0" w:color="auto"/>
        <w:left w:val="none" w:sz="0" w:space="0" w:color="auto"/>
        <w:bottom w:val="none" w:sz="0" w:space="0" w:color="auto"/>
        <w:right w:val="none" w:sz="0" w:space="0" w:color="auto"/>
      </w:divBdr>
      <w:divsChild>
        <w:div w:id="1834636231">
          <w:marLeft w:val="0"/>
          <w:marRight w:val="0"/>
          <w:marTop w:val="0"/>
          <w:marBottom w:val="0"/>
          <w:divBdr>
            <w:top w:val="none" w:sz="0" w:space="0" w:color="auto"/>
            <w:left w:val="none" w:sz="0" w:space="0" w:color="auto"/>
            <w:bottom w:val="none" w:sz="0" w:space="0" w:color="auto"/>
            <w:right w:val="none" w:sz="0" w:space="0" w:color="auto"/>
          </w:divBdr>
        </w:div>
      </w:divsChild>
    </w:div>
    <w:div w:id="152335886">
      <w:marLeft w:val="0"/>
      <w:marRight w:val="0"/>
      <w:marTop w:val="0"/>
      <w:marBottom w:val="0"/>
      <w:divBdr>
        <w:top w:val="none" w:sz="0" w:space="0" w:color="auto"/>
        <w:left w:val="none" w:sz="0" w:space="0" w:color="auto"/>
        <w:bottom w:val="none" w:sz="0" w:space="0" w:color="auto"/>
        <w:right w:val="none" w:sz="0" w:space="0" w:color="auto"/>
      </w:divBdr>
      <w:divsChild>
        <w:div w:id="1304625306">
          <w:marLeft w:val="0"/>
          <w:marRight w:val="0"/>
          <w:marTop w:val="0"/>
          <w:marBottom w:val="0"/>
          <w:divBdr>
            <w:top w:val="none" w:sz="0" w:space="0" w:color="auto"/>
            <w:left w:val="none" w:sz="0" w:space="0" w:color="auto"/>
            <w:bottom w:val="none" w:sz="0" w:space="0" w:color="auto"/>
            <w:right w:val="none" w:sz="0" w:space="0" w:color="auto"/>
          </w:divBdr>
        </w:div>
      </w:divsChild>
    </w:div>
    <w:div w:id="154999743">
      <w:marLeft w:val="0"/>
      <w:marRight w:val="0"/>
      <w:marTop w:val="0"/>
      <w:marBottom w:val="0"/>
      <w:divBdr>
        <w:top w:val="none" w:sz="0" w:space="0" w:color="auto"/>
        <w:left w:val="none" w:sz="0" w:space="0" w:color="auto"/>
        <w:bottom w:val="none" w:sz="0" w:space="0" w:color="auto"/>
        <w:right w:val="none" w:sz="0" w:space="0" w:color="auto"/>
      </w:divBdr>
      <w:divsChild>
        <w:div w:id="836305663">
          <w:marLeft w:val="0"/>
          <w:marRight w:val="0"/>
          <w:marTop w:val="0"/>
          <w:marBottom w:val="0"/>
          <w:divBdr>
            <w:top w:val="none" w:sz="0" w:space="0" w:color="auto"/>
            <w:left w:val="none" w:sz="0" w:space="0" w:color="auto"/>
            <w:bottom w:val="none" w:sz="0" w:space="0" w:color="auto"/>
            <w:right w:val="none" w:sz="0" w:space="0" w:color="auto"/>
          </w:divBdr>
        </w:div>
      </w:divsChild>
    </w:div>
    <w:div w:id="162552695">
      <w:marLeft w:val="0"/>
      <w:marRight w:val="0"/>
      <w:marTop w:val="0"/>
      <w:marBottom w:val="0"/>
      <w:divBdr>
        <w:top w:val="none" w:sz="0" w:space="0" w:color="auto"/>
        <w:left w:val="none" w:sz="0" w:space="0" w:color="auto"/>
        <w:bottom w:val="none" w:sz="0" w:space="0" w:color="auto"/>
        <w:right w:val="none" w:sz="0" w:space="0" w:color="auto"/>
      </w:divBdr>
      <w:divsChild>
        <w:div w:id="1363281494">
          <w:marLeft w:val="0"/>
          <w:marRight w:val="0"/>
          <w:marTop w:val="0"/>
          <w:marBottom w:val="0"/>
          <w:divBdr>
            <w:top w:val="none" w:sz="0" w:space="0" w:color="auto"/>
            <w:left w:val="none" w:sz="0" w:space="0" w:color="auto"/>
            <w:bottom w:val="none" w:sz="0" w:space="0" w:color="auto"/>
            <w:right w:val="none" w:sz="0" w:space="0" w:color="auto"/>
          </w:divBdr>
        </w:div>
      </w:divsChild>
    </w:div>
    <w:div w:id="175002112">
      <w:marLeft w:val="0"/>
      <w:marRight w:val="150"/>
      <w:marTop w:val="0"/>
      <w:marBottom w:val="0"/>
      <w:divBdr>
        <w:top w:val="none" w:sz="0" w:space="0" w:color="auto"/>
        <w:left w:val="none" w:sz="0" w:space="0" w:color="auto"/>
        <w:bottom w:val="none" w:sz="0" w:space="0" w:color="auto"/>
        <w:right w:val="none" w:sz="0" w:space="0" w:color="auto"/>
      </w:divBdr>
      <w:divsChild>
        <w:div w:id="363870416">
          <w:marLeft w:val="0"/>
          <w:marRight w:val="150"/>
          <w:marTop w:val="0"/>
          <w:marBottom w:val="0"/>
          <w:divBdr>
            <w:top w:val="none" w:sz="0" w:space="0" w:color="auto"/>
            <w:left w:val="none" w:sz="0" w:space="0" w:color="auto"/>
            <w:bottom w:val="none" w:sz="0" w:space="0" w:color="auto"/>
            <w:right w:val="none" w:sz="0" w:space="0" w:color="auto"/>
          </w:divBdr>
        </w:div>
      </w:divsChild>
    </w:div>
    <w:div w:id="175467200">
      <w:bodyDiv w:val="1"/>
      <w:marLeft w:val="0"/>
      <w:marRight w:val="0"/>
      <w:marTop w:val="0"/>
      <w:marBottom w:val="0"/>
      <w:divBdr>
        <w:top w:val="none" w:sz="0" w:space="0" w:color="auto"/>
        <w:left w:val="none" w:sz="0" w:space="0" w:color="auto"/>
        <w:bottom w:val="none" w:sz="0" w:space="0" w:color="auto"/>
        <w:right w:val="none" w:sz="0" w:space="0" w:color="auto"/>
      </w:divBdr>
    </w:div>
    <w:div w:id="177890591">
      <w:bodyDiv w:val="1"/>
      <w:marLeft w:val="0"/>
      <w:marRight w:val="0"/>
      <w:marTop w:val="0"/>
      <w:marBottom w:val="0"/>
      <w:divBdr>
        <w:top w:val="none" w:sz="0" w:space="0" w:color="auto"/>
        <w:left w:val="none" w:sz="0" w:space="0" w:color="auto"/>
        <w:bottom w:val="none" w:sz="0" w:space="0" w:color="auto"/>
        <w:right w:val="none" w:sz="0" w:space="0" w:color="auto"/>
      </w:divBdr>
    </w:div>
    <w:div w:id="177961877">
      <w:marLeft w:val="0"/>
      <w:marRight w:val="0"/>
      <w:marTop w:val="0"/>
      <w:marBottom w:val="0"/>
      <w:divBdr>
        <w:top w:val="none" w:sz="0" w:space="0" w:color="auto"/>
        <w:left w:val="none" w:sz="0" w:space="0" w:color="auto"/>
        <w:bottom w:val="none" w:sz="0" w:space="0" w:color="auto"/>
        <w:right w:val="none" w:sz="0" w:space="0" w:color="auto"/>
      </w:divBdr>
      <w:divsChild>
        <w:div w:id="2069452483">
          <w:marLeft w:val="0"/>
          <w:marRight w:val="0"/>
          <w:marTop w:val="0"/>
          <w:marBottom w:val="0"/>
          <w:divBdr>
            <w:top w:val="none" w:sz="0" w:space="0" w:color="auto"/>
            <w:left w:val="none" w:sz="0" w:space="0" w:color="auto"/>
            <w:bottom w:val="none" w:sz="0" w:space="0" w:color="auto"/>
            <w:right w:val="none" w:sz="0" w:space="0" w:color="auto"/>
          </w:divBdr>
        </w:div>
      </w:divsChild>
    </w:div>
    <w:div w:id="179659604">
      <w:marLeft w:val="0"/>
      <w:marRight w:val="0"/>
      <w:marTop w:val="0"/>
      <w:marBottom w:val="0"/>
      <w:divBdr>
        <w:top w:val="none" w:sz="0" w:space="0" w:color="auto"/>
        <w:left w:val="none" w:sz="0" w:space="0" w:color="auto"/>
        <w:bottom w:val="none" w:sz="0" w:space="0" w:color="auto"/>
        <w:right w:val="none" w:sz="0" w:space="0" w:color="auto"/>
      </w:divBdr>
      <w:divsChild>
        <w:div w:id="1768236542">
          <w:marLeft w:val="0"/>
          <w:marRight w:val="0"/>
          <w:marTop w:val="0"/>
          <w:marBottom w:val="0"/>
          <w:divBdr>
            <w:top w:val="none" w:sz="0" w:space="0" w:color="auto"/>
            <w:left w:val="none" w:sz="0" w:space="0" w:color="auto"/>
            <w:bottom w:val="none" w:sz="0" w:space="0" w:color="auto"/>
            <w:right w:val="none" w:sz="0" w:space="0" w:color="auto"/>
          </w:divBdr>
        </w:div>
      </w:divsChild>
    </w:div>
    <w:div w:id="180121798">
      <w:bodyDiv w:val="1"/>
      <w:marLeft w:val="0"/>
      <w:marRight w:val="0"/>
      <w:marTop w:val="0"/>
      <w:marBottom w:val="0"/>
      <w:divBdr>
        <w:top w:val="none" w:sz="0" w:space="0" w:color="auto"/>
        <w:left w:val="none" w:sz="0" w:space="0" w:color="auto"/>
        <w:bottom w:val="none" w:sz="0" w:space="0" w:color="auto"/>
        <w:right w:val="none" w:sz="0" w:space="0" w:color="auto"/>
      </w:divBdr>
    </w:div>
    <w:div w:id="183328161">
      <w:bodyDiv w:val="1"/>
      <w:marLeft w:val="0"/>
      <w:marRight w:val="0"/>
      <w:marTop w:val="0"/>
      <w:marBottom w:val="0"/>
      <w:divBdr>
        <w:top w:val="none" w:sz="0" w:space="0" w:color="auto"/>
        <w:left w:val="none" w:sz="0" w:space="0" w:color="auto"/>
        <w:bottom w:val="none" w:sz="0" w:space="0" w:color="auto"/>
        <w:right w:val="none" w:sz="0" w:space="0" w:color="auto"/>
      </w:divBdr>
    </w:div>
    <w:div w:id="185367689">
      <w:marLeft w:val="0"/>
      <w:marRight w:val="0"/>
      <w:marTop w:val="0"/>
      <w:marBottom w:val="0"/>
      <w:divBdr>
        <w:top w:val="none" w:sz="0" w:space="0" w:color="auto"/>
        <w:left w:val="none" w:sz="0" w:space="0" w:color="auto"/>
        <w:bottom w:val="none" w:sz="0" w:space="0" w:color="auto"/>
        <w:right w:val="none" w:sz="0" w:space="0" w:color="auto"/>
      </w:divBdr>
      <w:divsChild>
        <w:div w:id="1846550570">
          <w:marLeft w:val="0"/>
          <w:marRight w:val="0"/>
          <w:marTop w:val="0"/>
          <w:marBottom w:val="0"/>
          <w:divBdr>
            <w:top w:val="none" w:sz="0" w:space="0" w:color="auto"/>
            <w:left w:val="none" w:sz="0" w:space="0" w:color="auto"/>
            <w:bottom w:val="none" w:sz="0" w:space="0" w:color="auto"/>
            <w:right w:val="none" w:sz="0" w:space="0" w:color="auto"/>
          </w:divBdr>
        </w:div>
      </w:divsChild>
    </w:div>
    <w:div w:id="188571345">
      <w:bodyDiv w:val="1"/>
      <w:marLeft w:val="0"/>
      <w:marRight w:val="0"/>
      <w:marTop w:val="0"/>
      <w:marBottom w:val="0"/>
      <w:divBdr>
        <w:top w:val="none" w:sz="0" w:space="0" w:color="auto"/>
        <w:left w:val="none" w:sz="0" w:space="0" w:color="auto"/>
        <w:bottom w:val="none" w:sz="0" w:space="0" w:color="auto"/>
        <w:right w:val="none" w:sz="0" w:space="0" w:color="auto"/>
      </w:divBdr>
    </w:div>
    <w:div w:id="189874451">
      <w:marLeft w:val="0"/>
      <w:marRight w:val="0"/>
      <w:marTop w:val="0"/>
      <w:marBottom w:val="0"/>
      <w:divBdr>
        <w:top w:val="none" w:sz="0" w:space="0" w:color="auto"/>
        <w:left w:val="none" w:sz="0" w:space="0" w:color="auto"/>
        <w:bottom w:val="none" w:sz="0" w:space="0" w:color="auto"/>
        <w:right w:val="none" w:sz="0" w:space="0" w:color="auto"/>
      </w:divBdr>
      <w:divsChild>
        <w:div w:id="472676718">
          <w:marLeft w:val="0"/>
          <w:marRight w:val="0"/>
          <w:marTop w:val="0"/>
          <w:marBottom w:val="0"/>
          <w:divBdr>
            <w:top w:val="none" w:sz="0" w:space="0" w:color="auto"/>
            <w:left w:val="none" w:sz="0" w:space="0" w:color="auto"/>
            <w:bottom w:val="none" w:sz="0" w:space="0" w:color="auto"/>
            <w:right w:val="none" w:sz="0" w:space="0" w:color="auto"/>
          </w:divBdr>
        </w:div>
      </w:divsChild>
    </w:div>
    <w:div w:id="194850308">
      <w:bodyDiv w:val="1"/>
      <w:marLeft w:val="0"/>
      <w:marRight w:val="0"/>
      <w:marTop w:val="0"/>
      <w:marBottom w:val="0"/>
      <w:divBdr>
        <w:top w:val="none" w:sz="0" w:space="0" w:color="auto"/>
        <w:left w:val="none" w:sz="0" w:space="0" w:color="auto"/>
        <w:bottom w:val="none" w:sz="0" w:space="0" w:color="auto"/>
        <w:right w:val="none" w:sz="0" w:space="0" w:color="auto"/>
      </w:divBdr>
    </w:div>
    <w:div w:id="198471142">
      <w:marLeft w:val="0"/>
      <w:marRight w:val="0"/>
      <w:marTop w:val="0"/>
      <w:marBottom w:val="0"/>
      <w:divBdr>
        <w:top w:val="none" w:sz="0" w:space="0" w:color="auto"/>
        <w:left w:val="none" w:sz="0" w:space="0" w:color="auto"/>
        <w:bottom w:val="none" w:sz="0" w:space="0" w:color="auto"/>
        <w:right w:val="none" w:sz="0" w:space="0" w:color="auto"/>
      </w:divBdr>
      <w:divsChild>
        <w:div w:id="1127435436">
          <w:marLeft w:val="0"/>
          <w:marRight w:val="0"/>
          <w:marTop w:val="0"/>
          <w:marBottom w:val="0"/>
          <w:divBdr>
            <w:top w:val="none" w:sz="0" w:space="0" w:color="auto"/>
            <w:left w:val="none" w:sz="0" w:space="0" w:color="auto"/>
            <w:bottom w:val="none" w:sz="0" w:space="0" w:color="auto"/>
            <w:right w:val="none" w:sz="0" w:space="0" w:color="auto"/>
          </w:divBdr>
        </w:div>
      </w:divsChild>
    </w:div>
    <w:div w:id="198515840">
      <w:marLeft w:val="0"/>
      <w:marRight w:val="0"/>
      <w:marTop w:val="0"/>
      <w:marBottom w:val="0"/>
      <w:divBdr>
        <w:top w:val="none" w:sz="0" w:space="0" w:color="auto"/>
        <w:left w:val="none" w:sz="0" w:space="0" w:color="auto"/>
        <w:bottom w:val="none" w:sz="0" w:space="0" w:color="auto"/>
        <w:right w:val="none" w:sz="0" w:space="0" w:color="auto"/>
      </w:divBdr>
      <w:divsChild>
        <w:div w:id="1395855014">
          <w:marLeft w:val="0"/>
          <w:marRight w:val="0"/>
          <w:marTop w:val="0"/>
          <w:marBottom w:val="0"/>
          <w:divBdr>
            <w:top w:val="none" w:sz="0" w:space="0" w:color="auto"/>
            <w:left w:val="none" w:sz="0" w:space="0" w:color="auto"/>
            <w:bottom w:val="none" w:sz="0" w:space="0" w:color="auto"/>
            <w:right w:val="none" w:sz="0" w:space="0" w:color="auto"/>
          </w:divBdr>
        </w:div>
      </w:divsChild>
    </w:div>
    <w:div w:id="199168061">
      <w:bodyDiv w:val="1"/>
      <w:marLeft w:val="0"/>
      <w:marRight w:val="0"/>
      <w:marTop w:val="0"/>
      <w:marBottom w:val="0"/>
      <w:divBdr>
        <w:top w:val="none" w:sz="0" w:space="0" w:color="auto"/>
        <w:left w:val="none" w:sz="0" w:space="0" w:color="auto"/>
        <w:bottom w:val="none" w:sz="0" w:space="0" w:color="auto"/>
        <w:right w:val="none" w:sz="0" w:space="0" w:color="auto"/>
      </w:divBdr>
    </w:div>
    <w:div w:id="199321905">
      <w:bodyDiv w:val="1"/>
      <w:marLeft w:val="0"/>
      <w:marRight w:val="0"/>
      <w:marTop w:val="0"/>
      <w:marBottom w:val="0"/>
      <w:divBdr>
        <w:top w:val="none" w:sz="0" w:space="0" w:color="auto"/>
        <w:left w:val="none" w:sz="0" w:space="0" w:color="auto"/>
        <w:bottom w:val="none" w:sz="0" w:space="0" w:color="auto"/>
        <w:right w:val="none" w:sz="0" w:space="0" w:color="auto"/>
      </w:divBdr>
    </w:div>
    <w:div w:id="201483197">
      <w:marLeft w:val="0"/>
      <w:marRight w:val="0"/>
      <w:marTop w:val="0"/>
      <w:marBottom w:val="0"/>
      <w:divBdr>
        <w:top w:val="none" w:sz="0" w:space="0" w:color="auto"/>
        <w:left w:val="none" w:sz="0" w:space="0" w:color="auto"/>
        <w:bottom w:val="none" w:sz="0" w:space="0" w:color="auto"/>
        <w:right w:val="none" w:sz="0" w:space="0" w:color="auto"/>
      </w:divBdr>
      <w:divsChild>
        <w:div w:id="224609505">
          <w:marLeft w:val="0"/>
          <w:marRight w:val="0"/>
          <w:marTop w:val="0"/>
          <w:marBottom w:val="0"/>
          <w:divBdr>
            <w:top w:val="none" w:sz="0" w:space="0" w:color="auto"/>
            <w:left w:val="none" w:sz="0" w:space="0" w:color="auto"/>
            <w:bottom w:val="none" w:sz="0" w:space="0" w:color="auto"/>
            <w:right w:val="none" w:sz="0" w:space="0" w:color="auto"/>
          </w:divBdr>
        </w:div>
      </w:divsChild>
    </w:div>
    <w:div w:id="201676299">
      <w:bodyDiv w:val="1"/>
      <w:marLeft w:val="0"/>
      <w:marRight w:val="0"/>
      <w:marTop w:val="0"/>
      <w:marBottom w:val="0"/>
      <w:divBdr>
        <w:top w:val="none" w:sz="0" w:space="0" w:color="auto"/>
        <w:left w:val="none" w:sz="0" w:space="0" w:color="auto"/>
        <w:bottom w:val="none" w:sz="0" w:space="0" w:color="auto"/>
        <w:right w:val="none" w:sz="0" w:space="0" w:color="auto"/>
      </w:divBdr>
    </w:div>
    <w:div w:id="210263511">
      <w:marLeft w:val="0"/>
      <w:marRight w:val="0"/>
      <w:marTop w:val="0"/>
      <w:marBottom w:val="0"/>
      <w:divBdr>
        <w:top w:val="none" w:sz="0" w:space="0" w:color="auto"/>
        <w:left w:val="none" w:sz="0" w:space="0" w:color="auto"/>
        <w:bottom w:val="none" w:sz="0" w:space="0" w:color="auto"/>
        <w:right w:val="none" w:sz="0" w:space="0" w:color="auto"/>
      </w:divBdr>
      <w:divsChild>
        <w:div w:id="395056483">
          <w:marLeft w:val="0"/>
          <w:marRight w:val="0"/>
          <w:marTop w:val="0"/>
          <w:marBottom w:val="0"/>
          <w:divBdr>
            <w:top w:val="none" w:sz="0" w:space="0" w:color="auto"/>
            <w:left w:val="none" w:sz="0" w:space="0" w:color="auto"/>
            <w:bottom w:val="none" w:sz="0" w:space="0" w:color="auto"/>
            <w:right w:val="none" w:sz="0" w:space="0" w:color="auto"/>
          </w:divBdr>
        </w:div>
      </w:divsChild>
    </w:div>
    <w:div w:id="214591088">
      <w:marLeft w:val="0"/>
      <w:marRight w:val="0"/>
      <w:marTop w:val="0"/>
      <w:marBottom w:val="0"/>
      <w:divBdr>
        <w:top w:val="none" w:sz="0" w:space="0" w:color="auto"/>
        <w:left w:val="none" w:sz="0" w:space="0" w:color="auto"/>
        <w:bottom w:val="none" w:sz="0" w:space="0" w:color="auto"/>
        <w:right w:val="none" w:sz="0" w:space="0" w:color="auto"/>
      </w:divBdr>
      <w:divsChild>
        <w:div w:id="345063275">
          <w:marLeft w:val="0"/>
          <w:marRight w:val="0"/>
          <w:marTop w:val="0"/>
          <w:marBottom w:val="0"/>
          <w:divBdr>
            <w:top w:val="none" w:sz="0" w:space="0" w:color="auto"/>
            <w:left w:val="none" w:sz="0" w:space="0" w:color="auto"/>
            <w:bottom w:val="none" w:sz="0" w:space="0" w:color="auto"/>
            <w:right w:val="none" w:sz="0" w:space="0" w:color="auto"/>
          </w:divBdr>
        </w:div>
      </w:divsChild>
    </w:div>
    <w:div w:id="217058802">
      <w:bodyDiv w:val="1"/>
      <w:marLeft w:val="0"/>
      <w:marRight w:val="0"/>
      <w:marTop w:val="0"/>
      <w:marBottom w:val="0"/>
      <w:divBdr>
        <w:top w:val="none" w:sz="0" w:space="0" w:color="auto"/>
        <w:left w:val="none" w:sz="0" w:space="0" w:color="auto"/>
        <w:bottom w:val="none" w:sz="0" w:space="0" w:color="auto"/>
        <w:right w:val="none" w:sz="0" w:space="0" w:color="auto"/>
      </w:divBdr>
      <w:divsChild>
        <w:div w:id="118258694">
          <w:marLeft w:val="0"/>
          <w:marRight w:val="0"/>
          <w:marTop w:val="0"/>
          <w:marBottom w:val="0"/>
          <w:divBdr>
            <w:top w:val="none" w:sz="0" w:space="0" w:color="auto"/>
            <w:left w:val="none" w:sz="0" w:space="0" w:color="auto"/>
            <w:bottom w:val="none" w:sz="0" w:space="0" w:color="auto"/>
            <w:right w:val="none" w:sz="0" w:space="0" w:color="auto"/>
          </w:divBdr>
          <w:divsChild>
            <w:div w:id="1902866223">
              <w:marLeft w:val="0"/>
              <w:marRight w:val="0"/>
              <w:marTop w:val="0"/>
              <w:marBottom w:val="0"/>
              <w:divBdr>
                <w:top w:val="none" w:sz="0" w:space="0" w:color="auto"/>
                <w:left w:val="none" w:sz="0" w:space="0" w:color="auto"/>
                <w:bottom w:val="none" w:sz="0" w:space="0" w:color="auto"/>
                <w:right w:val="none" w:sz="0" w:space="0" w:color="auto"/>
              </w:divBdr>
            </w:div>
            <w:div w:id="2003003276">
              <w:marLeft w:val="0"/>
              <w:marRight w:val="0"/>
              <w:marTop w:val="0"/>
              <w:marBottom w:val="0"/>
              <w:divBdr>
                <w:top w:val="none" w:sz="0" w:space="0" w:color="auto"/>
                <w:left w:val="none" w:sz="0" w:space="0" w:color="auto"/>
                <w:bottom w:val="none" w:sz="0" w:space="0" w:color="auto"/>
                <w:right w:val="none" w:sz="0" w:space="0" w:color="auto"/>
              </w:divBdr>
            </w:div>
            <w:div w:id="16977714">
              <w:marLeft w:val="0"/>
              <w:marRight w:val="0"/>
              <w:marTop w:val="0"/>
              <w:marBottom w:val="0"/>
              <w:divBdr>
                <w:top w:val="none" w:sz="0" w:space="0" w:color="auto"/>
                <w:left w:val="none" w:sz="0" w:space="0" w:color="auto"/>
                <w:bottom w:val="none" w:sz="0" w:space="0" w:color="auto"/>
                <w:right w:val="none" w:sz="0" w:space="0" w:color="auto"/>
              </w:divBdr>
            </w:div>
            <w:div w:id="278807234">
              <w:marLeft w:val="0"/>
              <w:marRight w:val="0"/>
              <w:marTop w:val="0"/>
              <w:marBottom w:val="0"/>
              <w:divBdr>
                <w:top w:val="none" w:sz="0" w:space="0" w:color="auto"/>
                <w:left w:val="none" w:sz="0" w:space="0" w:color="auto"/>
                <w:bottom w:val="none" w:sz="0" w:space="0" w:color="auto"/>
                <w:right w:val="none" w:sz="0" w:space="0" w:color="auto"/>
              </w:divBdr>
            </w:div>
            <w:div w:id="861087215">
              <w:marLeft w:val="0"/>
              <w:marRight w:val="0"/>
              <w:marTop w:val="0"/>
              <w:marBottom w:val="0"/>
              <w:divBdr>
                <w:top w:val="none" w:sz="0" w:space="0" w:color="auto"/>
                <w:left w:val="none" w:sz="0" w:space="0" w:color="auto"/>
                <w:bottom w:val="none" w:sz="0" w:space="0" w:color="auto"/>
                <w:right w:val="none" w:sz="0" w:space="0" w:color="auto"/>
              </w:divBdr>
            </w:div>
            <w:div w:id="1417825925">
              <w:marLeft w:val="0"/>
              <w:marRight w:val="0"/>
              <w:marTop w:val="0"/>
              <w:marBottom w:val="0"/>
              <w:divBdr>
                <w:top w:val="none" w:sz="0" w:space="0" w:color="auto"/>
                <w:left w:val="none" w:sz="0" w:space="0" w:color="auto"/>
                <w:bottom w:val="none" w:sz="0" w:space="0" w:color="auto"/>
                <w:right w:val="none" w:sz="0" w:space="0" w:color="auto"/>
              </w:divBdr>
            </w:div>
            <w:div w:id="1499811331">
              <w:marLeft w:val="0"/>
              <w:marRight w:val="0"/>
              <w:marTop w:val="0"/>
              <w:marBottom w:val="0"/>
              <w:divBdr>
                <w:top w:val="none" w:sz="0" w:space="0" w:color="auto"/>
                <w:left w:val="none" w:sz="0" w:space="0" w:color="auto"/>
                <w:bottom w:val="none" w:sz="0" w:space="0" w:color="auto"/>
                <w:right w:val="none" w:sz="0" w:space="0" w:color="auto"/>
              </w:divBdr>
            </w:div>
            <w:div w:id="1836457485">
              <w:marLeft w:val="0"/>
              <w:marRight w:val="0"/>
              <w:marTop w:val="0"/>
              <w:marBottom w:val="0"/>
              <w:divBdr>
                <w:top w:val="none" w:sz="0" w:space="0" w:color="auto"/>
                <w:left w:val="none" w:sz="0" w:space="0" w:color="auto"/>
                <w:bottom w:val="none" w:sz="0" w:space="0" w:color="auto"/>
                <w:right w:val="none" w:sz="0" w:space="0" w:color="auto"/>
              </w:divBdr>
            </w:div>
            <w:div w:id="1766999780">
              <w:marLeft w:val="0"/>
              <w:marRight w:val="0"/>
              <w:marTop w:val="0"/>
              <w:marBottom w:val="0"/>
              <w:divBdr>
                <w:top w:val="none" w:sz="0" w:space="0" w:color="auto"/>
                <w:left w:val="none" w:sz="0" w:space="0" w:color="auto"/>
                <w:bottom w:val="none" w:sz="0" w:space="0" w:color="auto"/>
                <w:right w:val="none" w:sz="0" w:space="0" w:color="auto"/>
              </w:divBdr>
            </w:div>
            <w:div w:id="953752497">
              <w:marLeft w:val="0"/>
              <w:marRight w:val="0"/>
              <w:marTop w:val="0"/>
              <w:marBottom w:val="0"/>
              <w:divBdr>
                <w:top w:val="none" w:sz="0" w:space="0" w:color="auto"/>
                <w:left w:val="none" w:sz="0" w:space="0" w:color="auto"/>
                <w:bottom w:val="none" w:sz="0" w:space="0" w:color="auto"/>
                <w:right w:val="none" w:sz="0" w:space="0" w:color="auto"/>
              </w:divBdr>
            </w:div>
            <w:div w:id="1746998442">
              <w:marLeft w:val="0"/>
              <w:marRight w:val="0"/>
              <w:marTop w:val="0"/>
              <w:marBottom w:val="0"/>
              <w:divBdr>
                <w:top w:val="none" w:sz="0" w:space="0" w:color="auto"/>
                <w:left w:val="none" w:sz="0" w:space="0" w:color="auto"/>
                <w:bottom w:val="none" w:sz="0" w:space="0" w:color="auto"/>
                <w:right w:val="none" w:sz="0" w:space="0" w:color="auto"/>
              </w:divBdr>
            </w:div>
            <w:div w:id="1470901640">
              <w:marLeft w:val="0"/>
              <w:marRight w:val="0"/>
              <w:marTop w:val="0"/>
              <w:marBottom w:val="0"/>
              <w:divBdr>
                <w:top w:val="none" w:sz="0" w:space="0" w:color="auto"/>
                <w:left w:val="none" w:sz="0" w:space="0" w:color="auto"/>
                <w:bottom w:val="none" w:sz="0" w:space="0" w:color="auto"/>
                <w:right w:val="none" w:sz="0" w:space="0" w:color="auto"/>
              </w:divBdr>
            </w:div>
            <w:div w:id="1062482991">
              <w:marLeft w:val="0"/>
              <w:marRight w:val="0"/>
              <w:marTop w:val="0"/>
              <w:marBottom w:val="0"/>
              <w:divBdr>
                <w:top w:val="none" w:sz="0" w:space="0" w:color="auto"/>
                <w:left w:val="none" w:sz="0" w:space="0" w:color="auto"/>
                <w:bottom w:val="none" w:sz="0" w:space="0" w:color="auto"/>
                <w:right w:val="none" w:sz="0" w:space="0" w:color="auto"/>
              </w:divBdr>
            </w:div>
            <w:div w:id="1965845655">
              <w:marLeft w:val="0"/>
              <w:marRight w:val="0"/>
              <w:marTop w:val="0"/>
              <w:marBottom w:val="0"/>
              <w:divBdr>
                <w:top w:val="none" w:sz="0" w:space="0" w:color="auto"/>
                <w:left w:val="none" w:sz="0" w:space="0" w:color="auto"/>
                <w:bottom w:val="none" w:sz="0" w:space="0" w:color="auto"/>
                <w:right w:val="none" w:sz="0" w:space="0" w:color="auto"/>
              </w:divBdr>
            </w:div>
            <w:div w:id="222835691">
              <w:marLeft w:val="0"/>
              <w:marRight w:val="0"/>
              <w:marTop w:val="0"/>
              <w:marBottom w:val="0"/>
              <w:divBdr>
                <w:top w:val="none" w:sz="0" w:space="0" w:color="auto"/>
                <w:left w:val="none" w:sz="0" w:space="0" w:color="auto"/>
                <w:bottom w:val="none" w:sz="0" w:space="0" w:color="auto"/>
                <w:right w:val="none" w:sz="0" w:space="0" w:color="auto"/>
              </w:divBdr>
            </w:div>
            <w:div w:id="1493791111">
              <w:marLeft w:val="0"/>
              <w:marRight w:val="0"/>
              <w:marTop w:val="0"/>
              <w:marBottom w:val="0"/>
              <w:divBdr>
                <w:top w:val="none" w:sz="0" w:space="0" w:color="auto"/>
                <w:left w:val="none" w:sz="0" w:space="0" w:color="auto"/>
                <w:bottom w:val="none" w:sz="0" w:space="0" w:color="auto"/>
                <w:right w:val="none" w:sz="0" w:space="0" w:color="auto"/>
              </w:divBdr>
            </w:div>
            <w:div w:id="31392274">
              <w:marLeft w:val="0"/>
              <w:marRight w:val="0"/>
              <w:marTop w:val="0"/>
              <w:marBottom w:val="0"/>
              <w:divBdr>
                <w:top w:val="none" w:sz="0" w:space="0" w:color="auto"/>
                <w:left w:val="none" w:sz="0" w:space="0" w:color="auto"/>
                <w:bottom w:val="none" w:sz="0" w:space="0" w:color="auto"/>
                <w:right w:val="none" w:sz="0" w:space="0" w:color="auto"/>
              </w:divBdr>
            </w:div>
            <w:div w:id="111677719">
              <w:marLeft w:val="0"/>
              <w:marRight w:val="0"/>
              <w:marTop w:val="0"/>
              <w:marBottom w:val="0"/>
              <w:divBdr>
                <w:top w:val="none" w:sz="0" w:space="0" w:color="auto"/>
                <w:left w:val="none" w:sz="0" w:space="0" w:color="auto"/>
                <w:bottom w:val="none" w:sz="0" w:space="0" w:color="auto"/>
                <w:right w:val="none" w:sz="0" w:space="0" w:color="auto"/>
              </w:divBdr>
            </w:div>
            <w:div w:id="738867734">
              <w:marLeft w:val="0"/>
              <w:marRight w:val="0"/>
              <w:marTop w:val="0"/>
              <w:marBottom w:val="0"/>
              <w:divBdr>
                <w:top w:val="none" w:sz="0" w:space="0" w:color="auto"/>
                <w:left w:val="none" w:sz="0" w:space="0" w:color="auto"/>
                <w:bottom w:val="none" w:sz="0" w:space="0" w:color="auto"/>
                <w:right w:val="none" w:sz="0" w:space="0" w:color="auto"/>
              </w:divBdr>
            </w:div>
            <w:div w:id="2043549684">
              <w:marLeft w:val="0"/>
              <w:marRight w:val="0"/>
              <w:marTop w:val="0"/>
              <w:marBottom w:val="0"/>
              <w:divBdr>
                <w:top w:val="none" w:sz="0" w:space="0" w:color="auto"/>
                <w:left w:val="none" w:sz="0" w:space="0" w:color="auto"/>
                <w:bottom w:val="none" w:sz="0" w:space="0" w:color="auto"/>
                <w:right w:val="none" w:sz="0" w:space="0" w:color="auto"/>
              </w:divBdr>
            </w:div>
            <w:div w:id="1782724070">
              <w:marLeft w:val="0"/>
              <w:marRight w:val="0"/>
              <w:marTop w:val="0"/>
              <w:marBottom w:val="0"/>
              <w:divBdr>
                <w:top w:val="none" w:sz="0" w:space="0" w:color="auto"/>
                <w:left w:val="none" w:sz="0" w:space="0" w:color="auto"/>
                <w:bottom w:val="none" w:sz="0" w:space="0" w:color="auto"/>
                <w:right w:val="none" w:sz="0" w:space="0" w:color="auto"/>
              </w:divBdr>
            </w:div>
            <w:div w:id="1244340517">
              <w:marLeft w:val="0"/>
              <w:marRight w:val="0"/>
              <w:marTop w:val="0"/>
              <w:marBottom w:val="0"/>
              <w:divBdr>
                <w:top w:val="none" w:sz="0" w:space="0" w:color="auto"/>
                <w:left w:val="none" w:sz="0" w:space="0" w:color="auto"/>
                <w:bottom w:val="none" w:sz="0" w:space="0" w:color="auto"/>
                <w:right w:val="none" w:sz="0" w:space="0" w:color="auto"/>
              </w:divBdr>
            </w:div>
            <w:div w:id="657660409">
              <w:marLeft w:val="0"/>
              <w:marRight w:val="0"/>
              <w:marTop w:val="0"/>
              <w:marBottom w:val="0"/>
              <w:divBdr>
                <w:top w:val="none" w:sz="0" w:space="0" w:color="auto"/>
                <w:left w:val="none" w:sz="0" w:space="0" w:color="auto"/>
                <w:bottom w:val="none" w:sz="0" w:space="0" w:color="auto"/>
                <w:right w:val="none" w:sz="0" w:space="0" w:color="auto"/>
              </w:divBdr>
            </w:div>
            <w:div w:id="15617501">
              <w:marLeft w:val="0"/>
              <w:marRight w:val="0"/>
              <w:marTop w:val="0"/>
              <w:marBottom w:val="0"/>
              <w:divBdr>
                <w:top w:val="none" w:sz="0" w:space="0" w:color="auto"/>
                <w:left w:val="none" w:sz="0" w:space="0" w:color="auto"/>
                <w:bottom w:val="none" w:sz="0" w:space="0" w:color="auto"/>
                <w:right w:val="none" w:sz="0" w:space="0" w:color="auto"/>
              </w:divBdr>
            </w:div>
            <w:div w:id="895704830">
              <w:marLeft w:val="0"/>
              <w:marRight w:val="0"/>
              <w:marTop w:val="0"/>
              <w:marBottom w:val="0"/>
              <w:divBdr>
                <w:top w:val="none" w:sz="0" w:space="0" w:color="auto"/>
                <w:left w:val="none" w:sz="0" w:space="0" w:color="auto"/>
                <w:bottom w:val="none" w:sz="0" w:space="0" w:color="auto"/>
                <w:right w:val="none" w:sz="0" w:space="0" w:color="auto"/>
              </w:divBdr>
            </w:div>
            <w:div w:id="1770924709">
              <w:marLeft w:val="0"/>
              <w:marRight w:val="0"/>
              <w:marTop w:val="0"/>
              <w:marBottom w:val="0"/>
              <w:divBdr>
                <w:top w:val="none" w:sz="0" w:space="0" w:color="auto"/>
                <w:left w:val="none" w:sz="0" w:space="0" w:color="auto"/>
                <w:bottom w:val="none" w:sz="0" w:space="0" w:color="auto"/>
                <w:right w:val="none" w:sz="0" w:space="0" w:color="auto"/>
              </w:divBdr>
            </w:div>
            <w:div w:id="265967737">
              <w:marLeft w:val="0"/>
              <w:marRight w:val="0"/>
              <w:marTop w:val="0"/>
              <w:marBottom w:val="0"/>
              <w:divBdr>
                <w:top w:val="none" w:sz="0" w:space="0" w:color="auto"/>
                <w:left w:val="none" w:sz="0" w:space="0" w:color="auto"/>
                <w:bottom w:val="none" w:sz="0" w:space="0" w:color="auto"/>
                <w:right w:val="none" w:sz="0" w:space="0" w:color="auto"/>
              </w:divBdr>
            </w:div>
            <w:div w:id="1019545043">
              <w:marLeft w:val="0"/>
              <w:marRight w:val="0"/>
              <w:marTop w:val="0"/>
              <w:marBottom w:val="0"/>
              <w:divBdr>
                <w:top w:val="none" w:sz="0" w:space="0" w:color="auto"/>
                <w:left w:val="none" w:sz="0" w:space="0" w:color="auto"/>
                <w:bottom w:val="none" w:sz="0" w:space="0" w:color="auto"/>
                <w:right w:val="none" w:sz="0" w:space="0" w:color="auto"/>
              </w:divBdr>
            </w:div>
            <w:div w:id="2038116407">
              <w:marLeft w:val="0"/>
              <w:marRight w:val="0"/>
              <w:marTop w:val="0"/>
              <w:marBottom w:val="0"/>
              <w:divBdr>
                <w:top w:val="none" w:sz="0" w:space="0" w:color="auto"/>
                <w:left w:val="none" w:sz="0" w:space="0" w:color="auto"/>
                <w:bottom w:val="none" w:sz="0" w:space="0" w:color="auto"/>
                <w:right w:val="none" w:sz="0" w:space="0" w:color="auto"/>
              </w:divBdr>
            </w:div>
            <w:div w:id="1016149139">
              <w:marLeft w:val="0"/>
              <w:marRight w:val="0"/>
              <w:marTop w:val="0"/>
              <w:marBottom w:val="0"/>
              <w:divBdr>
                <w:top w:val="none" w:sz="0" w:space="0" w:color="auto"/>
                <w:left w:val="none" w:sz="0" w:space="0" w:color="auto"/>
                <w:bottom w:val="none" w:sz="0" w:space="0" w:color="auto"/>
                <w:right w:val="none" w:sz="0" w:space="0" w:color="auto"/>
              </w:divBdr>
            </w:div>
            <w:div w:id="187985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04963">
      <w:bodyDiv w:val="1"/>
      <w:marLeft w:val="0"/>
      <w:marRight w:val="0"/>
      <w:marTop w:val="0"/>
      <w:marBottom w:val="0"/>
      <w:divBdr>
        <w:top w:val="none" w:sz="0" w:space="0" w:color="auto"/>
        <w:left w:val="none" w:sz="0" w:space="0" w:color="auto"/>
        <w:bottom w:val="none" w:sz="0" w:space="0" w:color="auto"/>
        <w:right w:val="none" w:sz="0" w:space="0" w:color="auto"/>
      </w:divBdr>
    </w:div>
    <w:div w:id="231352862">
      <w:marLeft w:val="0"/>
      <w:marRight w:val="0"/>
      <w:marTop w:val="0"/>
      <w:marBottom w:val="0"/>
      <w:divBdr>
        <w:top w:val="none" w:sz="0" w:space="0" w:color="auto"/>
        <w:left w:val="none" w:sz="0" w:space="0" w:color="auto"/>
        <w:bottom w:val="none" w:sz="0" w:space="0" w:color="auto"/>
        <w:right w:val="none" w:sz="0" w:space="0" w:color="auto"/>
      </w:divBdr>
      <w:divsChild>
        <w:div w:id="1294409130">
          <w:marLeft w:val="0"/>
          <w:marRight w:val="0"/>
          <w:marTop w:val="0"/>
          <w:marBottom w:val="0"/>
          <w:divBdr>
            <w:top w:val="none" w:sz="0" w:space="0" w:color="auto"/>
            <w:left w:val="none" w:sz="0" w:space="0" w:color="auto"/>
            <w:bottom w:val="none" w:sz="0" w:space="0" w:color="auto"/>
            <w:right w:val="none" w:sz="0" w:space="0" w:color="auto"/>
          </w:divBdr>
        </w:div>
      </w:divsChild>
    </w:div>
    <w:div w:id="234055278">
      <w:marLeft w:val="0"/>
      <w:marRight w:val="0"/>
      <w:marTop w:val="0"/>
      <w:marBottom w:val="0"/>
      <w:divBdr>
        <w:top w:val="none" w:sz="0" w:space="0" w:color="auto"/>
        <w:left w:val="none" w:sz="0" w:space="0" w:color="auto"/>
        <w:bottom w:val="none" w:sz="0" w:space="0" w:color="auto"/>
        <w:right w:val="none" w:sz="0" w:space="0" w:color="auto"/>
      </w:divBdr>
      <w:divsChild>
        <w:div w:id="1991329704">
          <w:marLeft w:val="0"/>
          <w:marRight w:val="0"/>
          <w:marTop w:val="0"/>
          <w:marBottom w:val="0"/>
          <w:divBdr>
            <w:top w:val="none" w:sz="0" w:space="0" w:color="auto"/>
            <w:left w:val="none" w:sz="0" w:space="0" w:color="auto"/>
            <w:bottom w:val="none" w:sz="0" w:space="0" w:color="auto"/>
            <w:right w:val="none" w:sz="0" w:space="0" w:color="auto"/>
          </w:divBdr>
        </w:div>
      </w:divsChild>
    </w:div>
    <w:div w:id="236936539">
      <w:marLeft w:val="0"/>
      <w:marRight w:val="0"/>
      <w:marTop w:val="0"/>
      <w:marBottom w:val="0"/>
      <w:divBdr>
        <w:top w:val="none" w:sz="0" w:space="0" w:color="auto"/>
        <w:left w:val="none" w:sz="0" w:space="0" w:color="auto"/>
        <w:bottom w:val="none" w:sz="0" w:space="0" w:color="auto"/>
        <w:right w:val="none" w:sz="0" w:space="0" w:color="auto"/>
      </w:divBdr>
      <w:divsChild>
        <w:div w:id="570651650">
          <w:marLeft w:val="0"/>
          <w:marRight w:val="0"/>
          <w:marTop w:val="0"/>
          <w:marBottom w:val="0"/>
          <w:divBdr>
            <w:top w:val="none" w:sz="0" w:space="0" w:color="auto"/>
            <w:left w:val="none" w:sz="0" w:space="0" w:color="auto"/>
            <w:bottom w:val="none" w:sz="0" w:space="0" w:color="auto"/>
            <w:right w:val="none" w:sz="0" w:space="0" w:color="auto"/>
          </w:divBdr>
        </w:div>
      </w:divsChild>
    </w:div>
    <w:div w:id="237059283">
      <w:marLeft w:val="0"/>
      <w:marRight w:val="0"/>
      <w:marTop w:val="0"/>
      <w:marBottom w:val="0"/>
      <w:divBdr>
        <w:top w:val="none" w:sz="0" w:space="0" w:color="auto"/>
        <w:left w:val="none" w:sz="0" w:space="0" w:color="auto"/>
        <w:bottom w:val="none" w:sz="0" w:space="0" w:color="auto"/>
        <w:right w:val="none" w:sz="0" w:space="0" w:color="auto"/>
      </w:divBdr>
      <w:divsChild>
        <w:div w:id="2087141844">
          <w:marLeft w:val="0"/>
          <w:marRight w:val="0"/>
          <w:marTop w:val="0"/>
          <w:marBottom w:val="0"/>
          <w:divBdr>
            <w:top w:val="none" w:sz="0" w:space="0" w:color="auto"/>
            <w:left w:val="none" w:sz="0" w:space="0" w:color="auto"/>
            <w:bottom w:val="none" w:sz="0" w:space="0" w:color="auto"/>
            <w:right w:val="none" w:sz="0" w:space="0" w:color="auto"/>
          </w:divBdr>
        </w:div>
      </w:divsChild>
    </w:div>
    <w:div w:id="237987493">
      <w:marLeft w:val="0"/>
      <w:marRight w:val="0"/>
      <w:marTop w:val="0"/>
      <w:marBottom w:val="0"/>
      <w:divBdr>
        <w:top w:val="none" w:sz="0" w:space="0" w:color="auto"/>
        <w:left w:val="none" w:sz="0" w:space="0" w:color="auto"/>
        <w:bottom w:val="none" w:sz="0" w:space="0" w:color="auto"/>
        <w:right w:val="none" w:sz="0" w:space="0" w:color="auto"/>
      </w:divBdr>
      <w:divsChild>
        <w:div w:id="1288195244">
          <w:marLeft w:val="0"/>
          <w:marRight w:val="0"/>
          <w:marTop w:val="0"/>
          <w:marBottom w:val="0"/>
          <w:divBdr>
            <w:top w:val="none" w:sz="0" w:space="0" w:color="auto"/>
            <w:left w:val="none" w:sz="0" w:space="0" w:color="auto"/>
            <w:bottom w:val="none" w:sz="0" w:space="0" w:color="auto"/>
            <w:right w:val="none" w:sz="0" w:space="0" w:color="auto"/>
          </w:divBdr>
        </w:div>
      </w:divsChild>
    </w:div>
    <w:div w:id="238030096">
      <w:bodyDiv w:val="1"/>
      <w:marLeft w:val="0"/>
      <w:marRight w:val="0"/>
      <w:marTop w:val="0"/>
      <w:marBottom w:val="0"/>
      <w:divBdr>
        <w:top w:val="none" w:sz="0" w:space="0" w:color="auto"/>
        <w:left w:val="none" w:sz="0" w:space="0" w:color="auto"/>
        <w:bottom w:val="none" w:sz="0" w:space="0" w:color="auto"/>
        <w:right w:val="none" w:sz="0" w:space="0" w:color="auto"/>
      </w:divBdr>
    </w:div>
    <w:div w:id="241647397">
      <w:marLeft w:val="0"/>
      <w:marRight w:val="0"/>
      <w:marTop w:val="0"/>
      <w:marBottom w:val="0"/>
      <w:divBdr>
        <w:top w:val="none" w:sz="0" w:space="0" w:color="auto"/>
        <w:left w:val="none" w:sz="0" w:space="0" w:color="auto"/>
        <w:bottom w:val="none" w:sz="0" w:space="0" w:color="auto"/>
        <w:right w:val="none" w:sz="0" w:space="0" w:color="auto"/>
      </w:divBdr>
      <w:divsChild>
        <w:div w:id="1249194645">
          <w:marLeft w:val="0"/>
          <w:marRight w:val="0"/>
          <w:marTop w:val="0"/>
          <w:marBottom w:val="0"/>
          <w:divBdr>
            <w:top w:val="none" w:sz="0" w:space="0" w:color="auto"/>
            <w:left w:val="none" w:sz="0" w:space="0" w:color="auto"/>
            <w:bottom w:val="none" w:sz="0" w:space="0" w:color="auto"/>
            <w:right w:val="none" w:sz="0" w:space="0" w:color="auto"/>
          </w:divBdr>
        </w:div>
      </w:divsChild>
    </w:div>
    <w:div w:id="245380639">
      <w:bodyDiv w:val="1"/>
      <w:marLeft w:val="0"/>
      <w:marRight w:val="0"/>
      <w:marTop w:val="0"/>
      <w:marBottom w:val="0"/>
      <w:divBdr>
        <w:top w:val="none" w:sz="0" w:space="0" w:color="auto"/>
        <w:left w:val="none" w:sz="0" w:space="0" w:color="auto"/>
        <w:bottom w:val="none" w:sz="0" w:space="0" w:color="auto"/>
        <w:right w:val="none" w:sz="0" w:space="0" w:color="auto"/>
      </w:divBdr>
    </w:div>
    <w:div w:id="246424968">
      <w:bodyDiv w:val="1"/>
      <w:marLeft w:val="0"/>
      <w:marRight w:val="0"/>
      <w:marTop w:val="0"/>
      <w:marBottom w:val="0"/>
      <w:divBdr>
        <w:top w:val="none" w:sz="0" w:space="0" w:color="auto"/>
        <w:left w:val="none" w:sz="0" w:space="0" w:color="auto"/>
        <w:bottom w:val="none" w:sz="0" w:space="0" w:color="auto"/>
        <w:right w:val="none" w:sz="0" w:space="0" w:color="auto"/>
      </w:divBdr>
      <w:divsChild>
        <w:div w:id="515536261">
          <w:marLeft w:val="0"/>
          <w:marRight w:val="0"/>
          <w:marTop w:val="0"/>
          <w:marBottom w:val="0"/>
          <w:divBdr>
            <w:top w:val="none" w:sz="0" w:space="0" w:color="auto"/>
            <w:left w:val="none" w:sz="0" w:space="0" w:color="auto"/>
            <w:bottom w:val="none" w:sz="0" w:space="0" w:color="auto"/>
            <w:right w:val="none" w:sz="0" w:space="0" w:color="auto"/>
          </w:divBdr>
        </w:div>
        <w:div w:id="344748071">
          <w:marLeft w:val="0"/>
          <w:marRight w:val="0"/>
          <w:marTop w:val="0"/>
          <w:marBottom w:val="0"/>
          <w:divBdr>
            <w:top w:val="none" w:sz="0" w:space="0" w:color="auto"/>
            <w:left w:val="none" w:sz="0" w:space="0" w:color="auto"/>
            <w:bottom w:val="none" w:sz="0" w:space="0" w:color="auto"/>
            <w:right w:val="none" w:sz="0" w:space="0" w:color="auto"/>
          </w:divBdr>
        </w:div>
        <w:div w:id="1101729499">
          <w:marLeft w:val="0"/>
          <w:marRight w:val="0"/>
          <w:marTop w:val="0"/>
          <w:marBottom w:val="0"/>
          <w:divBdr>
            <w:top w:val="none" w:sz="0" w:space="0" w:color="auto"/>
            <w:left w:val="none" w:sz="0" w:space="0" w:color="auto"/>
            <w:bottom w:val="none" w:sz="0" w:space="0" w:color="auto"/>
            <w:right w:val="none" w:sz="0" w:space="0" w:color="auto"/>
          </w:divBdr>
        </w:div>
        <w:div w:id="1962569750">
          <w:marLeft w:val="0"/>
          <w:marRight w:val="0"/>
          <w:marTop w:val="0"/>
          <w:marBottom w:val="0"/>
          <w:divBdr>
            <w:top w:val="none" w:sz="0" w:space="0" w:color="auto"/>
            <w:left w:val="none" w:sz="0" w:space="0" w:color="auto"/>
            <w:bottom w:val="none" w:sz="0" w:space="0" w:color="auto"/>
            <w:right w:val="none" w:sz="0" w:space="0" w:color="auto"/>
          </w:divBdr>
        </w:div>
        <w:div w:id="928658770">
          <w:marLeft w:val="0"/>
          <w:marRight w:val="0"/>
          <w:marTop w:val="0"/>
          <w:marBottom w:val="0"/>
          <w:divBdr>
            <w:top w:val="none" w:sz="0" w:space="0" w:color="auto"/>
            <w:left w:val="none" w:sz="0" w:space="0" w:color="auto"/>
            <w:bottom w:val="none" w:sz="0" w:space="0" w:color="auto"/>
            <w:right w:val="none" w:sz="0" w:space="0" w:color="auto"/>
          </w:divBdr>
        </w:div>
        <w:div w:id="699400886">
          <w:marLeft w:val="0"/>
          <w:marRight w:val="0"/>
          <w:marTop w:val="0"/>
          <w:marBottom w:val="0"/>
          <w:divBdr>
            <w:top w:val="none" w:sz="0" w:space="0" w:color="auto"/>
            <w:left w:val="none" w:sz="0" w:space="0" w:color="auto"/>
            <w:bottom w:val="none" w:sz="0" w:space="0" w:color="auto"/>
            <w:right w:val="none" w:sz="0" w:space="0" w:color="auto"/>
          </w:divBdr>
        </w:div>
        <w:div w:id="340160922">
          <w:marLeft w:val="0"/>
          <w:marRight w:val="0"/>
          <w:marTop w:val="0"/>
          <w:marBottom w:val="0"/>
          <w:divBdr>
            <w:top w:val="none" w:sz="0" w:space="0" w:color="auto"/>
            <w:left w:val="none" w:sz="0" w:space="0" w:color="auto"/>
            <w:bottom w:val="none" w:sz="0" w:space="0" w:color="auto"/>
            <w:right w:val="none" w:sz="0" w:space="0" w:color="auto"/>
          </w:divBdr>
        </w:div>
        <w:div w:id="1437285487">
          <w:marLeft w:val="0"/>
          <w:marRight w:val="0"/>
          <w:marTop w:val="0"/>
          <w:marBottom w:val="0"/>
          <w:divBdr>
            <w:top w:val="none" w:sz="0" w:space="0" w:color="auto"/>
            <w:left w:val="none" w:sz="0" w:space="0" w:color="auto"/>
            <w:bottom w:val="none" w:sz="0" w:space="0" w:color="auto"/>
            <w:right w:val="none" w:sz="0" w:space="0" w:color="auto"/>
          </w:divBdr>
        </w:div>
        <w:div w:id="106119930">
          <w:marLeft w:val="0"/>
          <w:marRight w:val="0"/>
          <w:marTop w:val="0"/>
          <w:marBottom w:val="0"/>
          <w:divBdr>
            <w:top w:val="none" w:sz="0" w:space="0" w:color="auto"/>
            <w:left w:val="none" w:sz="0" w:space="0" w:color="auto"/>
            <w:bottom w:val="none" w:sz="0" w:space="0" w:color="auto"/>
            <w:right w:val="none" w:sz="0" w:space="0" w:color="auto"/>
          </w:divBdr>
        </w:div>
        <w:div w:id="392510316">
          <w:marLeft w:val="0"/>
          <w:marRight w:val="0"/>
          <w:marTop w:val="0"/>
          <w:marBottom w:val="0"/>
          <w:divBdr>
            <w:top w:val="none" w:sz="0" w:space="0" w:color="auto"/>
            <w:left w:val="none" w:sz="0" w:space="0" w:color="auto"/>
            <w:bottom w:val="none" w:sz="0" w:space="0" w:color="auto"/>
            <w:right w:val="none" w:sz="0" w:space="0" w:color="auto"/>
          </w:divBdr>
        </w:div>
        <w:div w:id="1116407966">
          <w:marLeft w:val="0"/>
          <w:marRight w:val="0"/>
          <w:marTop w:val="0"/>
          <w:marBottom w:val="0"/>
          <w:divBdr>
            <w:top w:val="none" w:sz="0" w:space="0" w:color="auto"/>
            <w:left w:val="none" w:sz="0" w:space="0" w:color="auto"/>
            <w:bottom w:val="none" w:sz="0" w:space="0" w:color="auto"/>
            <w:right w:val="none" w:sz="0" w:space="0" w:color="auto"/>
          </w:divBdr>
        </w:div>
        <w:div w:id="318005446">
          <w:marLeft w:val="0"/>
          <w:marRight w:val="0"/>
          <w:marTop w:val="0"/>
          <w:marBottom w:val="0"/>
          <w:divBdr>
            <w:top w:val="none" w:sz="0" w:space="0" w:color="auto"/>
            <w:left w:val="none" w:sz="0" w:space="0" w:color="auto"/>
            <w:bottom w:val="none" w:sz="0" w:space="0" w:color="auto"/>
            <w:right w:val="none" w:sz="0" w:space="0" w:color="auto"/>
          </w:divBdr>
        </w:div>
        <w:div w:id="679819599">
          <w:marLeft w:val="0"/>
          <w:marRight w:val="0"/>
          <w:marTop w:val="0"/>
          <w:marBottom w:val="0"/>
          <w:divBdr>
            <w:top w:val="none" w:sz="0" w:space="0" w:color="auto"/>
            <w:left w:val="none" w:sz="0" w:space="0" w:color="auto"/>
            <w:bottom w:val="none" w:sz="0" w:space="0" w:color="auto"/>
            <w:right w:val="none" w:sz="0" w:space="0" w:color="auto"/>
          </w:divBdr>
        </w:div>
        <w:div w:id="584920974">
          <w:marLeft w:val="0"/>
          <w:marRight w:val="0"/>
          <w:marTop w:val="0"/>
          <w:marBottom w:val="0"/>
          <w:divBdr>
            <w:top w:val="none" w:sz="0" w:space="0" w:color="auto"/>
            <w:left w:val="none" w:sz="0" w:space="0" w:color="auto"/>
            <w:bottom w:val="none" w:sz="0" w:space="0" w:color="auto"/>
            <w:right w:val="none" w:sz="0" w:space="0" w:color="auto"/>
          </w:divBdr>
        </w:div>
        <w:div w:id="1705599550">
          <w:marLeft w:val="0"/>
          <w:marRight w:val="0"/>
          <w:marTop w:val="0"/>
          <w:marBottom w:val="0"/>
          <w:divBdr>
            <w:top w:val="none" w:sz="0" w:space="0" w:color="auto"/>
            <w:left w:val="none" w:sz="0" w:space="0" w:color="auto"/>
            <w:bottom w:val="none" w:sz="0" w:space="0" w:color="auto"/>
            <w:right w:val="none" w:sz="0" w:space="0" w:color="auto"/>
          </w:divBdr>
        </w:div>
        <w:div w:id="348993941">
          <w:marLeft w:val="0"/>
          <w:marRight w:val="0"/>
          <w:marTop w:val="0"/>
          <w:marBottom w:val="0"/>
          <w:divBdr>
            <w:top w:val="none" w:sz="0" w:space="0" w:color="auto"/>
            <w:left w:val="none" w:sz="0" w:space="0" w:color="auto"/>
            <w:bottom w:val="none" w:sz="0" w:space="0" w:color="auto"/>
            <w:right w:val="none" w:sz="0" w:space="0" w:color="auto"/>
          </w:divBdr>
        </w:div>
        <w:div w:id="862472714">
          <w:marLeft w:val="0"/>
          <w:marRight w:val="0"/>
          <w:marTop w:val="0"/>
          <w:marBottom w:val="0"/>
          <w:divBdr>
            <w:top w:val="none" w:sz="0" w:space="0" w:color="auto"/>
            <w:left w:val="none" w:sz="0" w:space="0" w:color="auto"/>
            <w:bottom w:val="none" w:sz="0" w:space="0" w:color="auto"/>
            <w:right w:val="none" w:sz="0" w:space="0" w:color="auto"/>
          </w:divBdr>
        </w:div>
        <w:div w:id="2084712978">
          <w:marLeft w:val="0"/>
          <w:marRight w:val="0"/>
          <w:marTop w:val="0"/>
          <w:marBottom w:val="0"/>
          <w:divBdr>
            <w:top w:val="none" w:sz="0" w:space="0" w:color="auto"/>
            <w:left w:val="none" w:sz="0" w:space="0" w:color="auto"/>
            <w:bottom w:val="none" w:sz="0" w:space="0" w:color="auto"/>
            <w:right w:val="none" w:sz="0" w:space="0" w:color="auto"/>
          </w:divBdr>
        </w:div>
        <w:div w:id="1919289484">
          <w:marLeft w:val="0"/>
          <w:marRight w:val="0"/>
          <w:marTop w:val="0"/>
          <w:marBottom w:val="0"/>
          <w:divBdr>
            <w:top w:val="none" w:sz="0" w:space="0" w:color="auto"/>
            <w:left w:val="none" w:sz="0" w:space="0" w:color="auto"/>
            <w:bottom w:val="none" w:sz="0" w:space="0" w:color="auto"/>
            <w:right w:val="none" w:sz="0" w:space="0" w:color="auto"/>
          </w:divBdr>
        </w:div>
        <w:div w:id="1682047999">
          <w:marLeft w:val="0"/>
          <w:marRight w:val="0"/>
          <w:marTop w:val="0"/>
          <w:marBottom w:val="0"/>
          <w:divBdr>
            <w:top w:val="none" w:sz="0" w:space="0" w:color="auto"/>
            <w:left w:val="none" w:sz="0" w:space="0" w:color="auto"/>
            <w:bottom w:val="none" w:sz="0" w:space="0" w:color="auto"/>
            <w:right w:val="none" w:sz="0" w:space="0" w:color="auto"/>
          </w:divBdr>
        </w:div>
        <w:div w:id="1769809561">
          <w:marLeft w:val="0"/>
          <w:marRight w:val="0"/>
          <w:marTop w:val="0"/>
          <w:marBottom w:val="0"/>
          <w:divBdr>
            <w:top w:val="none" w:sz="0" w:space="0" w:color="auto"/>
            <w:left w:val="none" w:sz="0" w:space="0" w:color="auto"/>
            <w:bottom w:val="none" w:sz="0" w:space="0" w:color="auto"/>
            <w:right w:val="none" w:sz="0" w:space="0" w:color="auto"/>
          </w:divBdr>
        </w:div>
        <w:div w:id="1191534675">
          <w:marLeft w:val="0"/>
          <w:marRight w:val="0"/>
          <w:marTop w:val="0"/>
          <w:marBottom w:val="0"/>
          <w:divBdr>
            <w:top w:val="none" w:sz="0" w:space="0" w:color="auto"/>
            <w:left w:val="none" w:sz="0" w:space="0" w:color="auto"/>
            <w:bottom w:val="none" w:sz="0" w:space="0" w:color="auto"/>
            <w:right w:val="none" w:sz="0" w:space="0" w:color="auto"/>
          </w:divBdr>
        </w:div>
        <w:div w:id="1982616366">
          <w:marLeft w:val="0"/>
          <w:marRight w:val="0"/>
          <w:marTop w:val="0"/>
          <w:marBottom w:val="0"/>
          <w:divBdr>
            <w:top w:val="none" w:sz="0" w:space="0" w:color="auto"/>
            <w:left w:val="none" w:sz="0" w:space="0" w:color="auto"/>
            <w:bottom w:val="none" w:sz="0" w:space="0" w:color="auto"/>
            <w:right w:val="none" w:sz="0" w:space="0" w:color="auto"/>
          </w:divBdr>
        </w:div>
        <w:div w:id="838272725">
          <w:marLeft w:val="0"/>
          <w:marRight w:val="0"/>
          <w:marTop w:val="0"/>
          <w:marBottom w:val="0"/>
          <w:divBdr>
            <w:top w:val="none" w:sz="0" w:space="0" w:color="auto"/>
            <w:left w:val="none" w:sz="0" w:space="0" w:color="auto"/>
            <w:bottom w:val="none" w:sz="0" w:space="0" w:color="auto"/>
            <w:right w:val="none" w:sz="0" w:space="0" w:color="auto"/>
          </w:divBdr>
        </w:div>
        <w:div w:id="391318964">
          <w:marLeft w:val="0"/>
          <w:marRight w:val="0"/>
          <w:marTop w:val="0"/>
          <w:marBottom w:val="0"/>
          <w:divBdr>
            <w:top w:val="none" w:sz="0" w:space="0" w:color="auto"/>
            <w:left w:val="none" w:sz="0" w:space="0" w:color="auto"/>
            <w:bottom w:val="none" w:sz="0" w:space="0" w:color="auto"/>
            <w:right w:val="none" w:sz="0" w:space="0" w:color="auto"/>
          </w:divBdr>
        </w:div>
        <w:div w:id="1284339085">
          <w:marLeft w:val="0"/>
          <w:marRight w:val="0"/>
          <w:marTop w:val="0"/>
          <w:marBottom w:val="0"/>
          <w:divBdr>
            <w:top w:val="none" w:sz="0" w:space="0" w:color="auto"/>
            <w:left w:val="none" w:sz="0" w:space="0" w:color="auto"/>
            <w:bottom w:val="none" w:sz="0" w:space="0" w:color="auto"/>
            <w:right w:val="none" w:sz="0" w:space="0" w:color="auto"/>
          </w:divBdr>
        </w:div>
        <w:div w:id="1235581557">
          <w:marLeft w:val="0"/>
          <w:marRight w:val="0"/>
          <w:marTop w:val="0"/>
          <w:marBottom w:val="0"/>
          <w:divBdr>
            <w:top w:val="none" w:sz="0" w:space="0" w:color="auto"/>
            <w:left w:val="none" w:sz="0" w:space="0" w:color="auto"/>
            <w:bottom w:val="none" w:sz="0" w:space="0" w:color="auto"/>
            <w:right w:val="none" w:sz="0" w:space="0" w:color="auto"/>
          </w:divBdr>
        </w:div>
        <w:div w:id="2085059896">
          <w:marLeft w:val="0"/>
          <w:marRight w:val="0"/>
          <w:marTop w:val="0"/>
          <w:marBottom w:val="0"/>
          <w:divBdr>
            <w:top w:val="none" w:sz="0" w:space="0" w:color="auto"/>
            <w:left w:val="none" w:sz="0" w:space="0" w:color="auto"/>
            <w:bottom w:val="none" w:sz="0" w:space="0" w:color="auto"/>
            <w:right w:val="none" w:sz="0" w:space="0" w:color="auto"/>
          </w:divBdr>
        </w:div>
        <w:div w:id="1933852759">
          <w:marLeft w:val="0"/>
          <w:marRight w:val="0"/>
          <w:marTop w:val="0"/>
          <w:marBottom w:val="0"/>
          <w:divBdr>
            <w:top w:val="none" w:sz="0" w:space="0" w:color="auto"/>
            <w:left w:val="none" w:sz="0" w:space="0" w:color="auto"/>
            <w:bottom w:val="none" w:sz="0" w:space="0" w:color="auto"/>
            <w:right w:val="none" w:sz="0" w:space="0" w:color="auto"/>
          </w:divBdr>
        </w:div>
        <w:div w:id="1764109605">
          <w:marLeft w:val="0"/>
          <w:marRight w:val="0"/>
          <w:marTop w:val="0"/>
          <w:marBottom w:val="0"/>
          <w:divBdr>
            <w:top w:val="none" w:sz="0" w:space="0" w:color="auto"/>
            <w:left w:val="none" w:sz="0" w:space="0" w:color="auto"/>
            <w:bottom w:val="none" w:sz="0" w:space="0" w:color="auto"/>
            <w:right w:val="none" w:sz="0" w:space="0" w:color="auto"/>
          </w:divBdr>
        </w:div>
        <w:div w:id="24143576">
          <w:marLeft w:val="0"/>
          <w:marRight w:val="0"/>
          <w:marTop w:val="0"/>
          <w:marBottom w:val="0"/>
          <w:divBdr>
            <w:top w:val="none" w:sz="0" w:space="0" w:color="auto"/>
            <w:left w:val="none" w:sz="0" w:space="0" w:color="auto"/>
            <w:bottom w:val="none" w:sz="0" w:space="0" w:color="auto"/>
            <w:right w:val="none" w:sz="0" w:space="0" w:color="auto"/>
          </w:divBdr>
        </w:div>
        <w:div w:id="192308422">
          <w:marLeft w:val="0"/>
          <w:marRight w:val="0"/>
          <w:marTop w:val="0"/>
          <w:marBottom w:val="0"/>
          <w:divBdr>
            <w:top w:val="none" w:sz="0" w:space="0" w:color="auto"/>
            <w:left w:val="none" w:sz="0" w:space="0" w:color="auto"/>
            <w:bottom w:val="none" w:sz="0" w:space="0" w:color="auto"/>
            <w:right w:val="none" w:sz="0" w:space="0" w:color="auto"/>
          </w:divBdr>
        </w:div>
        <w:div w:id="694040692">
          <w:marLeft w:val="0"/>
          <w:marRight w:val="0"/>
          <w:marTop w:val="0"/>
          <w:marBottom w:val="0"/>
          <w:divBdr>
            <w:top w:val="none" w:sz="0" w:space="0" w:color="auto"/>
            <w:left w:val="none" w:sz="0" w:space="0" w:color="auto"/>
            <w:bottom w:val="none" w:sz="0" w:space="0" w:color="auto"/>
            <w:right w:val="none" w:sz="0" w:space="0" w:color="auto"/>
          </w:divBdr>
        </w:div>
        <w:div w:id="1336572907">
          <w:marLeft w:val="0"/>
          <w:marRight w:val="0"/>
          <w:marTop w:val="0"/>
          <w:marBottom w:val="0"/>
          <w:divBdr>
            <w:top w:val="none" w:sz="0" w:space="0" w:color="auto"/>
            <w:left w:val="none" w:sz="0" w:space="0" w:color="auto"/>
            <w:bottom w:val="none" w:sz="0" w:space="0" w:color="auto"/>
            <w:right w:val="none" w:sz="0" w:space="0" w:color="auto"/>
          </w:divBdr>
        </w:div>
        <w:div w:id="620262752">
          <w:marLeft w:val="0"/>
          <w:marRight w:val="0"/>
          <w:marTop w:val="0"/>
          <w:marBottom w:val="0"/>
          <w:divBdr>
            <w:top w:val="none" w:sz="0" w:space="0" w:color="auto"/>
            <w:left w:val="none" w:sz="0" w:space="0" w:color="auto"/>
            <w:bottom w:val="none" w:sz="0" w:space="0" w:color="auto"/>
            <w:right w:val="none" w:sz="0" w:space="0" w:color="auto"/>
          </w:divBdr>
        </w:div>
        <w:div w:id="568223528">
          <w:marLeft w:val="0"/>
          <w:marRight w:val="0"/>
          <w:marTop w:val="0"/>
          <w:marBottom w:val="0"/>
          <w:divBdr>
            <w:top w:val="none" w:sz="0" w:space="0" w:color="auto"/>
            <w:left w:val="none" w:sz="0" w:space="0" w:color="auto"/>
            <w:bottom w:val="none" w:sz="0" w:space="0" w:color="auto"/>
            <w:right w:val="none" w:sz="0" w:space="0" w:color="auto"/>
          </w:divBdr>
        </w:div>
        <w:div w:id="553002423">
          <w:marLeft w:val="0"/>
          <w:marRight w:val="0"/>
          <w:marTop w:val="0"/>
          <w:marBottom w:val="0"/>
          <w:divBdr>
            <w:top w:val="none" w:sz="0" w:space="0" w:color="auto"/>
            <w:left w:val="none" w:sz="0" w:space="0" w:color="auto"/>
            <w:bottom w:val="none" w:sz="0" w:space="0" w:color="auto"/>
            <w:right w:val="none" w:sz="0" w:space="0" w:color="auto"/>
          </w:divBdr>
        </w:div>
        <w:div w:id="1882932956">
          <w:marLeft w:val="0"/>
          <w:marRight w:val="0"/>
          <w:marTop w:val="0"/>
          <w:marBottom w:val="0"/>
          <w:divBdr>
            <w:top w:val="none" w:sz="0" w:space="0" w:color="auto"/>
            <w:left w:val="none" w:sz="0" w:space="0" w:color="auto"/>
            <w:bottom w:val="none" w:sz="0" w:space="0" w:color="auto"/>
            <w:right w:val="none" w:sz="0" w:space="0" w:color="auto"/>
          </w:divBdr>
        </w:div>
        <w:div w:id="1900751940">
          <w:marLeft w:val="0"/>
          <w:marRight w:val="0"/>
          <w:marTop w:val="0"/>
          <w:marBottom w:val="0"/>
          <w:divBdr>
            <w:top w:val="none" w:sz="0" w:space="0" w:color="auto"/>
            <w:left w:val="none" w:sz="0" w:space="0" w:color="auto"/>
            <w:bottom w:val="none" w:sz="0" w:space="0" w:color="auto"/>
            <w:right w:val="none" w:sz="0" w:space="0" w:color="auto"/>
          </w:divBdr>
        </w:div>
        <w:div w:id="1245720784">
          <w:marLeft w:val="0"/>
          <w:marRight w:val="0"/>
          <w:marTop w:val="0"/>
          <w:marBottom w:val="0"/>
          <w:divBdr>
            <w:top w:val="none" w:sz="0" w:space="0" w:color="auto"/>
            <w:left w:val="none" w:sz="0" w:space="0" w:color="auto"/>
            <w:bottom w:val="none" w:sz="0" w:space="0" w:color="auto"/>
            <w:right w:val="none" w:sz="0" w:space="0" w:color="auto"/>
          </w:divBdr>
        </w:div>
        <w:div w:id="542408607">
          <w:marLeft w:val="0"/>
          <w:marRight w:val="0"/>
          <w:marTop w:val="0"/>
          <w:marBottom w:val="0"/>
          <w:divBdr>
            <w:top w:val="none" w:sz="0" w:space="0" w:color="auto"/>
            <w:left w:val="none" w:sz="0" w:space="0" w:color="auto"/>
            <w:bottom w:val="none" w:sz="0" w:space="0" w:color="auto"/>
            <w:right w:val="none" w:sz="0" w:space="0" w:color="auto"/>
          </w:divBdr>
        </w:div>
        <w:div w:id="359430234">
          <w:marLeft w:val="0"/>
          <w:marRight w:val="0"/>
          <w:marTop w:val="0"/>
          <w:marBottom w:val="0"/>
          <w:divBdr>
            <w:top w:val="none" w:sz="0" w:space="0" w:color="auto"/>
            <w:left w:val="none" w:sz="0" w:space="0" w:color="auto"/>
            <w:bottom w:val="none" w:sz="0" w:space="0" w:color="auto"/>
            <w:right w:val="none" w:sz="0" w:space="0" w:color="auto"/>
          </w:divBdr>
        </w:div>
        <w:div w:id="1255089752">
          <w:marLeft w:val="0"/>
          <w:marRight w:val="0"/>
          <w:marTop w:val="0"/>
          <w:marBottom w:val="0"/>
          <w:divBdr>
            <w:top w:val="none" w:sz="0" w:space="0" w:color="auto"/>
            <w:left w:val="none" w:sz="0" w:space="0" w:color="auto"/>
            <w:bottom w:val="none" w:sz="0" w:space="0" w:color="auto"/>
            <w:right w:val="none" w:sz="0" w:space="0" w:color="auto"/>
          </w:divBdr>
        </w:div>
        <w:div w:id="367611700">
          <w:marLeft w:val="0"/>
          <w:marRight w:val="0"/>
          <w:marTop w:val="0"/>
          <w:marBottom w:val="0"/>
          <w:divBdr>
            <w:top w:val="none" w:sz="0" w:space="0" w:color="auto"/>
            <w:left w:val="none" w:sz="0" w:space="0" w:color="auto"/>
            <w:bottom w:val="none" w:sz="0" w:space="0" w:color="auto"/>
            <w:right w:val="none" w:sz="0" w:space="0" w:color="auto"/>
          </w:divBdr>
        </w:div>
        <w:div w:id="294679622">
          <w:marLeft w:val="0"/>
          <w:marRight w:val="0"/>
          <w:marTop w:val="0"/>
          <w:marBottom w:val="0"/>
          <w:divBdr>
            <w:top w:val="none" w:sz="0" w:space="0" w:color="auto"/>
            <w:left w:val="none" w:sz="0" w:space="0" w:color="auto"/>
            <w:bottom w:val="none" w:sz="0" w:space="0" w:color="auto"/>
            <w:right w:val="none" w:sz="0" w:space="0" w:color="auto"/>
          </w:divBdr>
        </w:div>
        <w:div w:id="1540586967">
          <w:marLeft w:val="0"/>
          <w:marRight w:val="0"/>
          <w:marTop w:val="0"/>
          <w:marBottom w:val="0"/>
          <w:divBdr>
            <w:top w:val="none" w:sz="0" w:space="0" w:color="auto"/>
            <w:left w:val="none" w:sz="0" w:space="0" w:color="auto"/>
            <w:bottom w:val="none" w:sz="0" w:space="0" w:color="auto"/>
            <w:right w:val="none" w:sz="0" w:space="0" w:color="auto"/>
          </w:divBdr>
        </w:div>
        <w:div w:id="1306089051">
          <w:marLeft w:val="0"/>
          <w:marRight w:val="0"/>
          <w:marTop w:val="0"/>
          <w:marBottom w:val="0"/>
          <w:divBdr>
            <w:top w:val="none" w:sz="0" w:space="0" w:color="auto"/>
            <w:left w:val="none" w:sz="0" w:space="0" w:color="auto"/>
            <w:bottom w:val="none" w:sz="0" w:space="0" w:color="auto"/>
            <w:right w:val="none" w:sz="0" w:space="0" w:color="auto"/>
          </w:divBdr>
        </w:div>
        <w:div w:id="2043480787">
          <w:marLeft w:val="0"/>
          <w:marRight w:val="0"/>
          <w:marTop w:val="0"/>
          <w:marBottom w:val="0"/>
          <w:divBdr>
            <w:top w:val="none" w:sz="0" w:space="0" w:color="auto"/>
            <w:left w:val="none" w:sz="0" w:space="0" w:color="auto"/>
            <w:bottom w:val="none" w:sz="0" w:space="0" w:color="auto"/>
            <w:right w:val="none" w:sz="0" w:space="0" w:color="auto"/>
          </w:divBdr>
        </w:div>
        <w:div w:id="1099719107">
          <w:marLeft w:val="0"/>
          <w:marRight w:val="0"/>
          <w:marTop w:val="0"/>
          <w:marBottom w:val="0"/>
          <w:divBdr>
            <w:top w:val="none" w:sz="0" w:space="0" w:color="auto"/>
            <w:left w:val="none" w:sz="0" w:space="0" w:color="auto"/>
            <w:bottom w:val="none" w:sz="0" w:space="0" w:color="auto"/>
            <w:right w:val="none" w:sz="0" w:space="0" w:color="auto"/>
          </w:divBdr>
        </w:div>
        <w:div w:id="295992539">
          <w:marLeft w:val="0"/>
          <w:marRight w:val="0"/>
          <w:marTop w:val="0"/>
          <w:marBottom w:val="0"/>
          <w:divBdr>
            <w:top w:val="none" w:sz="0" w:space="0" w:color="auto"/>
            <w:left w:val="none" w:sz="0" w:space="0" w:color="auto"/>
            <w:bottom w:val="none" w:sz="0" w:space="0" w:color="auto"/>
            <w:right w:val="none" w:sz="0" w:space="0" w:color="auto"/>
          </w:divBdr>
        </w:div>
        <w:div w:id="343749648">
          <w:marLeft w:val="0"/>
          <w:marRight w:val="0"/>
          <w:marTop w:val="0"/>
          <w:marBottom w:val="0"/>
          <w:divBdr>
            <w:top w:val="none" w:sz="0" w:space="0" w:color="auto"/>
            <w:left w:val="none" w:sz="0" w:space="0" w:color="auto"/>
            <w:bottom w:val="none" w:sz="0" w:space="0" w:color="auto"/>
            <w:right w:val="none" w:sz="0" w:space="0" w:color="auto"/>
          </w:divBdr>
        </w:div>
        <w:div w:id="1552378606">
          <w:marLeft w:val="0"/>
          <w:marRight w:val="0"/>
          <w:marTop w:val="0"/>
          <w:marBottom w:val="0"/>
          <w:divBdr>
            <w:top w:val="none" w:sz="0" w:space="0" w:color="auto"/>
            <w:left w:val="none" w:sz="0" w:space="0" w:color="auto"/>
            <w:bottom w:val="none" w:sz="0" w:space="0" w:color="auto"/>
            <w:right w:val="none" w:sz="0" w:space="0" w:color="auto"/>
          </w:divBdr>
        </w:div>
        <w:div w:id="1151216133">
          <w:marLeft w:val="0"/>
          <w:marRight w:val="0"/>
          <w:marTop w:val="0"/>
          <w:marBottom w:val="0"/>
          <w:divBdr>
            <w:top w:val="none" w:sz="0" w:space="0" w:color="auto"/>
            <w:left w:val="none" w:sz="0" w:space="0" w:color="auto"/>
            <w:bottom w:val="none" w:sz="0" w:space="0" w:color="auto"/>
            <w:right w:val="none" w:sz="0" w:space="0" w:color="auto"/>
          </w:divBdr>
        </w:div>
        <w:div w:id="581330014">
          <w:marLeft w:val="0"/>
          <w:marRight w:val="0"/>
          <w:marTop w:val="0"/>
          <w:marBottom w:val="0"/>
          <w:divBdr>
            <w:top w:val="none" w:sz="0" w:space="0" w:color="auto"/>
            <w:left w:val="none" w:sz="0" w:space="0" w:color="auto"/>
            <w:bottom w:val="none" w:sz="0" w:space="0" w:color="auto"/>
            <w:right w:val="none" w:sz="0" w:space="0" w:color="auto"/>
          </w:divBdr>
        </w:div>
        <w:div w:id="466512212">
          <w:marLeft w:val="0"/>
          <w:marRight w:val="0"/>
          <w:marTop w:val="0"/>
          <w:marBottom w:val="0"/>
          <w:divBdr>
            <w:top w:val="none" w:sz="0" w:space="0" w:color="auto"/>
            <w:left w:val="none" w:sz="0" w:space="0" w:color="auto"/>
            <w:bottom w:val="none" w:sz="0" w:space="0" w:color="auto"/>
            <w:right w:val="none" w:sz="0" w:space="0" w:color="auto"/>
          </w:divBdr>
        </w:div>
        <w:div w:id="1898542149">
          <w:marLeft w:val="0"/>
          <w:marRight w:val="0"/>
          <w:marTop w:val="0"/>
          <w:marBottom w:val="0"/>
          <w:divBdr>
            <w:top w:val="none" w:sz="0" w:space="0" w:color="auto"/>
            <w:left w:val="none" w:sz="0" w:space="0" w:color="auto"/>
            <w:bottom w:val="none" w:sz="0" w:space="0" w:color="auto"/>
            <w:right w:val="none" w:sz="0" w:space="0" w:color="auto"/>
          </w:divBdr>
        </w:div>
        <w:div w:id="945387646">
          <w:marLeft w:val="0"/>
          <w:marRight w:val="0"/>
          <w:marTop w:val="0"/>
          <w:marBottom w:val="0"/>
          <w:divBdr>
            <w:top w:val="none" w:sz="0" w:space="0" w:color="auto"/>
            <w:left w:val="none" w:sz="0" w:space="0" w:color="auto"/>
            <w:bottom w:val="none" w:sz="0" w:space="0" w:color="auto"/>
            <w:right w:val="none" w:sz="0" w:space="0" w:color="auto"/>
          </w:divBdr>
        </w:div>
        <w:div w:id="894203212">
          <w:marLeft w:val="0"/>
          <w:marRight w:val="0"/>
          <w:marTop w:val="0"/>
          <w:marBottom w:val="0"/>
          <w:divBdr>
            <w:top w:val="none" w:sz="0" w:space="0" w:color="auto"/>
            <w:left w:val="none" w:sz="0" w:space="0" w:color="auto"/>
            <w:bottom w:val="none" w:sz="0" w:space="0" w:color="auto"/>
            <w:right w:val="none" w:sz="0" w:space="0" w:color="auto"/>
          </w:divBdr>
        </w:div>
        <w:div w:id="236018892">
          <w:marLeft w:val="0"/>
          <w:marRight w:val="0"/>
          <w:marTop w:val="0"/>
          <w:marBottom w:val="0"/>
          <w:divBdr>
            <w:top w:val="none" w:sz="0" w:space="0" w:color="auto"/>
            <w:left w:val="none" w:sz="0" w:space="0" w:color="auto"/>
            <w:bottom w:val="none" w:sz="0" w:space="0" w:color="auto"/>
            <w:right w:val="none" w:sz="0" w:space="0" w:color="auto"/>
          </w:divBdr>
        </w:div>
        <w:div w:id="323895564">
          <w:marLeft w:val="0"/>
          <w:marRight w:val="0"/>
          <w:marTop w:val="0"/>
          <w:marBottom w:val="0"/>
          <w:divBdr>
            <w:top w:val="none" w:sz="0" w:space="0" w:color="auto"/>
            <w:left w:val="none" w:sz="0" w:space="0" w:color="auto"/>
            <w:bottom w:val="none" w:sz="0" w:space="0" w:color="auto"/>
            <w:right w:val="none" w:sz="0" w:space="0" w:color="auto"/>
          </w:divBdr>
        </w:div>
      </w:divsChild>
    </w:div>
    <w:div w:id="247081239">
      <w:marLeft w:val="0"/>
      <w:marRight w:val="0"/>
      <w:marTop w:val="0"/>
      <w:marBottom w:val="0"/>
      <w:divBdr>
        <w:top w:val="none" w:sz="0" w:space="0" w:color="auto"/>
        <w:left w:val="none" w:sz="0" w:space="0" w:color="auto"/>
        <w:bottom w:val="none" w:sz="0" w:space="0" w:color="auto"/>
        <w:right w:val="none" w:sz="0" w:space="0" w:color="auto"/>
      </w:divBdr>
      <w:divsChild>
        <w:div w:id="904292953">
          <w:marLeft w:val="0"/>
          <w:marRight w:val="0"/>
          <w:marTop w:val="0"/>
          <w:marBottom w:val="0"/>
          <w:divBdr>
            <w:top w:val="none" w:sz="0" w:space="0" w:color="auto"/>
            <w:left w:val="none" w:sz="0" w:space="0" w:color="auto"/>
            <w:bottom w:val="none" w:sz="0" w:space="0" w:color="auto"/>
            <w:right w:val="none" w:sz="0" w:space="0" w:color="auto"/>
          </w:divBdr>
        </w:div>
      </w:divsChild>
    </w:div>
    <w:div w:id="250892112">
      <w:marLeft w:val="0"/>
      <w:marRight w:val="0"/>
      <w:marTop w:val="0"/>
      <w:marBottom w:val="0"/>
      <w:divBdr>
        <w:top w:val="none" w:sz="0" w:space="0" w:color="auto"/>
        <w:left w:val="none" w:sz="0" w:space="0" w:color="auto"/>
        <w:bottom w:val="none" w:sz="0" w:space="0" w:color="auto"/>
        <w:right w:val="none" w:sz="0" w:space="0" w:color="auto"/>
      </w:divBdr>
      <w:divsChild>
        <w:div w:id="343824804">
          <w:marLeft w:val="0"/>
          <w:marRight w:val="0"/>
          <w:marTop w:val="0"/>
          <w:marBottom w:val="0"/>
          <w:divBdr>
            <w:top w:val="none" w:sz="0" w:space="0" w:color="auto"/>
            <w:left w:val="none" w:sz="0" w:space="0" w:color="auto"/>
            <w:bottom w:val="none" w:sz="0" w:space="0" w:color="auto"/>
            <w:right w:val="none" w:sz="0" w:space="0" w:color="auto"/>
          </w:divBdr>
        </w:div>
      </w:divsChild>
    </w:div>
    <w:div w:id="255408747">
      <w:bodyDiv w:val="1"/>
      <w:marLeft w:val="0"/>
      <w:marRight w:val="0"/>
      <w:marTop w:val="0"/>
      <w:marBottom w:val="0"/>
      <w:divBdr>
        <w:top w:val="none" w:sz="0" w:space="0" w:color="auto"/>
        <w:left w:val="none" w:sz="0" w:space="0" w:color="auto"/>
        <w:bottom w:val="none" w:sz="0" w:space="0" w:color="auto"/>
        <w:right w:val="none" w:sz="0" w:space="0" w:color="auto"/>
      </w:divBdr>
      <w:divsChild>
        <w:div w:id="1096318742">
          <w:marLeft w:val="0"/>
          <w:marRight w:val="0"/>
          <w:marTop w:val="0"/>
          <w:marBottom w:val="0"/>
          <w:divBdr>
            <w:top w:val="none" w:sz="0" w:space="0" w:color="auto"/>
            <w:left w:val="none" w:sz="0" w:space="0" w:color="auto"/>
            <w:bottom w:val="none" w:sz="0" w:space="0" w:color="auto"/>
            <w:right w:val="none" w:sz="0" w:space="0" w:color="auto"/>
          </w:divBdr>
          <w:divsChild>
            <w:div w:id="1876499885">
              <w:marLeft w:val="0"/>
              <w:marRight w:val="0"/>
              <w:marTop w:val="0"/>
              <w:marBottom w:val="0"/>
              <w:divBdr>
                <w:top w:val="none" w:sz="0" w:space="0" w:color="auto"/>
                <w:left w:val="none" w:sz="0" w:space="0" w:color="auto"/>
                <w:bottom w:val="none" w:sz="0" w:space="0" w:color="auto"/>
                <w:right w:val="none" w:sz="0" w:space="0" w:color="auto"/>
              </w:divBdr>
            </w:div>
            <w:div w:id="2112125255">
              <w:marLeft w:val="0"/>
              <w:marRight w:val="0"/>
              <w:marTop w:val="0"/>
              <w:marBottom w:val="0"/>
              <w:divBdr>
                <w:top w:val="none" w:sz="0" w:space="0" w:color="auto"/>
                <w:left w:val="none" w:sz="0" w:space="0" w:color="auto"/>
                <w:bottom w:val="none" w:sz="0" w:space="0" w:color="auto"/>
                <w:right w:val="none" w:sz="0" w:space="0" w:color="auto"/>
              </w:divBdr>
            </w:div>
            <w:div w:id="1004164283">
              <w:marLeft w:val="0"/>
              <w:marRight w:val="0"/>
              <w:marTop w:val="0"/>
              <w:marBottom w:val="0"/>
              <w:divBdr>
                <w:top w:val="none" w:sz="0" w:space="0" w:color="auto"/>
                <w:left w:val="none" w:sz="0" w:space="0" w:color="auto"/>
                <w:bottom w:val="none" w:sz="0" w:space="0" w:color="auto"/>
                <w:right w:val="none" w:sz="0" w:space="0" w:color="auto"/>
              </w:divBdr>
            </w:div>
            <w:div w:id="560138977">
              <w:marLeft w:val="0"/>
              <w:marRight w:val="0"/>
              <w:marTop w:val="0"/>
              <w:marBottom w:val="0"/>
              <w:divBdr>
                <w:top w:val="none" w:sz="0" w:space="0" w:color="auto"/>
                <w:left w:val="none" w:sz="0" w:space="0" w:color="auto"/>
                <w:bottom w:val="none" w:sz="0" w:space="0" w:color="auto"/>
                <w:right w:val="none" w:sz="0" w:space="0" w:color="auto"/>
              </w:divBdr>
            </w:div>
            <w:div w:id="2011444334">
              <w:marLeft w:val="0"/>
              <w:marRight w:val="0"/>
              <w:marTop w:val="0"/>
              <w:marBottom w:val="0"/>
              <w:divBdr>
                <w:top w:val="none" w:sz="0" w:space="0" w:color="auto"/>
                <w:left w:val="none" w:sz="0" w:space="0" w:color="auto"/>
                <w:bottom w:val="none" w:sz="0" w:space="0" w:color="auto"/>
                <w:right w:val="none" w:sz="0" w:space="0" w:color="auto"/>
              </w:divBdr>
            </w:div>
            <w:div w:id="1888907412">
              <w:marLeft w:val="0"/>
              <w:marRight w:val="0"/>
              <w:marTop w:val="0"/>
              <w:marBottom w:val="0"/>
              <w:divBdr>
                <w:top w:val="none" w:sz="0" w:space="0" w:color="auto"/>
                <w:left w:val="none" w:sz="0" w:space="0" w:color="auto"/>
                <w:bottom w:val="none" w:sz="0" w:space="0" w:color="auto"/>
                <w:right w:val="none" w:sz="0" w:space="0" w:color="auto"/>
              </w:divBdr>
            </w:div>
            <w:div w:id="431708949">
              <w:marLeft w:val="0"/>
              <w:marRight w:val="0"/>
              <w:marTop w:val="0"/>
              <w:marBottom w:val="0"/>
              <w:divBdr>
                <w:top w:val="none" w:sz="0" w:space="0" w:color="auto"/>
                <w:left w:val="none" w:sz="0" w:space="0" w:color="auto"/>
                <w:bottom w:val="none" w:sz="0" w:space="0" w:color="auto"/>
                <w:right w:val="none" w:sz="0" w:space="0" w:color="auto"/>
              </w:divBdr>
            </w:div>
            <w:div w:id="1792088506">
              <w:marLeft w:val="0"/>
              <w:marRight w:val="0"/>
              <w:marTop w:val="0"/>
              <w:marBottom w:val="0"/>
              <w:divBdr>
                <w:top w:val="none" w:sz="0" w:space="0" w:color="auto"/>
                <w:left w:val="none" w:sz="0" w:space="0" w:color="auto"/>
                <w:bottom w:val="none" w:sz="0" w:space="0" w:color="auto"/>
                <w:right w:val="none" w:sz="0" w:space="0" w:color="auto"/>
              </w:divBdr>
            </w:div>
            <w:div w:id="1975139888">
              <w:marLeft w:val="0"/>
              <w:marRight w:val="0"/>
              <w:marTop w:val="0"/>
              <w:marBottom w:val="0"/>
              <w:divBdr>
                <w:top w:val="none" w:sz="0" w:space="0" w:color="auto"/>
                <w:left w:val="none" w:sz="0" w:space="0" w:color="auto"/>
                <w:bottom w:val="none" w:sz="0" w:space="0" w:color="auto"/>
                <w:right w:val="none" w:sz="0" w:space="0" w:color="auto"/>
              </w:divBdr>
            </w:div>
            <w:div w:id="1378047565">
              <w:marLeft w:val="0"/>
              <w:marRight w:val="0"/>
              <w:marTop w:val="0"/>
              <w:marBottom w:val="0"/>
              <w:divBdr>
                <w:top w:val="none" w:sz="0" w:space="0" w:color="auto"/>
                <w:left w:val="none" w:sz="0" w:space="0" w:color="auto"/>
                <w:bottom w:val="none" w:sz="0" w:space="0" w:color="auto"/>
                <w:right w:val="none" w:sz="0" w:space="0" w:color="auto"/>
              </w:divBdr>
            </w:div>
            <w:div w:id="1776363237">
              <w:marLeft w:val="0"/>
              <w:marRight w:val="0"/>
              <w:marTop w:val="0"/>
              <w:marBottom w:val="0"/>
              <w:divBdr>
                <w:top w:val="none" w:sz="0" w:space="0" w:color="auto"/>
                <w:left w:val="none" w:sz="0" w:space="0" w:color="auto"/>
                <w:bottom w:val="none" w:sz="0" w:space="0" w:color="auto"/>
                <w:right w:val="none" w:sz="0" w:space="0" w:color="auto"/>
              </w:divBdr>
            </w:div>
            <w:div w:id="733770822">
              <w:marLeft w:val="0"/>
              <w:marRight w:val="0"/>
              <w:marTop w:val="0"/>
              <w:marBottom w:val="0"/>
              <w:divBdr>
                <w:top w:val="none" w:sz="0" w:space="0" w:color="auto"/>
                <w:left w:val="none" w:sz="0" w:space="0" w:color="auto"/>
                <w:bottom w:val="none" w:sz="0" w:space="0" w:color="auto"/>
                <w:right w:val="none" w:sz="0" w:space="0" w:color="auto"/>
              </w:divBdr>
            </w:div>
            <w:div w:id="1228884505">
              <w:marLeft w:val="0"/>
              <w:marRight w:val="0"/>
              <w:marTop w:val="0"/>
              <w:marBottom w:val="0"/>
              <w:divBdr>
                <w:top w:val="none" w:sz="0" w:space="0" w:color="auto"/>
                <w:left w:val="none" w:sz="0" w:space="0" w:color="auto"/>
                <w:bottom w:val="none" w:sz="0" w:space="0" w:color="auto"/>
                <w:right w:val="none" w:sz="0" w:space="0" w:color="auto"/>
              </w:divBdr>
            </w:div>
            <w:div w:id="1162504144">
              <w:marLeft w:val="0"/>
              <w:marRight w:val="0"/>
              <w:marTop w:val="0"/>
              <w:marBottom w:val="0"/>
              <w:divBdr>
                <w:top w:val="none" w:sz="0" w:space="0" w:color="auto"/>
                <w:left w:val="none" w:sz="0" w:space="0" w:color="auto"/>
                <w:bottom w:val="none" w:sz="0" w:space="0" w:color="auto"/>
                <w:right w:val="none" w:sz="0" w:space="0" w:color="auto"/>
              </w:divBdr>
            </w:div>
            <w:div w:id="893858487">
              <w:marLeft w:val="0"/>
              <w:marRight w:val="0"/>
              <w:marTop w:val="0"/>
              <w:marBottom w:val="0"/>
              <w:divBdr>
                <w:top w:val="none" w:sz="0" w:space="0" w:color="auto"/>
                <w:left w:val="none" w:sz="0" w:space="0" w:color="auto"/>
                <w:bottom w:val="none" w:sz="0" w:space="0" w:color="auto"/>
                <w:right w:val="none" w:sz="0" w:space="0" w:color="auto"/>
              </w:divBdr>
            </w:div>
            <w:div w:id="808786543">
              <w:marLeft w:val="0"/>
              <w:marRight w:val="0"/>
              <w:marTop w:val="0"/>
              <w:marBottom w:val="0"/>
              <w:divBdr>
                <w:top w:val="none" w:sz="0" w:space="0" w:color="auto"/>
                <w:left w:val="none" w:sz="0" w:space="0" w:color="auto"/>
                <w:bottom w:val="none" w:sz="0" w:space="0" w:color="auto"/>
                <w:right w:val="none" w:sz="0" w:space="0" w:color="auto"/>
              </w:divBdr>
            </w:div>
            <w:div w:id="630523055">
              <w:marLeft w:val="0"/>
              <w:marRight w:val="0"/>
              <w:marTop w:val="0"/>
              <w:marBottom w:val="0"/>
              <w:divBdr>
                <w:top w:val="none" w:sz="0" w:space="0" w:color="auto"/>
                <w:left w:val="none" w:sz="0" w:space="0" w:color="auto"/>
                <w:bottom w:val="none" w:sz="0" w:space="0" w:color="auto"/>
                <w:right w:val="none" w:sz="0" w:space="0" w:color="auto"/>
              </w:divBdr>
            </w:div>
            <w:div w:id="681590474">
              <w:marLeft w:val="0"/>
              <w:marRight w:val="0"/>
              <w:marTop w:val="0"/>
              <w:marBottom w:val="0"/>
              <w:divBdr>
                <w:top w:val="none" w:sz="0" w:space="0" w:color="auto"/>
                <w:left w:val="none" w:sz="0" w:space="0" w:color="auto"/>
                <w:bottom w:val="none" w:sz="0" w:space="0" w:color="auto"/>
                <w:right w:val="none" w:sz="0" w:space="0" w:color="auto"/>
              </w:divBdr>
            </w:div>
            <w:div w:id="1930314317">
              <w:marLeft w:val="0"/>
              <w:marRight w:val="0"/>
              <w:marTop w:val="0"/>
              <w:marBottom w:val="0"/>
              <w:divBdr>
                <w:top w:val="none" w:sz="0" w:space="0" w:color="auto"/>
                <w:left w:val="none" w:sz="0" w:space="0" w:color="auto"/>
                <w:bottom w:val="none" w:sz="0" w:space="0" w:color="auto"/>
                <w:right w:val="none" w:sz="0" w:space="0" w:color="auto"/>
              </w:divBdr>
            </w:div>
            <w:div w:id="742678062">
              <w:marLeft w:val="0"/>
              <w:marRight w:val="0"/>
              <w:marTop w:val="0"/>
              <w:marBottom w:val="0"/>
              <w:divBdr>
                <w:top w:val="none" w:sz="0" w:space="0" w:color="auto"/>
                <w:left w:val="none" w:sz="0" w:space="0" w:color="auto"/>
                <w:bottom w:val="none" w:sz="0" w:space="0" w:color="auto"/>
                <w:right w:val="none" w:sz="0" w:space="0" w:color="auto"/>
              </w:divBdr>
            </w:div>
            <w:div w:id="1103114052">
              <w:marLeft w:val="0"/>
              <w:marRight w:val="0"/>
              <w:marTop w:val="0"/>
              <w:marBottom w:val="0"/>
              <w:divBdr>
                <w:top w:val="none" w:sz="0" w:space="0" w:color="auto"/>
                <w:left w:val="none" w:sz="0" w:space="0" w:color="auto"/>
                <w:bottom w:val="none" w:sz="0" w:space="0" w:color="auto"/>
                <w:right w:val="none" w:sz="0" w:space="0" w:color="auto"/>
              </w:divBdr>
            </w:div>
            <w:div w:id="1352150911">
              <w:marLeft w:val="0"/>
              <w:marRight w:val="0"/>
              <w:marTop w:val="0"/>
              <w:marBottom w:val="0"/>
              <w:divBdr>
                <w:top w:val="none" w:sz="0" w:space="0" w:color="auto"/>
                <w:left w:val="none" w:sz="0" w:space="0" w:color="auto"/>
                <w:bottom w:val="none" w:sz="0" w:space="0" w:color="auto"/>
                <w:right w:val="none" w:sz="0" w:space="0" w:color="auto"/>
              </w:divBdr>
            </w:div>
            <w:div w:id="1128668041">
              <w:marLeft w:val="0"/>
              <w:marRight w:val="0"/>
              <w:marTop w:val="0"/>
              <w:marBottom w:val="0"/>
              <w:divBdr>
                <w:top w:val="none" w:sz="0" w:space="0" w:color="auto"/>
                <w:left w:val="none" w:sz="0" w:space="0" w:color="auto"/>
                <w:bottom w:val="none" w:sz="0" w:space="0" w:color="auto"/>
                <w:right w:val="none" w:sz="0" w:space="0" w:color="auto"/>
              </w:divBdr>
            </w:div>
            <w:div w:id="1939412954">
              <w:marLeft w:val="0"/>
              <w:marRight w:val="0"/>
              <w:marTop w:val="0"/>
              <w:marBottom w:val="0"/>
              <w:divBdr>
                <w:top w:val="none" w:sz="0" w:space="0" w:color="auto"/>
                <w:left w:val="none" w:sz="0" w:space="0" w:color="auto"/>
                <w:bottom w:val="none" w:sz="0" w:space="0" w:color="auto"/>
                <w:right w:val="none" w:sz="0" w:space="0" w:color="auto"/>
              </w:divBdr>
            </w:div>
            <w:div w:id="98183975">
              <w:marLeft w:val="0"/>
              <w:marRight w:val="0"/>
              <w:marTop w:val="0"/>
              <w:marBottom w:val="0"/>
              <w:divBdr>
                <w:top w:val="none" w:sz="0" w:space="0" w:color="auto"/>
                <w:left w:val="none" w:sz="0" w:space="0" w:color="auto"/>
                <w:bottom w:val="none" w:sz="0" w:space="0" w:color="auto"/>
                <w:right w:val="none" w:sz="0" w:space="0" w:color="auto"/>
              </w:divBdr>
            </w:div>
            <w:div w:id="384448424">
              <w:marLeft w:val="0"/>
              <w:marRight w:val="0"/>
              <w:marTop w:val="0"/>
              <w:marBottom w:val="0"/>
              <w:divBdr>
                <w:top w:val="none" w:sz="0" w:space="0" w:color="auto"/>
                <w:left w:val="none" w:sz="0" w:space="0" w:color="auto"/>
                <w:bottom w:val="none" w:sz="0" w:space="0" w:color="auto"/>
                <w:right w:val="none" w:sz="0" w:space="0" w:color="auto"/>
              </w:divBdr>
            </w:div>
            <w:div w:id="1192836306">
              <w:marLeft w:val="0"/>
              <w:marRight w:val="0"/>
              <w:marTop w:val="0"/>
              <w:marBottom w:val="0"/>
              <w:divBdr>
                <w:top w:val="none" w:sz="0" w:space="0" w:color="auto"/>
                <w:left w:val="none" w:sz="0" w:space="0" w:color="auto"/>
                <w:bottom w:val="none" w:sz="0" w:space="0" w:color="auto"/>
                <w:right w:val="none" w:sz="0" w:space="0" w:color="auto"/>
              </w:divBdr>
            </w:div>
            <w:div w:id="1421869740">
              <w:marLeft w:val="0"/>
              <w:marRight w:val="0"/>
              <w:marTop w:val="0"/>
              <w:marBottom w:val="0"/>
              <w:divBdr>
                <w:top w:val="none" w:sz="0" w:space="0" w:color="auto"/>
                <w:left w:val="none" w:sz="0" w:space="0" w:color="auto"/>
                <w:bottom w:val="none" w:sz="0" w:space="0" w:color="auto"/>
                <w:right w:val="none" w:sz="0" w:space="0" w:color="auto"/>
              </w:divBdr>
            </w:div>
            <w:div w:id="263921856">
              <w:marLeft w:val="0"/>
              <w:marRight w:val="0"/>
              <w:marTop w:val="0"/>
              <w:marBottom w:val="0"/>
              <w:divBdr>
                <w:top w:val="none" w:sz="0" w:space="0" w:color="auto"/>
                <w:left w:val="none" w:sz="0" w:space="0" w:color="auto"/>
                <w:bottom w:val="none" w:sz="0" w:space="0" w:color="auto"/>
                <w:right w:val="none" w:sz="0" w:space="0" w:color="auto"/>
              </w:divBdr>
            </w:div>
            <w:div w:id="11078763">
              <w:marLeft w:val="0"/>
              <w:marRight w:val="0"/>
              <w:marTop w:val="0"/>
              <w:marBottom w:val="0"/>
              <w:divBdr>
                <w:top w:val="none" w:sz="0" w:space="0" w:color="auto"/>
                <w:left w:val="none" w:sz="0" w:space="0" w:color="auto"/>
                <w:bottom w:val="none" w:sz="0" w:space="0" w:color="auto"/>
                <w:right w:val="none" w:sz="0" w:space="0" w:color="auto"/>
              </w:divBdr>
            </w:div>
            <w:div w:id="2001493420">
              <w:marLeft w:val="0"/>
              <w:marRight w:val="0"/>
              <w:marTop w:val="0"/>
              <w:marBottom w:val="0"/>
              <w:divBdr>
                <w:top w:val="none" w:sz="0" w:space="0" w:color="auto"/>
                <w:left w:val="none" w:sz="0" w:space="0" w:color="auto"/>
                <w:bottom w:val="none" w:sz="0" w:space="0" w:color="auto"/>
                <w:right w:val="none" w:sz="0" w:space="0" w:color="auto"/>
              </w:divBdr>
            </w:div>
            <w:div w:id="816726693">
              <w:marLeft w:val="0"/>
              <w:marRight w:val="0"/>
              <w:marTop w:val="0"/>
              <w:marBottom w:val="0"/>
              <w:divBdr>
                <w:top w:val="none" w:sz="0" w:space="0" w:color="auto"/>
                <w:left w:val="none" w:sz="0" w:space="0" w:color="auto"/>
                <w:bottom w:val="none" w:sz="0" w:space="0" w:color="auto"/>
                <w:right w:val="none" w:sz="0" w:space="0" w:color="auto"/>
              </w:divBdr>
            </w:div>
            <w:div w:id="1476679950">
              <w:marLeft w:val="0"/>
              <w:marRight w:val="0"/>
              <w:marTop w:val="0"/>
              <w:marBottom w:val="0"/>
              <w:divBdr>
                <w:top w:val="none" w:sz="0" w:space="0" w:color="auto"/>
                <w:left w:val="none" w:sz="0" w:space="0" w:color="auto"/>
                <w:bottom w:val="none" w:sz="0" w:space="0" w:color="auto"/>
                <w:right w:val="none" w:sz="0" w:space="0" w:color="auto"/>
              </w:divBdr>
            </w:div>
            <w:div w:id="513224004">
              <w:marLeft w:val="0"/>
              <w:marRight w:val="0"/>
              <w:marTop w:val="0"/>
              <w:marBottom w:val="0"/>
              <w:divBdr>
                <w:top w:val="none" w:sz="0" w:space="0" w:color="auto"/>
                <w:left w:val="none" w:sz="0" w:space="0" w:color="auto"/>
                <w:bottom w:val="none" w:sz="0" w:space="0" w:color="auto"/>
                <w:right w:val="none" w:sz="0" w:space="0" w:color="auto"/>
              </w:divBdr>
            </w:div>
            <w:div w:id="414279231">
              <w:marLeft w:val="0"/>
              <w:marRight w:val="0"/>
              <w:marTop w:val="0"/>
              <w:marBottom w:val="0"/>
              <w:divBdr>
                <w:top w:val="none" w:sz="0" w:space="0" w:color="auto"/>
                <w:left w:val="none" w:sz="0" w:space="0" w:color="auto"/>
                <w:bottom w:val="none" w:sz="0" w:space="0" w:color="auto"/>
                <w:right w:val="none" w:sz="0" w:space="0" w:color="auto"/>
              </w:divBdr>
            </w:div>
            <w:div w:id="696582798">
              <w:marLeft w:val="0"/>
              <w:marRight w:val="0"/>
              <w:marTop w:val="0"/>
              <w:marBottom w:val="0"/>
              <w:divBdr>
                <w:top w:val="none" w:sz="0" w:space="0" w:color="auto"/>
                <w:left w:val="none" w:sz="0" w:space="0" w:color="auto"/>
                <w:bottom w:val="none" w:sz="0" w:space="0" w:color="auto"/>
                <w:right w:val="none" w:sz="0" w:space="0" w:color="auto"/>
              </w:divBdr>
            </w:div>
            <w:div w:id="454253189">
              <w:marLeft w:val="0"/>
              <w:marRight w:val="0"/>
              <w:marTop w:val="0"/>
              <w:marBottom w:val="0"/>
              <w:divBdr>
                <w:top w:val="none" w:sz="0" w:space="0" w:color="auto"/>
                <w:left w:val="none" w:sz="0" w:space="0" w:color="auto"/>
                <w:bottom w:val="none" w:sz="0" w:space="0" w:color="auto"/>
                <w:right w:val="none" w:sz="0" w:space="0" w:color="auto"/>
              </w:divBdr>
            </w:div>
            <w:div w:id="964307687">
              <w:marLeft w:val="0"/>
              <w:marRight w:val="0"/>
              <w:marTop w:val="0"/>
              <w:marBottom w:val="0"/>
              <w:divBdr>
                <w:top w:val="none" w:sz="0" w:space="0" w:color="auto"/>
                <w:left w:val="none" w:sz="0" w:space="0" w:color="auto"/>
                <w:bottom w:val="none" w:sz="0" w:space="0" w:color="auto"/>
                <w:right w:val="none" w:sz="0" w:space="0" w:color="auto"/>
              </w:divBdr>
            </w:div>
            <w:div w:id="1764305330">
              <w:marLeft w:val="0"/>
              <w:marRight w:val="0"/>
              <w:marTop w:val="0"/>
              <w:marBottom w:val="0"/>
              <w:divBdr>
                <w:top w:val="none" w:sz="0" w:space="0" w:color="auto"/>
                <w:left w:val="none" w:sz="0" w:space="0" w:color="auto"/>
                <w:bottom w:val="none" w:sz="0" w:space="0" w:color="auto"/>
                <w:right w:val="none" w:sz="0" w:space="0" w:color="auto"/>
              </w:divBdr>
            </w:div>
            <w:div w:id="401022662">
              <w:marLeft w:val="0"/>
              <w:marRight w:val="0"/>
              <w:marTop w:val="0"/>
              <w:marBottom w:val="0"/>
              <w:divBdr>
                <w:top w:val="none" w:sz="0" w:space="0" w:color="auto"/>
                <w:left w:val="none" w:sz="0" w:space="0" w:color="auto"/>
                <w:bottom w:val="none" w:sz="0" w:space="0" w:color="auto"/>
                <w:right w:val="none" w:sz="0" w:space="0" w:color="auto"/>
              </w:divBdr>
            </w:div>
            <w:div w:id="822047915">
              <w:marLeft w:val="0"/>
              <w:marRight w:val="0"/>
              <w:marTop w:val="0"/>
              <w:marBottom w:val="0"/>
              <w:divBdr>
                <w:top w:val="none" w:sz="0" w:space="0" w:color="auto"/>
                <w:left w:val="none" w:sz="0" w:space="0" w:color="auto"/>
                <w:bottom w:val="none" w:sz="0" w:space="0" w:color="auto"/>
                <w:right w:val="none" w:sz="0" w:space="0" w:color="auto"/>
              </w:divBdr>
            </w:div>
            <w:div w:id="1996297688">
              <w:marLeft w:val="0"/>
              <w:marRight w:val="0"/>
              <w:marTop w:val="0"/>
              <w:marBottom w:val="0"/>
              <w:divBdr>
                <w:top w:val="none" w:sz="0" w:space="0" w:color="auto"/>
                <w:left w:val="none" w:sz="0" w:space="0" w:color="auto"/>
                <w:bottom w:val="none" w:sz="0" w:space="0" w:color="auto"/>
                <w:right w:val="none" w:sz="0" w:space="0" w:color="auto"/>
              </w:divBdr>
            </w:div>
            <w:div w:id="2145195463">
              <w:marLeft w:val="0"/>
              <w:marRight w:val="0"/>
              <w:marTop w:val="0"/>
              <w:marBottom w:val="0"/>
              <w:divBdr>
                <w:top w:val="none" w:sz="0" w:space="0" w:color="auto"/>
                <w:left w:val="none" w:sz="0" w:space="0" w:color="auto"/>
                <w:bottom w:val="none" w:sz="0" w:space="0" w:color="auto"/>
                <w:right w:val="none" w:sz="0" w:space="0" w:color="auto"/>
              </w:divBdr>
            </w:div>
            <w:div w:id="1886453764">
              <w:marLeft w:val="0"/>
              <w:marRight w:val="0"/>
              <w:marTop w:val="0"/>
              <w:marBottom w:val="0"/>
              <w:divBdr>
                <w:top w:val="none" w:sz="0" w:space="0" w:color="auto"/>
                <w:left w:val="none" w:sz="0" w:space="0" w:color="auto"/>
                <w:bottom w:val="none" w:sz="0" w:space="0" w:color="auto"/>
                <w:right w:val="none" w:sz="0" w:space="0" w:color="auto"/>
              </w:divBdr>
            </w:div>
            <w:div w:id="534315446">
              <w:marLeft w:val="0"/>
              <w:marRight w:val="0"/>
              <w:marTop w:val="0"/>
              <w:marBottom w:val="0"/>
              <w:divBdr>
                <w:top w:val="none" w:sz="0" w:space="0" w:color="auto"/>
                <w:left w:val="none" w:sz="0" w:space="0" w:color="auto"/>
                <w:bottom w:val="none" w:sz="0" w:space="0" w:color="auto"/>
                <w:right w:val="none" w:sz="0" w:space="0" w:color="auto"/>
              </w:divBdr>
            </w:div>
            <w:div w:id="585503123">
              <w:marLeft w:val="0"/>
              <w:marRight w:val="0"/>
              <w:marTop w:val="0"/>
              <w:marBottom w:val="0"/>
              <w:divBdr>
                <w:top w:val="none" w:sz="0" w:space="0" w:color="auto"/>
                <w:left w:val="none" w:sz="0" w:space="0" w:color="auto"/>
                <w:bottom w:val="none" w:sz="0" w:space="0" w:color="auto"/>
                <w:right w:val="none" w:sz="0" w:space="0" w:color="auto"/>
              </w:divBdr>
            </w:div>
            <w:div w:id="889194398">
              <w:marLeft w:val="0"/>
              <w:marRight w:val="0"/>
              <w:marTop w:val="0"/>
              <w:marBottom w:val="0"/>
              <w:divBdr>
                <w:top w:val="none" w:sz="0" w:space="0" w:color="auto"/>
                <w:left w:val="none" w:sz="0" w:space="0" w:color="auto"/>
                <w:bottom w:val="none" w:sz="0" w:space="0" w:color="auto"/>
                <w:right w:val="none" w:sz="0" w:space="0" w:color="auto"/>
              </w:divBdr>
            </w:div>
            <w:div w:id="856650748">
              <w:marLeft w:val="0"/>
              <w:marRight w:val="0"/>
              <w:marTop w:val="0"/>
              <w:marBottom w:val="0"/>
              <w:divBdr>
                <w:top w:val="none" w:sz="0" w:space="0" w:color="auto"/>
                <w:left w:val="none" w:sz="0" w:space="0" w:color="auto"/>
                <w:bottom w:val="none" w:sz="0" w:space="0" w:color="auto"/>
                <w:right w:val="none" w:sz="0" w:space="0" w:color="auto"/>
              </w:divBdr>
            </w:div>
            <w:div w:id="660932557">
              <w:marLeft w:val="0"/>
              <w:marRight w:val="0"/>
              <w:marTop w:val="0"/>
              <w:marBottom w:val="0"/>
              <w:divBdr>
                <w:top w:val="none" w:sz="0" w:space="0" w:color="auto"/>
                <w:left w:val="none" w:sz="0" w:space="0" w:color="auto"/>
                <w:bottom w:val="none" w:sz="0" w:space="0" w:color="auto"/>
                <w:right w:val="none" w:sz="0" w:space="0" w:color="auto"/>
              </w:divBdr>
            </w:div>
            <w:div w:id="1470392241">
              <w:marLeft w:val="0"/>
              <w:marRight w:val="0"/>
              <w:marTop w:val="0"/>
              <w:marBottom w:val="0"/>
              <w:divBdr>
                <w:top w:val="none" w:sz="0" w:space="0" w:color="auto"/>
                <w:left w:val="none" w:sz="0" w:space="0" w:color="auto"/>
                <w:bottom w:val="none" w:sz="0" w:space="0" w:color="auto"/>
                <w:right w:val="none" w:sz="0" w:space="0" w:color="auto"/>
              </w:divBdr>
            </w:div>
            <w:div w:id="425422992">
              <w:marLeft w:val="0"/>
              <w:marRight w:val="0"/>
              <w:marTop w:val="0"/>
              <w:marBottom w:val="0"/>
              <w:divBdr>
                <w:top w:val="none" w:sz="0" w:space="0" w:color="auto"/>
                <w:left w:val="none" w:sz="0" w:space="0" w:color="auto"/>
                <w:bottom w:val="none" w:sz="0" w:space="0" w:color="auto"/>
                <w:right w:val="none" w:sz="0" w:space="0" w:color="auto"/>
              </w:divBdr>
            </w:div>
            <w:div w:id="1647737817">
              <w:marLeft w:val="0"/>
              <w:marRight w:val="0"/>
              <w:marTop w:val="0"/>
              <w:marBottom w:val="0"/>
              <w:divBdr>
                <w:top w:val="none" w:sz="0" w:space="0" w:color="auto"/>
                <w:left w:val="none" w:sz="0" w:space="0" w:color="auto"/>
                <w:bottom w:val="none" w:sz="0" w:space="0" w:color="auto"/>
                <w:right w:val="none" w:sz="0" w:space="0" w:color="auto"/>
              </w:divBdr>
            </w:div>
            <w:div w:id="1718895615">
              <w:marLeft w:val="0"/>
              <w:marRight w:val="0"/>
              <w:marTop w:val="0"/>
              <w:marBottom w:val="0"/>
              <w:divBdr>
                <w:top w:val="none" w:sz="0" w:space="0" w:color="auto"/>
                <w:left w:val="none" w:sz="0" w:space="0" w:color="auto"/>
                <w:bottom w:val="none" w:sz="0" w:space="0" w:color="auto"/>
                <w:right w:val="none" w:sz="0" w:space="0" w:color="auto"/>
              </w:divBdr>
            </w:div>
            <w:div w:id="1021710257">
              <w:marLeft w:val="0"/>
              <w:marRight w:val="0"/>
              <w:marTop w:val="0"/>
              <w:marBottom w:val="0"/>
              <w:divBdr>
                <w:top w:val="none" w:sz="0" w:space="0" w:color="auto"/>
                <w:left w:val="none" w:sz="0" w:space="0" w:color="auto"/>
                <w:bottom w:val="none" w:sz="0" w:space="0" w:color="auto"/>
                <w:right w:val="none" w:sz="0" w:space="0" w:color="auto"/>
              </w:divBdr>
            </w:div>
            <w:div w:id="167453320">
              <w:marLeft w:val="0"/>
              <w:marRight w:val="0"/>
              <w:marTop w:val="0"/>
              <w:marBottom w:val="0"/>
              <w:divBdr>
                <w:top w:val="none" w:sz="0" w:space="0" w:color="auto"/>
                <w:left w:val="none" w:sz="0" w:space="0" w:color="auto"/>
                <w:bottom w:val="none" w:sz="0" w:space="0" w:color="auto"/>
                <w:right w:val="none" w:sz="0" w:space="0" w:color="auto"/>
              </w:divBdr>
            </w:div>
            <w:div w:id="1339389720">
              <w:marLeft w:val="0"/>
              <w:marRight w:val="0"/>
              <w:marTop w:val="0"/>
              <w:marBottom w:val="0"/>
              <w:divBdr>
                <w:top w:val="none" w:sz="0" w:space="0" w:color="auto"/>
                <w:left w:val="none" w:sz="0" w:space="0" w:color="auto"/>
                <w:bottom w:val="none" w:sz="0" w:space="0" w:color="auto"/>
                <w:right w:val="none" w:sz="0" w:space="0" w:color="auto"/>
              </w:divBdr>
            </w:div>
            <w:div w:id="2020236587">
              <w:marLeft w:val="0"/>
              <w:marRight w:val="0"/>
              <w:marTop w:val="0"/>
              <w:marBottom w:val="0"/>
              <w:divBdr>
                <w:top w:val="none" w:sz="0" w:space="0" w:color="auto"/>
                <w:left w:val="none" w:sz="0" w:space="0" w:color="auto"/>
                <w:bottom w:val="none" w:sz="0" w:space="0" w:color="auto"/>
                <w:right w:val="none" w:sz="0" w:space="0" w:color="auto"/>
              </w:divBdr>
            </w:div>
            <w:div w:id="1298102393">
              <w:marLeft w:val="0"/>
              <w:marRight w:val="0"/>
              <w:marTop w:val="0"/>
              <w:marBottom w:val="0"/>
              <w:divBdr>
                <w:top w:val="none" w:sz="0" w:space="0" w:color="auto"/>
                <w:left w:val="none" w:sz="0" w:space="0" w:color="auto"/>
                <w:bottom w:val="none" w:sz="0" w:space="0" w:color="auto"/>
                <w:right w:val="none" w:sz="0" w:space="0" w:color="auto"/>
              </w:divBdr>
            </w:div>
            <w:div w:id="1463037148">
              <w:marLeft w:val="0"/>
              <w:marRight w:val="0"/>
              <w:marTop w:val="0"/>
              <w:marBottom w:val="0"/>
              <w:divBdr>
                <w:top w:val="none" w:sz="0" w:space="0" w:color="auto"/>
                <w:left w:val="none" w:sz="0" w:space="0" w:color="auto"/>
                <w:bottom w:val="none" w:sz="0" w:space="0" w:color="auto"/>
                <w:right w:val="none" w:sz="0" w:space="0" w:color="auto"/>
              </w:divBdr>
            </w:div>
            <w:div w:id="172645356">
              <w:marLeft w:val="0"/>
              <w:marRight w:val="0"/>
              <w:marTop w:val="0"/>
              <w:marBottom w:val="0"/>
              <w:divBdr>
                <w:top w:val="none" w:sz="0" w:space="0" w:color="auto"/>
                <w:left w:val="none" w:sz="0" w:space="0" w:color="auto"/>
                <w:bottom w:val="none" w:sz="0" w:space="0" w:color="auto"/>
                <w:right w:val="none" w:sz="0" w:space="0" w:color="auto"/>
              </w:divBdr>
            </w:div>
            <w:div w:id="192959359">
              <w:marLeft w:val="0"/>
              <w:marRight w:val="0"/>
              <w:marTop w:val="0"/>
              <w:marBottom w:val="0"/>
              <w:divBdr>
                <w:top w:val="none" w:sz="0" w:space="0" w:color="auto"/>
                <w:left w:val="none" w:sz="0" w:space="0" w:color="auto"/>
                <w:bottom w:val="none" w:sz="0" w:space="0" w:color="auto"/>
                <w:right w:val="none" w:sz="0" w:space="0" w:color="auto"/>
              </w:divBdr>
            </w:div>
            <w:div w:id="1131286940">
              <w:marLeft w:val="0"/>
              <w:marRight w:val="0"/>
              <w:marTop w:val="0"/>
              <w:marBottom w:val="0"/>
              <w:divBdr>
                <w:top w:val="none" w:sz="0" w:space="0" w:color="auto"/>
                <w:left w:val="none" w:sz="0" w:space="0" w:color="auto"/>
                <w:bottom w:val="none" w:sz="0" w:space="0" w:color="auto"/>
                <w:right w:val="none" w:sz="0" w:space="0" w:color="auto"/>
              </w:divBdr>
            </w:div>
            <w:div w:id="591936841">
              <w:marLeft w:val="0"/>
              <w:marRight w:val="0"/>
              <w:marTop w:val="0"/>
              <w:marBottom w:val="0"/>
              <w:divBdr>
                <w:top w:val="none" w:sz="0" w:space="0" w:color="auto"/>
                <w:left w:val="none" w:sz="0" w:space="0" w:color="auto"/>
                <w:bottom w:val="none" w:sz="0" w:space="0" w:color="auto"/>
                <w:right w:val="none" w:sz="0" w:space="0" w:color="auto"/>
              </w:divBdr>
            </w:div>
            <w:div w:id="921329242">
              <w:marLeft w:val="0"/>
              <w:marRight w:val="0"/>
              <w:marTop w:val="0"/>
              <w:marBottom w:val="0"/>
              <w:divBdr>
                <w:top w:val="none" w:sz="0" w:space="0" w:color="auto"/>
                <w:left w:val="none" w:sz="0" w:space="0" w:color="auto"/>
                <w:bottom w:val="none" w:sz="0" w:space="0" w:color="auto"/>
                <w:right w:val="none" w:sz="0" w:space="0" w:color="auto"/>
              </w:divBdr>
            </w:div>
            <w:div w:id="1343312825">
              <w:marLeft w:val="0"/>
              <w:marRight w:val="0"/>
              <w:marTop w:val="0"/>
              <w:marBottom w:val="0"/>
              <w:divBdr>
                <w:top w:val="none" w:sz="0" w:space="0" w:color="auto"/>
                <w:left w:val="none" w:sz="0" w:space="0" w:color="auto"/>
                <w:bottom w:val="none" w:sz="0" w:space="0" w:color="auto"/>
                <w:right w:val="none" w:sz="0" w:space="0" w:color="auto"/>
              </w:divBdr>
            </w:div>
            <w:div w:id="266472142">
              <w:marLeft w:val="0"/>
              <w:marRight w:val="0"/>
              <w:marTop w:val="0"/>
              <w:marBottom w:val="0"/>
              <w:divBdr>
                <w:top w:val="none" w:sz="0" w:space="0" w:color="auto"/>
                <w:left w:val="none" w:sz="0" w:space="0" w:color="auto"/>
                <w:bottom w:val="none" w:sz="0" w:space="0" w:color="auto"/>
                <w:right w:val="none" w:sz="0" w:space="0" w:color="auto"/>
              </w:divBdr>
            </w:div>
            <w:div w:id="373583709">
              <w:marLeft w:val="0"/>
              <w:marRight w:val="0"/>
              <w:marTop w:val="0"/>
              <w:marBottom w:val="0"/>
              <w:divBdr>
                <w:top w:val="none" w:sz="0" w:space="0" w:color="auto"/>
                <w:left w:val="none" w:sz="0" w:space="0" w:color="auto"/>
                <w:bottom w:val="none" w:sz="0" w:space="0" w:color="auto"/>
                <w:right w:val="none" w:sz="0" w:space="0" w:color="auto"/>
              </w:divBdr>
            </w:div>
            <w:div w:id="1737120821">
              <w:marLeft w:val="0"/>
              <w:marRight w:val="0"/>
              <w:marTop w:val="0"/>
              <w:marBottom w:val="0"/>
              <w:divBdr>
                <w:top w:val="none" w:sz="0" w:space="0" w:color="auto"/>
                <w:left w:val="none" w:sz="0" w:space="0" w:color="auto"/>
                <w:bottom w:val="none" w:sz="0" w:space="0" w:color="auto"/>
                <w:right w:val="none" w:sz="0" w:space="0" w:color="auto"/>
              </w:divBdr>
            </w:div>
            <w:div w:id="1899196033">
              <w:marLeft w:val="0"/>
              <w:marRight w:val="0"/>
              <w:marTop w:val="0"/>
              <w:marBottom w:val="0"/>
              <w:divBdr>
                <w:top w:val="none" w:sz="0" w:space="0" w:color="auto"/>
                <w:left w:val="none" w:sz="0" w:space="0" w:color="auto"/>
                <w:bottom w:val="none" w:sz="0" w:space="0" w:color="auto"/>
                <w:right w:val="none" w:sz="0" w:space="0" w:color="auto"/>
              </w:divBdr>
            </w:div>
            <w:div w:id="75246714">
              <w:marLeft w:val="0"/>
              <w:marRight w:val="0"/>
              <w:marTop w:val="0"/>
              <w:marBottom w:val="0"/>
              <w:divBdr>
                <w:top w:val="none" w:sz="0" w:space="0" w:color="auto"/>
                <w:left w:val="none" w:sz="0" w:space="0" w:color="auto"/>
                <w:bottom w:val="none" w:sz="0" w:space="0" w:color="auto"/>
                <w:right w:val="none" w:sz="0" w:space="0" w:color="auto"/>
              </w:divBdr>
            </w:div>
            <w:div w:id="1823228945">
              <w:marLeft w:val="0"/>
              <w:marRight w:val="0"/>
              <w:marTop w:val="0"/>
              <w:marBottom w:val="0"/>
              <w:divBdr>
                <w:top w:val="none" w:sz="0" w:space="0" w:color="auto"/>
                <w:left w:val="none" w:sz="0" w:space="0" w:color="auto"/>
                <w:bottom w:val="none" w:sz="0" w:space="0" w:color="auto"/>
                <w:right w:val="none" w:sz="0" w:space="0" w:color="auto"/>
              </w:divBdr>
            </w:div>
            <w:div w:id="1363358401">
              <w:marLeft w:val="0"/>
              <w:marRight w:val="0"/>
              <w:marTop w:val="0"/>
              <w:marBottom w:val="0"/>
              <w:divBdr>
                <w:top w:val="none" w:sz="0" w:space="0" w:color="auto"/>
                <w:left w:val="none" w:sz="0" w:space="0" w:color="auto"/>
                <w:bottom w:val="none" w:sz="0" w:space="0" w:color="auto"/>
                <w:right w:val="none" w:sz="0" w:space="0" w:color="auto"/>
              </w:divBdr>
            </w:div>
            <w:div w:id="613051867">
              <w:marLeft w:val="0"/>
              <w:marRight w:val="0"/>
              <w:marTop w:val="0"/>
              <w:marBottom w:val="0"/>
              <w:divBdr>
                <w:top w:val="none" w:sz="0" w:space="0" w:color="auto"/>
                <w:left w:val="none" w:sz="0" w:space="0" w:color="auto"/>
                <w:bottom w:val="none" w:sz="0" w:space="0" w:color="auto"/>
                <w:right w:val="none" w:sz="0" w:space="0" w:color="auto"/>
              </w:divBdr>
            </w:div>
            <w:div w:id="434910500">
              <w:marLeft w:val="0"/>
              <w:marRight w:val="0"/>
              <w:marTop w:val="0"/>
              <w:marBottom w:val="0"/>
              <w:divBdr>
                <w:top w:val="none" w:sz="0" w:space="0" w:color="auto"/>
                <w:left w:val="none" w:sz="0" w:space="0" w:color="auto"/>
                <w:bottom w:val="none" w:sz="0" w:space="0" w:color="auto"/>
                <w:right w:val="none" w:sz="0" w:space="0" w:color="auto"/>
              </w:divBdr>
            </w:div>
            <w:div w:id="878249645">
              <w:marLeft w:val="0"/>
              <w:marRight w:val="0"/>
              <w:marTop w:val="0"/>
              <w:marBottom w:val="0"/>
              <w:divBdr>
                <w:top w:val="none" w:sz="0" w:space="0" w:color="auto"/>
                <w:left w:val="none" w:sz="0" w:space="0" w:color="auto"/>
                <w:bottom w:val="none" w:sz="0" w:space="0" w:color="auto"/>
                <w:right w:val="none" w:sz="0" w:space="0" w:color="auto"/>
              </w:divBdr>
            </w:div>
            <w:div w:id="889339537">
              <w:marLeft w:val="0"/>
              <w:marRight w:val="0"/>
              <w:marTop w:val="0"/>
              <w:marBottom w:val="0"/>
              <w:divBdr>
                <w:top w:val="none" w:sz="0" w:space="0" w:color="auto"/>
                <w:left w:val="none" w:sz="0" w:space="0" w:color="auto"/>
                <w:bottom w:val="none" w:sz="0" w:space="0" w:color="auto"/>
                <w:right w:val="none" w:sz="0" w:space="0" w:color="auto"/>
              </w:divBdr>
            </w:div>
            <w:div w:id="1561089257">
              <w:marLeft w:val="0"/>
              <w:marRight w:val="0"/>
              <w:marTop w:val="0"/>
              <w:marBottom w:val="0"/>
              <w:divBdr>
                <w:top w:val="none" w:sz="0" w:space="0" w:color="auto"/>
                <w:left w:val="none" w:sz="0" w:space="0" w:color="auto"/>
                <w:bottom w:val="none" w:sz="0" w:space="0" w:color="auto"/>
                <w:right w:val="none" w:sz="0" w:space="0" w:color="auto"/>
              </w:divBdr>
            </w:div>
            <w:div w:id="297340115">
              <w:marLeft w:val="0"/>
              <w:marRight w:val="0"/>
              <w:marTop w:val="0"/>
              <w:marBottom w:val="0"/>
              <w:divBdr>
                <w:top w:val="none" w:sz="0" w:space="0" w:color="auto"/>
                <w:left w:val="none" w:sz="0" w:space="0" w:color="auto"/>
                <w:bottom w:val="none" w:sz="0" w:space="0" w:color="auto"/>
                <w:right w:val="none" w:sz="0" w:space="0" w:color="auto"/>
              </w:divBdr>
            </w:div>
            <w:div w:id="72701045">
              <w:marLeft w:val="0"/>
              <w:marRight w:val="0"/>
              <w:marTop w:val="0"/>
              <w:marBottom w:val="0"/>
              <w:divBdr>
                <w:top w:val="none" w:sz="0" w:space="0" w:color="auto"/>
                <w:left w:val="none" w:sz="0" w:space="0" w:color="auto"/>
                <w:bottom w:val="none" w:sz="0" w:space="0" w:color="auto"/>
                <w:right w:val="none" w:sz="0" w:space="0" w:color="auto"/>
              </w:divBdr>
            </w:div>
            <w:div w:id="570510318">
              <w:marLeft w:val="0"/>
              <w:marRight w:val="0"/>
              <w:marTop w:val="0"/>
              <w:marBottom w:val="0"/>
              <w:divBdr>
                <w:top w:val="none" w:sz="0" w:space="0" w:color="auto"/>
                <w:left w:val="none" w:sz="0" w:space="0" w:color="auto"/>
                <w:bottom w:val="none" w:sz="0" w:space="0" w:color="auto"/>
                <w:right w:val="none" w:sz="0" w:space="0" w:color="auto"/>
              </w:divBdr>
            </w:div>
            <w:div w:id="39943879">
              <w:marLeft w:val="0"/>
              <w:marRight w:val="0"/>
              <w:marTop w:val="0"/>
              <w:marBottom w:val="0"/>
              <w:divBdr>
                <w:top w:val="none" w:sz="0" w:space="0" w:color="auto"/>
                <w:left w:val="none" w:sz="0" w:space="0" w:color="auto"/>
                <w:bottom w:val="none" w:sz="0" w:space="0" w:color="auto"/>
                <w:right w:val="none" w:sz="0" w:space="0" w:color="auto"/>
              </w:divBdr>
            </w:div>
            <w:div w:id="970553851">
              <w:marLeft w:val="0"/>
              <w:marRight w:val="0"/>
              <w:marTop w:val="0"/>
              <w:marBottom w:val="0"/>
              <w:divBdr>
                <w:top w:val="none" w:sz="0" w:space="0" w:color="auto"/>
                <w:left w:val="none" w:sz="0" w:space="0" w:color="auto"/>
                <w:bottom w:val="none" w:sz="0" w:space="0" w:color="auto"/>
                <w:right w:val="none" w:sz="0" w:space="0" w:color="auto"/>
              </w:divBdr>
            </w:div>
            <w:div w:id="1162233445">
              <w:marLeft w:val="0"/>
              <w:marRight w:val="0"/>
              <w:marTop w:val="0"/>
              <w:marBottom w:val="0"/>
              <w:divBdr>
                <w:top w:val="none" w:sz="0" w:space="0" w:color="auto"/>
                <w:left w:val="none" w:sz="0" w:space="0" w:color="auto"/>
                <w:bottom w:val="none" w:sz="0" w:space="0" w:color="auto"/>
                <w:right w:val="none" w:sz="0" w:space="0" w:color="auto"/>
              </w:divBdr>
            </w:div>
            <w:div w:id="838351128">
              <w:marLeft w:val="0"/>
              <w:marRight w:val="0"/>
              <w:marTop w:val="0"/>
              <w:marBottom w:val="0"/>
              <w:divBdr>
                <w:top w:val="none" w:sz="0" w:space="0" w:color="auto"/>
                <w:left w:val="none" w:sz="0" w:space="0" w:color="auto"/>
                <w:bottom w:val="none" w:sz="0" w:space="0" w:color="auto"/>
                <w:right w:val="none" w:sz="0" w:space="0" w:color="auto"/>
              </w:divBdr>
            </w:div>
            <w:div w:id="1596133978">
              <w:marLeft w:val="0"/>
              <w:marRight w:val="0"/>
              <w:marTop w:val="0"/>
              <w:marBottom w:val="0"/>
              <w:divBdr>
                <w:top w:val="none" w:sz="0" w:space="0" w:color="auto"/>
                <w:left w:val="none" w:sz="0" w:space="0" w:color="auto"/>
                <w:bottom w:val="none" w:sz="0" w:space="0" w:color="auto"/>
                <w:right w:val="none" w:sz="0" w:space="0" w:color="auto"/>
              </w:divBdr>
            </w:div>
            <w:div w:id="168103718">
              <w:marLeft w:val="0"/>
              <w:marRight w:val="0"/>
              <w:marTop w:val="0"/>
              <w:marBottom w:val="0"/>
              <w:divBdr>
                <w:top w:val="none" w:sz="0" w:space="0" w:color="auto"/>
                <w:left w:val="none" w:sz="0" w:space="0" w:color="auto"/>
                <w:bottom w:val="none" w:sz="0" w:space="0" w:color="auto"/>
                <w:right w:val="none" w:sz="0" w:space="0" w:color="auto"/>
              </w:divBdr>
            </w:div>
            <w:div w:id="1142625515">
              <w:marLeft w:val="0"/>
              <w:marRight w:val="0"/>
              <w:marTop w:val="0"/>
              <w:marBottom w:val="0"/>
              <w:divBdr>
                <w:top w:val="none" w:sz="0" w:space="0" w:color="auto"/>
                <w:left w:val="none" w:sz="0" w:space="0" w:color="auto"/>
                <w:bottom w:val="none" w:sz="0" w:space="0" w:color="auto"/>
                <w:right w:val="none" w:sz="0" w:space="0" w:color="auto"/>
              </w:divBdr>
            </w:div>
            <w:div w:id="49812245">
              <w:marLeft w:val="0"/>
              <w:marRight w:val="0"/>
              <w:marTop w:val="0"/>
              <w:marBottom w:val="0"/>
              <w:divBdr>
                <w:top w:val="none" w:sz="0" w:space="0" w:color="auto"/>
                <w:left w:val="none" w:sz="0" w:space="0" w:color="auto"/>
                <w:bottom w:val="none" w:sz="0" w:space="0" w:color="auto"/>
                <w:right w:val="none" w:sz="0" w:space="0" w:color="auto"/>
              </w:divBdr>
            </w:div>
            <w:div w:id="213662253">
              <w:marLeft w:val="0"/>
              <w:marRight w:val="0"/>
              <w:marTop w:val="0"/>
              <w:marBottom w:val="0"/>
              <w:divBdr>
                <w:top w:val="none" w:sz="0" w:space="0" w:color="auto"/>
                <w:left w:val="none" w:sz="0" w:space="0" w:color="auto"/>
                <w:bottom w:val="none" w:sz="0" w:space="0" w:color="auto"/>
                <w:right w:val="none" w:sz="0" w:space="0" w:color="auto"/>
              </w:divBdr>
            </w:div>
            <w:div w:id="1458377849">
              <w:marLeft w:val="0"/>
              <w:marRight w:val="0"/>
              <w:marTop w:val="0"/>
              <w:marBottom w:val="0"/>
              <w:divBdr>
                <w:top w:val="none" w:sz="0" w:space="0" w:color="auto"/>
                <w:left w:val="none" w:sz="0" w:space="0" w:color="auto"/>
                <w:bottom w:val="none" w:sz="0" w:space="0" w:color="auto"/>
                <w:right w:val="none" w:sz="0" w:space="0" w:color="auto"/>
              </w:divBdr>
            </w:div>
            <w:div w:id="2045472545">
              <w:marLeft w:val="0"/>
              <w:marRight w:val="0"/>
              <w:marTop w:val="0"/>
              <w:marBottom w:val="0"/>
              <w:divBdr>
                <w:top w:val="none" w:sz="0" w:space="0" w:color="auto"/>
                <w:left w:val="none" w:sz="0" w:space="0" w:color="auto"/>
                <w:bottom w:val="none" w:sz="0" w:space="0" w:color="auto"/>
                <w:right w:val="none" w:sz="0" w:space="0" w:color="auto"/>
              </w:divBdr>
            </w:div>
            <w:div w:id="1616325208">
              <w:marLeft w:val="0"/>
              <w:marRight w:val="0"/>
              <w:marTop w:val="0"/>
              <w:marBottom w:val="0"/>
              <w:divBdr>
                <w:top w:val="none" w:sz="0" w:space="0" w:color="auto"/>
                <w:left w:val="none" w:sz="0" w:space="0" w:color="auto"/>
                <w:bottom w:val="none" w:sz="0" w:space="0" w:color="auto"/>
                <w:right w:val="none" w:sz="0" w:space="0" w:color="auto"/>
              </w:divBdr>
            </w:div>
            <w:div w:id="228658874">
              <w:marLeft w:val="0"/>
              <w:marRight w:val="0"/>
              <w:marTop w:val="0"/>
              <w:marBottom w:val="0"/>
              <w:divBdr>
                <w:top w:val="none" w:sz="0" w:space="0" w:color="auto"/>
                <w:left w:val="none" w:sz="0" w:space="0" w:color="auto"/>
                <w:bottom w:val="none" w:sz="0" w:space="0" w:color="auto"/>
                <w:right w:val="none" w:sz="0" w:space="0" w:color="auto"/>
              </w:divBdr>
            </w:div>
            <w:div w:id="1978677566">
              <w:marLeft w:val="0"/>
              <w:marRight w:val="0"/>
              <w:marTop w:val="0"/>
              <w:marBottom w:val="0"/>
              <w:divBdr>
                <w:top w:val="none" w:sz="0" w:space="0" w:color="auto"/>
                <w:left w:val="none" w:sz="0" w:space="0" w:color="auto"/>
                <w:bottom w:val="none" w:sz="0" w:space="0" w:color="auto"/>
                <w:right w:val="none" w:sz="0" w:space="0" w:color="auto"/>
              </w:divBdr>
            </w:div>
            <w:div w:id="479343660">
              <w:marLeft w:val="0"/>
              <w:marRight w:val="0"/>
              <w:marTop w:val="0"/>
              <w:marBottom w:val="0"/>
              <w:divBdr>
                <w:top w:val="none" w:sz="0" w:space="0" w:color="auto"/>
                <w:left w:val="none" w:sz="0" w:space="0" w:color="auto"/>
                <w:bottom w:val="none" w:sz="0" w:space="0" w:color="auto"/>
                <w:right w:val="none" w:sz="0" w:space="0" w:color="auto"/>
              </w:divBdr>
            </w:div>
            <w:div w:id="119811980">
              <w:marLeft w:val="0"/>
              <w:marRight w:val="0"/>
              <w:marTop w:val="0"/>
              <w:marBottom w:val="0"/>
              <w:divBdr>
                <w:top w:val="none" w:sz="0" w:space="0" w:color="auto"/>
                <w:left w:val="none" w:sz="0" w:space="0" w:color="auto"/>
                <w:bottom w:val="none" w:sz="0" w:space="0" w:color="auto"/>
                <w:right w:val="none" w:sz="0" w:space="0" w:color="auto"/>
              </w:divBdr>
            </w:div>
            <w:div w:id="87897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92620">
      <w:bodyDiv w:val="1"/>
      <w:marLeft w:val="0"/>
      <w:marRight w:val="0"/>
      <w:marTop w:val="0"/>
      <w:marBottom w:val="0"/>
      <w:divBdr>
        <w:top w:val="none" w:sz="0" w:space="0" w:color="auto"/>
        <w:left w:val="none" w:sz="0" w:space="0" w:color="auto"/>
        <w:bottom w:val="none" w:sz="0" w:space="0" w:color="auto"/>
        <w:right w:val="none" w:sz="0" w:space="0" w:color="auto"/>
      </w:divBdr>
    </w:div>
    <w:div w:id="260723773">
      <w:bodyDiv w:val="1"/>
      <w:marLeft w:val="0"/>
      <w:marRight w:val="0"/>
      <w:marTop w:val="0"/>
      <w:marBottom w:val="0"/>
      <w:divBdr>
        <w:top w:val="none" w:sz="0" w:space="0" w:color="auto"/>
        <w:left w:val="none" w:sz="0" w:space="0" w:color="auto"/>
        <w:bottom w:val="none" w:sz="0" w:space="0" w:color="auto"/>
        <w:right w:val="none" w:sz="0" w:space="0" w:color="auto"/>
      </w:divBdr>
      <w:divsChild>
        <w:div w:id="194119557">
          <w:marLeft w:val="0"/>
          <w:marRight w:val="0"/>
          <w:marTop w:val="0"/>
          <w:marBottom w:val="0"/>
          <w:divBdr>
            <w:top w:val="none" w:sz="0" w:space="0" w:color="auto"/>
            <w:left w:val="none" w:sz="0" w:space="0" w:color="auto"/>
            <w:bottom w:val="none" w:sz="0" w:space="0" w:color="auto"/>
            <w:right w:val="none" w:sz="0" w:space="0" w:color="auto"/>
          </w:divBdr>
          <w:divsChild>
            <w:div w:id="815604819">
              <w:marLeft w:val="0"/>
              <w:marRight w:val="0"/>
              <w:marTop w:val="0"/>
              <w:marBottom w:val="0"/>
              <w:divBdr>
                <w:top w:val="none" w:sz="0" w:space="0" w:color="auto"/>
                <w:left w:val="none" w:sz="0" w:space="0" w:color="auto"/>
                <w:bottom w:val="none" w:sz="0" w:space="0" w:color="auto"/>
                <w:right w:val="none" w:sz="0" w:space="0" w:color="auto"/>
              </w:divBdr>
              <w:divsChild>
                <w:div w:id="447428103">
                  <w:marLeft w:val="0"/>
                  <w:marRight w:val="150"/>
                  <w:marTop w:val="0"/>
                  <w:marBottom w:val="0"/>
                  <w:divBdr>
                    <w:top w:val="none" w:sz="0" w:space="0" w:color="auto"/>
                    <w:left w:val="none" w:sz="0" w:space="0" w:color="auto"/>
                    <w:bottom w:val="none" w:sz="0" w:space="0" w:color="auto"/>
                    <w:right w:val="none" w:sz="0" w:space="0" w:color="auto"/>
                  </w:divBdr>
                  <w:divsChild>
                    <w:div w:id="25358690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96558814">
          <w:marLeft w:val="0"/>
          <w:marRight w:val="150"/>
          <w:marTop w:val="0"/>
          <w:marBottom w:val="0"/>
          <w:divBdr>
            <w:top w:val="none" w:sz="0" w:space="0" w:color="auto"/>
            <w:left w:val="none" w:sz="0" w:space="0" w:color="auto"/>
            <w:bottom w:val="none" w:sz="0" w:space="0" w:color="auto"/>
            <w:right w:val="none" w:sz="0" w:space="0" w:color="auto"/>
          </w:divBdr>
          <w:divsChild>
            <w:div w:id="36171073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64463360">
      <w:bodyDiv w:val="1"/>
      <w:marLeft w:val="0"/>
      <w:marRight w:val="0"/>
      <w:marTop w:val="0"/>
      <w:marBottom w:val="0"/>
      <w:divBdr>
        <w:top w:val="none" w:sz="0" w:space="0" w:color="auto"/>
        <w:left w:val="none" w:sz="0" w:space="0" w:color="auto"/>
        <w:bottom w:val="none" w:sz="0" w:space="0" w:color="auto"/>
        <w:right w:val="none" w:sz="0" w:space="0" w:color="auto"/>
      </w:divBdr>
      <w:divsChild>
        <w:div w:id="1873494041">
          <w:marLeft w:val="0"/>
          <w:marRight w:val="0"/>
          <w:marTop w:val="0"/>
          <w:marBottom w:val="0"/>
          <w:divBdr>
            <w:top w:val="none" w:sz="0" w:space="0" w:color="auto"/>
            <w:left w:val="none" w:sz="0" w:space="0" w:color="auto"/>
            <w:bottom w:val="none" w:sz="0" w:space="0" w:color="auto"/>
            <w:right w:val="none" w:sz="0" w:space="0" w:color="auto"/>
          </w:divBdr>
          <w:divsChild>
            <w:div w:id="1632202307">
              <w:marLeft w:val="0"/>
              <w:marRight w:val="0"/>
              <w:marTop w:val="0"/>
              <w:marBottom w:val="0"/>
              <w:divBdr>
                <w:top w:val="none" w:sz="0" w:space="0" w:color="auto"/>
                <w:left w:val="none" w:sz="0" w:space="0" w:color="auto"/>
                <w:bottom w:val="none" w:sz="0" w:space="0" w:color="auto"/>
                <w:right w:val="none" w:sz="0" w:space="0" w:color="auto"/>
              </w:divBdr>
            </w:div>
            <w:div w:id="576670531">
              <w:marLeft w:val="0"/>
              <w:marRight w:val="0"/>
              <w:marTop w:val="0"/>
              <w:marBottom w:val="0"/>
              <w:divBdr>
                <w:top w:val="none" w:sz="0" w:space="0" w:color="auto"/>
                <w:left w:val="none" w:sz="0" w:space="0" w:color="auto"/>
                <w:bottom w:val="none" w:sz="0" w:space="0" w:color="auto"/>
                <w:right w:val="none" w:sz="0" w:space="0" w:color="auto"/>
              </w:divBdr>
            </w:div>
            <w:div w:id="1831359724">
              <w:marLeft w:val="0"/>
              <w:marRight w:val="0"/>
              <w:marTop w:val="0"/>
              <w:marBottom w:val="0"/>
              <w:divBdr>
                <w:top w:val="none" w:sz="0" w:space="0" w:color="auto"/>
                <w:left w:val="none" w:sz="0" w:space="0" w:color="auto"/>
                <w:bottom w:val="none" w:sz="0" w:space="0" w:color="auto"/>
                <w:right w:val="none" w:sz="0" w:space="0" w:color="auto"/>
              </w:divBdr>
            </w:div>
            <w:div w:id="306083381">
              <w:marLeft w:val="0"/>
              <w:marRight w:val="0"/>
              <w:marTop w:val="0"/>
              <w:marBottom w:val="0"/>
              <w:divBdr>
                <w:top w:val="none" w:sz="0" w:space="0" w:color="auto"/>
                <w:left w:val="none" w:sz="0" w:space="0" w:color="auto"/>
                <w:bottom w:val="none" w:sz="0" w:space="0" w:color="auto"/>
                <w:right w:val="none" w:sz="0" w:space="0" w:color="auto"/>
              </w:divBdr>
            </w:div>
            <w:div w:id="68579736">
              <w:marLeft w:val="0"/>
              <w:marRight w:val="0"/>
              <w:marTop w:val="0"/>
              <w:marBottom w:val="0"/>
              <w:divBdr>
                <w:top w:val="none" w:sz="0" w:space="0" w:color="auto"/>
                <w:left w:val="none" w:sz="0" w:space="0" w:color="auto"/>
                <w:bottom w:val="none" w:sz="0" w:space="0" w:color="auto"/>
                <w:right w:val="none" w:sz="0" w:space="0" w:color="auto"/>
              </w:divBdr>
            </w:div>
            <w:div w:id="1885746761">
              <w:marLeft w:val="0"/>
              <w:marRight w:val="0"/>
              <w:marTop w:val="0"/>
              <w:marBottom w:val="0"/>
              <w:divBdr>
                <w:top w:val="none" w:sz="0" w:space="0" w:color="auto"/>
                <w:left w:val="none" w:sz="0" w:space="0" w:color="auto"/>
                <w:bottom w:val="none" w:sz="0" w:space="0" w:color="auto"/>
                <w:right w:val="none" w:sz="0" w:space="0" w:color="auto"/>
              </w:divBdr>
            </w:div>
            <w:div w:id="947152839">
              <w:marLeft w:val="0"/>
              <w:marRight w:val="0"/>
              <w:marTop w:val="0"/>
              <w:marBottom w:val="0"/>
              <w:divBdr>
                <w:top w:val="none" w:sz="0" w:space="0" w:color="auto"/>
                <w:left w:val="none" w:sz="0" w:space="0" w:color="auto"/>
                <w:bottom w:val="none" w:sz="0" w:space="0" w:color="auto"/>
                <w:right w:val="none" w:sz="0" w:space="0" w:color="auto"/>
              </w:divBdr>
            </w:div>
            <w:div w:id="1633051514">
              <w:marLeft w:val="0"/>
              <w:marRight w:val="0"/>
              <w:marTop w:val="0"/>
              <w:marBottom w:val="0"/>
              <w:divBdr>
                <w:top w:val="none" w:sz="0" w:space="0" w:color="auto"/>
                <w:left w:val="none" w:sz="0" w:space="0" w:color="auto"/>
                <w:bottom w:val="none" w:sz="0" w:space="0" w:color="auto"/>
                <w:right w:val="none" w:sz="0" w:space="0" w:color="auto"/>
              </w:divBdr>
            </w:div>
            <w:div w:id="1396246049">
              <w:marLeft w:val="0"/>
              <w:marRight w:val="0"/>
              <w:marTop w:val="0"/>
              <w:marBottom w:val="0"/>
              <w:divBdr>
                <w:top w:val="none" w:sz="0" w:space="0" w:color="auto"/>
                <w:left w:val="none" w:sz="0" w:space="0" w:color="auto"/>
                <w:bottom w:val="none" w:sz="0" w:space="0" w:color="auto"/>
                <w:right w:val="none" w:sz="0" w:space="0" w:color="auto"/>
              </w:divBdr>
            </w:div>
            <w:div w:id="735057097">
              <w:marLeft w:val="0"/>
              <w:marRight w:val="0"/>
              <w:marTop w:val="0"/>
              <w:marBottom w:val="0"/>
              <w:divBdr>
                <w:top w:val="none" w:sz="0" w:space="0" w:color="auto"/>
                <w:left w:val="none" w:sz="0" w:space="0" w:color="auto"/>
                <w:bottom w:val="none" w:sz="0" w:space="0" w:color="auto"/>
                <w:right w:val="none" w:sz="0" w:space="0" w:color="auto"/>
              </w:divBdr>
            </w:div>
            <w:div w:id="1581137268">
              <w:marLeft w:val="0"/>
              <w:marRight w:val="0"/>
              <w:marTop w:val="0"/>
              <w:marBottom w:val="0"/>
              <w:divBdr>
                <w:top w:val="none" w:sz="0" w:space="0" w:color="auto"/>
                <w:left w:val="none" w:sz="0" w:space="0" w:color="auto"/>
                <w:bottom w:val="none" w:sz="0" w:space="0" w:color="auto"/>
                <w:right w:val="none" w:sz="0" w:space="0" w:color="auto"/>
              </w:divBdr>
            </w:div>
            <w:div w:id="820003754">
              <w:marLeft w:val="0"/>
              <w:marRight w:val="0"/>
              <w:marTop w:val="0"/>
              <w:marBottom w:val="0"/>
              <w:divBdr>
                <w:top w:val="none" w:sz="0" w:space="0" w:color="auto"/>
                <w:left w:val="none" w:sz="0" w:space="0" w:color="auto"/>
                <w:bottom w:val="none" w:sz="0" w:space="0" w:color="auto"/>
                <w:right w:val="none" w:sz="0" w:space="0" w:color="auto"/>
              </w:divBdr>
            </w:div>
            <w:div w:id="2130656796">
              <w:marLeft w:val="0"/>
              <w:marRight w:val="0"/>
              <w:marTop w:val="0"/>
              <w:marBottom w:val="0"/>
              <w:divBdr>
                <w:top w:val="none" w:sz="0" w:space="0" w:color="auto"/>
                <w:left w:val="none" w:sz="0" w:space="0" w:color="auto"/>
                <w:bottom w:val="none" w:sz="0" w:space="0" w:color="auto"/>
                <w:right w:val="none" w:sz="0" w:space="0" w:color="auto"/>
              </w:divBdr>
            </w:div>
            <w:div w:id="1264454432">
              <w:marLeft w:val="0"/>
              <w:marRight w:val="0"/>
              <w:marTop w:val="0"/>
              <w:marBottom w:val="0"/>
              <w:divBdr>
                <w:top w:val="none" w:sz="0" w:space="0" w:color="auto"/>
                <w:left w:val="none" w:sz="0" w:space="0" w:color="auto"/>
                <w:bottom w:val="none" w:sz="0" w:space="0" w:color="auto"/>
                <w:right w:val="none" w:sz="0" w:space="0" w:color="auto"/>
              </w:divBdr>
            </w:div>
            <w:div w:id="1627278107">
              <w:marLeft w:val="0"/>
              <w:marRight w:val="0"/>
              <w:marTop w:val="0"/>
              <w:marBottom w:val="0"/>
              <w:divBdr>
                <w:top w:val="none" w:sz="0" w:space="0" w:color="auto"/>
                <w:left w:val="none" w:sz="0" w:space="0" w:color="auto"/>
                <w:bottom w:val="none" w:sz="0" w:space="0" w:color="auto"/>
                <w:right w:val="none" w:sz="0" w:space="0" w:color="auto"/>
              </w:divBdr>
            </w:div>
            <w:div w:id="2005936452">
              <w:marLeft w:val="0"/>
              <w:marRight w:val="0"/>
              <w:marTop w:val="0"/>
              <w:marBottom w:val="0"/>
              <w:divBdr>
                <w:top w:val="none" w:sz="0" w:space="0" w:color="auto"/>
                <w:left w:val="none" w:sz="0" w:space="0" w:color="auto"/>
                <w:bottom w:val="none" w:sz="0" w:space="0" w:color="auto"/>
                <w:right w:val="none" w:sz="0" w:space="0" w:color="auto"/>
              </w:divBdr>
            </w:div>
            <w:div w:id="542592814">
              <w:marLeft w:val="0"/>
              <w:marRight w:val="0"/>
              <w:marTop w:val="0"/>
              <w:marBottom w:val="0"/>
              <w:divBdr>
                <w:top w:val="none" w:sz="0" w:space="0" w:color="auto"/>
                <w:left w:val="none" w:sz="0" w:space="0" w:color="auto"/>
                <w:bottom w:val="none" w:sz="0" w:space="0" w:color="auto"/>
                <w:right w:val="none" w:sz="0" w:space="0" w:color="auto"/>
              </w:divBdr>
            </w:div>
            <w:div w:id="1026449385">
              <w:marLeft w:val="0"/>
              <w:marRight w:val="0"/>
              <w:marTop w:val="0"/>
              <w:marBottom w:val="0"/>
              <w:divBdr>
                <w:top w:val="none" w:sz="0" w:space="0" w:color="auto"/>
                <w:left w:val="none" w:sz="0" w:space="0" w:color="auto"/>
                <w:bottom w:val="none" w:sz="0" w:space="0" w:color="auto"/>
                <w:right w:val="none" w:sz="0" w:space="0" w:color="auto"/>
              </w:divBdr>
            </w:div>
            <w:div w:id="243804767">
              <w:marLeft w:val="0"/>
              <w:marRight w:val="0"/>
              <w:marTop w:val="0"/>
              <w:marBottom w:val="0"/>
              <w:divBdr>
                <w:top w:val="none" w:sz="0" w:space="0" w:color="auto"/>
                <w:left w:val="none" w:sz="0" w:space="0" w:color="auto"/>
                <w:bottom w:val="none" w:sz="0" w:space="0" w:color="auto"/>
                <w:right w:val="none" w:sz="0" w:space="0" w:color="auto"/>
              </w:divBdr>
            </w:div>
            <w:div w:id="364451463">
              <w:marLeft w:val="0"/>
              <w:marRight w:val="0"/>
              <w:marTop w:val="0"/>
              <w:marBottom w:val="0"/>
              <w:divBdr>
                <w:top w:val="none" w:sz="0" w:space="0" w:color="auto"/>
                <w:left w:val="none" w:sz="0" w:space="0" w:color="auto"/>
                <w:bottom w:val="none" w:sz="0" w:space="0" w:color="auto"/>
                <w:right w:val="none" w:sz="0" w:space="0" w:color="auto"/>
              </w:divBdr>
            </w:div>
            <w:div w:id="1101602612">
              <w:marLeft w:val="0"/>
              <w:marRight w:val="0"/>
              <w:marTop w:val="0"/>
              <w:marBottom w:val="0"/>
              <w:divBdr>
                <w:top w:val="none" w:sz="0" w:space="0" w:color="auto"/>
                <w:left w:val="none" w:sz="0" w:space="0" w:color="auto"/>
                <w:bottom w:val="none" w:sz="0" w:space="0" w:color="auto"/>
                <w:right w:val="none" w:sz="0" w:space="0" w:color="auto"/>
              </w:divBdr>
            </w:div>
            <w:div w:id="812874060">
              <w:marLeft w:val="0"/>
              <w:marRight w:val="0"/>
              <w:marTop w:val="0"/>
              <w:marBottom w:val="0"/>
              <w:divBdr>
                <w:top w:val="none" w:sz="0" w:space="0" w:color="auto"/>
                <w:left w:val="none" w:sz="0" w:space="0" w:color="auto"/>
                <w:bottom w:val="none" w:sz="0" w:space="0" w:color="auto"/>
                <w:right w:val="none" w:sz="0" w:space="0" w:color="auto"/>
              </w:divBdr>
            </w:div>
            <w:div w:id="2087916063">
              <w:marLeft w:val="0"/>
              <w:marRight w:val="0"/>
              <w:marTop w:val="0"/>
              <w:marBottom w:val="0"/>
              <w:divBdr>
                <w:top w:val="none" w:sz="0" w:space="0" w:color="auto"/>
                <w:left w:val="none" w:sz="0" w:space="0" w:color="auto"/>
                <w:bottom w:val="none" w:sz="0" w:space="0" w:color="auto"/>
                <w:right w:val="none" w:sz="0" w:space="0" w:color="auto"/>
              </w:divBdr>
            </w:div>
            <w:div w:id="1244073617">
              <w:marLeft w:val="0"/>
              <w:marRight w:val="0"/>
              <w:marTop w:val="0"/>
              <w:marBottom w:val="0"/>
              <w:divBdr>
                <w:top w:val="none" w:sz="0" w:space="0" w:color="auto"/>
                <w:left w:val="none" w:sz="0" w:space="0" w:color="auto"/>
                <w:bottom w:val="none" w:sz="0" w:space="0" w:color="auto"/>
                <w:right w:val="none" w:sz="0" w:space="0" w:color="auto"/>
              </w:divBdr>
            </w:div>
            <w:div w:id="1677686931">
              <w:marLeft w:val="0"/>
              <w:marRight w:val="0"/>
              <w:marTop w:val="0"/>
              <w:marBottom w:val="0"/>
              <w:divBdr>
                <w:top w:val="none" w:sz="0" w:space="0" w:color="auto"/>
                <w:left w:val="none" w:sz="0" w:space="0" w:color="auto"/>
                <w:bottom w:val="none" w:sz="0" w:space="0" w:color="auto"/>
                <w:right w:val="none" w:sz="0" w:space="0" w:color="auto"/>
              </w:divBdr>
            </w:div>
            <w:div w:id="950477726">
              <w:marLeft w:val="0"/>
              <w:marRight w:val="0"/>
              <w:marTop w:val="0"/>
              <w:marBottom w:val="0"/>
              <w:divBdr>
                <w:top w:val="none" w:sz="0" w:space="0" w:color="auto"/>
                <w:left w:val="none" w:sz="0" w:space="0" w:color="auto"/>
                <w:bottom w:val="none" w:sz="0" w:space="0" w:color="auto"/>
                <w:right w:val="none" w:sz="0" w:space="0" w:color="auto"/>
              </w:divBdr>
            </w:div>
            <w:div w:id="2081519089">
              <w:marLeft w:val="0"/>
              <w:marRight w:val="0"/>
              <w:marTop w:val="0"/>
              <w:marBottom w:val="0"/>
              <w:divBdr>
                <w:top w:val="none" w:sz="0" w:space="0" w:color="auto"/>
                <w:left w:val="none" w:sz="0" w:space="0" w:color="auto"/>
                <w:bottom w:val="none" w:sz="0" w:space="0" w:color="auto"/>
                <w:right w:val="none" w:sz="0" w:space="0" w:color="auto"/>
              </w:divBdr>
            </w:div>
            <w:div w:id="933055051">
              <w:marLeft w:val="0"/>
              <w:marRight w:val="0"/>
              <w:marTop w:val="0"/>
              <w:marBottom w:val="0"/>
              <w:divBdr>
                <w:top w:val="none" w:sz="0" w:space="0" w:color="auto"/>
                <w:left w:val="none" w:sz="0" w:space="0" w:color="auto"/>
                <w:bottom w:val="none" w:sz="0" w:space="0" w:color="auto"/>
                <w:right w:val="none" w:sz="0" w:space="0" w:color="auto"/>
              </w:divBdr>
            </w:div>
            <w:div w:id="1210261585">
              <w:marLeft w:val="0"/>
              <w:marRight w:val="0"/>
              <w:marTop w:val="0"/>
              <w:marBottom w:val="0"/>
              <w:divBdr>
                <w:top w:val="none" w:sz="0" w:space="0" w:color="auto"/>
                <w:left w:val="none" w:sz="0" w:space="0" w:color="auto"/>
                <w:bottom w:val="none" w:sz="0" w:space="0" w:color="auto"/>
                <w:right w:val="none" w:sz="0" w:space="0" w:color="auto"/>
              </w:divBdr>
            </w:div>
            <w:div w:id="1206601810">
              <w:marLeft w:val="0"/>
              <w:marRight w:val="0"/>
              <w:marTop w:val="0"/>
              <w:marBottom w:val="0"/>
              <w:divBdr>
                <w:top w:val="none" w:sz="0" w:space="0" w:color="auto"/>
                <w:left w:val="none" w:sz="0" w:space="0" w:color="auto"/>
                <w:bottom w:val="none" w:sz="0" w:space="0" w:color="auto"/>
                <w:right w:val="none" w:sz="0" w:space="0" w:color="auto"/>
              </w:divBdr>
            </w:div>
            <w:div w:id="49264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238968">
      <w:marLeft w:val="0"/>
      <w:marRight w:val="0"/>
      <w:marTop w:val="0"/>
      <w:marBottom w:val="0"/>
      <w:divBdr>
        <w:top w:val="none" w:sz="0" w:space="0" w:color="auto"/>
        <w:left w:val="none" w:sz="0" w:space="0" w:color="auto"/>
        <w:bottom w:val="none" w:sz="0" w:space="0" w:color="auto"/>
        <w:right w:val="none" w:sz="0" w:space="0" w:color="auto"/>
      </w:divBdr>
      <w:divsChild>
        <w:div w:id="104153820">
          <w:marLeft w:val="0"/>
          <w:marRight w:val="0"/>
          <w:marTop w:val="0"/>
          <w:marBottom w:val="0"/>
          <w:divBdr>
            <w:top w:val="none" w:sz="0" w:space="0" w:color="auto"/>
            <w:left w:val="none" w:sz="0" w:space="0" w:color="auto"/>
            <w:bottom w:val="none" w:sz="0" w:space="0" w:color="auto"/>
            <w:right w:val="none" w:sz="0" w:space="0" w:color="auto"/>
          </w:divBdr>
        </w:div>
      </w:divsChild>
    </w:div>
    <w:div w:id="272564694">
      <w:marLeft w:val="0"/>
      <w:marRight w:val="0"/>
      <w:marTop w:val="0"/>
      <w:marBottom w:val="0"/>
      <w:divBdr>
        <w:top w:val="none" w:sz="0" w:space="0" w:color="auto"/>
        <w:left w:val="none" w:sz="0" w:space="0" w:color="auto"/>
        <w:bottom w:val="none" w:sz="0" w:space="0" w:color="auto"/>
        <w:right w:val="none" w:sz="0" w:space="0" w:color="auto"/>
      </w:divBdr>
      <w:divsChild>
        <w:div w:id="77793901">
          <w:marLeft w:val="0"/>
          <w:marRight w:val="0"/>
          <w:marTop w:val="0"/>
          <w:marBottom w:val="0"/>
          <w:divBdr>
            <w:top w:val="none" w:sz="0" w:space="0" w:color="auto"/>
            <w:left w:val="none" w:sz="0" w:space="0" w:color="auto"/>
            <w:bottom w:val="none" w:sz="0" w:space="0" w:color="auto"/>
            <w:right w:val="none" w:sz="0" w:space="0" w:color="auto"/>
          </w:divBdr>
        </w:div>
      </w:divsChild>
    </w:div>
    <w:div w:id="273683121">
      <w:marLeft w:val="0"/>
      <w:marRight w:val="0"/>
      <w:marTop w:val="0"/>
      <w:marBottom w:val="0"/>
      <w:divBdr>
        <w:top w:val="none" w:sz="0" w:space="0" w:color="auto"/>
        <w:left w:val="none" w:sz="0" w:space="0" w:color="auto"/>
        <w:bottom w:val="none" w:sz="0" w:space="0" w:color="auto"/>
        <w:right w:val="none" w:sz="0" w:space="0" w:color="auto"/>
      </w:divBdr>
      <w:divsChild>
        <w:div w:id="494953656">
          <w:marLeft w:val="0"/>
          <w:marRight w:val="0"/>
          <w:marTop w:val="0"/>
          <w:marBottom w:val="0"/>
          <w:divBdr>
            <w:top w:val="none" w:sz="0" w:space="0" w:color="auto"/>
            <w:left w:val="none" w:sz="0" w:space="0" w:color="auto"/>
            <w:bottom w:val="none" w:sz="0" w:space="0" w:color="auto"/>
            <w:right w:val="none" w:sz="0" w:space="0" w:color="auto"/>
          </w:divBdr>
        </w:div>
      </w:divsChild>
    </w:div>
    <w:div w:id="276528873">
      <w:marLeft w:val="0"/>
      <w:marRight w:val="0"/>
      <w:marTop w:val="0"/>
      <w:marBottom w:val="0"/>
      <w:divBdr>
        <w:top w:val="none" w:sz="0" w:space="0" w:color="auto"/>
        <w:left w:val="none" w:sz="0" w:space="0" w:color="auto"/>
        <w:bottom w:val="none" w:sz="0" w:space="0" w:color="auto"/>
        <w:right w:val="none" w:sz="0" w:space="0" w:color="auto"/>
      </w:divBdr>
      <w:divsChild>
        <w:div w:id="1683898022">
          <w:marLeft w:val="0"/>
          <w:marRight w:val="0"/>
          <w:marTop w:val="0"/>
          <w:marBottom w:val="0"/>
          <w:divBdr>
            <w:top w:val="none" w:sz="0" w:space="0" w:color="auto"/>
            <w:left w:val="none" w:sz="0" w:space="0" w:color="auto"/>
            <w:bottom w:val="none" w:sz="0" w:space="0" w:color="auto"/>
            <w:right w:val="none" w:sz="0" w:space="0" w:color="auto"/>
          </w:divBdr>
        </w:div>
      </w:divsChild>
    </w:div>
    <w:div w:id="283393550">
      <w:marLeft w:val="0"/>
      <w:marRight w:val="0"/>
      <w:marTop w:val="0"/>
      <w:marBottom w:val="0"/>
      <w:divBdr>
        <w:top w:val="none" w:sz="0" w:space="0" w:color="auto"/>
        <w:left w:val="none" w:sz="0" w:space="0" w:color="auto"/>
        <w:bottom w:val="none" w:sz="0" w:space="0" w:color="auto"/>
        <w:right w:val="none" w:sz="0" w:space="0" w:color="auto"/>
      </w:divBdr>
      <w:divsChild>
        <w:div w:id="932317982">
          <w:marLeft w:val="0"/>
          <w:marRight w:val="0"/>
          <w:marTop w:val="0"/>
          <w:marBottom w:val="0"/>
          <w:divBdr>
            <w:top w:val="none" w:sz="0" w:space="0" w:color="auto"/>
            <w:left w:val="none" w:sz="0" w:space="0" w:color="auto"/>
            <w:bottom w:val="none" w:sz="0" w:space="0" w:color="auto"/>
            <w:right w:val="none" w:sz="0" w:space="0" w:color="auto"/>
          </w:divBdr>
        </w:div>
      </w:divsChild>
    </w:div>
    <w:div w:id="285477175">
      <w:bodyDiv w:val="1"/>
      <w:marLeft w:val="0"/>
      <w:marRight w:val="0"/>
      <w:marTop w:val="0"/>
      <w:marBottom w:val="0"/>
      <w:divBdr>
        <w:top w:val="none" w:sz="0" w:space="0" w:color="auto"/>
        <w:left w:val="none" w:sz="0" w:space="0" w:color="auto"/>
        <w:bottom w:val="none" w:sz="0" w:space="0" w:color="auto"/>
        <w:right w:val="none" w:sz="0" w:space="0" w:color="auto"/>
      </w:divBdr>
    </w:div>
    <w:div w:id="285703630">
      <w:marLeft w:val="0"/>
      <w:marRight w:val="0"/>
      <w:marTop w:val="0"/>
      <w:marBottom w:val="0"/>
      <w:divBdr>
        <w:top w:val="none" w:sz="0" w:space="0" w:color="auto"/>
        <w:left w:val="none" w:sz="0" w:space="0" w:color="auto"/>
        <w:bottom w:val="none" w:sz="0" w:space="0" w:color="auto"/>
        <w:right w:val="none" w:sz="0" w:space="0" w:color="auto"/>
      </w:divBdr>
      <w:divsChild>
        <w:div w:id="1666469003">
          <w:marLeft w:val="0"/>
          <w:marRight w:val="0"/>
          <w:marTop w:val="0"/>
          <w:marBottom w:val="0"/>
          <w:divBdr>
            <w:top w:val="none" w:sz="0" w:space="0" w:color="auto"/>
            <w:left w:val="none" w:sz="0" w:space="0" w:color="auto"/>
            <w:bottom w:val="none" w:sz="0" w:space="0" w:color="auto"/>
            <w:right w:val="none" w:sz="0" w:space="0" w:color="auto"/>
          </w:divBdr>
        </w:div>
      </w:divsChild>
    </w:div>
    <w:div w:id="286350067">
      <w:bodyDiv w:val="1"/>
      <w:marLeft w:val="0"/>
      <w:marRight w:val="0"/>
      <w:marTop w:val="0"/>
      <w:marBottom w:val="0"/>
      <w:divBdr>
        <w:top w:val="none" w:sz="0" w:space="0" w:color="auto"/>
        <w:left w:val="none" w:sz="0" w:space="0" w:color="auto"/>
        <w:bottom w:val="none" w:sz="0" w:space="0" w:color="auto"/>
        <w:right w:val="none" w:sz="0" w:space="0" w:color="auto"/>
      </w:divBdr>
    </w:div>
    <w:div w:id="287318333">
      <w:marLeft w:val="0"/>
      <w:marRight w:val="0"/>
      <w:marTop w:val="0"/>
      <w:marBottom w:val="0"/>
      <w:divBdr>
        <w:top w:val="none" w:sz="0" w:space="0" w:color="auto"/>
        <w:left w:val="none" w:sz="0" w:space="0" w:color="auto"/>
        <w:bottom w:val="none" w:sz="0" w:space="0" w:color="auto"/>
        <w:right w:val="none" w:sz="0" w:space="0" w:color="auto"/>
      </w:divBdr>
      <w:divsChild>
        <w:div w:id="1708946180">
          <w:marLeft w:val="0"/>
          <w:marRight w:val="0"/>
          <w:marTop w:val="0"/>
          <w:marBottom w:val="0"/>
          <w:divBdr>
            <w:top w:val="none" w:sz="0" w:space="0" w:color="auto"/>
            <w:left w:val="none" w:sz="0" w:space="0" w:color="auto"/>
            <w:bottom w:val="none" w:sz="0" w:space="0" w:color="auto"/>
            <w:right w:val="none" w:sz="0" w:space="0" w:color="auto"/>
          </w:divBdr>
        </w:div>
      </w:divsChild>
    </w:div>
    <w:div w:id="289821624">
      <w:marLeft w:val="0"/>
      <w:marRight w:val="0"/>
      <w:marTop w:val="0"/>
      <w:marBottom w:val="0"/>
      <w:divBdr>
        <w:top w:val="none" w:sz="0" w:space="0" w:color="auto"/>
        <w:left w:val="none" w:sz="0" w:space="0" w:color="auto"/>
        <w:bottom w:val="none" w:sz="0" w:space="0" w:color="auto"/>
        <w:right w:val="none" w:sz="0" w:space="0" w:color="auto"/>
      </w:divBdr>
      <w:divsChild>
        <w:div w:id="1472677002">
          <w:marLeft w:val="0"/>
          <w:marRight w:val="0"/>
          <w:marTop w:val="0"/>
          <w:marBottom w:val="0"/>
          <w:divBdr>
            <w:top w:val="none" w:sz="0" w:space="0" w:color="auto"/>
            <w:left w:val="none" w:sz="0" w:space="0" w:color="auto"/>
            <w:bottom w:val="none" w:sz="0" w:space="0" w:color="auto"/>
            <w:right w:val="none" w:sz="0" w:space="0" w:color="auto"/>
          </w:divBdr>
        </w:div>
      </w:divsChild>
    </w:div>
    <w:div w:id="290749712">
      <w:bodyDiv w:val="1"/>
      <w:marLeft w:val="0"/>
      <w:marRight w:val="0"/>
      <w:marTop w:val="0"/>
      <w:marBottom w:val="0"/>
      <w:divBdr>
        <w:top w:val="none" w:sz="0" w:space="0" w:color="auto"/>
        <w:left w:val="none" w:sz="0" w:space="0" w:color="auto"/>
        <w:bottom w:val="none" w:sz="0" w:space="0" w:color="auto"/>
        <w:right w:val="none" w:sz="0" w:space="0" w:color="auto"/>
      </w:divBdr>
    </w:div>
    <w:div w:id="294457579">
      <w:marLeft w:val="0"/>
      <w:marRight w:val="0"/>
      <w:marTop w:val="0"/>
      <w:marBottom w:val="0"/>
      <w:divBdr>
        <w:top w:val="none" w:sz="0" w:space="0" w:color="auto"/>
        <w:left w:val="none" w:sz="0" w:space="0" w:color="auto"/>
        <w:bottom w:val="none" w:sz="0" w:space="0" w:color="auto"/>
        <w:right w:val="none" w:sz="0" w:space="0" w:color="auto"/>
      </w:divBdr>
      <w:divsChild>
        <w:div w:id="761024211">
          <w:marLeft w:val="0"/>
          <w:marRight w:val="0"/>
          <w:marTop w:val="0"/>
          <w:marBottom w:val="0"/>
          <w:divBdr>
            <w:top w:val="none" w:sz="0" w:space="0" w:color="auto"/>
            <w:left w:val="none" w:sz="0" w:space="0" w:color="auto"/>
            <w:bottom w:val="none" w:sz="0" w:space="0" w:color="auto"/>
            <w:right w:val="none" w:sz="0" w:space="0" w:color="auto"/>
          </w:divBdr>
        </w:div>
      </w:divsChild>
    </w:div>
    <w:div w:id="296571486">
      <w:marLeft w:val="0"/>
      <w:marRight w:val="0"/>
      <w:marTop w:val="0"/>
      <w:marBottom w:val="0"/>
      <w:divBdr>
        <w:top w:val="none" w:sz="0" w:space="0" w:color="auto"/>
        <w:left w:val="none" w:sz="0" w:space="0" w:color="auto"/>
        <w:bottom w:val="none" w:sz="0" w:space="0" w:color="auto"/>
        <w:right w:val="none" w:sz="0" w:space="0" w:color="auto"/>
      </w:divBdr>
      <w:divsChild>
        <w:div w:id="1199855372">
          <w:marLeft w:val="0"/>
          <w:marRight w:val="0"/>
          <w:marTop w:val="0"/>
          <w:marBottom w:val="0"/>
          <w:divBdr>
            <w:top w:val="none" w:sz="0" w:space="0" w:color="auto"/>
            <w:left w:val="none" w:sz="0" w:space="0" w:color="auto"/>
            <w:bottom w:val="none" w:sz="0" w:space="0" w:color="auto"/>
            <w:right w:val="none" w:sz="0" w:space="0" w:color="auto"/>
          </w:divBdr>
        </w:div>
      </w:divsChild>
    </w:div>
    <w:div w:id="298189965">
      <w:bodyDiv w:val="1"/>
      <w:marLeft w:val="0"/>
      <w:marRight w:val="0"/>
      <w:marTop w:val="0"/>
      <w:marBottom w:val="0"/>
      <w:divBdr>
        <w:top w:val="none" w:sz="0" w:space="0" w:color="auto"/>
        <w:left w:val="none" w:sz="0" w:space="0" w:color="auto"/>
        <w:bottom w:val="none" w:sz="0" w:space="0" w:color="auto"/>
        <w:right w:val="none" w:sz="0" w:space="0" w:color="auto"/>
      </w:divBdr>
    </w:div>
    <w:div w:id="303042949">
      <w:marLeft w:val="0"/>
      <w:marRight w:val="0"/>
      <w:marTop w:val="0"/>
      <w:marBottom w:val="0"/>
      <w:divBdr>
        <w:top w:val="none" w:sz="0" w:space="0" w:color="auto"/>
        <w:left w:val="none" w:sz="0" w:space="0" w:color="auto"/>
        <w:bottom w:val="none" w:sz="0" w:space="0" w:color="auto"/>
        <w:right w:val="none" w:sz="0" w:space="0" w:color="auto"/>
      </w:divBdr>
      <w:divsChild>
        <w:div w:id="1050423630">
          <w:marLeft w:val="0"/>
          <w:marRight w:val="0"/>
          <w:marTop w:val="0"/>
          <w:marBottom w:val="0"/>
          <w:divBdr>
            <w:top w:val="none" w:sz="0" w:space="0" w:color="auto"/>
            <w:left w:val="none" w:sz="0" w:space="0" w:color="auto"/>
            <w:bottom w:val="none" w:sz="0" w:space="0" w:color="auto"/>
            <w:right w:val="none" w:sz="0" w:space="0" w:color="auto"/>
          </w:divBdr>
        </w:div>
      </w:divsChild>
    </w:div>
    <w:div w:id="309600456">
      <w:bodyDiv w:val="1"/>
      <w:marLeft w:val="0"/>
      <w:marRight w:val="0"/>
      <w:marTop w:val="0"/>
      <w:marBottom w:val="0"/>
      <w:divBdr>
        <w:top w:val="none" w:sz="0" w:space="0" w:color="auto"/>
        <w:left w:val="none" w:sz="0" w:space="0" w:color="auto"/>
        <w:bottom w:val="none" w:sz="0" w:space="0" w:color="auto"/>
        <w:right w:val="none" w:sz="0" w:space="0" w:color="auto"/>
      </w:divBdr>
    </w:div>
    <w:div w:id="311522160">
      <w:bodyDiv w:val="1"/>
      <w:marLeft w:val="0"/>
      <w:marRight w:val="0"/>
      <w:marTop w:val="0"/>
      <w:marBottom w:val="0"/>
      <w:divBdr>
        <w:top w:val="none" w:sz="0" w:space="0" w:color="auto"/>
        <w:left w:val="none" w:sz="0" w:space="0" w:color="auto"/>
        <w:bottom w:val="none" w:sz="0" w:space="0" w:color="auto"/>
        <w:right w:val="none" w:sz="0" w:space="0" w:color="auto"/>
      </w:divBdr>
      <w:divsChild>
        <w:div w:id="249973002">
          <w:marLeft w:val="0"/>
          <w:marRight w:val="0"/>
          <w:marTop w:val="0"/>
          <w:marBottom w:val="0"/>
          <w:divBdr>
            <w:top w:val="none" w:sz="0" w:space="0" w:color="auto"/>
            <w:left w:val="none" w:sz="0" w:space="0" w:color="auto"/>
            <w:bottom w:val="none" w:sz="0" w:space="0" w:color="auto"/>
            <w:right w:val="none" w:sz="0" w:space="0" w:color="auto"/>
          </w:divBdr>
          <w:divsChild>
            <w:div w:id="1108432909">
              <w:marLeft w:val="0"/>
              <w:marRight w:val="0"/>
              <w:marTop w:val="0"/>
              <w:marBottom w:val="0"/>
              <w:divBdr>
                <w:top w:val="none" w:sz="0" w:space="0" w:color="auto"/>
                <w:left w:val="none" w:sz="0" w:space="0" w:color="auto"/>
                <w:bottom w:val="none" w:sz="0" w:space="0" w:color="auto"/>
                <w:right w:val="none" w:sz="0" w:space="0" w:color="auto"/>
              </w:divBdr>
            </w:div>
            <w:div w:id="367142253">
              <w:marLeft w:val="0"/>
              <w:marRight w:val="0"/>
              <w:marTop w:val="0"/>
              <w:marBottom w:val="0"/>
              <w:divBdr>
                <w:top w:val="none" w:sz="0" w:space="0" w:color="auto"/>
                <w:left w:val="none" w:sz="0" w:space="0" w:color="auto"/>
                <w:bottom w:val="none" w:sz="0" w:space="0" w:color="auto"/>
                <w:right w:val="none" w:sz="0" w:space="0" w:color="auto"/>
              </w:divBdr>
            </w:div>
            <w:div w:id="1301032293">
              <w:marLeft w:val="0"/>
              <w:marRight w:val="0"/>
              <w:marTop w:val="0"/>
              <w:marBottom w:val="0"/>
              <w:divBdr>
                <w:top w:val="none" w:sz="0" w:space="0" w:color="auto"/>
                <w:left w:val="none" w:sz="0" w:space="0" w:color="auto"/>
                <w:bottom w:val="none" w:sz="0" w:space="0" w:color="auto"/>
                <w:right w:val="none" w:sz="0" w:space="0" w:color="auto"/>
              </w:divBdr>
            </w:div>
            <w:div w:id="599217663">
              <w:marLeft w:val="0"/>
              <w:marRight w:val="0"/>
              <w:marTop w:val="0"/>
              <w:marBottom w:val="0"/>
              <w:divBdr>
                <w:top w:val="none" w:sz="0" w:space="0" w:color="auto"/>
                <w:left w:val="none" w:sz="0" w:space="0" w:color="auto"/>
                <w:bottom w:val="none" w:sz="0" w:space="0" w:color="auto"/>
                <w:right w:val="none" w:sz="0" w:space="0" w:color="auto"/>
              </w:divBdr>
            </w:div>
            <w:div w:id="1108889339">
              <w:marLeft w:val="0"/>
              <w:marRight w:val="0"/>
              <w:marTop w:val="0"/>
              <w:marBottom w:val="0"/>
              <w:divBdr>
                <w:top w:val="none" w:sz="0" w:space="0" w:color="auto"/>
                <w:left w:val="none" w:sz="0" w:space="0" w:color="auto"/>
                <w:bottom w:val="none" w:sz="0" w:space="0" w:color="auto"/>
                <w:right w:val="none" w:sz="0" w:space="0" w:color="auto"/>
              </w:divBdr>
            </w:div>
            <w:div w:id="507840325">
              <w:marLeft w:val="0"/>
              <w:marRight w:val="0"/>
              <w:marTop w:val="0"/>
              <w:marBottom w:val="0"/>
              <w:divBdr>
                <w:top w:val="none" w:sz="0" w:space="0" w:color="auto"/>
                <w:left w:val="none" w:sz="0" w:space="0" w:color="auto"/>
                <w:bottom w:val="none" w:sz="0" w:space="0" w:color="auto"/>
                <w:right w:val="none" w:sz="0" w:space="0" w:color="auto"/>
              </w:divBdr>
            </w:div>
            <w:div w:id="1877500171">
              <w:marLeft w:val="0"/>
              <w:marRight w:val="0"/>
              <w:marTop w:val="0"/>
              <w:marBottom w:val="0"/>
              <w:divBdr>
                <w:top w:val="none" w:sz="0" w:space="0" w:color="auto"/>
                <w:left w:val="none" w:sz="0" w:space="0" w:color="auto"/>
                <w:bottom w:val="none" w:sz="0" w:space="0" w:color="auto"/>
                <w:right w:val="none" w:sz="0" w:space="0" w:color="auto"/>
              </w:divBdr>
            </w:div>
            <w:div w:id="2084062382">
              <w:marLeft w:val="0"/>
              <w:marRight w:val="0"/>
              <w:marTop w:val="0"/>
              <w:marBottom w:val="0"/>
              <w:divBdr>
                <w:top w:val="none" w:sz="0" w:space="0" w:color="auto"/>
                <w:left w:val="none" w:sz="0" w:space="0" w:color="auto"/>
                <w:bottom w:val="none" w:sz="0" w:space="0" w:color="auto"/>
                <w:right w:val="none" w:sz="0" w:space="0" w:color="auto"/>
              </w:divBdr>
            </w:div>
            <w:div w:id="1359815347">
              <w:marLeft w:val="0"/>
              <w:marRight w:val="0"/>
              <w:marTop w:val="0"/>
              <w:marBottom w:val="0"/>
              <w:divBdr>
                <w:top w:val="none" w:sz="0" w:space="0" w:color="auto"/>
                <w:left w:val="none" w:sz="0" w:space="0" w:color="auto"/>
                <w:bottom w:val="none" w:sz="0" w:space="0" w:color="auto"/>
                <w:right w:val="none" w:sz="0" w:space="0" w:color="auto"/>
              </w:divBdr>
            </w:div>
            <w:div w:id="1242642735">
              <w:marLeft w:val="0"/>
              <w:marRight w:val="0"/>
              <w:marTop w:val="0"/>
              <w:marBottom w:val="0"/>
              <w:divBdr>
                <w:top w:val="none" w:sz="0" w:space="0" w:color="auto"/>
                <w:left w:val="none" w:sz="0" w:space="0" w:color="auto"/>
                <w:bottom w:val="none" w:sz="0" w:space="0" w:color="auto"/>
                <w:right w:val="none" w:sz="0" w:space="0" w:color="auto"/>
              </w:divBdr>
            </w:div>
            <w:div w:id="1640529045">
              <w:marLeft w:val="0"/>
              <w:marRight w:val="0"/>
              <w:marTop w:val="0"/>
              <w:marBottom w:val="0"/>
              <w:divBdr>
                <w:top w:val="none" w:sz="0" w:space="0" w:color="auto"/>
                <w:left w:val="none" w:sz="0" w:space="0" w:color="auto"/>
                <w:bottom w:val="none" w:sz="0" w:space="0" w:color="auto"/>
                <w:right w:val="none" w:sz="0" w:space="0" w:color="auto"/>
              </w:divBdr>
            </w:div>
            <w:div w:id="268439145">
              <w:marLeft w:val="0"/>
              <w:marRight w:val="0"/>
              <w:marTop w:val="0"/>
              <w:marBottom w:val="0"/>
              <w:divBdr>
                <w:top w:val="none" w:sz="0" w:space="0" w:color="auto"/>
                <w:left w:val="none" w:sz="0" w:space="0" w:color="auto"/>
                <w:bottom w:val="none" w:sz="0" w:space="0" w:color="auto"/>
                <w:right w:val="none" w:sz="0" w:space="0" w:color="auto"/>
              </w:divBdr>
            </w:div>
            <w:div w:id="1328249182">
              <w:marLeft w:val="0"/>
              <w:marRight w:val="0"/>
              <w:marTop w:val="0"/>
              <w:marBottom w:val="0"/>
              <w:divBdr>
                <w:top w:val="none" w:sz="0" w:space="0" w:color="auto"/>
                <w:left w:val="none" w:sz="0" w:space="0" w:color="auto"/>
                <w:bottom w:val="none" w:sz="0" w:space="0" w:color="auto"/>
                <w:right w:val="none" w:sz="0" w:space="0" w:color="auto"/>
              </w:divBdr>
            </w:div>
            <w:div w:id="1038622508">
              <w:marLeft w:val="0"/>
              <w:marRight w:val="0"/>
              <w:marTop w:val="0"/>
              <w:marBottom w:val="0"/>
              <w:divBdr>
                <w:top w:val="none" w:sz="0" w:space="0" w:color="auto"/>
                <w:left w:val="none" w:sz="0" w:space="0" w:color="auto"/>
                <w:bottom w:val="none" w:sz="0" w:space="0" w:color="auto"/>
                <w:right w:val="none" w:sz="0" w:space="0" w:color="auto"/>
              </w:divBdr>
            </w:div>
            <w:div w:id="2073766266">
              <w:marLeft w:val="0"/>
              <w:marRight w:val="0"/>
              <w:marTop w:val="0"/>
              <w:marBottom w:val="0"/>
              <w:divBdr>
                <w:top w:val="none" w:sz="0" w:space="0" w:color="auto"/>
                <w:left w:val="none" w:sz="0" w:space="0" w:color="auto"/>
                <w:bottom w:val="none" w:sz="0" w:space="0" w:color="auto"/>
                <w:right w:val="none" w:sz="0" w:space="0" w:color="auto"/>
              </w:divBdr>
            </w:div>
            <w:div w:id="1084568526">
              <w:marLeft w:val="0"/>
              <w:marRight w:val="0"/>
              <w:marTop w:val="0"/>
              <w:marBottom w:val="0"/>
              <w:divBdr>
                <w:top w:val="none" w:sz="0" w:space="0" w:color="auto"/>
                <w:left w:val="none" w:sz="0" w:space="0" w:color="auto"/>
                <w:bottom w:val="none" w:sz="0" w:space="0" w:color="auto"/>
                <w:right w:val="none" w:sz="0" w:space="0" w:color="auto"/>
              </w:divBdr>
            </w:div>
            <w:div w:id="11880457">
              <w:marLeft w:val="0"/>
              <w:marRight w:val="0"/>
              <w:marTop w:val="0"/>
              <w:marBottom w:val="0"/>
              <w:divBdr>
                <w:top w:val="none" w:sz="0" w:space="0" w:color="auto"/>
                <w:left w:val="none" w:sz="0" w:space="0" w:color="auto"/>
                <w:bottom w:val="none" w:sz="0" w:space="0" w:color="auto"/>
                <w:right w:val="none" w:sz="0" w:space="0" w:color="auto"/>
              </w:divBdr>
            </w:div>
            <w:div w:id="419376587">
              <w:marLeft w:val="0"/>
              <w:marRight w:val="0"/>
              <w:marTop w:val="0"/>
              <w:marBottom w:val="0"/>
              <w:divBdr>
                <w:top w:val="none" w:sz="0" w:space="0" w:color="auto"/>
                <w:left w:val="none" w:sz="0" w:space="0" w:color="auto"/>
                <w:bottom w:val="none" w:sz="0" w:space="0" w:color="auto"/>
                <w:right w:val="none" w:sz="0" w:space="0" w:color="auto"/>
              </w:divBdr>
            </w:div>
            <w:div w:id="1674910815">
              <w:marLeft w:val="0"/>
              <w:marRight w:val="0"/>
              <w:marTop w:val="0"/>
              <w:marBottom w:val="0"/>
              <w:divBdr>
                <w:top w:val="none" w:sz="0" w:space="0" w:color="auto"/>
                <w:left w:val="none" w:sz="0" w:space="0" w:color="auto"/>
                <w:bottom w:val="none" w:sz="0" w:space="0" w:color="auto"/>
                <w:right w:val="none" w:sz="0" w:space="0" w:color="auto"/>
              </w:divBdr>
            </w:div>
            <w:div w:id="1977250365">
              <w:marLeft w:val="0"/>
              <w:marRight w:val="0"/>
              <w:marTop w:val="0"/>
              <w:marBottom w:val="0"/>
              <w:divBdr>
                <w:top w:val="none" w:sz="0" w:space="0" w:color="auto"/>
                <w:left w:val="none" w:sz="0" w:space="0" w:color="auto"/>
                <w:bottom w:val="none" w:sz="0" w:space="0" w:color="auto"/>
                <w:right w:val="none" w:sz="0" w:space="0" w:color="auto"/>
              </w:divBdr>
            </w:div>
            <w:div w:id="721751086">
              <w:marLeft w:val="0"/>
              <w:marRight w:val="0"/>
              <w:marTop w:val="0"/>
              <w:marBottom w:val="0"/>
              <w:divBdr>
                <w:top w:val="none" w:sz="0" w:space="0" w:color="auto"/>
                <w:left w:val="none" w:sz="0" w:space="0" w:color="auto"/>
                <w:bottom w:val="none" w:sz="0" w:space="0" w:color="auto"/>
                <w:right w:val="none" w:sz="0" w:space="0" w:color="auto"/>
              </w:divBdr>
            </w:div>
            <w:div w:id="1155536677">
              <w:marLeft w:val="0"/>
              <w:marRight w:val="0"/>
              <w:marTop w:val="0"/>
              <w:marBottom w:val="0"/>
              <w:divBdr>
                <w:top w:val="none" w:sz="0" w:space="0" w:color="auto"/>
                <w:left w:val="none" w:sz="0" w:space="0" w:color="auto"/>
                <w:bottom w:val="none" w:sz="0" w:space="0" w:color="auto"/>
                <w:right w:val="none" w:sz="0" w:space="0" w:color="auto"/>
              </w:divBdr>
            </w:div>
            <w:div w:id="1936014966">
              <w:marLeft w:val="0"/>
              <w:marRight w:val="0"/>
              <w:marTop w:val="0"/>
              <w:marBottom w:val="0"/>
              <w:divBdr>
                <w:top w:val="none" w:sz="0" w:space="0" w:color="auto"/>
                <w:left w:val="none" w:sz="0" w:space="0" w:color="auto"/>
                <w:bottom w:val="none" w:sz="0" w:space="0" w:color="auto"/>
                <w:right w:val="none" w:sz="0" w:space="0" w:color="auto"/>
              </w:divBdr>
            </w:div>
            <w:div w:id="1185099469">
              <w:marLeft w:val="0"/>
              <w:marRight w:val="0"/>
              <w:marTop w:val="0"/>
              <w:marBottom w:val="0"/>
              <w:divBdr>
                <w:top w:val="none" w:sz="0" w:space="0" w:color="auto"/>
                <w:left w:val="none" w:sz="0" w:space="0" w:color="auto"/>
                <w:bottom w:val="none" w:sz="0" w:space="0" w:color="auto"/>
                <w:right w:val="none" w:sz="0" w:space="0" w:color="auto"/>
              </w:divBdr>
            </w:div>
            <w:div w:id="342632418">
              <w:marLeft w:val="0"/>
              <w:marRight w:val="0"/>
              <w:marTop w:val="0"/>
              <w:marBottom w:val="0"/>
              <w:divBdr>
                <w:top w:val="none" w:sz="0" w:space="0" w:color="auto"/>
                <w:left w:val="none" w:sz="0" w:space="0" w:color="auto"/>
                <w:bottom w:val="none" w:sz="0" w:space="0" w:color="auto"/>
                <w:right w:val="none" w:sz="0" w:space="0" w:color="auto"/>
              </w:divBdr>
            </w:div>
            <w:div w:id="564222776">
              <w:marLeft w:val="0"/>
              <w:marRight w:val="0"/>
              <w:marTop w:val="0"/>
              <w:marBottom w:val="0"/>
              <w:divBdr>
                <w:top w:val="none" w:sz="0" w:space="0" w:color="auto"/>
                <w:left w:val="none" w:sz="0" w:space="0" w:color="auto"/>
                <w:bottom w:val="none" w:sz="0" w:space="0" w:color="auto"/>
                <w:right w:val="none" w:sz="0" w:space="0" w:color="auto"/>
              </w:divBdr>
            </w:div>
            <w:div w:id="109907682">
              <w:marLeft w:val="0"/>
              <w:marRight w:val="0"/>
              <w:marTop w:val="0"/>
              <w:marBottom w:val="0"/>
              <w:divBdr>
                <w:top w:val="none" w:sz="0" w:space="0" w:color="auto"/>
                <w:left w:val="none" w:sz="0" w:space="0" w:color="auto"/>
                <w:bottom w:val="none" w:sz="0" w:space="0" w:color="auto"/>
                <w:right w:val="none" w:sz="0" w:space="0" w:color="auto"/>
              </w:divBdr>
            </w:div>
            <w:div w:id="1928297328">
              <w:marLeft w:val="0"/>
              <w:marRight w:val="0"/>
              <w:marTop w:val="0"/>
              <w:marBottom w:val="0"/>
              <w:divBdr>
                <w:top w:val="none" w:sz="0" w:space="0" w:color="auto"/>
                <w:left w:val="none" w:sz="0" w:space="0" w:color="auto"/>
                <w:bottom w:val="none" w:sz="0" w:space="0" w:color="auto"/>
                <w:right w:val="none" w:sz="0" w:space="0" w:color="auto"/>
              </w:divBdr>
            </w:div>
            <w:div w:id="805394376">
              <w:marLeft w:val="0"/>
              <w:marRight w:val="0"/>
              <w:marTop w:val="0"/>
              <w:marBottom w:val="0"/>
              <w:divBdr>
                <w:top w:val="none" w:sz="0" w:space="0" w:color="auto"/>
                <w:left w:val="none" w:sz="0" w:space="0" w:color="auto"/>
                <w:bottom w:val="none" w:sz="0" w:space="0" w:color="auto"/>
                <w:right w:val="none" w:sz="0" w:space="0" w:color="auto"/>
              </w:divBdr>
            </w:div>
            <w:div w:id="609897589">
              <w:marLeft w:val="0"/>
              <w:marRight w:val="0"/>
              <w:marTop w:val="0"/>
              <w:marBottom w:val="0"/>
              <w:divBdr>
                <w:top w:val="none" w:sz="0" w:space="0" w:color="auto"/>
                <w:left w:val="none" w:sz="0" w:space="0" w:color="auto"/>
                <w:bottom w:val="none" w:sz="0" w:space="0" w:color="auto"/>
                <w:right w:val="none" w:sz="0" w:space="0" w:color="auto"/>
              </w:divBdr>
            </w:div>
            <w:div w:id="988897553">
              <w:marLeft w:val="0"/>
              <w:marRight w:val="0"/>
              <w:marTop w:val="0"/>
              <w:marBottom w:val="0"/>
              <w:divBdr>
                <w:top w:val="none" w:sz="0" w:space="0" w:color="auto"/>
                <w:left w:val="none" w:sz="0" w:space="0" w:color="auto"/>
                <w:bottom w:val="none" w:sz="0" w:space="0" w:color="auto"/>
                <w:right w:val="none" w:sz="0" w:space="0" w:color="auto"/>
              </w:divBdr>
            </w:div>
            <w:div w:id="1602688879">
              <w:marLeft w:val="0"/>
              <w:marRight w:val="0"/>
              <w:marTop w:val="0"/>
              <w:marBottom w:val="0"/>
              <w:divBdr>
                <w:top w:val="none" w:sz="0" w:space="0" w:color="auto"/>
                <w:left w:val="none" w:sz="0" w:space="0" w:color="auto"/>
                <w:bottom w:val="none" w:sz="0" w:space="0" w:color="auto"/>
                <w:right w:val="none" w:sz="0" w:space="0" w:color="auto"/>
              </w:divBdr>
            </w:div>
            <w:div w:id="283775167">
              <w:marLeft w:val="0"/>
              <w:marRight w:val="0"/>
              <w:marTop w:val="0"/>
              <w:marBottom w:val="0"/>
              <w:divBdr>
                <w:top w:val="none" w:sz="0" w:space="0" w:color="auto"/>
                <w:left w:val="none" w:sz="0" w:space="0" w:color="auto"/>
                <w:bottom w:val="none" w:sz="0" w:space="0" w:color="auto"/>
                <w:right w:val="none" w:sz="0" w:space="0" w:color="auto"/>
              </w:divBdr>
            </w:div>
            <w:div w:id="2134713642">
              <w:marLeft w:val="0"/>
              <w:marRight w:val="0"/>
              <w:marTop w:val="0"/>
              <w:marBottom w:val="0"/>
              <w:divBdr>
                <w:top w:val="none" w:sz="0" w:space="0" w:color="auto"/>
                <w:left w:val="none" w:sz="0" w:space="0" w:color="auto"/>
                <w:bottom w:val="none" w:sz="0" w:space="0" w:color="auto"/>
                <w:right w:val="none" w:sz="0" w:space="0" w:color="auto"/>
              </w:divBdr>
            </w:div>
            <w:div w:id="1563979825">
              <w:marLeft w:val="0"/>
              <w:marRight w:val="0"/>
              <w:marTop w:val="0"/>
              <w:marBottom w:val="0"/>
              <w:divBdr>
                <w:top w:val="none" w:sz="0" w:space="0" w:color="auto"/>
                <w:left w:val="none" w:sz="0" w:space="0" w:color="auto"/>
                <w:bottom w:val="none" w:sz="0" w:space="0" w:color="auto"/>
                <w:right w:val="none" w:sz="0" w:space="0" w:color="auto"/>
              </w:divBdr>
            </w:div>
            <w:div w:id="675697276">
              <w:marLeft w:val="0"/>
              <w:marRight w:val="0"/>
              <w:marTop w:val="0"/>
              <w:marBottom w:val="0"/>
              <w:divBdr>
                <w:top w:val="none" w:sz="0" w:space="0" w:color="auto"/>
                <w:left w:val="none" w:sz="0" w:space="0" w:color="auto"/>
                <w:bottom w:val="none" w:sz="0" w:space="0" w:color="auto"/>
                <w:right w:val="none" w:sz="0" w:space="0" w:color="auto"/>
              </w:divBdr>
            </w:div>
            <w:div w:id="18051303">
              <w:marLeft w:val="0"/>
              <w:marRight w:val="0"/>
              <w:marTop w:val="0"/>
              <w:marBottom w:val="0"/>
              <w:divBdr>
                <w:top w:val="none" w:sz="0" w:space="0" w:color="auto"/>
                <w:left w:val="none" w:sz="0" w:space="0" w:color="auto"/>
                <w:bottom w:val="none" w:sz="0" w:space="0" w:color="auto"/>
                <w:right w:val="none" w:sz="0" w:space="0" w:color="auto"/>
              </w:divBdr>
            </w:div>
            <w:div w:id="1872257369">
              <w:marLeft w:val="0"/>
              <w:marRight w:val="0"/>
              <w:marTop w:val="0"/>
              <w:marBottom w:val="0"/>
              <w:divBdr>
                <w:top w:val="none" w:sz="0" w:space="0" w:color="auto"/>
                <w:left w:val="none" w:sz="0" w:space="0" w:color="auto"/>
                <w:bottom w:val="none" w:sz="0" w:space="0" w:color="auto"/>
                <w:right w:val="none" w:sz="0" w:space="0" w:color="auto"/>
              </w:divBdr>
            </w:div>
            <w:div w:id="624820846">
              <w:marLeft w:val="0"/>
              <w:marRight w:val="0"/>
              <w:marTop w:val="0"/>
              <w:marBottom w:val="0"/>
              <w:divBdr>
                <w:top w:val="none" w:sz="0" w:space="0" w:color="auto"/>
                <w:left w:val="none" w:sz="0" w:space="0" w:color="auto"/>
                <w:bottom w:val="none" w:sz="0" w:space="0" w:color="auto"/>
                <w:right w:val="none" w:sz="0" w:space="0" w:color="auto"/>
              </w:divBdr>
            </w:div>
            <w:div w:id="856425706">
              <w:marLeft w:val="0"/>
              <w:marRight w:val="0"/>
              <w:marTop w:val="0"/>
              <w:marBottom w:val="0"/>
              <w:divBdr>
                <w:top w:val="none" w:sz="0" w:space="0" w:color="auto"/>
                <w:left w:val="none" w:sz="0" w:space="0" w:color="auto"/>
                <w:bottom w:val="none" w:sz="0" w:space="0" w:color="auto"/>
                <w:right w:val="none" w:sz="0" w:space="0" w:color="auto"/>
              </w:divBdr>
            </w:div>
            <w:div w:id="29769736">
              <w:marLeft w:val="0"/>
              <w:marRight w:val="0"/>
              <w:marTop w:val="0"/>
              <w:marBottom w:val="0"/>
              <w:divBdr>
                <w:top w:val="none" w:sz="0" w:space="0" w:color="auto"/>
                <w:left w:val="none" w:sz="0" w:space="0" w:color="auto"/>
                <w:bottom w:val="none" w:sz="0" w:space="0" w:color="auto"/>
                <w:right w:val="none" w:sz="0" w:space="0" w:color="auto"/>
              </w:divBdr>
            </w:div>
            <w:div w:id="148907628">
              <w:marLeft w:val="0"/>
              <w:marRight w:val="0"/>
              <w:marTop w:val="0"/>
              <w:marBottom w:val="0"/>
              <w:divBdr>
                <w:top w:val="none" w:sz="0" w:space="0" w:color="auto"/>
                <w:left w:val="none" w:sz="0" w:space="0" w:color="auto"/>
                <w:bottom w:val="none" w:sz="0" w:space="0" w:color="auto"/>
                <w:right w:val="none" w:sz="0" w:space="0" w:color="auto"/>
              </w:divBdr>
            </w:div>
            <w:div w:id="431895327">
              <w:marLeft w:val="0"/>
              <w:marRight w:val="0"/>
              <w:marTop w:val="0"/>
              <w:marBottom w:val="0"/>
              <w:divBdr>
                <w:top w:val="none" w:sz="0" w:space="0" w:color="auto"/>
                <w:left w:val="none" w:sz="0" w:space="0" w:color="auto"/>
                <w:bottom w:val="none" w:sz="0" w:space="0" w:color="auto"/>
                <w:right w:val="none" w:sz="0" w:space="0" w:color="auto"/>
              </w:divBdr>
            </w:div>
            <w:div w:id="1109274431">
              <w:marLeft w:val="0"/>
              <w:marRight w:val="0"/>
              <w:marTop w:val="0"/>
              <w:marBottom w:val="0"/>
              <w:divBdr>
                <w:top w:val="none" w:sz="0" w:space="0" w:color="auto"/>
                <w:left w:val="none" w:sz="0" w:space="0" w:color="auto"/>
                <w:bottom w:val="none" w:sz="0" w:space="0" w:color="auto"/>
                <w:right w:val="none" w:sz="0" w:space="0" w:color="auto"/>
              </w:divBdr>
            </w:div>
            <w:div w:id="653220699">
              <w:marLeft w:val="0"/>
              <w:marRight w:val="0"/>
              <w:marTop w:val="0"/>
              <w:marBottom w:val="0"/>
              <w:divBdr>
                <w:top w:val="none" w:sz="0" w:space="0" w:color="auto"/>
                <w:left w:val="none" w:sz="0" w:space="0" w:color="auto"/>
                <w:bottom w:val="none" w:sz="0" w:space="0" w:color="auto"/>
                <w:right w:val="none" w:sz="0" w:space="0" w:color="auto"/>
              </w:divBdr>
            </w:div>
            <w:div w:id="1289892255">
              <w:marLeft w:val="0"/>
              <w:marRight w:val="0"/>
              <w:marTop w:val="0"/>
              <w:marBottom w:val="0"/>
              <w:divBdr>
                <w:top w:val="none" w:sz="0" w:space="0" w:color="auto"/>
                <w:left w:val="none" w:sz="0" w:space="0" w:color="auto"/>
                <w:bottom w:val="none" w:sz="0" w:space="0" w:color="auto"/>
                <w:right w:val="none" w:sz="0" w:space="0" w:color="auto"/>
              </w:divBdr>
            </w:div>
            <w:div w:id="1125612460">
              <w:marLeft w:val="0"/>
              <w:marRight w:val="0"/>
              <w:marTop w:val="0"/>
              <w:marBottom w:val="0"/>
              <w:divBdr>
                <w:top w:val="none" w:sz="0" w:space="0" w:color="auto"/>
                <w:left w:val="none" w:sz="0" w:space="0" w:color="auto"/>
                <w:bottom w:val="none" w:sz="0" w:space="0" w:color="auto"/>
                <w:right w:val="none" w:sz="0" w:space="0" w:color="auto"/>
              </w:divBdr>
            </w:div>
            <w:div w:id="622884281">
              <w:marLeft w:val="0"/>
              <w:marRight w:val="0"/>
              <w:marTop w:val="0"/>
              <w:marBottom w:val="0"/>
              <w:divBdr>
                <w:top w:val="none" w:sz="0" w:space="0" w:color="auto"/>
                <w:left w:val="none" w:sz="0" w:space="0" w:color="auto"/>
                <w:bottom w:val="none" w:sz="0" w:space="0" w:color="auto"/>
                <w:right w:val="none" w:sz="0" w:space="0" w:color="auto"/>
              </w:divBdr>
            </w:div>
            <w:div w:id="1938712752">
              <w:marLeft w:val="0"/>
              <w:marRight w:val="0"/>
              <w:marTop w:val="0"/>
              <w:marBottom w:val="0"/>
              <w:divBdr>
                <w:top w:val="none" w:sz="0" w:space="0" w:color="auto"/>
                <w:left w:val="none" w:sz="0" w:space="0" w:color="auto"/>
                <w:bottom w:val="none" w:sz="0" w:space="0" w:color="auto"/>
                <w:right w:val="none" w:sz="0" w:space="0" w:color="auto"/>
              </w:divBdr>
            </w:div>
            <w:div w:id="1337151759">
              <w:marLeft w:val="0"/>
              <w:marRight w:val="0"/>
              <w:marTop w:val="0"/>
              <w:marBottom w:val="0"/>
              <w:divBdr>
                <w:top w:val="none" w:sz="0" w:space="0" w:color="auto"/>
                <w:left w:val="none" w:sz="0" w:space="0" w:color="auto"/>
                <w:bottom w:val="none" w:sz="0" w:space="0" w:color="auto"/>
                <w:right w:val="none" w:sz="0" w:space="0" w:color="auto"/>
              </w:divBdr>
            </w:div>
            <w:div w:id="1241671058">
              <w:marLeft w:val="0"/>
              <w:marRight w:val="0"/>
              <w:marTop w:val="0"/>
              <w:marBottom w:val="0"/>
              <w:divBdr>
                <w:top w:val="none" w:sz="0" w:space="0" w:color="auto"/>
                <w:left w:val="none" w:sz="0" w:space="0" w:color="auto"/>
                <w:bottom w:val="none" w:sz="0" w:space="0" w:color="auto"/>
                <w:right w:val="none" w:sz="0" w:space="0" w:color="auto"/>
              </w:divBdr>
            </w:div>
            <w:div w:id="771584201">
              <w:marLeft w:val="0"/>
              <w:marRight w:val="0"/>
              <w:marTop w:val="0"/>
              <w:marBottom w:val="0"/>
              <w:divBdr>
                <w:top w:val="none" w:sz="0" w:space="0" w:color="auto"/>
                <w:left w:val="none" w:sz="0" w:space="0" w:color="auto"/>
                <w:bottom w:val="none" w:sz="0" w:space="0" w:color="auto"/>
                <w:right w:val="none" w:sz="0" w:space="0" w:color="auto"/>
              </w:divBdr>
            </w:div>
            <w:div w:id="1964193040">
              <w:marLeft w:val="0"/>
              <w:marRight w:val="0"/>
              <w:marTop w:val="0"/>
              <w:marBottom w:val="0"/>
              <w:divBdr>
                <w:top w:val="none" w:sz="0" w:space="0" w:color="auto"/>
                <w:left w:val="none" w:sz="0" w:space="0" w:color="auto"/>
                <w:bottom w:val="none" w:sz="0" w:space="0" w:color="auto"/>
                <w:right w:val="none" w:sz="0" w:space="0" w:color="auto"/>
              </w:divBdr>
            </w:div>
            <w:div w:id="1008480188">
              <w:marLeft w:val="0"/>
              <w:marRight w:val="0"/>
              <w:marTop w:val="0"/>
              <w:marBottom w:val="0"/>
              <w:divBdr>
                <w:top w:val="none" w:sz="0" w:space="0" w:color="auto"/>
                <w:left w:val="none" w:sz="0" w:space="0" w:color="auto"/>
                <w:bottom w:val="none" w:sz="0" w:space="0" w:color="auto"/>
                <w:right w:val="none" w:sz="0" w:space="0" w:color="auto"/>
              </w:divBdr>
            </w:div>
            <w:div w:id="1670907341">
              <w:marLeft w:val="0"/>
              <w:marRight w:val="0"/>
              <w:marTop w:val="0"/>
              <w:marBottom w:val="0"/>
              <w:divBdr>
                <w:top w:val="none" w:sz="0" w:space="0" w:color="auto"/>
                <w:left w:val="none" w:sz="0" w:space="0" w:color="auto"/>
                <w:bottom w:val="none" w:sz="0" w:space="0" w:color="auto"/>
                <w:right w:val="none" w:sz="0" w:space="0" w:color="auto"/>
              </w:divBdr>
            </w:div>
            <w:div w:id="84110078">
              <w:marLeft w:val="0"/>
              <w:marRight w:val="0"/>
              <w:marTop w:val="0"/>
              <w:marBottom w:val="0"/>
              <w:divBdr>
                <w:top w:val="none" w:sz="0" w:space="0" w:color="auto"/>
                <w:left w:val="none" w:sz="0" w:space="0" w:color="auto"/>
                <w:bottom w:val="none" w:sz="0" w:space="0" w:color="auto"/>
                <w:right w:val="none" w:sz="0" w:space="0" w:color="auto"/>
              </w:divBdr>
            </w:div>
            <w:div w:id="1039621535">
              <w:marLeft w:val="0"/>
              <w:marRight w:val="0"/>
              <w:marTop w:val="0"/>
              <w:marBottom w:val="0"/>
              <w:divBdr>
                <w:top w:val="none" w:sz="0" w:space="0" w:color="auto"/>
                <w:left w:val="none" w:sz="0" w:space="0" w:color="auto"/>
                <w:bottom w:val="none" w:sz="0" w:space="0" w:color="auto"/>
                <w:right w:val="none" w:sz="0" w:space="0" w:color="auto"/>
              </w:divBdr>
            </w:div>
            <w:div w:id="1187672301">
              <w:marLeft w:val="0"/>
              <w:marRight w:val="0"/>
              <w:marTop w:val="0"/>
              <w:marBottom w:val="0"/>
              <w:divBdr>
                <w:top w:val="none" w:sz="0" w:space="0" w:color="auto"/>
                <w:left w:val="none" w:sz="0" w:space="0" w:color="auto"/>
                <w:bottom w:val="none" w:sz="0" w:space="0" w:color="auto"/>
                <w:right w:val="none" w:sz="0" w:space="0" w:color="auto"/>
              </w:divBdr>
            </w:div>
            <w:div w:id="1469399449">
              <w:marLeft w:val="0"/>
              <w:marRight w:val="0"/>
              <w:marTop w:val="0"/>
              <w:marBottom w:val="0"/>
              <w:divBdr>
                <w:top w:val="none" w:sz="0" w:space="0" w:color="auto"/>
                <w:left w:val="none" w:sz="0" w:space="0" w:color="auto"/>
                <w:bottom w:val="none" w:sz="0" w:space="0" w:color="auto"/>
                <w:right w:val="none" w:sz="0" w:space="0" w:color="auto"/>
              </w:divBdr>
            </w:div>
            <w:div w:id="676814425">
              <w:marLeft w:val="0"/>
              <w:marRight w:val="0"/>
              <w:marTop w:val="0"/>
              <w:marBottom w:val="0"/>
              <w:divBdr>
                <w:top w:val="none" w:sz="0" w:space="0" w:color="auto"/>
                <w:left w:val="none" w:sz="0" w:space="0" w:color="auto"/>
                <w:bottom w:val="none" w:sz="0" w:space="0" w:color="auto"/>
                <w:right w:val="none" w:sz="0" w:space="0" w:color="auto"/>
              </w:divBdr>
            </w:div>
            <w:div w:id="641618576">
              <w:marLeft w:val="0"/>
              <w:marRight w:val="0"/>
              <w:marTop w:val="0"/>
              <w:marBottom w:val="0"/>
              <w:divBdr>
                <w:top w:val="none" w:sz="0" w:space="0" w:color="auto"/>
                <w:left w:val="none" w:sz="0" w:space="0" w:color="auto"/>
                <w:bottom w:val="none" w:sz="0" w:space="0" w:color="auto"/>
                <w:right w:val="none" w:sz="0" w:space="0" w:color="auto"/>
              </w:divBdr>
            </w:div>
            <w:div w:id="150874602">
              <w:marLeft w:val="0"/>
              <w:marRight w:val="0"/>
              <w:marTop w:val="0"/>
              <w:marBottom w:val="0"/>
              <w:divBdr>
                <w:top w:val="none" w:sz="0" w:space="0" w:color="auto"/>
                <w:left w:val="none" w:sz="0" w:space="0" w:color="auto"/>
                <w:bottom w:val="none" w:sz="0" w:space="0" w:color="auto"/>
                <w:right w:val="none" w:sz="0" w:space="0" w:color="auto"/>
              </w:divBdr>
            </w:div>
            <w:div w:id="2121028657">
              <w:marLeft w:val="0"/>
              <w:marRight w:val="0"/>
              <w:marTop w:val="0"/>
              <w:marBottom w:val="0"/>
              <w:divBdr>
                <w:top w:val="none" w:sz="0" w:space="0" w:color="auto"/>
                <w:left w:val="none" w:sz="0" w:space="0" w:color="auto"/>
                <w:bottom w:val="none" w:sz="0" w:space="0" w:color="auto"/>
                <w:right w:val="none" w:sz="0" w:space="0" w:color="auto"/>
              </w:divBdr>
            </w:div>
            <w:div w:id="268894786">
              <w:marLeft w:val="0"/>
              <w:marRight w:val="0"/>
              <w:marTop w:val="0"/>
              <w:marBottom w:val="0"/>
              <w:divBdr>
                <w:top w:val="none" w:sz="0" w:space="0" w:color="auto"/>
                <w:left w:val="none" w:sz="0" w:space="0" w:color="auto"/>
                <w:bottom w:val="none" w:sz="0" w:space="0" w:color="auto"/>
                <w:right w:val="none" w:sz="0" w:space="0" w:color="auto"/>
              </w:divBdr>
            </w:div>
            <w:div w:id="37323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378859">
      <w:bodyDiv w:val="1"/>
      <w:marLeft w:val="0"/>
      <w:marRight w:val="0"/>
      <w:marTop w:val="0"/>
      <w:marBottom w:val="0"/>
      <w:divBdr>
        <w:top w:val="none" w:sz="0" w:space="0" w:color="auto"/>
        <w:left w:val="none" w:sz="0" w:space="0" w:color="auto"/>
        <w:bottom w:val="none" w:sz="0" w:space="0" w:color="auto"/>
        <w:right w:val="none" w:sz="0" w:space="0" w:color="auto"/>
      </w:divBdr>
    </w:div>
    <w:div w:id="315765733">
      <w:marLeft w:val="0"/>
      <w:marRight w:val="0"/>
      <w:marTop w:val="0"/>
      <w:marBottom w:val="0"/>
      <w:divBdr>
        <w:top w:val="none" w:sz="0" w:space="0" w:color="auto"/>
        <w:left w:val="none" w:sz="0" w:space="0" w:color="auto"/>
        <w:bottom w:val="none" w:sz="0" w:space="0" w:color="auto"/>
        <w:right w:val="none" w:sz="0" w:space="0" w:color="auto"/>
      </w:divBdr>
      <w:divsChild>
        <w:div w:id="1060593961">
          <w:marLeft w:val="0"/>
          <w:marRight w:val="0"/>
          <w:marTop w:val="0"/>
          <w:marBottom w:val="0"/>
          <w:divBdr>
            <w:top w:val="none" w:sz="0" w:space="0" w:color="auto"/>
            <w:left w:val="none" w:sz="0" w:space="0" w:color="auto"/>
            <w:bottom w:val="none" w:sz="0" w:space="0" w:color="auto"/>
            <w:right w:val="none" w:sz="0" w:space="0" w:color="auto"/>
          </w:divBdr>
        </w:div>
      </w:divsChild>
    </w:div>
    <w:div w:id="317197534">
      <w:marLeft w:val="0"/>
      <w:marRight w:val="0"/>
      <w:marTop w:val="0"/>
      <w:marBottom w:val="0"/>
      <w:divBdr>
        <w:top w:val="none" w:sz="0" w:space="0" w:color="auto"/>
        <w:left w:val="none" w:sz="0" w:space="0" w:color="auto"/>
        <w:bottom w:val="none" w:sz="0" w:space="0" w:color="auto"/>
        <w:right w:val="none" w:sz="0" w:space="0" w:color="auto"/>
      </w:divBdr>
      <w:divsChild>
        <w:div w:id="1489981389">
          <w:marLeft w:val="0"/>
          <w:marRight w:val="0"/>
          <w:marTop w:val="0"/>
          <w:marBottom w:val="0"/>
          <w:divBdr>
            <w:top w:val="none" w:sz="0" w:space="0" w:color="auto"/>
            <w:left w:val="none" w:sz="0" w:space="0" w:color="auto"/>
            <w:bottom w:val="none" w:sz="0" w:space="0" w:color="auto"/>
            <w:right w:val="none" w:sz="0" w:space="0" w:color="auto"/>
          </w:divBdr>
        </w:div>
      </w:divsChild>
    </w:div>
    <w:div w:id="318731689">
      <w:marLeft w:val="0"/>
      <w:marRight w:val="0"/>
      <w:marTop w:val="0"/>
      <w:marBottom w:val="0"/>
      <w:divBdr>
        <w:top w:val="none" w:sz="0" w:space="0" w:color="auto"/>
        <w:left w:val="none" w:sz="0" w:space="0" w:color="auto"/>
        <w:bottom w:val="none" w:sz="0" w:space="0" w:color="auto"/>
        <w:right w:val="none" w:sz="0" w:space="0" w:color="auto"/>
      </w:divBdr>
      <w:divsChild>
        <w:div w:id="1480422218">
          <w:marLeft w:val="0"/>
          <w:marRight w:val="0"/>
          <w:marTop w:val="0"/>
          <w:marBottom w:val="0"/>
          <w:divBdr>
            <w:top w:val="none" w:sz="0" w:space="0" w:color="auto"/>
            <w:left w:val="none" w:sz="0" w:space="0" w:color="auto"/>
            <w:bottom w:val="none" w:sz="0" w:space="0" w:color="auto"/>
            <w:right w:val="none" w:sz="0" w:space="0" w:color="auto"/>
          </w:divBdr>
        </w:div>
      </w:divsChild>
    </w:div>
    <w:div w:id="318964791">
      <w:marLeft w:val="0"/>
      <w:marRight w:val="0"/>
      <w:marTop w:val="0"/>
      <w:marBottom w:val="0"/>
      <w:divBdr>
        <w:top w:val="none" w:sz="0" w:space="0" w:color="auto"/>
        <w:left w:val="none" w:sz="0" w:space="0" w:color="auto"/>
        <w:bottom w:val="none" w:sz="0" w:space="0" w:color="auto"/>
        <w:right w:val="none" w:sz="0" w:space="0" w:color="auto"/>
      </w:divBdr>
      <w:divsChild>
        <w:div w:id="481848948">
          <w:marLeft w:val="0"/>
          <w:marRight w:val="0"/>
          <w:marTop w:val="0"/>
          <w:marBottom w:val="0"/>
          <w:divBdr>
            <w:top w:val="none" w:sz="0" w:space="0" w:color="auto"/>
            <w:left w:val="none" w:sz="0" w:space="0" w:color="auto"/>
            <w:bottom w:val="none" w:sz="0" w:space="0" w:color="auto"/>
            <w:right w:val="none" w:sz="0" w:space="0" w:color="auto"/>
          </w:divBdr>
        </w:div>
      </w:divsChild>
    </w:div>
    <w:div w:id="319817769">
      <w:marLeft w:val="0"/>
      <w:marRight w:val="0"/>
      <w:marTop w:val="0"/>
      <w:marBottom w:val="0"/>
      <w:divBdr>
        <w:top w:val="none" w:sz="0" w:space="0" w:color="auto"/>
        <w:left w:val="none" w:sz="0" w:space="0" w:color="auto"/>
        <w:bottom w:val="none" w:sz="0" w:space="0" w:color="auto"/>
        <w:right w:val="none" w:sz="0" w:space="0" w:color="auto"/>
      </w:divBdr>
      <w:divsChild>
        <w:div w:id="412051560">
          <w:marLeft w:val="0"/>
          <w:marRight w:val="0"/>
          <w:marTop w:val="0"/>
          <w:marBottom w:val="0"/>
          <w:divBdr>
            <w:top w:val="none" w:sz="0" w:space="0" w:color="auto"/>
            <w:left w:val="none" w:sz="0" w:space="0" w:color="auto"/>
            <w:bottom w:val="none" w:sz="0" w:space="0" w:color="auto"/>
            <w:right w:val="none" w:sz="0" w:space="0" w:color="auto"/>
          </w:divBdr>
        </w:div>
      </w:divsChild>
    </w:div>
    <w:div w:id="321929049">
      <w:bodyDiv w:val="1"/>
      <w:marLeft w:val="0"/>
      <w:marRight w:val="0"/>
      <w:marTop w:val="0"/>
      <w:marBottom w:val="0"/>
      <w:divBdr>
        <w:top w:val="none" w:sz="0" w:space="0" w:color="auto"/>
        <w:left w:val="none" w:sz="0" w:space="0" w:color="auto"/>
        <w:bottom w:val="none" w:sz="0" w:space="0" w:color="auto"/>
        <w:right w:val="none" w:sz="0" w:space="0" w:color="auto"/>
      </w:divBdr>
    </w:div>
    <w:div w:id="323121723">
      <w:bodyDiv w:val="1"/>
      <w:marLeft w:val="0"/>
      <w:marRight w:val="0"/>
      <w:marTop w:val="0"/>
      <w:marBottom w:val="0"/>
      <w:divBdr>
        <w:top w:val="none" w:sz="0" w:space="0" w:color="auto"/>
        <w:left w:val="none" w:sz="0" w:space="0" w:color="auto"/>
        <w:bottom w:val="none" w:sz="0" w:space="0" w:color="auto"/>
        <w:right w:val="none" w:sz="0" w:space="0" w:color="auto"/>
      </w:divBdr>
    </w:div>
    <w:div w:id="329599038">
      <w:marLeft w:val="0"/>
      <w:marRight w:val="0"/>
      <w:marTop w:val="0"/>
      <w:marBottom w:val="0"/>
      <w:divBdr>
        <w:top w:val="none" w:sz="0" w:space="0" w:color="auto"/>
        <w:left w:val="none" w:sz="0" w:space="0" w:color="auto"/>
        <w:bottom w:val="none" w:sz="0" w:space="0" w:color="auto"/>
        <w:right w:val="none" w:sz="0" w:space="0" w:color="auto"/>
      </w:divBdr>
      <w:divsChild>
        <w:div w:id="264389140">
          <w:marLeft w:val="0"/>
          <w:marRight w:val="0"/>
          <w:marTop w:val="0"/>
          <w:marBottom w:val="0"/>
          <w:divBdr>
            <w:top w:val="none" w:sz="0" w:space="0" w:color="auto"/>
            <w:left w:val="none" w:sz="0" w:space="0" w:color="auto"/>
            <w:bottom w:val="none" w:sz="0" w:space="0" w:color="auto"/>
            <w:right w:val="none" w:sz="0" w:space="0" w:color="auto"/>
          </w:divBdr>
        </w:div>
      </w:divsChild>
    </w:div>
    <w:div w:id="332103388">
      <w:marLeft w:val="0"/>
      <w:marRight w:val="0"/>
      <w:marTop w:val="0"/>
      <w:marBottom w:val="0"/>
      <w:divBdr>
        <w:top w:val="none" w:sz="0" w:space="0" w:color="auto"/>
        <w:left w:val="none" w:sz="0" w:space="0" w:color="auto"/>
        <w:bottom w:val="none" w:sz="0" w:space="0" w:color="auto"/>
        <w:right w:val="none" w:sz="0" w:space="0" w:color="auto"/>
      </w:divBdr>
      <w:divsChild>
        <w:div w:id="352458537">
          <w:marLeft w:val="0"/>
          <w:marRight w:val="0"/>
          <w:marTop w:val="0"/>
          <w:marBottom w:val="0"/>
          <w:divBdr>
            <w:top w:val="none" w:sz="0" w:space="0" w:color="auto"/>
            <w:left w:val="none" w:sz="0" w:space="0" w:color="auto"/>
            <w:bottom w:val="none" w:sz="0" w:space="0" w:color="auto"/>
            <w:right w:val="none" w:sz="0" w:space="0" w:color="auto"/>
          </w:divBdr>
        </w:div>
      </w:divsChild>
    </w:div>
    <w:div w:id="332226927">
      <w:marLeft w:val="0"/>
      <w:marRight w:val="0"/>
      <w:marTop w:val="0"/>
      <w:marBottom w:val="0"/>
      <w:divBdr>
        <w:top w:val="none" w:sz="0" w:space="0" w:color="auto"/>
        <w:left w:val="none" w:sz="0" w:space="0" w:color="auto"/>
        <w:bottom w:val="none" w:sz="0" w:space="0" w:color="auto"/>
        <w:right w:val="none" w:sz="0" w:space="0" w:color="auto"/>
      </w:divBdr>
      <w:divsChild>
        <w:div w:id="1936550186">
          <w:marLeft w:val="0"/>
          <w:marRight w:val="0"/>
          <w:marTop w:val="0"/>
          <w:marBottom w:val="0"/>
          <w:divBdr>
            <w:top w:val="none" w:sz="0" w:space="0" w:color="auto"/>
            <w:left w:val="none" w:sz="0" w:space="0" w:color="auto"/>
            <w:bottom w:val="none" w:sz="0" w:space="0" w:color="auto"/>
            <w:right w:val="none" w:sz="0" w:space="0" w:color="auto"/>
          </w:divBdr>
        </w:div>
      </w:divsChild>
    </w:div>
    <w:div w:id="337775994">
      <w:bodyDiv w:val="1"/>
      <w:marLeft w:val="0"/>
      <w:marRight w:val="0"/>
      <w:marTop w:val="0"/>
      <w:marBottom w:val="0"/>
      <w:divBdr>
        <w:top w:val="none" w:sz="0" w:space="0" w:color="auto"/>
        <w:left w:val="none" w:sz="0" w:space="0" w:color="auto"/>
        <w:bottom w:val="none" w:sz="0" w:space="0" w:color="auto"/>
        <w:right w:val="none" w:sz="0" w:space="0" w:color="auto"/>
      </w:divBdr>
    </w:div>
    <w:div w:id="339310594">
      <w:bodyDiv w:val="1"/>
      <w:marLeft w:val="0"/>
      <w:marRight w:val="0"/>
      <w:marTop w:val="0"/>
      <w:marBottom w:val="0"/>
      <w:divBdr>
        <w:top w:val="none" w:sz="0" w:space="0" w:color="auto"/>
        <w:left w:val="none" w:sz="0" w:space="0" w:color="auto"/>
        <w:bottom w:val="none" w:sz="0" w:space="0" w:color="auto"/>
        <w:right w:val="none" w:sz="0" w:space="0" w:color="auto"/>
      </w:divBdr>
    </w:div>
    <w:div w:id="339818150">
      <w:bodyDiv w:val="1"/>
      <w:marLeft w:val="0"/>
      <w:marRight w:val="0"/>
      <w:marTop w:val="0"/>
      <w:marBottom w:val="0"/>
      <w:divBdr>
        <w:top w:val="none" w:sz="0" w:space="0" w:color="auto"/>
        <w:left w:val="none" w:sz="0" w:space="0" w:color="auto"/>
        <w:bottom w:val="none" w:sz="0" w:space="0" w:color="auto"/>
        <w:right w:val="none" w:sz="0" w:space="0" w:color="auto"/>
      </w:divBdr>
      <w:divsChild>
        <w:div w:id="1898739564">
          <w:marLeft w:val="0"/>
          <w:marRight w:val="0"/>
          <w:marTop w:val="0"/>
          <w:marBottom w:val="0"/>
          <w:divBdr>
            <w:top w:val="none" w:sz="0" w:space="0" w:color="auto"/>
            <w:left w:val="none" w:sz="0" w:space="0" w:color="auto"/>
            <w:bottom w:val="none" w:sz="0" w:space="0" w:color="auto"/>
            <w:right w:val="none" w:sz="0" w:space="0" w:color="auto"/>
          </w:divBdr>
          <w:divsChild>
            <w:div w:id="959653213">
              <w:marLeft w:val="0"/>
              <w:marRight w:val="0"/>
              <w:marTop w:val="0"/>
              <w:marBottom w:val="0"/>
              <w:divBdr>
                <w:top w:val="none" w:sz="0" w:space="0" w:color="auto"/>
                <w:left w:val="none" w:sz="0" w:space="0" w:color="auto"/>
                <w:bottom w:val="none" w:sz="0" w:space="0" w:color="auto"/>
                <w:right w:val="none" w:sz="0" w:space="0" w:color="auto"/>
              </w:divBdr>
            </w:div>
            <w:div w:id="2112165391">
              <w:marLeft w:val="0"/>
              <w:marRight w:val="0"/>
              <w:marTop w:val="0"/>
              <w:marBottom w:val="0"/>
              <w:divBdr>
                <w:top w:val="none" w:sz="0" w:space="0" w:color="auto"/>
                <w:left w:val="none" w:sz="0" w:space="0" w:color="auto"/>
                <w:bottom w:val="none" w:sz="0" w:space="0" w:color="auto"/>
                <w:right w:val="none" w:sz="0" w:space="0" w:color="auto"/>
              </w:divBdr>
            </w:div>
            <w:div w:id="1064645529">
              <w:marLeft w:val="0"/>
              <w:marRight w:val="0"/>
              <w:marTop w:val="0"/>
              <w:marBottom w:val="0"/>
              <w:divBdr>
                <w:top w:val="none" w:sz="0" w:space="0" w:color="auto"/>
                <w:left w:val="none" w:sz="0" w:space="0" w:color="auto"/>
                <w:bottom w:val="none" w:sz="0" w:space="0" w:color="auto"/>
                <w:right w:val="none" w:sz="0" w:space="0" w:color="auto"/>
              </w:divBdr>
            </w:div>
            <w:div w:id="225148643">
              <w:marLeft w:val="0"/>
              <w:marRight w:val="0"/>
              <w:marTop w:val="0"/>
              <w:marBottom w:val="0"/>
              <w:divBdr>
                <w:top w:val="none" w:sz="0" w:space="0" w:color="auto"/>
                <w:left w:val="none" w:sz="0" w:space="0" w:color="auto"/>
                <w:bottom w:val="none" w:sz="0" w:space="0" w:color="auto"/>
                <w:right w:val="none" w:sz="0" w:space="0" w:color="auto"/>
              </w:divBdr>
            </w:div>
            <w:div w:id="2008170917">
              <w:marLeft w:val="0"/>
              <w:marRight w:val="0"/>
              <w:marTop w:val="0"/>
              <w:marBottom w:val="0"/>
              <w:divBdr>
                <w:top w:val="none" w:sz="0" w:space="0" w:color="auto"/>
                <w:left w:val="none" w:sz="0" w:space="0" w:color="auto"/>
                <w:bottom w:val="none" w:sz="0" w:space="0" w:color="auto"/>
                <w:right w:val="none" w:sz="0" w:space="0" w:color="auto"/>
              </w:divBdr>
            </w:div>
            <w:div w:id="86511527">
              <w:marLeft w:val="0"/>
              <w:marRight w:val="0"/>
              <w:marTop w:val="0"/>
              <w:marBottom w:val="0"/>
              <w:divBdr>
                <w:top w:val="none" w:sz="0" w:space="0" w:color="auto"/>
                <w:left w:val="none" w:sz="0" w:space="0" w:color="auto"/>
                <w:bottom w:val="none" w:sz="0" w:space="0" w:color="auto"/>
                <w:right w:val="none" w:sz="0" w:space="0" w:color="auto"/>
              </w:divBdr>
            </w:div>
            <w:div w:id="162282297">
              <w:marLeft w:val="0"/>
              <w:marRight w:val="0"/>
              <w:marTop w:val="0"/>
              <w:marBottom w:val="0"/>
              <w:divBdr>
                <w:top w:val="none" w:sz="0" w:space="0" w:color="auto"/>
                <w:left w:val="none" w:sz="0" w:space="0" w:color="auto"/>
                <w:bottom w:val="none" w:sz="0" w:space="0" w:color="auto"/>
                <w:right w:val="none" w:sz="0" w:space="0" w:color="auto"/>
              </w:divBdr>
            </w:div>
            <w:div w:id="378434864">
              <w:marLeft w:val="0"/>
              <w:marRight w:val="0"/>
              <w:marTop w:val="0"/>
              <w:marBottom w:val="0"/>
              <w:divBdr>
                <w:top w:val="none" w:sz="0" w:space="0" w:color="auto"/>
                <w:left w:val="none" w:sz="0" w:space="0" w:color="auto"/>
                <w:bottom w:val="none" w:sz="0" w:space="0" w:color="auto"/>
                <w:right w:val="none" w:sz="0" w:space="0" w:color="auto"/>
              </w:divBdr>
            </w:div>
            <w:div w:id="1770006710">
              <w:marLeft w:val="0"/>
              <w:marRight w:val="0"/>
              <w:marTop w:val="0"/>
              <w:marBottom w:val="0"/>
              <w:divBdr>
                <w:top w:val="none" w:sz="0" w:space="0" w:color="auto"/>
                <w:left w:val="none" w:sz="0" w:space="0" w:color="auto"/>
                <w:bottom w:val="none" w:sz="0" w:space="0" w:color="auto"/>
                <w:right w:val="none" w:sz="0" w:space="0" w:color="auto"/>
              </w:divBdr>
            </w:div>
            <w:div w:id="1528907817">
              <w:marLeft w:val="0"/>
              <w:marRight w:val="0"/>
              <w:marTop w:val="0"/>
              <w:marBottom w:val="0"/>
              <w:divBdr>
                <w:top w:val="none" w:sz="0" w:space="0" w:color="auto"/>
                <w:left w:val="none" w:sz="0" w:space="0" w:color="auto"/>
                <w:bottom w:val="none" w:sz="0" w:space="0" w:color="auto"/>
                <w:right w:val="none" w:sz="0" w:space="0" w:color="auto"/>
              </w:divBdr>
            </w:div>
            <w:div w:id="1570112368">
              <w:marLeft w:val="0"/>
              <w:marRight w:val="0"/>
              <w:marTop w:val="0"/>
              <w:marBottom w:val="0"/>
              <w:divBdr>
                <w:top w:val="none" w:sz="0" w:space="0" w:color="auto"/>
                <w:left w:val="none" w:sz="0" w:space="0" w:color="auto"/>
                <w:bottom w:val="none" w:sz="0" w:space="0" w:color="auto"/>
                <w:right w:val="none" w:sz="0" w:space="0" w:color="auto"/>
              </w:divBdr>
            </w:div>
            <w:div w:id="2006085592">
              <w:marLeft w:val="0"/>
              <w:marRight w:val="0"/>
              <w:marTop w:val="0"/>
              <w:marBottom w:val="0"/>
              <w:divBdr>
                <w:top w:val="none" w:sz="0" w:space="0" w:color="auto"/>
                <w:left w:val="none" w:sz="0" w:space="0" w:color="auto"/>
                <w:bottom w:val="none" w:sz="0" w:space="0" w:color="auto"/>
                <w:right w:val="none" w:sz="0" w:space="0" w:color="auto"/>
              </w:divBdr>
            </w:div>
            <w:div w:id="1423180024">
              <w:marLeft w:val="0"/>
              <w:marRight w:val="0"/>
              <w:marTop w:val="0"/>
              <w:marBottom w:val="0"/>
              <w:divBdr>
                <w:top w:val="none" w:sz="0" w:space="0" w:color="auto"/>
                <w:left w:val="none" w:sz="0" w:space="0" w:color="auto"/>
                <w:bottom w:val="none" w:sz="0" w:space="0" w:color="auto"/>
                <w:right w:val="none" w:sz="0" w:space="0" w:color="auto"/>
              </w:divBdr>
            </w:div>
            <w:div w:id="594215151">
              <w:marLeft w:val="0"/>
              <w:marRight w:val="0"/>
              <w:marTop w:val="0"/>
              <w:marBottom w:val="0"/>
              <w:divBdr>
                <w:top w:val="none" w:sz="0" w:space="0" w:color="auto"/>
                <w:left w:val="none" w:sz="0" w:space="0" w:color="auto"/>
                <w:bottom w:val="none" w:sz="0" w:space="0" w:color="auto"/>
                <w:right w:val="none" w:sz="0" w:space="0" w:color="auto"/>
              </w:divBdr>
            </w:div>
            <w:div w:id="1340817192">
              <w:marLeft w:val="0"/>
              <w:marRight w:val="0"/>
              <w:marTop w:val="0"/>
              <w:marBottom w:val="0"/>
              <w:divBdr>
                <w:top w:val="none" w:sz="0" w:space="0" w:color="auto"/>
                <w:left w:val="none" w:sz="0" w:space="0" w:color="auto"/>
                <w:bottom w:val="none" w:sz="0" w:space="0" w:color="auto"/>
                <w:right w:val="none" w:sz="0" w:space="0" w:color="auto"/>
              </w:divBdr>
            </w:div>
            <w:div w:id="40055947">
              <w:marLeft w:val="0"/>
              <w:marRight w:val="0"/>
              <w:marTop w:val="0"/>
              <w:marBottom w:val="0"/>
              <w:divBdr>
                <w:top w:val="none" w:sz="0" w:space="0" w:color="auto"/>
                <w:left w:val="none" w:sz="0" w:space="0" w:color="auto"/>
                <w:bottom w:val="none" w:sz="0" w:space="0" w:color="auto"/>
                <w:right w:val="none" w:sz="0" w:space="0" w:color="auto"/>
              </w:divBdr>
            </w:div>
            <w:div w:id="1469320745">
              <w:marLeft w:val="0"/>
              <w:marRight w:val="0"/>
              <w:marTop w:val="0"/>
              <w:marBottom w:val="0"/>
              <w:divBdr>
                <w:top w:val="none" w:sz="0" w:space="0" w:color="auto"/>
                <w:left w:val="none" w:sz="0" w:space="0" w:color="auto"/>
                <w:bottom w:val="none" w:sz="0" w:space="0" w:color="auto"/>
                <w:right w:val="none" w:sz="0" w:space="0" w:color="auto"/>
              </w:divBdr>
            </w:div>
            <w:div w:id="1487209650">
              <w:marLeft w:val="0"/>
              <w:marRight w:val="0"/>
              <w:marTop w:val="0"/>
              <w:marBottom w:val="0"/>
              <w:divBdr>
                <w:top w:val="none" w:sz="0" w:space="0" w:color="auto"/>
                <w:left w:val="none" w:sz="0" w:space="0" w:color="auto"/>
                <w:bottom w:val="none" w:sz="0" w:space="0" w:color="auto"/>
                <w:right w:val="none" w:sz="0" w:space="0" w:color="auto"/>
              </w:divBdr>
            </w:div>
            <w:div w:id="885334196">
              <w:marLeft w:val="0"/>
              <w:marRight w:val="0"/>
              <w:marTop w:val="0"/>
              <w:marBottom w:val="0"/>
              <w:divBdr>
                <w:top w:val="none" w:sz="0" w:space="0" w:color="auto"/>
                <w:left w:val="none" w:sz="0" w:space="0" w:color="auto"/>
                <w:bottom w:val="none" w:sz="0" w:space="0" w:color="auto"/>
                <w:right w:val="none" w:sz="0" w:space="0" w:color="auto"/>
              </w:divBdr>
            </w:div>
            <w:div w:id="425394224">
              <w:marLeft w:val="0"/>
              <w:marRight w:val="0"/>
              <w:marTop w:val="0"/>
              <w:marBottom w:val="0"/>
              <w:divBdr>
                <w:top w:val="none" w:sz="0" w:space="0" w:color="auto"/>
                <w:left w:val="none" w:sz="0" w:space="0" w:color="auto"/>
                <w:bottom w:val="none" w:sz="0" w:space="0" w:color="auto"/>
                <w:right w:val="none" w:sz="0" w:space="0" w:color="auto"/>
              </w:divBdr>
            </w:div>
            <w:div w:id="968776477">
              <w:marLeft w:val="0"/>
              <w:marRight w:val="0"/>
              <w:marTop w:val="0"/>
              <w:marBottom w:val="0"/>
              <w:divBdr>
                <w:top w:val="none" w:sz="0" w:space="0" w:color="auto"/>
                <w:left w:val="none" w:sz="0" w:space="0" w:color="auto"/>
                <w:bottom w:val="none" w:sz="0" w:space="0" w:color="auto"/>
                <w:right w:val="none" w:sz="0" w:space="0" w:color="auto"/>
              </w:divBdr>
            </w:div>
            <w:div w:id="350842385">
              <w:marLeft w:val="0"/>
              <w:marRight w:val="0"/>
              <w:marTop w:val="0"/>
              <w:marBottom w:val="0"/>
              <w:divBdr>
                <w:top w:val="none" w:sz="0" w:space="0" w:color="auto"/>
                <w:left w:val="none" w:sz="0" w:space="0" w:color="auto"/>
                <w:bottom w:val="none" w:sz="0" w:space="0" w:color="auto"/>
                <w:right w:val="none" w:sz="0" w:space="0" w:color="auto"/>
              </w:divBdr>
            </w:div>
            <w:div w:id="945580179">
              <w:marLeft w:val="0"/>
              <w:marRight w:val="0"/>
              <w:marTop w:val="0"/>
              <w:marBottom w:val="0"/>
              <w:divBdr>
                <w:top w:val="none" w:sz="0" w:space="0" w:color="auto"/>
                <w:left w:val="none" w:sz="0" w:space="0" w:color="auto"/>
                <w:bottom w:val="none" w:sz="0" w:space="0" w:color="auto"/>
                <w:right w:val="none" w:sz="0" w:space="0" w:color="auto"/>
              </w:divBdr>
            </w:div>
            <w:div w:id="1780025326">
              <w:marLeft w:val="0"/>
              <w:marRight w:val="0"/>
              <w:marTop w:val="0"/>
              <w:marBottom w:val="0"/>
              <w:divBdr>
                <w:top w:val="none" w:sz="0" w:space="0" w:color="auto"/>
                <w:left w:val="none" w:sz="0" w:space="0" w:color="auto"/>
                <w:bottom w:val="none" w:sz="0" w:space="0" w:color="auto"/>
                <w:right w:val="none" w:sz="0" w:space="0" w:color="auto"/>
              </w:divBdr>
            </w:div>
            <w:div w:id="921523777">
              <w:marLeft w:val="0"/>
              <w:marRight w:val="0"/>
              <w:marTop w:val="0"/>
              <w:marBottom w:val="0"/>
              <w:divBdr>
                <w:top w:val="none" w:sz="0" w:space="0" w:color="auto"/>
                <w:left w:val="none" w:sz="0" w:space="0" w:color="auto"/>
                <w:bottom w:val="none" w:sz="0" w:space="0" w:color="auto"/>
                <w:right w:val="none" w:sz="0" w:space="0" w:color="auto"/>
              </w:divBdr>
            </w:div>
            <w:div w:id="462388049">
              <w:marLeft w:val="0"/>
              <w:marRight w:val="0"/>
              <w:marTop w:val="0"/>
              <w:marBottom w:val="0"/>
              <w:divBdr>
                <w:top w:val="none" w:sz="0" w:space="0" w:color="auto"/>
                <w:left w:val="none" w:sz="0" w:space="0" w:color="auto"/>
                <w:bottom w:val="none" w:sz="0" w:space="0" w:color="auto"/>
                <w:right w:val="none" w:sz="0" w:space="0" w:color="auto"/>
              </w:divBdr>
            </w:div>
            <w:div w:id="2143496548">
              <w:marLeft w:val="0"/>
              <w:marRight w:val="0"/>
              <w:marTop w:val="0"/>
              <w:marBottom w:val="0"/>
              <w:divBdr>
                <w:top w:val="none" w:sz="0" w:space="0" w:color="auto"/>
                <w:left w:val="none" w:sz="0" w:space="0" w:color="auto"/>
                <w:bottom w:val="none" w:sz="0" w:space="0" w:color="auto"/>
                <w:right w:val="none" w:sz="0" w:space="0" w:color="auto"/>
              </w:divBdr>
            </w:div>
            <w:div w:id="1978411316">
              <w:marLeft w:val="0"/>
              <w:marRight w:val="0"/>
              <w:marTop w:val="0"/>
              <w:marBottom w:val="0"/>
              <w:divBdr>
                <w:top w:val="none" w:sz="0" w:space="0" w:color="auto"/>
                <w:left w:val="none" w:sz="0" w:space="0" w:color="auto"/>
                <w:bottom w:val="none" w:sz="0" w:space="0" w:color="auto"/>
                <w:right w:val="none" w:sz="0" w:space="0" w:color="auto"/>
              </w:divBdr>
            </w:div>
            <w:div w:id="1289312870">
              <w:marLeft w:val="0"/>
              <w:marRight w:val="0"/>
              <w:marTop w:val="0"/>
              <w:marBottom w:val="0"/>
              <w:divBdr>
                <w:top w:val="none" w:sz="0" w:space="0" w:color="auto"/>
                <w:left w:val="none" w:sz="0" w:space="0" w:color="auto"/>
                <w:bottom w:val="none" w:sz="0" w:space="0" w:color="auto"/>
                <w:right w:val="none" w:sz="0" w:space="0" w:color="auto"/>
              </w:divBdr>
            </w:div>
            <w:div w:id="341398953">
              <w:marLeft w:val="0"/>
              <w:marRight w:val="0"/>
              <w:marTop w:val="0"/>
              <w:marBottom w:val="0"/>
              <w:divBdr>
                <w:top w:val="none" w:sz="0" w:space="0" w:color="auto"/>
                <w:left w:val="none" w:sz="0" w:space="0" w:color="auto"/>
                <w:bottom w:val="none" w:sz="0" w:space="0" w:color="auto"/>
                <w:right w:val="none" w:sz="0" w:space="0" w:color="auto"/>
              </w:divBdr>
            </w:div>
            <w:div w:id="172447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74516">
      <w:marLeft w:val="0"/>
      <w:marRight w:val="0"/>
      <w:marTop w:val="0"/>
      <w:marBottom w:val="0"/>
      <w:divBdr>
        <w:top w:val="none" w:sz="0" w:space="0" w:color="auto"/>
        <w:left w:val="none" w:sz="0" w:space="0" w:color="auto"/>
        <w:bottom w:val="none" w:sz="0" w:space="0" w:color="auto"/>
        <w:right w:val="none" w:sz="0" w:space="0" w:color="auto"/>
      </w:divBdr>
      <w:divsChild>
        <w:div w:id="693379842">
          <w:marLeft w:val="0"/>
          <w:marRight w:val="0"/>
          <w:marTop w:val="0"/>
          <w:marBottom w:val="0"/>
          <w:divBdr>
            <w:top w:val="none" w:sz="0" w:space="0" w:color="auto"/>
            <w:left w:val="none" w:sz="0" w:space="0" w:color="auto"/>
            <w:bottom w:val="none" w:sz="0" w:space="0" w:color="auto"/>
            <w:right w:val="none" w:sz="0" w:space="0" w:color="auto"/>
          </w:divBdr>
        </w:div>
      </w:divsChild>
    </w:div>
    <w:div w:id="342440129">
      <w:marLeft w:val="0"/>
      <w:marRight w:val="0"/>
      <w:marTop w:val="0"/>
      <w:marBottom w:val="0"/>
      <w:divBdr>
        <w:top w:val="none" w:sz="0" w:space="0" w:color="auto"/>
        <w:left w:val="none" w:sz="0" w:space="0" w:color="auto"/>
        <w:bottom w:val="none" w:sz="0" w:space="0" w:color="auto"/>
        <w:right w:val="none" w:sz="0" w:space="0" w:color="auto"/>
      </w:divBdr>
      <w:divsChild>
        <w:div w:id="34235453">
          <w:marLeft w:val="0"/>
          <w:marRight w:val="0"/>
          <w:marTop w:val="0"/>
          <w:marBottom w:val="0"/>
          <w:divBdr>
            <w:top w:val="none" w:sz="0" w:space="0" w:color="auto"/>
            <w:left w:val="none" w:sz="0" w:space="0" w:color="auto"/>
            <w:bottom w:val="none" w:sz="0" w:space="0" w:color="auto"/>
            <w:right w:val="none" w:sz="0" w:space="0" w:color="auto"/>
          </w:divBdr>
        </w:div>
      </w:divsChild>
    </w:div>
    <w:div w:id="350566417">
      <w:bodyDiv w:val="1"/>
      <w:marLeft w:val="0"/>
      <w:marRight w:val="0"/>
      <w:marTop w:val="0"/>
      <w:marBottom w:val="0"/>
      <w:divBdr>
        <w:top w:val="none" w:sz="0" w:space="0" w:color="auto"/>
        <w:left w:val="none" w:sz="0" w:space="0" w:color="auto"/>
        <w:bottom w:val="none" w:sz="0" w:space="0" w:color="auto"/>
        <w:right w:val="none" w:sz="0" w:space="0" w:color="auto"/>
      </w:divBdr>
    </w:div>
    <w:div w:id="351810124">
      <w:bodyDiv w:val="1"/>
      <w:marLeft w:val="0"/>
      <w:marRight w:val="0"/>
      <w:marTop w:val="0"/>
      <w:marBottom w:val="0"/>
      <w:divBdr>
        <w:top w:val="none" w:sz="0" w:space="0" w:color="auto"/>
        <w:left w:val="none" w:sz="0" w:space="0" w:color="auto"/>
        <w:bottom w:val="none" w:sz="0" w:space="0" w:color="auto"/>
        <w:right w:val="none" w:sz="0" w:space="0" w:color="auto"/>
      </w:divBdr>
    </w:div>
    <w:div w:id="351880146">
      <w:bodyDiv w:val="1"/>
      <w:marLeft w:val="0"/>
      <w:marRight w:val="0"/>
      <w:marTop w:val="0"/>
      <w:marBottom w:val="0"/>
      <w:divBdr>
        <w:top w:val="none" w:sz="0" w:space="0" w:color="auto"/>
        <w:left w:val="none" w:sz="0" w:space="0" w:color="auto"/>
        <w:bottom w:val="none" w:sz="0" w:space="0" w:color="auto"/>
        <w:right w:val="none" w:sz="0" w:space="0" w:color="auto"/>
      </w:divBdr>
    </w:div>
    <w:div w:id="357237978">
      <w:marLeft w:val="0"/>
      <w:marRight w:val="0"/>
      <w:marTop w:val="0"/>
      <w:marBottom w:val="0"/>
      <w:divBdr>
        <w:top w:val="none" w:sz="0" w:space="0" w:color="auto"/>
        <w:left w:val="none" w:sz="0" w:space="0" w:color="auto"/>
        <w:bottom w:val="none" w:sz="0" w:space="0" w:color="auto"/>
        <w:right w:val="none" w:sz="0" w:space="0" w:color="auto"/>
      </w:divBdr>
      <w:divsChild>
        <w:div w:id="1137524754">
          <w:marLeft w:val="0"/>
          <w:marRight w:val="0"/>
          <w:marTop w:val="0"/>
          <w:marBottom w:val="0"/>
          <w:divBdr>
            <w:top w:val="none" w:sz="0" w:space="0" w:color="auto"/>
            <w:left w:val="none" w:sz="0" w:space="0" w:color="auto"/>
            <w:bottom w:val="none" w:sz="0" w:space="0" w:color="auto"/>
            <w:right w:val="none" w:sz="0" w:space="0" w:color="auto"/>
          </w:divBdr>
        </w:div>
      </w:divsChild>
    </w:div>
    <w:div w:id="364185713">
      <w:marLeft w:val="0"/>
      <w:marRight w:val="0"/>
      <w:marTop w:val="0"/>
      <w:marBottom w:val="0"/>
      <w:divBdr>
        <w:top w:val="none" w:sz="0" w:space="0" w:color="auto"/>
        <w:left w:val="none" w:sz="0" w:space="0" w:color="auto"/>
        <w:bottom w:val="none" w:sz="0" w:space="0" w:color="auto"/>
        <w:right w:val="none" w:sz="0" w:space="0" w:color="auto"/>
      </w:divBdr>
      <w:divsChild>
        <w:div w:id="643394585">
          <w:marLeft w:val="0"/>
          <w:marRight w:val="0"/>
          <w:marTop w:val="0"/>
          <w:marBottom w:val="0"/>
          <w:divBdr>
            <w:top w:val="none" w:sz="0" w:space="0" w:color="auto"/>
            <w:left w:val="none" w:sz="0" w:space="0" w:color="auto"/>
            <w:bottom w:val="none" w:sz="0" w:space="0" w:color="auto"/>
            <w:right w:val="none" w:sz="0" w:space="0" w:color="auto"/>
          </w:divBdr>
        </w:div>
      </w:divsChild>
    </w:div>
    <w:div w:id="365108846">
      <w:marLeft w:val="0"/>
      <w:marRight w:val="0"/>
      <w:marTop w:val="0"/>
      <w:marBottom w:val="0"/>
      <w:divBdr>
        <w:top w:val="none" w:sz="0" w:space="0" w:color="auto"/>
        <w:left w:val="none" w:sz="0" w:space="0" w:color="auto"/>
        <w:bottom w:val="none" w:sz="0" w:space="0" w:color="auto"/>
        <w:right w:val="none" w:sz="0" w:space="0" w:color="auto"/>
      </w:divBdr>
      <w:divsChild>
        <w:div w:id="2827934">
          <w:marLeft w:val="0"/>
          <w:marRight w:val="0"/>
          <w:marTop w:val="0"/>
          <w:marBottom w:val="0"/>
          <w:divBdr>
            <w:top w:val="none" w:sz="0" w:space="0" w:color="auto"/>
            <w:left w:val="none" w:sz="0" w:space="0" w:color="auto"/>
            <w:bottom w:val="none" w:sz="0" w:space="0" w:color="auto"/>
            <w:right w:val="none" w:sz="0" w:space="0" w:color="auto"/>
          </w:divBdr>
        </w:div>
      </w:divsChild>
    </w:div>
    <w:div w:id="365375438">
      <w:marLeft w:val="0"/>
      <w:marRight w:val="0"/>
      <w:marTop w:val="0"/>
      <w:marBottom w:val="0"/>
      <w:divBdr>
        <w:top w:val="none" w:sz="0" w:space="0" w:color="auto"/>
        <w:left w:val="none" w:sz="0" w:space="0" w:color="auto"/>
        <w:bottom w:val="none" w:sz="0" w:space="0" w:color="auto"/>
        <w:right w:val="none" w:sz="0" w:space="0" w:color="auto"/>
      </w:divBdr>
      <w:divsChild>
        <w:div w:id="1796675116">
          <w:marLeft w:val="0"/>
          <w:marRight w:val="0"/>
          <w:marTop w:val="0"/>
          <w:marBottom w:val="0"/>
          <w:divBdr>
            <w:top w:val="none" w:sz="0" w:space="0" w:color="auto"/>
            <w:left w:val="none" w:sz="0" w:space="0" w:color="auto"/>
            <w:bottom w:val="none" w:sz="0" w:space="0" w:color="auto"/>
            <w:right w:val="none" w:sz="0" w:space="0" w:color="auto"/>
          </w:divBdr>
        </w:div>
      </w:divsChild>
    </w:div>
    <w:div w:id="369261705">
      <w:marLeft w:val="0"/>
      <w:marRight w:val="0"/>
      <w:marTop w:val="0"/>
      <w:marBottom w:val="0"/>
      <w:divBdr>
        <w:top w:val="none" w:sz="0" w:space="0" w:color="auto"/>
        <w:left w:val="none" w:sz="0" w:space="0" w:color="auto"/>
        <w:bottom w:val="none" w:sz="0" w:space="0" w:color="auto"/>
        <w:right w:val="none" w:sz="0" w:space="0" w:color="auto"/>
      </w:divBdr>
      <w:divsChild>
        <w:div w:id="804859941">
          <w:marLeft w:val="0"/>
          <w:marRight w:val="0"/>
          <w:marTop w:val="0"/>
          <w:marBottom w:val="0"/>
          <w:divBdr>
            <w:top w:val="none" w:sz="0" w:space="0" w:color="auto"/>
            <w:left w:val="none" w:sz="0" w:space="0" w:color="auto"/>
            <w:bottom w:val="none" w:sz="0" w:space="0" w:color="auto"/>
            <w:right w:val="none" w:sz="0" w:space="0" w:color="auto"/>
          </w:divBdr>
        </w:div>
      </w:divsChild>
    </w:div>
    <w:div w:id="369838303">
      <w:bodyDiv w:val="1"/>
      <w:marLeft w:val="0"/>
      <w:marRight w:val="0"/>
      <w:marTop w:val="0"/>
      <w:marBottom w:val="0"/>
      <w:divBdr>
        <w:top w:val="none" w:sz="0" w:space="0" w:color="auto"/>
        <w:left w:val="none" w:sz="0" w:space="0" w:color="auto"/>
        <w:bottom w:val="none" w:sz="0" w:space="0" w:color="auto"/>
        <w:right w:val="none" w:sz="0" w:space="0" w:color="auto"/>
      </w:divBdr>
    </w:div>
    <w:div w:id="373116343">
      <w:marLeft w:val="0"/>
      <w:marRight w:val="0"/>
      <w:marTop w:val="0"/>
      <w:marBottom w:val="0"/>
      <w:divBdr>
        <w:top w:val="none" w:sz="0" w:space="0" w:color="auto"/>
        <w:left w:val="none" w:sz="0" w:space="0" w:color="auto"/>
        <w:bottom w:val="none" w:sz="0" w:space="0" w:color="auto"/>
        <w:right w:val="none" w:sz="0" w:space="0" w:color="auto"/>
      </w:divBdr>
      <w:divsChild>
        <w:div w:id="262609682">
          <w:marLeft w:val="0"/>
          <w:marRight w:val="0"/>
          <w:marTop w:val="0"/>
          <w:marBottom w:val="0"/>
          <w:divBdr>
            <w:top w:val="none" w:sz="0" w:space="0" w:color="auto"/>
            <w:left w:val="none" w:sz="0" w:space="0" w:color="auto"/>
            <w:bottom w:val="none" w:sz="0" w:space="0" w:color="auto"/>
            <w:right w:val="none" w:sz="0" w:space="0" w:color="auto"/>
          </w:divBdr>
        </w:div>
      </w:divsChild>
    </w:div>
    <w:div w:id="385908114">
      <w:marLeft w:val="0"/>
      <w:marRight w:val="0"/>
      <w:marTop w:val="0"/>
      <w:marBottom w:val="0"/>
      <w:divBdr>
        <w:top w:val="none" w:sz="0" w:space="0" w:color="auto"/>
        <w:left w:val="none" w:sz="0" w:space="0" w:color="auto"/>
        <w:bottom w:val="none" w:sz="0" w:space="0" w:color="auto"/>
        <w:right w:val="none" w:sz="0" w:space="0" w:color="auto"/>
      </w:divBdr>
      <w:divsChild>
        <w:div w:id="558056106">
          <w:marLeft w:val="0"/>
          <w:marRight w:val="0"/>
          <w:marTop w:val="0"/>
          <w:marBottom w:val="0"/>
          <w:divBdr>
            <w:top w:val="none" w:sz="0" w:space="0" w:color="auto"/>
            <w:left w:val="none" w:sz="0" w:space="0" w:color="auto"/>
            <w:bottom w:val="none" w:sz="0" w:space="0" w:color="auto"/>
            <w:right w:val="none" w:sz="0" w:space="0" w:color="auto"/>
          </w:divBdr>
        </w:div>
      </w:divsChild>
    </w:div>
    <w:div w:id="386875695">
      <w:bodyDiv w:val="1"/>
      <w:marLeft w:val="0"/>
      <w:marRight w:val="0"/>
      <w:marTop w:val="0"/>
      <w:marBottom w:val="0"/>
      <w:divBdr>
        <w:top w:val="none" w:sz="0" w:space="0" w:color="auto"/>
        <w:left w:val="none" w:sz="0" w:space="0" w:color="auto"/>
        <w:bottom w:val="none" w:sz="0" w:space="0" w:color="auto"/>
        <w:right w:val="none" w:sz="0" w:space="0" w:color="auto"/>
      </w:divBdr>
    </w:div>
    <w:div w:id="393090405">
      <w:bodyDiv w:val="1"/>
      <w:marLeft w:val="0"/>
      <w:marRight w:val="0"/>
      <w:marTop w:val="0"/>
      <w:marBottom w:val="0"/>
      <w:divBdr>
        <w:top w:val="none" w:sz="0" w:space="0" w:color="auto"/>
        <w:left w:val="none" w:sz="0" w:space="0" w:color="auto"/>
        <w:bottom w:val="none" w:sz="0" w:space="0" w:color="auto"/>
        <w:right w:val="none" w:sz="0" w:space="0" w:color="auto"/>
      </w:divBdr>
    </w:div>
    <w:div w:id="396128148">
      <w:marLeft w:val="0"/>
      <w:marRight w:val="0"/>
      <w:marTop w:val="0"/>
      <w:marBottom w:val="0"/>
      <w:divBdr>
        <w:top w:val="none" w:sz="0" w:space="0" w:color="auto"/>
        <w:left w:val="none" w:sz="0" w:space="0" w:color="auto"/>
        <w:bottom w:val="none" w:sz="0" w:space="0" w:color="auto"/>
        <w:right w:val="none" w:sz="0" w:space="0" w:color="auto"/>
      </w:divBdr>
      <w:divsChild>
        <w:div w:id="261913552">
          <w:marLeft w:val="0"/>
          <w:marRight w:val="0"/>
          <w:marTop w:val="0"/>
          <w:marBottom w:val="0"/>
          <w:divBdr>
            <w:top w:val="none" w:sz="0" w:space="0" w:color="auto"/>
            <w:left w:val="none" w:sz="0" w:space="0" w:color="auto"/>
            <w:bottom w:val="none" w:sz="0" w:space="0" w:color="auto"/>
            <w:right w:val="none" w:sz="0" w:space="0" w:color="auto"/>
          </w:divBdr>
        </w:div>
      </w:divsChild>
    </w:div>
    <w:div w:id="397483372">
      <w:marLeft w:val="0"/>
      <w:marRight w:val="0"/>
      <w:marTop w:val="0"/>
      <w:marBottom w:val="0"/>
      <w:divBdr>
        <w:top w:val="none" w:sz="0" w:space="0" w:color="auto"/>
        <w:left w:val="none" w:sz="0" w:space="0" w:color="auto"/>
        <w:bottom w:val="none" w:sz="0" w:space="0" w:color="auto"/>
        <w:right w:val="none" w:sz="0" w:space="0" w:color="auto"/>
      </w:divBdr>
      <w:divsChild>
        <w:div w:id="1926302518">
          <w:marLeft w:val="0"/>
          <w:marRight w:val="0"/>
          <w:marTop w:val="0"/>
          <w:marBottom w:val="0"/>
          <w:divBdr>
            <w:top w:val="none" w:sz="0" w:space="0" w:color="auto"/>
            <w:left w:val="none" w:sz="0" w:space="0" w:color="auto"/>
            <w:bottom w:val="none" w:sz="0" w:space="0" w:color="auto"/>
            <w:right w:val="none" w:sz="0" w:space="0" w:color="auto"/>
          </w:divBdr>
        </w:div>
      </w:divsChild>
    </w:div>
    <w:div w:id="405568746">
      <w:marLeft w:val="0"/>
      <w:marRight w:val="0"/>
      <w:marTop w:val="0"/>
      <w:marBottom w:val="0"/>
      <w:divBdr>
        <w:top w:val="none" w:sz="0" w:space="0" w:color="auto"/>
        <w:left w:val="none" w:sz="0" w:space="0" w:color="auto"/>
        <w:bottom w:val="none" w:sz="0" w:space="0" w:color="auto"/>
        <w:right w:val="none" w:sz="0" w:space="0" w:color="auto"/>
      </w:divBdr>
      <w:divsChild>
        <w:div w:id="449669214">
          <w:marLeft w:val="0"/>
          <w:marRight w:val="0"/>
          <w:marTop w:val="0"/>
          <w:marBottom w:val="0"/>
          <w:divBdr>
            <w:top w:val="none" w:sz="0" w:space="0" w:color="auto"/>
            <w:left w:val="none" w:sz="0" w:space="0" w:color="auto"/>
            <w:bottom w:val="none" w:sz="0" w:space="0" w:color="auto"/>
            <w:right w:val="none" w:sz="0" w:space="0" w:color="auto"/>
          </w:divBdr>
        </w:div>
      </w:divsChild>
    </w:div>
    <w:div w:id="407075003">
      <w:bodyDiv w:val="1"/>
      <w:marLeft w:val="0"/>
      <w:marRight w:val="0"/>
      <w:marTop w:val="0"/>
      <w:marBottom w:val="0"/>
      <w:divBdr>
        <w:top w:val="none" w:sz="0" w:space="0" w:color="auto"/>
        <w:left w:val="none" w:sz="0" w:space="0" w:color="auto"/>
        <w:bottom w:val="none" w:sz="0" w:space="0" w:color="auto"/>
        <w:right w:val="none" w:sz="0" w:space="0" w:color="auto"/>
      </w:divBdr>
    </w:div>
    <w:div w:id="408313553">
      <w:marLeft w:val="0"/>
      <w:marRight w:val="0"/>
      <w:marTop w:val="0"/>
      <w:marBottom w:val="0"/>
      <w:divBdr>
        <w:top w:val="none" w:sz="0" w:space="0" w:color="auto"/>
        <w:left w:val="none" w:sz="0" w:space="0" w:color="auto"/>
        <w:bottom w:val="none" w:sz="0" w:space="0" w:color="auto"/>
        <w:right w:val="none" w:sz="0" w:space="0" w:color="auto"/>
      </w:divBdr>
      <w:divsChild>
        <w:div w:id="889848035">
          <w:marLeft w:val="0"/>
          <w:marRight w:val="0"/>
          <w:marTop w:val="0"/>
          <w:marBottom w:val="0"/>
          <w:divBdr>
            <w:top w:val="none" w:sz="0" w:space="0" w:color="auto"/>
            <w:left w:val="none" w:sz="0" w:space="0" w:color="auto"/>
            <w:bottom w:val="none" w:sz="0" w:space="0" w:color="auto"/>
            <w:right w:val="none" w:sz="0" w:space="0" w:color="auto"/>
          </w:divBdr>
        </w:div>
      </w:divsChild>
    </w:div>
    <w:div w:id="408430708">
      <w:bodyDiv w:val="1"/>
      <w:marLeft w:val="0"/>
      <w:marRight w:val="0"/>
      <w:marTop w:val="0"/>
      <w:marBottom w:val="0"/>
      <w:divBdr>
        <w:top w:val="none" w:sz="0" w:space="0" w:color="auto"/>
        <w:left w:val="none" w:sz="0" w:space="0" w:color="auto"/>
        <w:bottom w:val="none" w:sz="0" w:space="0" w:color="auto"/>
        <w:right w:val="none" w:sz="0" w:space="0" w:color="auto"/>
      </w:divBdr>
    </w:div>
    <w:div w:id="408961883">
      <w:bodyDiv w:val="1"/>
      <w:marLeft w:val="0"/>
      <w:marRight w:val="0"/>
      <w:marTop w:val="0"/>
      <w:marBottom w:val="0"/>
      <w:divBdr>
        <w:top w:val="none" w:sz="0" w:space="0" w:color="auto"/>
        <w:left w:val="none" w:sz="0" w:space="0" w:color="auto"/>
        <w:bottom w:val="none" w:sz="0" w:space="0" w:color="auto"/>
        <w:right w:val="none" w:sz="0" w:space="0" w:color="auto"/>
      </w:divBdr>
    </w:div>
    <w:div w:id="411776868">
      <w:marLeft w:val="0"/>
      <w:marRight w:val="150"/>
      <w:marTop w:val="0"/>
      <w:marBottom w:val="0"/>
      <w:divBdr>
        <w:top w:val="none" w:sz="0" w:space="0" w:color="auto"/>
        <w:left w:val="none" w:sz="0" w:space="0" w:color="auto"/>
        <w:bottom w:val="none" w:sz="0" w:space="0" w:color="auto"/>
        <w:right w:val="none" w:sz="0" w:space="0" w:color="auto"/>
      </w:divBdr>
      <w:divsChild>
        <w:div w:id="1555701185">
          <w:marLeft w:val="0"/>
          <w:marRight w:val="150"/>
          <w:marTop w:val="0"/>
          <w:marBottom w:val="0"/>
          <w:divBdr>
            <w:top w:val="none" w:sz="0" w:space="0" w:color="auto"/>
            <w:left w:val="none" w:sz="0" w:space="0" w:color="auto"/>
            <w:bottom w:val="none" w:sz="0" w:space="0" w:color="auto"/>
            <w:right w:val="none" w:sz="0" w:space="0" w:color="auto"/>
          </w:divBdr>
        </w:div>
      </w:divsChild>
    </w:div>
    <w:div w:id="412581805">
      <w:marLeft w:val="0"/>
      <w:marRight w:val="0"/>
      <w:marTop w:val="0"/>
      <w:marBottom w:val="0"/>
      <w:divBdr>
        <w:top w:val="none" w:sz="0" w:space="0" w:color="auto"/>
        <w:left w:val="none" w:sz="0" w:space="0" w:color="auto"/>
        <w:bottom w:val="none" w:sz="0" w:space="0" w:color="auto"/>
        <w:right w:val="none" w:sz="0" w:space="0" w:color="auto"/>
      </w:divBdr>
      <w:divsChild>
        <w:div w:id="910694149">
          <w:marLeft w:val="0"/>
          <w:marRight w:val="0"/>
          <w:marTop w:val="0"/>
          <w:marBottom w:val="0"/>
          <w:divBdr>
            <w:top w:val="none" w:sz="0" w:space="0" w:color="auto"/>
            <w:left w:val="none" w:sz="0" w:space="0" w:color="auto"/>
            <w:bottom w:val="none" w:sz="0" w:space="0" w:color="auto"/>
            <w:right w:val="none" w:sz="0" w:space="0" w:color="auto"/>
          </w:divBdr>
        </w:div>
      </w:divsChild>
    </w:div>
    <w:div w:id="416708242">
      <w:bodyDiv w:val="1"/>
      <w:marLeft w:val="0"/>
      <w:marRight w:val="0"/>
      <w:marTop w:val="0"/>
      <w:marBottom w:val="0"/>
      <w:divBdr>
        <w:top w:val="none" w:sz="0" w:space="0" w:color="auto"/>
        <w:left w:val="none" w:sz="0" w:space="0" w:color="auto"/>
        <w:bottom w:val="none" w:sz="0" w:space="0" w:color="auto"/>
        <w:right w:val="none" w:sz="0" w:space="0" w:color="auto"/>
      </w:divBdr>
    </w:div>
    <w:div w:id="418990191">
      <w:marLeft w:val="0"/>
      <w:marRight w:val="0"/>
      <w:marTop w:val="0"/>
      <w:marBottom w:val="0"/>
      <w:divBdr>
        <w:top w:val="none" w:sz="0" w:space="0" w:color="auto"/>
        <w:left w:val="none" w:sz="0" w:space="0" w:color="auto"/>
        <w:bottom w:val="none" w:sz="0" w:space="0" w:color="auto"/>
        <w:right w:val="none" w:sz="0" w:space="0" w:color="auto"/>
      </w:divBdr>
      <w:divsChild>
        <w:div w:id="1086659023">
          <w:marLeft w:val="0"/>
          <w:marRight w:val="0"/>
          <w:marTop w:val="0"/>
          <w:marBottom w:val="0"/>
          <w:divBdr>
            <w:top w:val="none" w:sz="0" w:space="0" w:color="auto"/>
            <w:left w:val="none" w:sz="0" w:space="0" w:color="auto"/>
            <w:bottom w:val="none" w:sz="0" w:space="0" w:color="auto"/>
            <w:right w:val="none" w:sz="0" w:space="0" w:color="auto"/>
          </w:divBdr>
        </w:div>
      </w:divsChild>
    </w:div>
    <w:div w:id="419914355">
      <w:bodyDiv w:val="1"/>
      <w:marLeft w:val="0"/>
      <w:marRight w:val="0"/>
      <w:marTop w:val="0"/>
      <w:marBottom w:val="0"/>
      <w:divBdr>
        <w:top w:val="none" w:sz="0" w:space="0" w:color="auto"/>
        <w:left w:val="none" w:sz="0" w:space="0" w:color="auto"/>
        <w:bottom w:val="none" w:sz="0" w:space="0" w:color="auto"/>
        <w:right w:val="none" w:sz="0" w:space="0" w:color="auto"/>
      </w:divBdr>
    </w:div>
    <w:div w:id="420370796">
      <w:bodyDiv w:val="1"/>
      <w:marLeft w:val="0"/>
      <w:marRight w:val="0"/>
      <w:marTop w:val="0"/>
      <w:marBottom w:val="0"/>
      <w:divBdr>
        <w:top w:val="none" w:sz="0" w:space="0" w:color="auto"/>
        <w:left w:val="none" w:sz="0" w:space="0" w:color="auto"/>
        <w:bottom w:val="none" w:sz="0" w:space="0" w:color="auto"/>
        <w:right w:val="none" w:sz="0" w:space="0" w:color="auto"/>
      </w:divBdr>
    </w:div>
    <w:div w:id="421221309">
      <w:bodyDiv w:val="1"/>
      <w:marLeft w:val="0"/>
      <w:marRight w:val="0"/>
      <w:marTop w:val="0"/>
      <w:marBottom w:val="0"/>
      <w:divBdr>
        <w:top w:val="none" w:sz="0" w:space="0" w:color="auto"/>
        <w:left w:val="none" w:sz="0" w:space="0" w:color="auto"/>
        <w:bottom w:val="none" w:sz="0" w:space="0" w:color="auto"/>
        <w:right w:val="none" w:sz="0" w:space="0" w:color="auto"/>
      </w:divBdr>
    </w:div>
    <w:div w:id="421873303">
      <w:marLeft w:val="0"/>
      <w:marRight w:val="0"/>
      <w:marTop w:val="0"/>
      <w:marBottom w:val="0"/>
      <w:divBdr>
        <w:top w:val="none" w:sz="0" w:space="0" w:color="auto"/>
        <w:left w:val="none" w:sz="0" w:space="0" w:color="auto"/>
        <w:bottom w:val="none" w:sz="0" w:space="0" w:color="auto"/>
        <w:right w:val="none" w:sz="0" w:space="0" w:color="auto"/>
      </w:divBdr>
      <w:divsChild>
        <w:div w:id="1798135839">
          <w:marLeft w:val="0"/>
          <w:marRight w:val="0"/>
          <w:marTop w:val="0"/>
          <w:marBottom w:val="0"/>
          <w:divBdr>
            <w:top w:val="none" w:sz="0" w:space="0" w:color="auto"/>
            <w:left w:val="none" w:sz="0" w:space="0" w:color="auto"/>
            <w:bottom w:val="none" w:sz="0" w:space="0" w:color="auto"/>
            <w:right w:val="none" w:sz="0" w:space="0" w:color="auto"/>
          </w:divBdr>
        </w:div>
      </w:divsChild>
    </w:div>
    <w:div w:id="421998005">
      <w:marLeft w:val="0"/>
      <w:marRight w:val="0"/>
      <w:marTop w:val="0"/>
      <w:marBottom w:val="0"/>
      <w:divBdr>
        <w:top w:val="none" w:sz="0" w:space="0" w:color="auto"/>
        <w:left w:val="none" w:sz="0" w:space="0" w:color="auto"/>
        <w:bottom w:val="none" w:sz="0" w:space="0" w:color="auto"/>
        <w:right w:val="none" w:sz="0" w:space="0" w:color="auto"/>
      </w:divBdr>
      <w:divsChild>
        <w:div w:id="1329595566">
          <w:marLeft w:val="0"/>
          <w:marRight w:val="0"/>
          <w:marTop w:val="0"/>
          <w:marBottom w:val="0"/>
          <w:divBdr>
            <w:top w:val="none" w:sz="0" w:space="0" w:color="auto"/>
            <w:left w:val="none" w:sz="0" w:space="0" w:color="auto"/>
            <w:bottom w:val="none" w:sz="0" w:space="0" w:color="auto"/>
            <w:right w:val="none" w:sz="0" w:space="0" w:color="auto"/>
          </w:divBdr>
        </w:div>
      </w:divsChild>
    </w:div>
    <w:div w:id="422148584">
      <w:marLeft w:val="0"/>
      <w:marRight w:val="0"/>
      <w:marTop w:val="0"/>
      <w:marBottom w:val="0"/>
      <w:divBdr>
        <w:top w:val="none" w:sz="0" w:space="0" w:color="auto"/>
        <w:left w:val="none" w:sz="0" w:space="0" w:color="auto"/>
        <w:bottom w:val="none" w:sz="0" w:space="0" w:color="auto"/>
        <w:right w:val="none" w:sz="0" w:space="0" w:color="auto"/>
      </w:divBdr>
      <w:divsChild>
        <w:div w:id="1095707431">
          <w:marLeft w:val="0"/>
          <w:marRight w:val="0"/>
          <w:marTop w:val="0"/>
          <w:marBottom w:val="0"/>
          <w:divBdr>
            <w:top w:val="none" w:sz="0" w:space="0" w:color="auto"/>
            <w:left w:val="none" w:sz="0" w:space="0" w:color="auto"/>
            <w:bottom w:val="none" w:sz="0" w:space="0" w:color="auto"/>
            <w:right w:val="none" w:sz="0" w:space="0" w:color="auto"/>
          </w:divBdr>
        </w:div>
      </w:divsChild>
    </w:div>
    <w:div w:id="425541357">
      <w:marLeft w:val="0"/>
      <w:marRight w:val="0"/>
      <w:marTop w:val="0"/>
      <w:marBottom w:val="0"/>
      <w:divBdr>
        <w:top w:val="none" w:sz="0" w:space="0" w:color="auto"/>
        <w:left w:val="none" w:sz="0" w:space="0" w:color="auto"/>
        <w:bottom w:val="none" w:sz="0" w:space="0" w:color="auto"/>
        <w:right w:val="none" w:sz="0" w:space="0" w:color="auto"/>
      </w:divBdr>
      <w:divsChild>
        <w:div w:id="450712272">
          <w:marLeft w:val="0"/>
          <w:marRight w:val="0"/>
          <w:marTop w:val="0"/>
          <w:marBottom w:val="0"/>
          <w:divBdr>
            <w:top w:val="none" w:sz="0" w:space="0" w:color="auto"/>
            <w:left w:val="none" w:sz="0" w:space="0" w:color="auto"/>
            <w:bottom w:val="none" w:sz="0" w:space="0" w:color="auto"/>
            <w:right w:val="none" w:sz="0" w:space="0" w:color="auto"/>
          </w:divBdr>
        </w:div>
      </w:divsChild>
    </w:div>
    <w:div w:id="429005788">
      <w:marLeft w:val="0"/>
      <w:marRight w:val="0"/>
      <w:marTop w:val="0"/>
      <w:marBottom w:val="0"/>
      <w:divBdr>
        <w:top w:val="none" w:sz="0" w:space="0" w:color="auto"/>
        <w:left w:val="none" w:sz="0" w:space="0" w:color="auto"/>
        <w:bottom w:val="none" w:sz="0" w:space="0" w:color="auto"/>
        <w:right w:val="none" w:sz="0" w:space="0" w:color="auto"/>
      </w:divBdr>
      <w:divsChild>
        <w:div w:id="1336153133">
          <w:marLeft w:val="0"/>
          <w:marRight w:val="0"/>
          <w:marTop w:val="0"/>
          <w:marBottom w:val="0"/>
          <w:divBdr>
            <w:top w:val="none" w:sz="0" w:space="0" w:color="auto"/>
            <w:left w:val="none" w:sz="0" w:space="0" w:color="auto"/>
            <w:bottom w:val="none" w:sz="0" w:space="0" w:color="auto"/>
            <w:right w:val="none" w:sz="0" w:space="0" w:color="auto"/>
          </w:divBdr>
        </w:div>
      </w:divsChild>
    </w:div>
    <w:div w:id="434517498">
      <w:marLeft w:val="0"/>
      <w:marRight w:val="0"/>
      <w:marTop w:val="0"/>
      <w:marBottom w:val="0"/>
      <w:divBdr>
        <w:top w:val="none" w:sz="0" w:space="0" w:color="auto"/>
        <w:left w:val="none" w:sz="0" w:space="0" w:color="auto"/>
        <w:bottom w:val="none" w:sz="0" w:space="0" w:color="auto"/>
        <w:right w:val="none" w:sz="0" w:space="0" w:color="auto"/>
      </w:divBdr>
      <w:divsChild>
        <w:div w:id="102041151">
          <w:marLeft w:val="0"/>
          <w:marRight w:val="0"/>
          <w:marTop w:val="0"/>
          <w:marBottom w:val="0"/>
          <w:divBdr>
            <w:top w:val="none" w:sz="0" w:space="0" w:color="auto"/>
            <w:left w:val="none" w:sz="0" w:space="0" w:color="auto"/>
            <w:bottom w:val="none" w:sz="0" w:space="0" w:color="auto"/>
            <w:right w:val="none" w:sz="0" w:space="0" w:color="auto"/>
          </w:divBdr>
        </w:div>
      </w:divsChild>
    </w:div>
    <w:div w:id="435833375">
      <w:marLeft w:val="0"/>
      <w:marRight w:val="0"/>
      <w:marTop w:val="0"/>
      <w:marBottom w:val="0"/>
      <w:divBdr>
        <w:top w:val="none" w:sz="0" w:space="0" w:color="auto"/>
        <w:left w:val="none" w:sz="0" w:space="0" w:color="auto"/>
        <w:bottom w:val="none" w:sz="0" w:space="0" w:color="auto"/>
        <w:right w:val="none" w:sz="0" w:space="0" w:color="auto"/>
      </w:divBdr>
      <w:divsChild>
        <w:div w:id="1283029615">
          <w:marLeft w:val="0"/>
          <w:marRight w:val="0"/>
          <w:marTop w:val="0"/>
          <w:marBottom w:val="0"/>
          <w:divBdr>
            <w:top w:val="none" w:sz="0" w:space="0" w:color="auto"/>
            <w:left w:val="none" w:sz="0" w:space="0" w:color="auto"/>
            <w:bottom w:val="none" w:sz="0" w:space="0" w:color="auto"/>
            <w:right w:val="none" w:sz="0" w:space="0" w:color="auto"/>
          </w:divBdr>
        </w:div>
      </w:divsChild>
    </w:div>
    <w:div w:id="441143878">
      <w:marLeft w:val="0"/>
      <w:marRight w:val="0"/>
      <w:marTop w:val="0"/>
      <w:marBottom w:val="0"/>
      <w:divBdr>
        <w:top w:val="none" w:sz="0" w:space="0" w:color="auto"/>
        <w:left w:val="none" w:sz="0" w:space="0" w:color="auto"/>
        <w:bottom w:val="none" w:sz="0" w:space="0" w:color="auto"/>
        <w:right w:val="none" w:sz="0" w:space="0" w:color="auto"/>
      </w:divBdr>
      <w:divsChild>
        <w:div w:id="775909625">
          <w:marLeft w:val="0"/>
          <w:marRight w:val="0"/>
          <w:marTop w:val="0"/>
          <w:marBottom w:val="0"/>
          <w:divBdr>
            <w:top w:val="none" w:sz="0" w:space="0" w:color="auto"/>
            <w:left w:val="none" w:sz="0" w:space="0" w:color="auto"/>
            <w:bottom w:val="none" w:sz="0" w:space="0" w:color="auto"/>
            <w:right w:val="none" w:sz="0" w:space="0" w:color="auto"/>
          </w:divBdr>
        </w:div>
      </w:divsChild>
    </w:div>
    <w:div w:id="443157147">
      <w:marLeft w:val="0"/>
      <w:marRight w:val="0"/>
      <w:marTop w:val="0"/>
      <w:marBottom w:val="0"/>
      <w:divBdr>
        <w:top w:val="none" w:sz="0" w:space="0" w:color="auto"/>
        <w:left w:val="none" w:sz="0" w:space="0" w:color="auto"/>
        <w:bottom w:val="none" w:sz="0" w:space="0" w:color="auto"/>
        <w:right w:val="none" w:sz="0" w:space="0" w:color="auto"/>
      </w:divBdr>
      <w:divsChild>
        <w:div w:id="794757218">
          <w:marLeft w:val="0"/>
          <w:marRight w:val="0"/>
          <w:marTop w:val="0"/>
          <w:marBottom w:val="0"/>
          <w:divBdr>
            <w:top w:val="none" w:sz="0" w:space="0" w:color="auto"/>
            <w:left w:val="none" w:sz="0" w:space="0" w:color="auto"/>
            <w:bottom w:val="none" w:sz="0" w:space="0" w:color="auto"/>
            <w:right w:val="none" w:sz="0" w:space="0" w:color="auto"/>
          </w:divBdr>
        </w:div>
      </w:divsChild>
    </w:div>
    <w:div w:id="446972929">
      <w:marLeft w:val="0"/>
      <w:marRight w:val="150"/>
      <w:marTop w:val="0"/>
      <w:marBottom w:val="0"/>
      <w:divBdr>
        <w:top w:val="none" w:sz="0" w:space="0" w:color="auto"/>
        <w:left w:val="none" w:sz="0" w:space="0" w:color="auto"/>
        <w:bottom w:val="none" w:sz="0" w:space="0" w:color="auto"/>
        <w:right w:val="none" w:sz="0" w:space="0" w:color="auto"/>
      </w:divBdr>
      <w:divsChild>
        <w:div w:id="1452283946">
          <w:marLeft w:val="0"/>
          <w:marRight w:val="150"/>
          <w:marTop w:val="0"/>
          <w:marBottom w:val="0"/>
          <w:divBdr>
            <w:top w:val="none" w:sz="0" w:space="0" w:color="auto"/>
            <w:left w:val="none" w:sz="0" w:space="0" w:color="auto"/>
            <w:bottom w:val="none" w:sz="0" w:space="0" w:color="auto"/>
            <w:right w:val="none" w:sz="0" w:space="0" w:color="auto"/>
          </w:divBdr>
        </w:div>
      </w:divsChild>
    </w:div>
    <w:div w:id="448470401">
      <w:bodyDiv w:val="1"/>
      <w:marLeft w:val="0"/>
      <w:marRight w:val="0"/>
      <w:marTop w:val="0"/>
      <w:marBottom w:val="0"/>
      <w:divBdr>
        <w:top w:val="none" w:sz="0" w:space="0" w:color="auto"/>
        <w:left w:val="none" w:sz="0" w:space="0" w:color="auto"/>
        <w:bottom w:val="none" w:sz="0" w:space="0" w:color="auto"/>
        <w:right w:val="none" w:sz="0" w:space="0" w:color="auto"/>
      </w:divBdr>
      <w:divsChild>
        <w:div w:id="1117215100">
          <w:marLeft w:val="0"/>
          <w:marRight w:val="0"/>
          <w:marTop w:val="0"/>
          <w:marBottom w:val="0"/>
          <w:divBdr>
            <w:top w:val="none" w:sz="0" w:space="0" w:color="auto"/>
            <w:left w:val="none" w:sz="0" w:space="0" w:color="auto"/>
            <w:bottom w:val="none" w:sz="0" w:space="0" w:color="auto"/>
            <w:right w:val="none" w:sz="0" w:space="0" w:color="auto"/>
          </w:divBdr>
          <w:divsChild>
            <w:div w:id="1260872140">
              <w:marLeft w:val="0"/>
              <w:marRight w:val="0"/>
              <w:marTop w:val="0"/>
              <w:marBottom w:val="0"/>
              <w:divBdr>
                <w:top w:val="none" w:sz="0" w:space="0" w:color="auto"/>
                <w:left w:val="none" w:sz="0" w:space="0" w:color="auto"/>
                <w:bottom w:val="none" w:sz="0" w:space="0" w:color="auto"/>
                <w:right w:val="none" w:sz="0" w:space="0" w:color="auto"/>
              </w:divBdr>
            </w:div>
            <w:div w:id="1876964226">
              <w:marLeft w:val="0"/>
              <w:marRight w:val="0"/>
              <w:marTop w:val="0"/>
              <w:marBottom w:val="0"/>
              <w:divBdr>
                <w:top w:val="none" w:sz="0" w:space="0" w:color="auto"/>
                <w:left w:val="none" w:sz="0" w:space="0" w:color="auto"/>
                <w:bottom w:val="none" w:sz="0" w:space="0" w:color="auto"/>
                <w:right w:val="none" w:sz="0" w:space="0" w:color="auto"/>
              </w:divBdr>
            </w:div>
            <w:div w:id="419447461">
              <w:marLeft w:val="0"/>
              <w:marRight w:val="0"/>
              <w:marTop w:val="0"/>
              <w:marBottom w:val="0"/>
              <w:divBdr>
                <w:top w:val="none" w:sz="0" w:space="0" w:color="auto"/>
                <w:left w:val="none" w:sz="0" w:space="0" w:color="auto"/>
                <w:bottom w:val="none" w:sz="0" w:space="0" w:color="auto"/>
                <w:right w:val="none" w:sz="0" w:space="0" w:color="auto"/>
              </w:divBdr>
            </w:div>
            <w:div w:id="1480422393">
              <w:marLeft w:val="0"/>
              <w:marRight w:val="0"/>
              <w:marTop w:val="0"/>
              <w:marBottom w:val="0"/>
              <w:divBdr>
                <w:top w:val="none" w:sz="0" w:space="0" w:color="auto"/>
                <w:left w:val="none" w:sz="0" w:space="0" w:color="auto"/>
                <w:bottom w:val="none" w:sz="0" w:space="0" w:color="auto"/>
                <w:right w:val="none" w:sz="0" w:space="0" w:color="auto"/>
              </w:divBdr>
            </w:div>
            <w:div w:id="1296644932">
              <w:marLeft w:val="0"/>
              <w:marRight w:val="0"/>
              <w:marTop w:val="0"/>
              <w:marBottom w:val="0"/>
              <w:divBdr>
                <w:top w:val="none" w:sz="0" w:space="0" w:color="auto"/>
                <w:left w:val="none" w:sz="0" w:space="0" w:color="auto"/>
                <w:bottom w:val="none" w:sz="0" w:space="0" w:color="auto"/>
                <w:right w:val="none" w:sz="0" w:space="0" w:color="auto"/>
              </w:divBdr>
            </w:div>
            <w:div w:id="1278174788">
              <w:marLeft w:val="0"/>
              <w:marRight w:val="0"/>
              <w:marTop w:val="0"/>
              <w:marBottom w:val="0"/>
              <w:divBdr>
                <w:top w:val="none" w:sz="0" w:space="0" w:color="auto"/>
                <w:left w:val="none" w:sz="0" w:space="0" w:color="auto"/>
                <w:bottom w:val="none" w:sz="0" w:space="0" w:color="auto"/>
                <w:right w:val="none" w:sz="0" w:space="0" w:color="auto"/>
              </w:divBdr>
            </w:div>
            <w:div w:id="1969553500">
              <w:marLeft w:val="0"/>
              <w:marRight w:val="0"/>
              <w:marTop w:val="0"/>
              <w:marBottom w:val="0"/>
              <w:divBdr>
                <w:top w:val="none" w:sz="0" w:space="0" w:color="auto"/>
                <w:left w:val="none" w:sz="0" w:space="0" w:color="auto"/>
                <w:bottom w:val="none" w:sz="0" w:space="0" w:color="auto"/>
                <w:right w:val="none" w:sz="0" w:space="0" w:color="auto"/>
              </w:divBdr>
            </w:div>
            <w:div w:id="1294872102">
              <w:marLeft w:val="0"/>
              <w:marRight w:val="0"/>
              <w:marTop w:val="0"/>
              <w:marBottom w:val="0"/>
              <w:divBdr>
                <w:top w:val="none" w:sz="0" w:space="0" w:color="auto"/>
                <w:left w:val="none" w:sz="0" w:space="0" w:color="auto"/>
                <w:bottom w:val="none" w:sz="0" w:space="0" w:color="auto"/>
                <w:right w:val="none" w:sz="0" w:space="0" w:color="auto"/>
              </w:divBdr>
            </w:div>
            <w:div w:id="2080135025">
              <w:marLeft w:val="0"/>
              <w:marRight w:val="0"/>
              <w:marTop w:val="0"/>
              <w:marBottom w:val="0"/>
              <w:divBdr>
                <w:top w:val="none" w:sz="0" w:space="0" w:color="auto"/>
                <w:left w:val="none" w:sz="0" w:space="0" w:color="auto"/>
                <w:bottom w:val="none" w:sz="0" w:space="0" w:color="auto"/>
                <w:right w:val="none" w:sz="0" w:space="0" w:color="auto"/>
              </w:divBdr>
            </w:div>
            <w:div w:id="986863366">
              <w:marLeft w:val="0"/>
              <w:marRight w:val="0"/>
              <w:marTop w:val="0"/>
              <w:marBottom w:val="0"/>
              <w:divBdr>
                <w:top w:val="none" w:sz="0" w:space="0" w:color="auto"/>
                <w:left w:val="none" w:sz="0" w:space="0" w:color="auto"/>
                <w:bottom w:val="none" w:sz="0" w:space="0" w:color="auto"/>
                <w:right w:val="none" w:sz="0" w:space="0" w:color="auto"/>
              </w:divBdr>
            </w:div>
            <w:div w:id="372967035">
              <w:marLeft w:val="0"/>
              <w:marRight w:val="0"/>
              <w:marTop w:val="0"/>
              <w:marBottom w:val="0"/>
              <w:divBdr>
                <w:top w:val="none" w:sz="0" w:space="0" w:color="auto"/>
                <w:left w:val="none" w:sz="0" w:space="0" w:color="auto"/>
                <w:bottom w:val="none" w:sz="0" w:space="0" w:color="auto"/>
                <w:right w:val="none" w:sz="0" w:space="0" w:color="auto"/>
              </w:divBdr>
            </w:div>
            <w:div w:id="614601561">
              <w:marLeft w:val="0"/>
              <w:marRight w:val="0"/>
              <w:marTop w:val="0"/>
              <w:marBottom w:val="0"/>
              <w:divBdr>
                <w:top w:val="none" w:sz="0" w:space="0" w:color="auto"/>
                <w:left w:val="none" w:sz="0" w:space="0" w:color="auto"/>
                <w:bottom w:val="none" w:sz="0" w:space="0" w:color="auto"/>
                <w:right w:val="none" w:sz="0" w:space="0" w:color="auto"/>
              </w:divBdr>
            </w:div>
            <w:div w:id="1421757393">
              <w:marLeft w:val="0"/>
              <w:marRight w:val="0"/>
              <w:marTop w:val="0"/>
              <w:marBottom w:val="0"/>
              <w:divBdr>
                <w:top w:val="none" w:sz="0" w:space="0" w:color="auto"/>
                <w:left w:val="none" w:sz="0" w:space="0" w:color="auto"/>
                <w:bottom w:val="none" w:sz="0" w:space="0" w:color="auto"/>
                <w:right w:val="none" w:sz="0" w:space="0" w:color="auto"/>
              </w:divBdr>
            </w:div>
            <w:div w:id="842430079">
              <w:marLeft w:val="0"/>
              <w:marRight w:val="0"/>
              <w:marTop w:val="0"/>
              <w:marBottom w:val="0"/>
              <w:divBdr>
                <w:top w:val="none" w:sz="0" w:space="0" w:color="auto"/>
                <w:left w:val="none" w:sz="0" w:space="0" w:color="auto"/>
                <w:bottom w:val="none" w:sz="0" w:space="0" w:color="auto"/>
                <w:right w:val="none" w:sz="0" w:space="0" w:color="auto"/>
              </w:divBdr>
            </w:div>
            <w:div w:id="510488384">
              <w:marLeft w:val="0"/>
              <w:marRight w:val="0"/>
              <w:marTop w:val="0"/>
              <w:marBottom w:val="0"/>
              <w:divBdr>
                <w:top w:val="none" w:sz="0" w:space="0" w:color="auto"/>
                <w:left w:val="none" w:sz="0" w:space="0" w:color="auto"/>
                <w:bottom w:val="none" w:sz="0" w:space="0" w:color="auto"/>
                <w:right w:val="none" w:sz="0" w:space="0" w:color="auto"/>
              </w:divBdr>
            </w:div>
            <w:div w:id="205677543">
              <w:marLeft w:val="0"/>
              <w:marRight w:val="0"/>
              <w:marTop w:val="0"/>
              <w:marBottom w:val="0"/>
              <w:divBdr>
                <w:top w:val="none" w:sz="0" w:space="0" w:color="auto"/>
                <w:left w:val="none" w:sz="0" w:space="0" w:color="auto"/>
                <w:bottom w:val="none" w:sz="0" w:space="0" w:color="auto"/>
                <w:right w:val="none" w:sz="0" w:space="0" w:color="auto"/>
              </w:divBdr>
            </w:div>
            <w:div w:id="863251033">
              <w:marLeft w:val="0"/>
              <w:marRight w:val="0"/>
              <w:marTop w:val="0"/>
              <w:marBottom w:val="0"/>
              <w:divBdr>
                <w:top w:val="none" w:sz="0" w:space="0" w:color="auto"/>
                <w:left w:val="none" w:sz="0" w:space="0" w:color="auto"/>
                <w:bottom w:val="none" w:sz="0" w:space="0" w:color="auto"/>
                <w:right w:val="none" w:sz="0" w:space="0" w:color="auto"/>
              </w:divBdr>
            </w:div>
            <w:div w:id="819154525">
              <w:marLeft w:val="0"/>
              <w:marRight w:val="0"/>
              <w:marTop w:val="0"/>
              <w:marBottom w:val="0"/>
              <w:divBdr>
                <w:top w:val="none" w:sz="0" w:space="0" w:color="auto"/>
                <w:left w:val="none" w:sz="0" w:space="0" w:color="auto"/>
                <w:bottom w:val="none" w:sz="0" w:space="0" w:color="auto"/>
                <w:right w:val="none" w:sz="0" w:space="0" w:color="auto"/>
              </w:divBdr>
            </w:div>
            <w:div w:id="1538003522">
              <w:marLeft w:val="0"/>
              <w:marRight w:val="0"/>
              <w:marTop w:val="0"/>
              <w:marBottom w:val="0"/>
              <w:divBdr>
                <w:top w:val="none" w:sz="0" w:space="0" w:color="auto"/>
                <w:left w:val="none" w:sz="0" w:space="0" w:color="auto"/>
                <w:bottom w:val="none" w:sz="0" w:space="0" w:color="auto"/>
                <w:right w:val="none" w:sz="0" w:space="0" w:color="auto"/>
              </w:divBdr>
            </w:div>
            <w:div w:id="142740588">
              <w:marLeft w:val="0"/>
              <w:marRight w:val="0"/>
              <w:marTop w:val="0"/>
              <w:marBottom w:val="0"/>
              <w:divBdr>
                <w:top w:val="none" w:sz="0" w:space="0" w:color="auto"/>
                <w:left w:val="none" w:sz="0" w:space="0" w:color="auto"/>
                <w:bottom w:val="none" w:sz="0" w:space="0" w:color="auto"/>
                <w:right w:val="none" w:sz="0" w:space="0" w:color="auto"/>
              </w:divBdr>
            </w:div>
            <w:div w:id="26188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2081">
      <w:marLeft w:val="0"/>
      <w:marRight w:val="0"/>
      <w:marTop w:val="0"/>
      <w:marBottom w:val="0"/>
      <w:divBdr>
        <w:top w:val="none" w:sz="0" w:space="0" w:color="auto"/>
        <w:left w:val="none" w:sz="0" w:space="0" w:color="auto"/>
        <w:bottom w:val="none" w:sz="0" w:space="0" w:color="auto"/>
        <w:right w:val="none" w:sz="0" w:space="0" w:color="auto"/>
      </w:divBdr>
      <w:divsChild>
        <w:div w:id="1097872762">
          <w:marLeft w:val="0"/>
          <w:marRight w:val="0"/>
          <w:marTop w:val="0"/>
          <w:marBottom w:val="0"/>
          <w:divBdr>
            <w:top w:val="none" w:sz="0" w:space="0" w:color="auto"/>
            <w:left w:val="none" w:sz="0" w:space="0" w:color="auto"/>
            <w:bottom w:val="none" w:sz="0" w:space="0" w:color="auto"/>
            <w:right w:val="none" w:sz="0" w:space="0" w:color="auto"/>
          </w:divBdr>
        </w:div>
      </w:divsChild>
    </w:div>
    <w:div w:id="451940568">
      <w:marLeft w:val="0"/>
      <w:marRight w:val="0"/>
      <w:marTop w:val="0"/>
      <w:marBottom w:val="0"/>
      <w:divBdr>
        <w:top w:val="none" w:sz="0" w:space="0" w:color="auto"/>
        <w:left w:val="none" w:sz="0" w:space="0" w:color="auto"/>
        <w:bottom w:val="none" w:sz="0" w:space="0" w:color="auto"/>
        <w:right w:val="none" w:sz="0" w:space="0" w:color="auto"/>
      </w:divBdr>
      <w:divsChild>
        <w:div w:id="809248564">
          <w:marLeft w:val="0"/>
          <w:marRight w:val="0"/>
          <w:marTop w:val="0"/>
          <w:marBottom w:val="0"/>
          <w:divBdr>
            <w:top w:val="none" w:sz="0" w:space="0" w:color="auto"/>
            <w:left w:val="none" w:sz="0" w:space="0" w:color="auto"/>
            <w:bottom w:val="none" w:sz="0" w:space="0" w:color="auto"/>
            <w:right w:val="none" w:sz="0" w:space="0" w:color="auto"/>
          </w:divBdr>
        </w:div>
      </w:divsChild>
    </w:div>
    <w:div w:id="453403248">
      <w:bodyDiv w:val="1"/>
      <w:marLeft w:val="0"/>
      <w:marRight w:val="0"/>
      <w:marTop w:val="0"/>
      <w:marBottom w:val="0"/>
      <w:divBdr>
        <w:top w:val="none" w:sz="0" w:space="0" w:color="auto"/>
        <w:left w:val="none" w:sz="0" w:space="0" w:color="auto"/>
        <w:bottom w:val="none" w:sz="0" w:space="0" w:color="auto"/>
        <w:right w:val="none" w:sz="0" w:space="0" w:color="auto"/>
      </w:divBdr>
    </w:div>
    <w:div w:id="455638125">
      <w:bodyDiv w:val="1"/>
      <w:marLeft w:val="0"/>
      <w:marRight w:val="0"/>
      <w:marTop w:val="0"/>
      <w:marBottom w:val="0"/>
      <w:divBdr>
        <w:top w:val="none" w:sz="0" w:space="0" w:color="auto"/>
        <w:left w:val="none" w:sz="0" w:space="0" w:color="auto"/>
        <w:bottom w:val="none" w:sz="0" w:space="0" w:color="auto"/>
        <w:right w:val="none" w:sz="0" w:space="0" w:color="auto"/>
      </w:divBdr>
    </w:div>
    <w:div w:id="458883645">
      <w:bodyDiv w:val="1"/>
      <w:marLeft w:val="0"/>
      <w:marRight w:val="0"/>
      <w:marTop w:val="0"/>
      <w:marBottom w:val="0"/>
      <w:divBdr>
        <w:top w:val="none" w:sz="0" w:space="0" w:color="auto"/>
        <w:left w:val="none" w:sz="0" w:space="0" w:color="auto"/>
        <w:bottom w:val="none" w:sz="0" w:space="0" w:color="auto"/>
        <w:right w:val="none" w:sz="0" w:space="0" w:color="auto"/>
      </w:divBdr>
    </w:div>
    <w:div w:id="462038153">
      <w:bodyDiv w:val="1"/>
      <w:marLeft w:val="0"/>
      <w:marRight w:val="0"/>
      <w:marTop w:val="0"/>
      <w:marBottom w:val="0"/>
      <w:divBdr>
        <w:top w:val="none" w:sz="0" w:space="0" w:color="auto"/>
        <w:left w:val="none" w:sz="0" w:space="0" w:color="auto"/>
        <w:bottom w:val="none" w:sz="0" w:space="0" w:color="auto"/>
        <w:right w:val="none" w:sz="0" w:space="0" w:color="auto"/>
      </w:divBdr>
    </w:div>
    <w:div w:id="465705882">
      <w:marLeft w:val="0"/>
      <w:marRight w:val="0"/>
      <w:marTop w:val="0"/>
      <w:marBottom w:val="0"/>
      <w:divBdr>
        <w:top w:val="none" w:sz="0" w:space="0" w:color="auto"/>
        <w:left w:val="none" w:sz="0" w:space="0" w:color="auto"/>
        <w:bottom w:val="none" w:sz="0" w:space="0" w:color="auto"/>
        <w:right w:val="none" w:sz="0" w:space="0" w:color="auto"/>
      </w:divBdr>
      <w:divsChild>
        <w:div w:id="636690495">
          <w:marLeft w:val="0"/>
          <w:marRight w:val="0"/>
          <w:marTop w:val="0"/>
          <w:marBottom w:val="0"/>
          <w:divBdr>
            <w:top w:val="none" w:sz="0" w:space="0" w:color="auto"/>
            <w:left w:val="none" w:sz="0" w:space="0" w:color="auto"/>
            <w:bottom w:val="none" w:sz="0" w:space="0" w:color="auto"/>
            <w:right w:val="none" w:sz="0" w:space="0" w:color="auto"/>
          </w:divBdr>
        </w:div>
      </w:divsChild>
    </w:div>
    <w:div w:id="466749864">
      <w:marLeft w:val="0"/>
      <w:marRight w:val="0"/>
      <w:marTop w:val="0"/>
      <w:marBottom w:val="0"/>
      <w:divBdr>
        <w:top w:val="none" w:sz="0" w:space="0" w:color="auto"/>
        <w:left w:val="none" w:sz="0" w:space="0" w:color="auto"/>
        <w:bottom w:val="none" w:sz="0" w:space="0" w:color="auto"/>
        <w:right w:val="none" w:sz="0" w:space="0" w:color="auto"/>
      </w:divBdr>
      <w:divsChild>
        <w:div w:id="1649285015">
          <w:marLeft w:val="0"/>
          <w:marRight w:val="0"/>
          <w:marTop w:val="0"/>
          <w:marBottom w:val="0"/>
          <w:divBdr>
            <w:top w:val="none" w:sz="0" w:space="0" w:color="auto"/>
            <w:left w:val="none" w:sz="0" w:space="0" w:color="auto"/>
            <w:bottom w:val="none" w:sz="0" w:space="0" w:color="auto"/>
            <w:right w:val="none" w:sz="0" w:space="0" w:color="auto"/>
          </w:divBdr>
        </w:div>
      </w:divsChild>
    </w:div>
    <w:div w:id="468862486">
      <w:marLeft w:val="0"/>
      <w:marRight w:val="0"/>
      <w:marTop w:val="0"/>
      <w:marBottom w:val="0"/>
      <w:divBdr>
        <w:top w:val="none" w:sz="0" w:space="0" w:color="auto"/>
        <w:left w:val="none" w:sz="0" w:space="0" w:color="auto"/>
        <w:bottom w:val="none" w:sz="0" w:space="0" w:color="auto"/>
        <w:right w:val="none" w:sz="0" w:space="0" w:color="auto"/>
      </w:divBdr>
      <w:divsChild>
        <w:div w:id="1393430063">
          <w:marLeft w:val="0"/>
          <w:marRight w:val="0"/>
          <w:marTop w:val="0"/>
          <w:marBottom w:val="0"/>
          <w:divBdr>
            <w:top w:val="none" w:sz="0" w:space="0" w:color="auto"/>
            <w:left w:val="none" w:sz="0" w:space="0" w:color="auto"/>
            <w:bottom w:val="none" w:sz="0" w:space="0" w:color="auto"/>
            <w:right w:val="none" w:sz="0" w:space="0" w:color="auto"/>
          </w:divBdr>
        </w:div>
      </w:divsChild>
    </w:div>
    <w:div w:id="471603065">
      <w:marLeft w:val="0"/>
      <w:marRight w:val="0"/>
      <w:marTop w:val="0"/>
      <w:marBottom w:val="0"/>
      <w:divBdr>
        <w:top w:val="none" w:sz="0" w:space="0" w:color="auto"/>
        <w:left w:val="none" w:sz="0" w:space="0" w:color="auto"/>
        <w:bottom w:val="none" w:sz="0" w:space="0" w:color="auto"/>
        <w:right w:val="none" w:sz="0" w:space="0" w:color="auto"/>
      </w:divBdr>
      <w:divsChild>
        <w:div w:id="171536659">
          <w:marLeft w:val="0"/>
          <w:marRight w:val="0"/>
          <w:marTop w:val="0"/>
          <w:marBottom w:val="0"/>
          <w:divBdr>
            <w:top w:val="none" w:sz="0" w:space="0" w:color="auto"/>
            <w:left w:val="none" w:sz="0" w:space="0" w:color="auto"/>
            <w:bottom w:val="none" w:sz="0" w:space="0" w:color="auto"/>
            <w:right w:val="none" w:sz="0" w:space="0" w:color="auto"/>
          </w:divBdr>
        </w:div>
      </w:divsChild>
    </w:div>
    <w:div w:id="475684278">
      <w:marLeft w:val="0"/>
      <w:marRight w:val="0"/>
      <w:marTop w:val="0"/>
      <w:marBottom w:val="0"/>
      <w:divBdr>
        <w:top w:val="none" w:sz="0" w:space="0" w:color="auto"/>
        <w:left w:val="none" w:sz="0" w:space="0" w:color="auto"/>
        <w:bottom w:val="none" w:sz="0" w:space="0" w:color="auto"/>
        <w:right w:val="none" w:sz="0" w:space="0" w:color="auto"/>
      </w:divBdr>
      <w:divsChild>
        <w:div w:id="594753530">
          <w:marLeft w:val="0"/>
          <w:marRight w:val="0"/>
          <w:marTop w:val="0"/>
          <w:marBottom w:val="0"/>
          <w:divBdr>
            <w:top w:val="none" w:sz="0" w:space="0" w:color="auto"/>
            <w:left w:val="none" w:sz="0" w:space="0" w:color="auto"/>
            <w:bottom w:val="none" w:sz="0" w:space="0" w:color="auto"/>
            <w:right w:val="none" w:sz="0" w:space="0" w:color="auto"/>
          </w:divBdr>
        </w:div>
      </w:divsChild>
    </w:div>
    <w:div w:id="476142734">
      <w:bodyDiv w:val="1"/>
      <w:marLeft w:val="0"/>
      <w:marRight w:val="0"/>
      <w:marTop w:val="0"/>
      <w:marBottom w:val="0"/>
      <w:divBdr>
        <w:top w:val="none" w:sz="0" w:space="0" w:color="auto"/>
        <w:left w:val="none" w:sz="0" w:space="0" w:color="auto"/>
        <w:bottom w:val="none" w:sz="0" w:space="0" w:color="auto"/>
        <w:right w:val="none" w:sz="0" w:space="0" w:color="auto"/>
      </w:divBdr>
      <w:divsChild>
        <w:div w:id="559903806">
          <w:marLeft w:val="0"/>
          <w:marRight w:val="0"/>
          <w:marTop w:val="0"/>
          <w:marBottom w:val="0"/>
          <w:divBdr>
            <w:top w:val="none" w:sz="0" w:space="0" w:color="auto"/>
            <w:left w:val="none" w:sz="0" w:space="0" w:color="auto"/>
            <w:bottom w:val="none" w:sz="0" w:space="0" w:color="auto"/>
            <w:right w:val="none" w:sz="0" w:space="0" w:color="auto"/>
          </w:divBdr>
          <w:divsChild>
            <w:div w:id="1854297340">
              <w:marLeft w:val="0"/>
              <w:marRight w:val="0"/>
              <w:marTop w:val="0"/>
              <w:marBottom w:val="0"/>
              <w:divBdr>
                <w:top w:val="none" w:sz="0" w:space="0" w:color="auto"/>
                <w:left w:val="none" w:sz="0" w:space="0" w:color="auto"/>
                <w:bottom w:val="none" w:sz="0" w:space="0" w:color="auto"/>
                <w:right w:val="none" w:sz="0" w:space="0" w:color="auto"/>
              </w:divBdr>
            </w:div>
            <w:div w:id="1924682315">
              <w:marLeft w:val="0"/>
              <w:marRight w:val="0"/>
              <w:marTop w:val="0"/>
              <w:marBottom w:val="0"/>
              <w:divBdr>
                <w:top w:val="none" w:sz="0" w:space="0" w:color="auto"/>
                <w:left w:val="none" w:sz="0" w:space="0" w:color="auto"/>
                <w:bottom w:val="none" w:sz="0" w:space="0" w:color="auto"/>
                <w:right w:val="none" w:sz="0" w:space="0" w:color="auto"/>
              </w:divBdr>
            </w:div>
            <w:div w:id="770274604">
              <w:marLeft w:val="0"/>
              <w:marRight w:val="0"/>
              <w:marTop w:val="0"/>
              <w:marBottom w:val="0"/>
              <w:divBdr>
                <w:top w:val="none" w:sz="0" w:space="0" w:color="auto"/>
                <w:left w:val="none" w:sz="0" w:space="0" w:color="auto"/>
                <w:bottom w:val="none" w:sz="0" w:space="0" w:color="auto"/>
                <w:right w:val="none" w:sz="0" w:space="0" w:color="auto"/>
              </w:divBdr>
            </w:div>
            <w:div w:id="1012990697">
              <w:marLeft w:val="0"/>
              <w:marRight w:val="0"/>
              <w:marTop w:val="0"/>
              <w:marBottom w:val="0"/>
              <w:divBdr>
                <w:top w:val="none" w:sz="0" w:space="0" w:color="auto"/>
                <w:left w:val="none" w:sz="0" w:space="0" w:color="auto"/>
                <w:bottom w:val="none" w:sz="0" w:space="0" w:color="auto"/>
                <w:right w:val="none" w:sz="0" w:space="0" w:color="auto"/>
              </w:divBdr>
            </w:div>
            <w:div w:id="939459070">
              <w:marLeft w:val="0"/>
              <w:marRight w:val="0"/>
              <w:marTop w:val="0"/>
              <w:marBottom w:val="0"/>
              <w:divBdr>
                <w:top w:val="none" w:sz="0" w:space="0" w:color="auto"/>
                <w:left w:val="none" w:sz="0" w:space="0" w:color="auto"/>
                <w:bottom w:val="none" w:sz="0" w:space="0" w:color="auto"/>
                <w:right w:val="none" w:sz="0" w:space="0" w:color="auto"/>
              </w:divBdr>
            </w:div>
            <w:div w:id="1660576646">
              <w:marLeft w:val="0"/>
              <w:marRight w:val="0"/>
              <w:marTop w:val="0"/>
              <w:marBottom w:val="0"/>
              <w:divBdr>
                <w:top w:val="none" w:sz="0" w:space="0" w:color="auto"/>
                <w:left w:val="none" w:sz="0" w:space="0" w:color="auto"/>
                <w:bottom w:val="none" w:sz="0" w:space="0" w:color="auto"/>
                <w:right w:val="none" w:sz="0" w:space="0" w:color="auto"/>
              </w:divBdr>
            </w:div>
            <w:div w:id="1036008233">
              <w:marLeft w:val="0"/>
              <w:marRight w:val="0"/>
              <w:marTop w:val="0"/>
              <w:marBottom w:val="0"/>
              <w:divBdr>
                <w:top w:val="none" w:sz="0" w:space="0" w:color="auto"/>
                <w:left w:val="none" w:sz="0" w:space="0" w:color="auto"/>
                <w:bottom w:val="none" w:sz="0" w:space="0" w:color="auto"/>
                <w:right w:val="none" w:sz="0" w:space="0" w:color="auto"/>
              </w:divBdr>
            </w:div>
            <w:div w:id="611715668">
              <w:marLeft w:val="0"/>
              <w:marRight w:val="0"/>
              <w:marTop w:val="0"/>
              <w:marBottom w:val="0"/>
              <w:divBdr>
                <w:top w:val="none" w:sz="0" w:space="0" w:color="auto"/>
                <w:left w:val="none" w:sz="0" w:space="0" w:color="auto"/>
                <w:bottom w:val="none" w:sz="0" w:space="0" w:color="auto"/>
                <w:right w:val="none" w:sz="0" w:space="0" w:color="auto"/>
              </w:divBdr>
            </w:div>
            <w:div w:id="1119643861">
              <w:marLeft w:val="0"/>
              <w:marRight w:val="0"/>
              <w:marTop w:val="0"/>
              <w:marBottom w:val="0"/>
              <w:divBdr>
                <w:top w:val="none" w:sz="0" w:space="0" w:color="auto"/>
                <w:left w:val="none" w:sz="0" w:space="0" w:color="auto"/>
                <w:bottom w:val="none" w:sz="0" w:space="0" w:color="auto"/>
                <w:right w:val="none" w:sz="0" w:space="0" w:color="auto"/>
              </w:divBdr>
            </w:div>
            <w:div w:id="1492942337">
              <w:marLeft w:val="0"/>
              <w:marRight w:val="0"/>
              <w:marTop w:val="0"/>
              <w:marBottom w:val="0"/>
              <w:divBdr>
                <w:top w:val="none" w:sz="0" w:space="0" w:color="auto"/>
                <w:left w:val="none" w:sz="0" w:space="0" w:color="auto"/>
                <w:bottom w:val="none" w:sz="0" w:space="0" w:color="auto"/>
                <w:right w:val="none" w:sz="0" w:space="0" w:color="auto"/>
              </w:divBdr>
            </w:div>
            <w:div w:id="173036218">
              <w:marLeft w:val="0"/>
              <w:marRight w:val="0"/>
              <w:marTop w:val="0"/>
              <w:marBottom w:val="0"/>
              <w:divBdr>
                <w:top w:val="none" w:sz="0" w:space="0" w:color="auto"/>
                <w:left w:val="none" w:sz="0" w:space="0" w:color="auto"/>
                <w:bottom w:val="none" w:sz="0" w:space="0" w:color="auto"/>
                <w:right w:val="none" w:sz="0" w:space="0" w:color="auto"/>
              </w:divBdr>
            </w:div>
            <w:div w:id="1436050427">
              <w:marLeft w:val="0"/>
              <w:marRight w:val="0"/>
              <w:marTop w:val="0"/>
              <w:marBottom w:val="0"/>
              <w:divBdr>
                <w:top w:val="none" w:sz="0" w:space="0" w:color="auto"/>
                <w:left w:val="none" w:sz="0" w:space="0" w:color="auto"/>
                <w:bottom w:val="none" w:sz="0" w:space="0" w:color="auto"/>
                <w:right w:val="none" w:sz="0" w:space="0" w:color="auto"/>
              </w:divBdr>
            </w:div>
            <w:div w:id="674380766">
              <w:marLeft w:val="0"/>
              <w:marRight w:val="0"/>
              <w:marTop w:val="0"/>
              <w:marBottom w:val="0"/>
              <w:divBdr>
                <w:top w:val="none" w:sz="0" w:space="0" w:color="auto"/>
                <w:left w:val="none" w:sz="0" w:space="0" w:color="auto"/>
                <w:bottom w:val="none" w:sz="0" w:space="0" w:color="auto"/>
                <w:right w:val="none" w:sz="0" w:space="0" w:color="auto"/>
              </w:divBdr>
            </w:div>
            <w:div w:id="1019354655">
              <w:marLeft w:val="0"/>
              <w:marRight w:val="0"/>
              <w:marTop w:val="0"/>
              <w:marBottom w:val="0"/>
              <w:divBdr>
                <w:top w:val="none" w:sz="0" w:space="0" w:color="auto"/>
                <w:left w:val="none" w:sz="0" w:space="0" w:color="auto"/>
                <w:bottom w:val="none" w:sz="0" w:space="0" w:color="auto"/>
                <w:right w:val="none" w:sz="0" w:space="0" w:color="auto"/>
              </w:divBdr>
            </w:div>
            <w:div w:id="699360082">
              <w:marLeft w:val="0"/>
              <w:marRight w:val="0"/>
              <w:marTop w:val="0"/>
              <w:marBottom w:val="0"/>
              <w:divBdr>
                <w:top w:val="none" w:sz="0" w:space="0" w:color="auto"/>
                <w:left w:val="none" w:sz="0" w:space="0" w:color="auto"/>
                <w:bottom w:val="none" w:sz="0" w:space="0" w:color="auto"/>
                <w:right w:val="none" w:sz="0" w:space="0" w:color="auto"/>
              </w:divBdr>
            </w:div>
            <w:div w:id="1912697358">
              <w:marLeft w:val="0"/>
              <w:marRight w:val="0"/>
              <w:marTop w:val="0"/>
              <w:marBottom w:val="0"/>
              <w:divBdr>
                <w:top w:val="none" w:sz="0" w:space="0" w:color="auto"/>
                <w:left w:val="none" w:sz="0" w:space="0" w:color="auto"/>
                <w:bottom w:val="none" w:sz="0" w:space="0" w:color="auto"/>
                <w:right w:val="none" w:sz="0" w:space="0" w:color="auto"/>
              </w:divBdr>
            </w:div>
            <w:div w:id="674378964">
              <w:marLeft w:val="0"/>
              <w:marRight w:val="0"/>
              <w:marTop w:val="0"/>
              <w:marBottom w:val="0"/>
              <w:divBdr>
                <w:top w:val="none" w:sz="0" w:space="0" w:color="auto"/>
                <w:left w:val="none" w:sz="0" w:space="0" w:color="auto"/>
                <w:bottom w:val="none" w:sz="0" w:space="0" w:color="auto"/>
                <w:right w:val="none" w:sz="0" w:space="0" w:color="auto"/>
              </w:divBdr>
            </w:div>
            <w:div w:id="1169514889">
              <w:marLeft w:val="0"/>
              <w:marRight w:val="0"/>
              <w:marTop w:val="0"/>
              <w:marBottom w:val="0"/>
              <w:divBdr>
                <w:top w:val="none" w:sz="0" w:space="0" w:color="auto"/>
                <w:left w:val="none" w:sz="0" w:space="0" w:color="auto"/>
                <w:bottom w:val="none" w:sz="0" w:space="0" w:color="auto"/>
                <w:right w:val="none" w:sz="0" w:space="0" w:color="auto"/>
              </w:divBdr>
            </w:div>
            <w:div w:id="1988590637">
              <w:marLeft w:val="0"/>
              <w:marRight w:val="0"/>
              <w:marTop w:val="0"/>
              <w:marBottom w:val="0"/>
              <w:divBdr>
                <w:top w:val="none" w:sz="0" w:space="0" w:color="auto"/>
                <w:left w:val="none" w:sz="0" w:space="0" w:color="auto"/>
                <w:bottom w:val="none" w:sz="0" w:space="0" w:color="auto"/>
                <w:right w:val="none" w:sz="0" w:space="0" w:color="auto"/>
              </w:divBdr>
            </w:div>
            <w:div w:id="58285156">
              <w:marLeft w:val="0"/>
              <w:marRight w:val="0"/>
              <w:marTop w:val="0"/>
              <w:marBottom w:val="0"/>
              <w:divBdr>
                <w:top w:val="none" w:sz="0" w:space="0" w:color="auto"/>
                <w:left w:val="none" w:sz="0" w:space="0" w:color="auto"/>
                <w:bottom w:val="none" w:sz="0" w:space="0" w:color="auto"/>
                <w:right w:val="none" w:sz="0" w:space="0" w:color="auto"/>
              </w:divBdr>
            </w:div>
            <w:div w:id="87622153">
              <w:marLeft w:val="0"/>
              <w:marRight w:val="0"/>
              <w:marTop w:val="0"/>
              <w:marBottom w:val="0"/>
              <w:divBdr>
                <w:top w:val="none" w:sz="0" w:space="0" w:color="auto"/>
                <w:left w:val="none" w:sz="0" w:space="0" w:color="auto"/>
                <w:bottom w:val="none" w:sz="0" w:space="0" w:color="auto"/>
                <w:right w:val="none" w:sz="0" w:space="0" w:color="auto"/>
              </w:divBdr>
            </w:div>
            <w:div w:id="655300695">
              <w:marLeft w:val="0"/>
              <w:marRight w:val="0"/>
              <w:marTop w:val="0"/>
              <w:marBottom w:val="0"/>
              <w:divBdr>
                <w:top w:val="none" w:sz="0" w:space="0" w:color="auto"/>
                <w:left w:val="none" w:sz="0" w:space="0" w:color="auto"/>
                <w:bottom w:val="none" w:sz="0" w:space="0" w:color="auto"/>
                <w:right w:val="none" w:sz="0" w:space="0" w:color="auto"/>
              </w:divBdr>
            </w:div>
            <w:div w:id="1242718713">
              <w:marLeft w:val="0"/>
              <w:marRight w:val="0"/>
              <w:marTop w:val="0"/>
              <w:marBottom w:val="0"/>
              <w:divBdr>
                <w:top w:val="none" w:sz="0" w:space="0" w:color="auto"/>
                <w:left w:val="none" w:sz="0" w:space="0" w:color="auto"/>
                <w:bottom w:val="none" w:sz="0" w:space="0" w:color="auto"/>
                <w:right w:val="none" w:sz="0" w:space="0" w:color="auto"/>
              </w:divBdr>
            </w:div>
            <w:div w:id="764420162">
              <w:marLeft w:val="0"/>
              <w:marRight w:val="0"/>
              <w:marTop w:val="0"/>
              <w:marBottom w:val="0"/>
              <w:divBdr>
                <w:top w:val="none" w:sz="0" w:space="0" w:color="auto"/>
                <w:left w:val="none" w:sz="0" w:space="0" w:color="auto"/>
                <w:bottom w:val="none" w:sz="0" w:space="0" w:color="auto"/>
                <w:right w:val="none" w:sz="0" w:space="0" w:color="auto"/>
              </w:divBdr>
            </w:div>
            <w:div w:id="10219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89055">
      <w:marLeft w:val="0"/>
      <w:marRight w:val="0"/>
      <w:marTop w:val="0"/>
      <w:marBottom w:val="0"/>
      <w:divBdr>
        <w:top w:val="none" w:sz="0" w:space="0" w:color="auto"/>
        <w:left w:val="none" w:sz="0" w:space="0" w:color="auto"/>
        <w:bottom w:val="none" w:sz="0" w:space="0" w:color="auto"/>
        <w:right w:val="none" w:sz="0" w:space="0" w:color="auto"/>
      </w:divBdr>
      <w:divsChild>
        <w:div w:id="1348680966">
          <w:marLeft w:val="0"/>
          <w:marRight w:val="0"/>
          <w:marTop w:val="0"/>
          <w:marBottom w:val="0"/>
          <w:divBdr>
            <w:top w:val="none" w:sz="0" w:space="0" w:color="auto"/>
            <w:left w:val="none" w:sz="0" w:space="0" w:color="auto"/>
            <w:bottom w:val="none" w:sz="0" w:space="0" w:color="auto"/>
            <w:right w:val="none" w:sz="0" w:space="0" w:color="auto"/>
          </w:divBdr>
        </w:div>
      </w:divsChild>
    </w:div>
    <w:div w:id="478696177">
      <w:bodyDiv w:val="1"/>
      <w:marLeft w:val="0"/>
      <w:marRight w:val="0"/>
      <w:marTop w:val="0"/>
      <w:marBottom w:val="0"/>
      <w:divBdr>
        <w:top w:val="none" w:sz="0" w:space="0" w:color="auto"/>
        <w:left w:val="none" w:sz="0" w:space="0" w:color="auto"/>
        <w:bottom w:val="none" w:sz="0" w:space="0" w:color="auto"/>
        <w:right w:val="none" w:sz="0" w:space="0" w:color="auto"/>
      </w:divBdr>
    </w:div>
    <w:div w:id="482738731">
      <w:marLeft w:val="0"/>
      <w:marRight w:val="0"/>
      <w:marTop w:val="0"/>
      <w:marBottom w:val="0"/>
      <w:divBdr>
        <w:top w:val="none" w:sz="0" w:space="0" w:color="auto"/>
        <w:left w:val="none" w:sz="0" w:space="0" w:color="auto"/>
        <w:bottom w:val="none" w:sz="0" w:space="0" w:color="auto"/>
        <w:right w:val="none" w:sz="0" w:space="0" w:color="auto"/>
      </w:divBdr>
      <w:divsChild>
        <w:div w:id="583808541">
          <w:marLeft w:val="0"/>
          <w:marRight w:val="0"/>
          <w:marTop w:val="0"/>
          <w:marBottom w:val="0"/>
          <w:divBdr>
            <w:top w:val="none" w:sz="0" w:space="0" w:color="auto"/>
            <w:left w:val="none" w:sz="0" w:space="0" w:color="auto"/>
            <w:bottom w:val="none" w:sz="0" w:space="0" w:color="auto"/>
            <w:right w:val="none" w:sz="0" w:space="0" w:color="auto"/>
          </w:divBdr>
        </w:div>
      </w:divsChild>
    </w:div>
    <w:div w:id="483355692">
      <w:marLeft w:val="0"/>
      <w:marRight w:val="0"/>
      <w:marTop w:val="0"/>
      <w:marBottom w:val="0"/>
      <w:divBdr>
        <w:top w:val="none" w:sz="0" w:space="0" w:color="auto"/>
        <w:left w:val="none" w:sz="0" w:space="0" w:color="auto"/>
        <w:bottom w:val="none" w:sz="0" w:space="0" w:color="auto"/>
        <w:right w:val="none" w:sz="0" w:space="0" w:color="auto"/>
      </w:divBdr>
      <w:divsChild>
        <w:div w:id="519709519">
          <w:marLeft w:val="0"/>
          <w:marRight w:val="0"/>
          <w:marTop w:val="0"/>
          <w:marBottom w:val="0"/>
          <w:divBdr>
            <w:top w:val="none" w:sz="0" w:space="0" w:color="auto"/>
            <w:left w:val="none" w:sz="0" w:space="0" w:color="auto"/>
            <w:bottom w:val="none" w:sz="0" w:space="0" w:color="auto"/>
            <w:right w:val="none" w:sz="0" w:space="0" w:color="auto"/>
          </w:divBdr>
        </w:div>
      </w:divsChild>
    </w:div>
    <w:div w:id="485434711">
      <w:bodyDiv w:val="1"/>
      <w:marLeft w:val="0"/>
      <w:marRight w:val="0"/>
      <w:marTop w:val="0"/>
      <w:marBottom w:val="0"/>
      <w:divBdr>
        <w:top w:val="none" w:sz="0" w:space="0" w:color="auto"/>
        <w:left w:val="none" w:sz="0" w:space="0" w:color="auto"/>
        <w:bottom w:val="none" w:sz="0" w:space="0" w:color="auto"/>
        <w:right w:val="none" w:sz="0" w:space="0" w:color="auto"/>
      </w:divBdr>
      <w:divsChild>
        <w:div w:id="1072510783">
          <w:marLeft w:val="0"/>
          <w:marRight w:val="0"/>
          <w:marTop w:val="0"/>
          <w:marBottom w:val="0"/>
          <w:divBdr>
            <w:top w:val="none" w:sz="0" w:space="0" w:color="auto"/>
            <w:left w:val="none" w:sz="0" w:space="0" w:color="auto"/>
            <w:bottom w:val="none" w:sz="0" w:space="0" w:color="auto"/>
            <w:right w:val="none" w:sz="0" w:space="0" w:color="auto"/>
          </w:divBdr>
          <w:divsChild>
            <w:div w:id="1685981396">
              <w:marLeft w:val="0"/>
              <w:marRight w:val="0"/>
              <w:marTop w:val="0"/>
              <w:marBottom w:val="0"/>
              <w:divBdr>
                <w:top w:val="none" w:sz="0" w:space="0" w:color="auto"/>
                <w:left w:val="none" w:sz="0" w:space="0" w:color="auto"/>
                <w:bottom w:val="none" w:sz="0" w:space="0" w:color="auto"/>
                <w:right w:val="none" w:sz="0" w:space="0" w:color="auto"/>
              </w:divBdr>
              <w:divsChild>
                <w:div w:id="352074041">
                  <w:marLeft w:val="0"/>
                  <w:marRight w:val="150"/>
                  <w:marTop w:val="0"/>
                  <w:marBottom w:val="0"/>
                  <w:divBdr>
                    <w:top w:val="none" w:sz="0" w:space="0" w:color="auto"/>
                    <w:left w:val="none" w:sz="0" w:space="0" w:color="auto"/>
                    <w:bottom w:val="none" w:sz="0" w:space="0" w:color="auto"/>
                    <w:right w:val="none" w:sz="0" w:space="0" w:color="auto"/>
                  </w:divBdr>
                  <w:divsChild>
                    <w:div w:id="63047740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50033062">
          <w:marLeft w:val="0"/>
          <w:marRight w:val="150"/>
          <w:marTop w:val="0"/>
          <w:marBottom w:val="0"/>
          <w:divBdr>
            <w:top w:val="none" w:sz="0" w:space="0" w:color="auto"/>
            <w:left w:val="none" w:sz="0" w:space="0" w:color="auto"/>
            <w:bottom w:val="none" w:sz="0" w:space="0" w:color="auto"/>
            <w:right w:val="none" w:sz="0" w:space="0" w:color="auto"/>
          </w:divBdr>
          <w:divsChild>
            <w:div w:id="26300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87522658">
      <w:bodyDiv w:val="1"/>
      <w:marLeft w:val="0"/>
      <w:marRight w:val="0"/>
      <w:marTop w:val="0"/>
      <w:marBottom w:val="0"/>
      <w:divBdr>
        <w:top w:val="none" w:sz="0" w:space="0" w:color="auto"/>
        <w:left w:val="none" w:sz="0" w:space="0" w:color="auto"/>
        <w:bottom w:val="none" w:sz="0" w:space="0" w:color="auto"/>
        <w:right w:val="none" w:sz="0" w:space="0" w:color="auto"/>
      </w:divBdr>
    </w:div>
    <w:div w:id="488637771">
      <w:marLeft w:val="0"/>
      <w:marRight w:val="0"/>
      <w:marTop w:val="0"/>
      <w:marBottom w:val="0"/>
      <w:divBdr>
        <w:top w:val="none" w:sz="0" w:space="0" w:color="auto"/>
        <w:left w:val="none" w:sz="0" w:space="0" w:color="auto"/>
        <w:bottom w:val="none" w:sz="0" w:space="0" w:color="auto"/>
        <w:right w:val="none" w:sz="0" w:space="0" w:color="auto"/>
      </w:divBdr>
      <w:divsChild>
        <w:div w:id="1596552201">
          <w:marLeft w:val="0"/>
          <w:marRight w:val="0"/>
          <w:marTop w:val="0"/>
          <w:marBottom w:val="0"/>
          <w:divBdr>
            <w:top w:val="none" w:sz="0" w:space="0" w:color="auto"/>
            <w:left w:val="none" w:sz="0" w:space="0" w:color="auto"/>
            <w:bottom w:val="none" w:sz="0" w:space="0" w:color="auto"/>
            <w:right w:val="none" w:sz="0" w:space="0" w:color="auto"/>
          </w:divBdr>
        </w:div>
      </w:divsChild>
    </w:div>
    <w:div w:id="489566875">
      <w:marLeft w:val="0"/>
      <w:marRight w:val="0"/>
      <w:marTop w:val="0"/>
      <w:marBottom w:val="0"/>
      <w:divBdr>
        <w:top w:val="none" w:sz="0" w:space="0" w:color="auto"/>
        <w:left w:val="none" w:sz="0" w:space="0" w:color="auto"/>
        <w:bottom w:val="none" w:sz="0" w:space="0" w:color="auto"/>
        <w:right w:val="none" w:sz="0" w:space="0" w:color="auto"/>
      </w:divBdr>
      <w:divsChild>
        <w:div w:id="1685858224">
          <w:marLeft w:val="0"/>
          <w:marRight w:val="0"/>
          <w:marTop w:val="0"/>
          <w:marBottom w:val="0"/>
          <w:divBdr>
            <w:top w:val="none" w:sz="0" w:space="0" w:color="auto"/>
            <w:left w:val="none" w:sz="0" w:space="0" w:color="auto"/>
            <w:bottom w:val="none" w:sz="0" w:space="0" w:color="auto"/>
            <w:right w:val="none" w:sz="0" w:space="0" w:color="auto"/>
          </w:divBdr>
        </w:div>
      </w:divsChild>
    </w:div>
    <w:div w:id="490296034">
      <w:marLeft w:val="0"/>
      <w:marRight w:val="0"/>
      <w:marTop w:val="0"/>
      <w:marBottom w:val="0"/>
      <w:divBdr>
        <w:top w:val="none" w:sz="0" w:space="0" w:color="auto"/>
        <w:left w:val="none" w:sz="0" w:space="0" w:color="auto"/>
        <w:bottom w:val="none" w:sz="0" w:space="0" w:color="auto"/>
        <w:right w:val="none" w:sz="0" w:space="0" w:color="auto"/>
      </w:divBdr>
      <w:divsChild>
        <w:div w:id="1351836746">
          <w:marLeft w:val="0"/>
          <w:marRight w:val="0"/>
          <w:marTop w:val="0"/>
          <w:marBottom w:val="0"/>
          <w:divBdr>
            <w:top w:val="none" w:sz="0" w:space="0" w:color="auto"/>
            <w:left w:val="none" w:sz="0" w:space="0" w:color="auto"/>
            <w:bottom w:val="none" w:sz="0" w:space="0" w:color="auto"/>
            <w:right w:val="none" w:sz="0" w:space="0" w:color="auto"/>
          </w:divBdr>
        </w:div>
      </w:divsChild>
    </w:div>
    <w:div w:id="490565738">
      <w:bodyDiv w:val="1"/>
      <w:marLeft w:val="0"/>
      <w:marRight w:val="0"/>
      <w:marTop w:val="0"/>
      <w:marBottom w:val="0"/>
      <w:divBdr>
        <w:top w:val="none" w:sz="0" w:space="0" w:color="auto"/>
        <w:left w:val="none" w:sz="0" w:space="0" w:color="auto"/>
        <w:bottom w:val="none" w:sz="0" w:space="0" w:color="auto"/>
        <w:right w:val="none" w:sz="0" w:space="0" w:color="auto"/>
      </w:divBdr>
    </w:div>
    <w:div w:id="492140845">
      <w:marLeft w:val="0"/>
      <w:marRight w:val="0"/>
      <w:marTop w:val="0"/>
      <w:marBottom w:val="0"/>
      <w:divBdr>
        <w:top w:val="none" w:sz="0" w:space="0" w:color="auto"/>
        <w:left w:val="none" w:sz="0" w:space="0" w:color="auto"/>
        <w:bottom w:val="none" w:sz="0" w:space="0" w:color="auto"/>
        <w:right w:val="none" w:sz="0" w:space="0" w:color="auto"/>
      </w:divBdr>
      <w:divsChild>
        <w:div w:id="1820613372">
          <w:marLeft w:val="0"/>
          <w:marRight w:val="0"/>
          <w:marTop w:val="0"/>
          <w:marBottom w:val="0"/>
          <w:divBdr>
            <w:top w:val="none" w:sz="0" w:space="0" w:color="auto"/>
            <w:left w:val="none" w:sz="0" w:space="0" w:color="auto"/>
            <w:bottom w:val="none" w:sz="0" w:space="0" w:color="auto"/>
            <w:right w:val="none" w:sz="0" w:space="0" w:color="auto"/>
          </w:divBdr>
        </w:div>
      </w:divsChild>
    </w:div>
    <w:div w:id="495806287">
      <w:bodyDiv w:val="1"/>
      <w:marLeft w:val="0"/>
      <w:marRight w:val="0"/>
      <w:marTop w:val="0"/>
      <w:marBottom w:val="0"/>
      <w:divBdr>
        <w:top w:val="none" w:sz="0" w:space="0" w:color="auto"/>
        <w:left w:val="none" w:sz="0" w:space="0" w:color="auto"/>
        <w:bottom w:val="none" w:sz="0" w:space="0" w:color="auto"/>
        <w:right w:val="none" w:sz="0" w:space="0" w:color="auto"/>
      </w:divBdr>
      <w:divsChild>
        <w:div w:id="324863204">
          <w:marLeft w:val="0"/>
          <w:marRight w:val="0"/>
          <w:marTop w:val="0"/>
          <w:marBottom w:val="0"/>
          <w:divBdr>
            <w:top w:val="none" w:sz="0" w:space="0" w:color="auto"/>
            <w:left w:val="none" w:sz="0" w:space="0" w:color="auto"/>
            <w:bottom w:val="none" w:sz="0" w:space="0" w:color="auto"/>
            <w:right w:val="none" w:sz="0" w:space="0" w:color="auto"/>
          </w:divBdr>
        </w:div>
        <w:div w:id="680357616">
          <w:marLeft w:val="0"/>
          <w:marRight w:val="0"/>
          <w:marTop w:val="0"/>
          <w:marBottom w:val="0"/>
          <w:divBdr>
            <w:top w:val="none" w:sz="0" w:space="0" w:color="auto"/>
            <w:left w:val="none" w:sz="0" w:space="0" w:color="auto"/>
            <w:bottom w:val="none" w:sz="0" w:space="0" w:color="auto"/>
            <w:right w:val="none" w:sz="0" w:space="0" w:color="auto"/>
          </w:divBdr>
        </w:div>
        <w:div w:id="433324922">
          <w:marLeft w:val="0"/>
          <w:marRight w:val="0"/>
          <w:marTop w:val="0"/>
          <w:marBottom w:val="0"/>
          <w:divBdr>
            <w:top w:val="none" w:sz="0" w:space="0" w:color="auto"/>
            <w:left w:val="none" w:sz="0" w:space="0" w:color="auto"/>
            <w:bottom w:val="none" w:sz="0" w:space="0" w:color="auto"/>
            <w:right w:val="none" w:sz="0" w:space="0" w:color="auto"/>
          </w:divBdr>
        </w:div>
        <w:div w:id="1929384426">
          <w:marLeft w:val="0"/>
          <w:marRight w:val="0"/>
          <w:marTop w:val="0"/>
          <w:marBottom w:val="0"/>
          <w:divBdr>
            <w:top w:val="none" w:sz="0" w:space="0" w:color="auto"/>
            <w:left w:val="none" w:sz="0" w:space="0" w:color="auto"/>
            <w:bottom w:val="none" w:sz="0" w:space="0" w:color="auto"/>
            <w:right w:val="none" w:sz="0" w:space="0" w:color="auto"/>
          </w:divBdr>
        </w:div>
        <w:div w:id="1196578753">
          <w:marLeft w:val="0"/>
          <w:marRight w:val="0"/>
          <w:marTop w:val="0"/>
          <w:marBottom w:val="0"/>
          <w:divBdr>
            <w:top w:val="none" w:sz="0" w:space="0" w:color="auto"/>
            <w:left w:val="none" w:sz="0" w:space="0" w:color="auto"/>
            <w:bottom w:val="none" w:sz="0" w:space="0" w:color="auto"/>
            <w:right w:val="none" w:sz="0" w:space="0" w:color="auto"/>
          </w:divBdr>
        </w:div>
        <w:div w:id="773793148">
          <w:marLeft w:val="0"/>
          <w:marRight w:val="0"/>
          <w:marTop w:val="0"/>
          <w:marBottom w:val="0"/>
          <w:divBdr>
            <w:top w:val="none" w:sz="0" w:space="0" w:color="auto"/>
            <w:left w:val="none" w:sz="0" w:space="0" w:color="auto"/>
            <w:bottom w:val="none" w:sz="0" w:space="0" w:color="auto"/>
            <w:right w:val="none" w:sz="0" w:space="0" w:color="auto"/>
          </w:divBdr>
        </w:div>
        <w:div w:id="374358130">
          <w:marLeft w:val="0"/>
          <w:marRight w:val="0"/>
          <w:marTop w:val="0"/>
          <w:marBottom w:val="0"/>
          <w:divBdr>
            <w:top w:val="none" w:sz="0" w:space="0" w:color="auto"/>
            <w:left w:val="none" w:sz="0" w:space="0" w:color="auto"/>
            <w:bottom w:val="none" w:sz="0" w:space="0" w:color="auto"/>
            <w:right w:val="none" w:sz="0" w:space="0" w:color="auto"/>
          </w:divBdr>
        </w:div>
        <w:div w:id="17002550">
          <w:marLeft w:val="0"/>
          <w:marRight w:val="0"/>
          <w:marTop w:val="0"/>
          <w:marBottom w:val="0"/>
          <w:divBdr>
            <w:top w:val="none" w:sz="0" w:space="0" w:color="auto"/>
            <w:left w:val="none" w:sz="0" w:space="0" w:color="auto"/>
            <w:bottom w:val="none" w:sz="0" w:space="0" w:color="auto"/>
            <w:right w:val="none" w:sz="0" w:space="0" w:color="auto"/>
          </w:divBdr>
        </w:div>
        <w:div w:id="1699433853">
          <w:marLeft w:val="0"/>
          <w:marRight w:val="0"/>
          <w:marTop w:val="0"/>
          <w:marBottom w:val="0"/>
          <w:divBdr>
            <w:top w:val="none" w:sz="0" w:space="0" w:color="auto"/>
            <w:left w:val="none" w:sz="0" w:space="0" w:color="auto"/>
            <w:bottom w:val="none" w:sz="0" w:space="0" w:color="auto"/>
            <w:right w:val="none" w:sz="0" w:space="0" w:color="auto"/>
          </w:divBdr>
        </w:div>
        <w:div w:id="1636446298">
          <w:marLeft w:val="0"/>
          <w:marRight w:val="0"/>
          <w:marTop w:val="0"/>
          <w:marBottom w:val="0"/>
          <w:divBdr>
            <w:top w:val="none" w:sz="0" w:space="0" w:color="auto"/>
            <w:left w:val="none" w:sz="0" w:space="0" w:color="auto"/>
            <w:bottom w:val="none" w:sz="0" w:space="0" w:color="auto"/>
            <w:right w:val="none" w:sz="0" w:space="0" w:color="auto"/>
          </w:divBdr>
        </w:div>
        <w:div w:id="1913389106">
          <w:marLeft w:val="0"/>
          <w:marRight w:val="0"/>
          <w:marTop w:val="0"/>
          <w:marBottom w:val="0"/>
          <w:divBdr>
            <w:top w:val="none" w:sz="0" w:space="0" w:color="auto"/>
            <w:left w:val="none" w:sz="0" w:space="0" w:color="auto"/>
            <w:bottom w:val="none" w:sz="0" w:space="0" w:color="auto"/>
            <w:right w:val="none" w:sz="0" w:space="0" w:color="auto"/>
          </w:divBdr>
        </w:div>
        <w:div w:id="285964047">
          <w:marLeft w:val="0"/>
          <w:marRight w:val="0"/>
          <w:marTop w:val="0"/>
          <w:marBottom w:val="0"/>
          <w:divBdr>
            <w:top w:val="none" w:sz="0" w:space="0" w:color="auto"/>
            <w:left w:val="none" w:sz="0" w:space="0" w:color="auto"/>
            <w:bottom w:val="none" w:sz="0" w:space="0" w:color="auto"/>
            <w:right w:val="none" w:sz="0" w:space="0" w:color="auto"/>
          </w:divBdr>
        </w:div>
        <w:div w:id="354038375">
          <w:marLeft w:val="0"/>
          <w:marRight w:val="0"/>
          <w:marTop w:val="0"/>
          <w:marBottom w:val="0"/>
          <w:divBdr>
            <w:top w:val="none" w:sz="0" w:space="0" w:color="auto"/>
            <w:left w:val="none" w:sz="0" w:space="0" w:color="auto"/>
            <w:bottom w:val="none" w:sz="0" w:space="0" w:color="auto"/>
            <w:right w:val="none" w:sz="0" w:space="0" w:color="auto"/>
          </w:divBdr>
        </w:div>
        <w:div w:id="838467620">
          <w:marLeft w:val="0"/>
          <w:marRight w:val="0"/>
          <w:marTop w:val="0"/>
          <w:marBottom w:val="0"/>
          <w:divBdr>
            <w:top w:val="none" w:sz="0" w:space="0" w:color="auto"/>
            <w:left w:val="none" w:sz="0" w:space="0" w:color="auto"/>
            <w:bottom w:val="none" w:sz="0" w:space="0" w:color="auto"/>
            <w:right w:val="none" w:sz="0" w:space="0" w:color="auto"/>
          </w:divBdr>
        </w:div>
        <w:div w:id="1619340246">
          <w:marLeft w:val="0"/>
          <w:marRight w:val="0"/>
          <w:marTop w:val="0"/>
          <w:marBottom w:val="0"/>
          <w:divBdr>
            <w:top w:val="none" w:sz="0" w:space="0" w:color="auto"/>
            <w:left w:val="none" w:sz="0" w:space="0" w:color="auto"/>
            <w:bottom w:val="none" w:sz="0" w:space="0" w:color="auto"/>
            <w:right w:val="none" w:sz="0" w:space="0" w:color="auto"/>
          </w:divBdr>
        </w:div>
        <w:div w:id="1272512679">
          <w:marLeft w:val="0"/>
          <w:marRight w:val="0"/>
          <w:marTop w:val="0"/>
          <w:marBottom w:val="0"/>
          <w:divBdr>
            <w:top w:val="none" w:sz="0" w:space="0" w:color="auto"/>
            <w:left w:val="none" w:sz="0" w:space="0" w:color="auto"/>
            <w:bottom w:val="none" w:sz="0" w:space="0" w:color="auto"/>
            <w:right w:val="none" w:sz="0" w:space="0" w:color="auto"/>
          </w:divBdr>
        </w:div>
        <w:div w:id="118257051">
          <w:marLeft w:val="0"/>
          <w:marRight w:val="0"/>
          <w:marTop w:val="0"/>
          <w:marBottom w:val="0"/>
          <w:divBdr>
            <w:top w:val="none" w:sz="0" w:space="0" w:color="auto"/>
            <w:left w:val="none" w:sz="0" w:space="0" w:color="auto"/>
            <w:bottom w:val="none" w:sz="0" w:space="0" w:color="auto"/>
            <w:right w:val="none" w:sz="0" w:space="0" w:color="auto"/>
          </w:divBdr>
        </w:div>
        <w:div w:id="1892888775">
          <w:marLeft w:val="0"/>
          <w:marRight w:val="0"/>
          <w:marTop w:val="0"/>
          <w:marBottom w:val="0"/>
          <w:divBdr>
            <w:top w:val="none" w:sz="0" w:space="0" w:color="auto"/>
            <w:left w:val="none" w:sz="0" w:space="0" w:color="auto"/>
            <w:bottom w:val="none" w:sz="0" w:space="0" w:color="auto"/>
            <w:right w:val="none" w:sz="0" w:space="0" w:color="auto"/>
          </w:divBdr>
        </w:div>
        <w:div w:id="1556047342">
          <w:marLeft w:val="0"/>
          <w:marRight w:val="0"/>
          <w:marTop w:val="0"/>
          <w:marBottom w:val="0"/>
          <w:divBdr>
            <w:top w:val="none" w:sz="0" w:space="0" w:color="auto"/>
            <w:left w:val="none" w:sz="0" w:space="0" w:color="auto"/>
            <w:bottom w:val="none" w:sz="0" w:space="0" w:color="auto"/>
            <w:right w:val="none" w:sz="0" w:space="0" w:color="auto"/>
          </w:divBdr>
        </w:div>
        <w:div w:id="1881162906">
          <w:marLeft w:val="0"/>
          <w:marRight w:val="0"/>
          <w:marTop w:val="0"/>
          <w:marBottom w:val="0"/>
          <w:divBdr>
            <w:top w:val="none" w:sz="0" w:space="0" w:color="auto"/>
            <w:left w:val="none" w:sz="0" w:space="0" w:color="auto"/>
            <w:bottom w:val="none" w:sz="0" w:space="0" w:color="auto"/>
            <w:right w:val="none" w:sz="0" w:space="0" w:color="auto"/>
          </w:divBdr>
        </w:div>
        <w:div w:id="1853252651">
          <w:marLeft w:val="0"/>
          <w:marRight w:val="0"/>
          <w:marTop w:val="0"/>
          <w:marBottom w:val="0"/>
          <w:divBdr>
            <w:top w:val="none" w:sz="0" w:space="0" w:color="auto"/>
            <w:left w:val="none" w:sz="0" w:space="0" w:color="auto"/>
            <w:bottom w:val="none" w:sz="0" w:space="0" w:color="auto"/>
            <w:right w:val="none" w:sz="0" w:space="0" w:color="auto"/>
          </w:divBdr>
        </w:div>
        <w:div w:id="2063092155">
          <w:marLeft w:val="0"/>
          <w:marRight w:val="0"/>
          <w:marTop w:val="0"/>
          <w:marBottom w:val="0"/>
          <w:divBdr>
            <w:top w:val="none" w:sz="0" w:space="0" w:color="auto"/>
            <w:left w:val="none" w:sz="0" w:space="0" w:color="auto"/>
            <w:bottom w:val="none" w:sz="0" w:space="0" w:color="auto"/>
            <w:right w:val="none" w:sz="0" w:space="0" w:color="auto"/>
          </w:divBdr>
        </w:div>
        <w:div w:id="596404249">
          <w:marLeft w:val="0"/>
          <w:marRight w:val="0"/>
          <w:marTop w:val="0"/>
          <w:marBottom w:val="0"/>
          <w:divBdr>
            <w:top w:val="none" w:sz="0" w:space="0" w:color="auto"/>
            <w:left w:val="none" w:sz="0" w:space="0" w:color="auto"/>
            <w:bottom w:val="none" w:sz="0" w:space="0" w:color="auto"/>
            <w:right w:val="none" w:sz="0" w:space="0" w:color="auto"/>
          </w:divBdr>
        </w:div>
        <w:div w:id="515196366">
          <w:marLeft w:val="0"/>
          <w:marRight w:val="0"/>
          <w:marTop w:val="0"/>
          <w:marBottom w:val="0"/>
          <w:divBdr>
            <w:top w:val="none" w:sz="0" w:space="0" w:color="auto"/>
            <w:left w:val="none" w:sz="0" w:space="0" w:color="auto"/>
            <w:bottom w:val="none" w:sz="0" w:space="0" w:color="auto"/>
            <w:right w:val="none" w:sz="0" w:space="0" w:color="auto"/>
          </w:divBdr>
        </w:div>
        <w:div w:id="115763324">
          <w:marLeft w:val="0"/>
          <w:marRight w:val="0"/>
          <w:marTop w:val="0"/>
          <w:marBottom w:val="0"/>
          <w:divBdr>
            <w:top w:val="none" w:sz="0" w:space="0" w:color="auto"/>
            <w:left w:val="none" w:sz="0" w:space="0" w:color="auto"/>
            <w:bottom w:val="none" w:sz="0" w:space="0" w:color="auto"/>
            <w:right w:val="none" w:sz="0" w:space="0" w:color="auto"/>
          </w:divBdr>
        </w:div>
        <w:div w:id="2053382385">
          <w:marLeft w:val="0"/>
          <w:marRight w:val="0"/>
          <w:marTop w:val="0"/>
          <w:marBottom w:val="0"/>
          <w:divBdr>
            <w:top w:val="none" w:sz="0" w:space="0" w:color="auto"/>
            <w:left w:val="none" w:sz="0" w:space="0" w:color="auto"/>
            <w:bottom w:val="none" w:sz="0" w:space="0" w:color="auto"/>
            <w:right w:val="none" w:sz="0" w:space="0" w:color="auto"/>
          </w:divBdr>
        </w:div>
        <w:div w:id="1295866965">
          <w:marLeft w:val="0"/>
          <w:marRight w:val="0"/>
          <w:marTop w:val="0"/>
          <w:marBottom w:val="0"/>
          <w:divBdr>
            <w:top w:val="none" w:sz="0" w:space="0" w:color="auto"/>
            <w:left w:val="none" w:sz="0" w:space="0" w:color="auto"/>
            <w:bottom w:val="none" w:sz="0" w:space="0" w:color="auto"/>
            <w:right w:val="none" w:sz="0" w:space="0" w:color="auto"/>
          </w:divBdr>
        </w:div>
        <w:div w:id="1402286884">
          <w:marLeft w:val="0"/>
          <w:marRight w:val="0"/>
          <w:marTop w:val="0"/>
          <w:marBottom w:val="0"/>
          <w:divBdr>
            <w:top w:val="none" w:sz="0" w:space="0" w:color="auto"/>
            <w:left w:val="none" w:sz="0" w:space="0" w:color="auto"/>
            <w:bottom w:val="none" w:sz="0" w:space="0" w:color="auto"/>
            <w:right w:val="none" w:sz="0" w:space="0" w:color="auto"/>
          </w:divBdr>
        </w:div>
        <w:div w:id="1943108114">
          <w:marLeft w:val="0"/>
          <w:marRight w:val="0"/>
          <w:marTop w:val="0"/>
          <w:marBottom w:val="0"/>
          <w:divBdr>
            <w:top w:val="none" w:sz="0" w:space="0" w:color="auto"/>
            <w:left w:val="none" w:sz="0" w:space="0" w:color="auto"/>
            <w:bottom w:val="none" w:sz="0" w:space="0" w:color="auto"/>
            <w:right w:val="none" w:sz="0" w:space="0" w:color="auto"/>
          </w:divBdr>
        </w:div>
        <w:div w:id="1032027620">
          <w:marLeft w:val="0"/>
          <w:marRight w:val="0"/>
          <w:marTop w:val="0"/>
          <w:marBottom w:val="0"/>
          <w:divBdr>
            <w:top w:val="none" w:sz="0" w:space="0" w:color="auto"/>
            <w:left w:val="none" w:sz="0" w:space="0" w:color="auto"/>
            <w:bottom w:val="none" w:sz="0" w:space="0" w:color="auto"/>
            <w:right w:val="none" w:sz="0" w:space="0" w:color="auto"/>
          </w:divBdr>
        </w:div>
      </w:divsChild>
    </w:div>
    <w:div w:id="496773192">
      <w:marLeft w:val="0"/>
      <w:marRight w:val="0"/>
      <w:marTop w:val="0"/>
      <w:marBottom w:val="0"/>
      <w:divBdr>
        <w:top w:val="none" w:sz="0" w:space="0" w:color="auto"/>
        <w:left w:val="none" w:sz="0" w:space="0" w:color="auto"/>
        <w:bottom w:val="none" w:sz="0" w:space="0" w:color="auto"/>
        <w:right w:val="none" w:sz="0" w:space="0" w:color="auto"/>
      </w:divBdr>
      <w:divsChild>
        <w:div w:id="76750584">
          <w:marLeft w:val="0"/>
          <w:marRight w:val="0"/>
          <w:marTop w:val="0"/>
          <w:marBottom w:val="0"/>
          <w:divBdr>
            <w:top w:val="none" w:sz="0" w:space="0" w:color="auto"/>
            <w:left w:val="none" w:sz="0" w:space="0" w:color="auto"/>
            <w:bottom w:val="none" w:sz="0" w:space="0" w:color="auto"/>
            <w:right w:val="none" w:sz="0" w:space="0" w:color="auto"/>
          </w:divBdr>
        </w:div>
      </w:divsChild>
    </w:div>
    <w:div w:id="505099291">
      <w:marLeft w:val="0"/>
      <w:marRight w:val="0"/>
      <w:marTop w:val="0"/>
      <w:marBottom w:val="0"/>
      <w:divBdr>
        <w:top w:val="none" w:sz="0" w:space="0" w:color="auto"/>
        <w:left w:val="none" w:sz="0" w:space="0" w:color="auto"/>
        <w:bottom w:val="none" w:sz="0" w:space="0" w:color="auto"/>
        <w:right w:val="none" w:sz="0" w:space="0" w:color="auto"/>
      </w:divBdr>
      <w:divsChild>
        <w:div w:id="1990591809">
          <w:marLeft w:val="0"/>
          <w:marRight w:val="0"/>
          <w:marTop w:val="0"/>
          <w:marBottom w:val="0"/>
          <w:divBdr>
            <w:top w:val="none" w:sz="0" w:space="0" w:color="auto"/>
            <w:left w:val="none" w:sz="0" w:space="0" w:color="auto"/>
            <w:bottom w:val="none" w:sz="0" w:space="0" w:color="auto"/>
            <w:right w:val="none" w:sz="0" w:space="0" w:color="auto"/>
          </w:divBdr>
        </w:div>
      </w:divsChild>
    </w:div>
    <w:div w:id="505706827">
      <w:marLeft w:val="0"/>
      <w:marRight w:val="0"/>
      <w:marTop w:val="0"/>
      <w:marBottom w:val="0"/>
      <w:divBdr>
        <w:top w:val="none" w:sz="0" w:space="0" w:color="auto"/>
        <w:left w:val="none" w:sz="0" w:space="0" w:color="auto"/>
        <w:bottom w:val="none" w:sz="0" w:space="0" w:color="auto"/>
        <w:right w:val="none" w:sz="0" w:space="0" w:color="auto"/>
      </w:divBdr>
      <w:divsChild>
        <w:div w:id="227957390">
          <w:marLeft w:val="0"/>
          <w:marRight w:val="0"/>
          <w:marTop w:val="0"/>
          <w:marBottom w:val="0"/>
          <w:divBdr>
            <w:top w:val="none" w:sz="0" w:space="0" w:color="auto"/>
            <w:left w:val="none" w:sz="0" w:space="0" w:color="auto"/>
            <w:bottom w:val="none" w:sz="0" w:space="0" w:color="auto"/>
            <w:right w:val="none" w:sz="0" w:space="0" w:color="auto"/>
          </w:divBdr>
        </w:div>
      </w:divsChild>
    </w:div>
    <w:div w:id="506559216">
      <w:marLeft w:val="0"/>
      <w:marRight w:val="0"/>
      <w:marTop w:val="0"/>
      <w:marBottom w:val="0"/>
      <w:divBdr>
        <w:top w:val="none" w:sz="0" w:space="0" w:color="auto"/>
        <w:left w:val="none" w:sz="0" w:space="0" w:color="auto"/>
        <w:bottom w:val="none" w:sz="0" w:space="0" w:color="auto"/>
        <w:right w:val="none" w:sz="0" w:space="0" w:color="auto"/>
      </w:divBdr>
      <w:divsChild>
        <w:div w:id="385380214">
          <w:marLeft w:val="0"/>
          <w:marRight w:val="0"/>
          <w:marTop w:val="0"/>
          <w:marBottom w:val="0"/>
          <w:divBdr>
            <w:top w:val="none" w:sz="0" w:space="0" w:color="auto"/>
            <w:left w:val="none" w:sz="0" w:space="0" w:color="auto"/>
            <w:bottom w:val="none" w:sz="0" w:space="0" w:color="auto"/>
            <w:right w:val="none" w:sz="0" w:space="0" w:color="auto"/>
          </w:divBdr>
        </w:div>
      </w:divsChild>
    </w:div>
    <w:div w:id="508831884">
      <w:marLeft w:val="0"/>
      <w:marRight w:val="0"/>
      <w:marTop w:val="0"/>
      <w:marBottom w:val="0"/>
      <w:divBdr>
        <w:top w:val="none" w:sz="0" w:space="0" w:color="auto"/>
        <w:left w:val="none" w:sz="0" w:space="0" w:color="auto"/>
        <w:bottom w:val="none" w:sz="0" w:space="0" w:color="auto"/>
        <w:right w:val="none" w:sz="0" w:space="0" w:color="auto"/>
      </w:divBdr>
      <w:divsChild>
        <w:div w:id="849761457">
          <w:marLeft w:val="0"/>
          <w:marRight w:val="0"/>
          <w:marTop w:val="0"/>
          <w:marBottom w:val="0"/>
          <w:divBdr>
            <w:top w:val="none" w:sz="0" w:space="0" w:color="auto"/>
            <w:left w:val="none" w:sz="0" w:space="0" w:color="auto"/>
            <w:bottom w:val="none" w:sz="0" w:space="0" w:color="auto"/>
            <w:right w:val="none" w:sz="0" w:space="0" w:color="auto"/>
          </w:divBdr>
        </w:div>
      </w:divsChild>
    </w:div>
    <w:div w:id="511338703">
      <w:bodyDiv w:val="1"/>
      <w:marLeft w:val="0"/>
      <w:marRight w:val="0"/>
      <w:marTop w:val="0"/>
      <w:marBottom w:val="0"/>
      <w:divBdr>
        <w:top w:val="none" w:sz="0" w:space="0" w:color="auto"/>
        <w:left w:val="none" w:sz="0" w:space="0" w:color="auto"/>
        <w:bottom w:val="none" w:sz="0" w:space="0" w:color="auto"/>
        <w:right w:val="none" w:sz="0" w:space="0" w:color="auto"/>
      </w:divBdr>
    </w:div>
    <w:div w:id="514728396">
      <w:marLeft w:val="0"/>
      <w:marRight w:val="0"/>
      <w:marTop w:val="0"/>
      <w:marBottom w:val="0"/>
      <w:divBdr>
        <w:top w:val="none" w:sz="0" w:space="0" w:color="auto"/>
        <w:left w:val="none" w:sz="0" w:space="0" w:color="auto"/>
        <w:bottom w:val="none" w:sz="0" w:space="0" w:color="auto"/>
        <w:right w:val="none" w:sz="0" w:space="0" w:color="auto"/>
      </w:divBdr>
      <w:divsChild>
        <w:div w:id="1713382660">
          <w:marLeft w:val="0"/>
          <w:marRight w:val="0"/>
          <w:marTop w:val="0"/>
          <w:marBottom w:val="0"/>
          <w:divBdr>
            <w:top w:val="none" w:sz="0" w:space="0" w:color="auto"/>
            <w:left w:val="none" w:sz="0" w:space="0" w:color="auto"/>
            <w:bottom w:val="none" w:sz="0" w:space="0" w:color="auto"/>
            <w:right w:val="none" w:sz="0" w:space="0" w:color="auto"/>
          </w:divBdr>
        </w:div>
      </w:divsChild>
    </w:div>
    <w:div w:id="515733848">
      <w:marLeft w:val="0"/>
      <w:marRight w:val="0"/>
      <w:marTop w:val="0"/>
      <w:marBottom w:val="0"/>
      <w:divBdr>
        <w:top w:val="none" w:sz="0" w:space="0" w:color="auto"/>
        <w:left w:val="none" w:sz="0" w:space="0" w:color="auto"/>
        <w:bottom w:val="none" w:sz="0" w:space="0" w:color="auto"/>
        <w:right w:val="none" w:sz="0" w:space="0" w:color="auto"/>
      </w:divBdr>
      <w:divsChild>
        <w:div w:id="534658703">
          <w:marLeft w:val="0"/>
          <w:marRight w:val="0"/>
          <w:marTop w:val="0"/>
          <w:marBottom w:val="0"/>
          <w:divBdr>
            <w:top w:val="none" w:sz="0" w:space="0" w:color="auto"/>
            <w:left w:val="none" w:sz="0" w:space="0" w:color="auto"/>
            <w:bottom w:val="none" w:sz="0" w:space="0" w:color="auto"/>
            <w:right w:val="none" w:sz="0" w:space="0" w:color="auto"/>
          </w:divBdr>
        </w:div>
      </w:divsChild>
    </w:div>
    <w:div w:id="517423946">
      <w:marLeft w:val="0"/>
      <w:marRight w:val="0"/>
      <w:marTop w:val="0"/>
      <w:marBottom w:val="0"/>
      <w:divBdr>
        <w:top w:val="none" w:sz="0" w:space="0" w:color="auto"/>
        <w:left w:val="none" w:sz="0" w:space="0" w:color="auto"/>
        <w:bottom w:val="none" w:sz="0" w:space="0" w:color="auto"/>
        <w:right w:val="none" w:sz="0" w:space="0" w:color="auto"/>
      </w:divBdr>
      <w:divsChild>
        <w:div w:id="1816138857">
          <w:marLeft w:val="0"/>
          <w:marRight w:val="0"/>
          <w:marTop w:val="0"/>
          <w:marBottom w:val="0"/>
          <w:divBdr>
            <w:top w:val="none" w:sz="0" w:space="0" w:color="auto"/>
            <w:left w:val="none" w:sz="0" w:space="0" w:color="auto"/>
            <w:bottom w:val="none" w:sz="0" w:space="0" w:color="auto"/>
            <w:right w:val="none" w:sz="0" w:space="0" w:color="auto"/>
          </w:divBdr>
        </w:div>
      </w:divsChild>
    </w:div>
    <w:div w:id="520171761">
      <w:marLeft w:val="0"/>
      <w:marRight w:val="0"/>
      <w:marTop w:val="0"/>
      <w:marBottom w:val="0"/>
      <w:divBdr>
        <w:top w:val="none" w:sz="0" w:space="0" w:color="auto"/>
        <w:left w:val="none" w:sz="0" w:space="0" w:color="auto"/>
        <w:bottom w:val="none" w:sz="0" w:space="0" w:color="auto"/>
        <w:right w:val="none" w:sz="0" w:space="0" w:color="auto"/>
      </w:divBdr>
      <w:divsChild>
        <w:div w:id="1594581980">
          <w:marLeft w:val="0"/>
          <w:marRight w:val="0"/>
          <w:marTop w:val="0"/>
          <w:marBottom w:val="0"/>
          <w:divBdr>
            <w:top w:val="none" w:sz="0" w:space="0" w:color="auto"/>
            <w:left w:val="none" w:sz="0" w:space="0" w:color="auto"/>
            <w:bottom w:val="none" w:sz="0" w:space="0" w:color="auto"/>
            <w:right w:val="none" w:sz="0" w:space="0" w:color="auto"/>
          </w:divBdr>
        </w:div>
      </w:divsChild>
    </w:div>
    <w:div w:id="523447145">
      <w:marLeft w:val="0"/>
      <w:marRight w:val="0"/>
      <w:marTop w:val="0"/>
      <w:marBottom w:val="0"/>
      <w:divBdr>
        <w:top w:val="none" w:sz="0" w:space="0" w:color="auto"/>
        <w:left w:val="none" w:sz="0" w:space="0" w:color="auto"/>
        <w:bottom w:val="none" w:sz="0" w:space="0" w:color="auto"/>
        <w:right w:val="none" w:sz="0" w:space="0" w:color="auto"/>
      </w:divBdr>
      <w:divsChild>
        <w:div w:id="1946813171">
          <w:marLeft w:val="0"/>
          <w:marRight w:val="0"/>
          <w:marTop w:val="0"/>
          <w:marBottom w:val="0"/>
          <w:divBdr>
            <w:top w:val="none" w:sz="0" w:space="0" w:color="auto"/>
            <w:left w:val="none" w:sz="0" w:space="0" w:color="auto"/>
            <w:bottom w:val="none" w:sz="0" w:space="0" w:color="auto"/>
            <w:right w:val="none" w:sz="0" w:space="0" w:color="auto"/>
          </w:divBdr>
        </w:div>
      </w:divsChild>
    </w:div>
    <w:div w:id="523901066">
      <w:marLeft w:val="0"/>
      <w:marRight w:val="0"/>
      <w:marTop w:val="0"/>
      <w:marBottom w:val="0"/>
      <w:divBdr>
        <w:top w:val="none" w:sz="0" w:space="0" w:color="auto"/>
        <w:left w:val="none" w:sz="0" w:space="0" w:color="auto"/>
        <w:bottom w:val="none" w:sz="0" w:space="0" w:color="auto"/>
        <w:right w:val="none" w:sz="0" w:space="0" w:color="auto"/>
      </w:divBdr>
      <w:divsChild>
        <w:div w:id="1869483690">
          <w:marLeft w:val="0"/>
          <w:marRight w:val="0"/>
          <w:marTop w:val="0"/>
          <w:marBottom w:val="0"/>
          <w:divBdr>
            <w:top w:val="none" w:sz="0" w:space="0" w:color="auto"/>
            <w:left w:val="none" w:sz="0" w:space="0" w:color="auto"/>
            <w:bottom w:val="none" w:sz="0" w:space="0" w:color="auto"/>
            <w:right w:val="none" w:sz="0" w:space="0" w:color="auto"/>
          </w:divBdr>
        </w:div>
      </w:divsChild>
    </w:div>
    <w:div w:id="524635848">
      <w:bodyDiv w:val="1"/>
      <w:marLeft w:val="0"/>
      <w:marRight w:val="0"/>
      <w:marTop w:val="0"/>
      <w:marBottom w:val="0"/>
      <w:divBdr>
        <w:top w:val="none" w:sz="0" w:space="0" w:color="auto"/>
        <w:left w:val="none" w:sz="0" w:space="0" w:color="auto"/>
        <w:bottom w:val="none" w:sz="0" w:space="0" w:color="auto"/>
        <w:right w:val="none" w:sz="0" w:space="0" w:color="auto"/>
      </w:divBdr>
      <w:divsChild>
        <w:div w:id="1327322906">
          <w:marLeft w:val="0"/>
          <w:marRight w:val="0"/>
          <w:marTop w:val="0"/>
          <w:marBottom w:val="0"/>
          <w:divBdr>
            <w:top w:val="none" w:sz="0" w:space="0" w:color="auto"/>
            <w:left w:val="none" w:sz="0" w:space="0" w:color="auto"/>
            <w:bottom w:val="none" w:sz="0" w:space="0" w:color="auto"/>
            <w:right w:val="none" w:sz="0" w:space="0" w:color="auto"/>
          </w:divBdr>
          <w:divsChild>
            <w:div w:id="506948531">
              <w:marLeft w:val="0"/>
              <w:marRight w:val="0"/>
              <w:marTop w:val="0"/>
              <w:marBottom w:val="0"/>
              <w:divBdr>
                <w:top w:val="none" w:sz="0" w:space="0" w:color="auto"/>
                <w:left w:val="none" w:sz="0" w:space="0" w:color="auto"/>
                <w:bottom w:val="none" w:sz="0" w:space="0" w:color="auto"/>
                <w:right w:val="none" w:sz="0" w:space="0" w:color="auto"/>
              </w:divBdr>
              <w:divsChild>
                <w:div w:id="227571891">
                  <w:marLeft w:val="0"/>
                  <w:marRight w:val="150"/>
                  <w:marTop w:val="0"/>
                  <w:marBottom w:val="0"/>
                  <w:divBdr>
                    <w:top w:val="none" w:sz="0" w:space="0" w:color="auto"/>
                    <w:left w:val="none" w:sz="0" w:space="0" w:color="auto"/>
                    <w:bottom w:val="none" w:sz="0" w:space="0" w:color="auto"/>
                    <w:right w:val="none" w:sz="0" w:space="0" w:color="auto"/>
                  </w:divBdr>
                  <w:divsChild>
                    <w:div w:id="111852844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52616">
          <w:marLeft w:val="0"/>
          <w:marRight w:val="150"/>
          <w:marTop w:val="0"/>
          <w:marBottom w:val="0"/>
          <w:divBdr>
            <w:top w:val="none" w:sz="0" w:space="0" w:color="auto"/>
            <w:left w:val="none" w:sz="0" w:space="0" w:color="auto"/>
            <w:bottom w:val="none" w:sz="0" w:space="0" w:color="auto"/>
            <w:right w:val="none" w:sz="0" w:space="0" w:color="auto"/>
          </w:divBdr>
          <w:divsChild>
            <w:div w:id="66212909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27984337">
      <w:marLeft w:val="0"/>
      <w:marRight w:val="0"/>
      <w:marTop w:val="0"/>
      <w:marBottom w:val="0"/>
      <w:divBdr>
        <w:top w:val="none" w:sz="0" w:space="0" w:color="auto"/>
        <w:left w:val="none" w:sz="0" w:space="0" w:color="auto"/>
        <w:bottom w:val="none" w:sz="0" w:space="0" w:color="auto"/>
        <w:right w:val="none" w:sz="0" w:space="0" w:color="auto"/>
      </w:divBdr>
      <w:divsChild>
        <w:div w:id="1278216103">
          <w:marLeft w:val="0"/>
          <w:marRight w:val="0"/>
          <w:marTop w:val="0"/>
          <w:marBottom w:val="0"/>
          <w:divBdr>
            <w:top w:val="none" w:sz="0" w:space="0" w:color="auto"/>
            <w:left w:val="none" w:sz="0" w:space="0" w:color="auto"/>
            <w:bottom w:val="none" w:sz="0" w:space="0" w:color="auto"/>
            <w:right w:val="none" w:sz="0" w:space="0" w:color="auto"/>
          </w:divBdr>
        </w:div>
      </w:divsChild>
    </w:div>
    <w:div w:id="534003035">
      <w:bodyDiv w:val="1"/>
      <w:marLeft w:val="0"/>
      <w:marRight w:val="0"/>
      <w:marTop w:val="0"/>
      <w:marBottom w:val="0"/>
      <w:divBdr>
        <w:top w:val="none" w:sz="0" w:space="0" w:color="auto"/>
        <w:left w:val="none" w:sz="0" w:space="0" w:color="auto"/>
        <w:bottom w:val="none" w:sz="0" w:space="0" w:color="auto"/>
        <w:right w:val="none" w:sz="0" w:space="0" w:color="auto"/>
      </w:divBdr>
      <w:divsChild>
        <w:div w:id="286788288">
          <w:marLeft w:val="0"/>
          <w:marRight w:val="0"/>
          <w:marTop w:val="0"/>
          <w:marBottom w:val="0"/>
          <w:divBdr>
            <w:top w:val="none" w:sz="0" w:space="0" w:color="auto"/>
            <w:left w:val="none" w:sz="0" w:space="0" w:color="auto"/>
            <w:bottom w:val="none" w:sz="0" w:space="0" w:color="auto"/>
            <w:right w:val="none" w:sz="0" w:space="0" w:color="auto"/>
          </w:divBdr>
          <w:divsChild>
            <w:div w:id="1846900244">
              <w:marLeft w:val="0"/>
              <w:marRight w:val="0"/>
              <w:marTop w:val="0"/>
              <w:marBottom w:val="0"/>
              <w:divBdr>
                <w:top w:val="none" w:sz="0" w:space="0" w:color="auto"/>
                <w:left w:val="none" w:sz="0" w:space="0" w:color="auto"/>
                <w:bottom w:val="none" w:sz="0" w:space="0" w:color="auto"/>
                <w:right w:val="none" w:sz="0" w:space="0" w:color="auto"/>
              </w:divBdr>
              <w:divsChild>
                <w:div w:id="228462022">
                  <w:marLeft w:val="0"/>
                  <w:marRight w:val="150"/>
                  <w:marTop w:val="0"/>
                  <w:marBottom w:val="0"/>
                  <w:divBdr>
                    <w:top w:val="none" w:sz="0" w:space="0" w:color="auto"/>
                    <w:left w:val="none" w:sz="0" w:space="0" w:color="auto"/>
                    <w:bottom w:val="none" w:sz="0" w:space="0" w:color="auto"/>
                    <w:right w:val="none" w:sz="0" w:space="0" w:color="auto"/>
                  </w:divBdr>
                  <w:divsChild>
                    <w:div w:id="164484763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85048">
          <w:marLeft w:val="0"/>
          <w:marRight w:val="150"/>
          <w:marTop w:val="0"/>
          <w:marBottom w:val="0"/>
          <w:divBdr>
            <w:top w:val="none" w:sz="0" w:space="0" w:color="auto"/>
            <w:left w:val="none" w:sz="0" w:space="0" w:color="auto"/>
            <w:bottom w:val="none" w:sz="0" w:space="0" w:color="auto"/>
            <w:right w:val="none" w:sz="0" w:space="0" w:color="auto"/>
          </w:divBdr>
          <w:divsChild>
            <w:div w:id="202462454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38935196">
      <w:marLeft w:val="0"/>
      <w:marRight w:val="0"/>
      <w:marTop w:val="0"/>
      <w:marBottom w:val="0"/>
      <w:divBdr>
        <w:top w:val="none" w:sz="0" w:space="0" w:color="auto"/>
        <w:left w:val="none" w:sz="0" w:space="0" w:color="auto"/>
        <w:bottom w:val="none" w:sz="0" w:space="0" w:color="auto"/>
        <w:right w:val="none" w:sz="0" w:space="0" w:color="auto"/>
      </w:divBdr>
      <w:divsChild>
        <w:div w:id="1002781214">
          <w:marLeft w:val="0"/>
          <w:marRight w:val="0"/>
          <w:marTop w:val="0"/>
          <w:marBottom w:val="0"/>
          <w:divBdr>
            <w:top w:val="none" w:sz="0" w:space="0" w:color="auto"/>
            <w:left w:val="none" w:sz="0" w:space="0" w:color="auto"/>
            <w:bottom w:val="none" w:sz="0" w:space="0" w:color="auto"/>
            <w:right w:val="none" w:sz="0" w:space="0" w:color="auto"/>
          </w:divBdr>
        </w:div>
      </w:divsChild>
    </w:div>
    <w:div w:id="539363620">
      <w:bodyDiv w:val="1"/>
      <w:marLeft w:val="0"/>
      <w:marRight w:val="0"/>
      <w:marTop w:val="0"/>
      <w:marBottom w:val="0"/>
      <w:divBdr>
        <w:top w:val="none" w:sz="0" w:space="0" w:color="auto"/>
        <w:left w:val="none" w:sz="0" w:space="0" w:color="auto"/>
        <w:bottom w:val="none" w:sz="0" w:space="0" w:color="auto"/>
        <w:right w:val="none" w:sz="0" w:space="0" w:color="auto"/>
      </w:divBdr>
    </w:div>
    <w:div w:id="539829546">
      <w:marLeft w:val="0"/>
      <w:marRight w:val="0"/>
      <w:marTop w:val="0"/>
      <w:marBottom w:val="0"/>
      <w:divBdr>
        <w:top w:val="none" w:sz="0" w:space="0" w:color="auto"/>
        <w:left w:val="none" w:sz="0" w:space="0" w:color="auto"/>
        <w:bottom w:val="none" w:sz="0" w:space="0" w:color="auto"/>
        <w:right w:val="none" w:sz="0" w:space="0" w:color="auto"/>
      </w:divBdr>
      <w:divsChild>
        <w:div w:id="258564917">
          <w:marLeft w:val="0"/>
          <w:marRight w:val="0"/>
          <w:marTop w:val="0"/>
          <w:marBottom w:val="0"/>
          <w:divBdr>
            <w:top w:val="none" w:sz="0" w:space="0" w:color="auto"/>
            <w:left w:val="none" w:sz="0" w:space="0" w:color="auto"/>
            <w:bottom w:val="none" w:sz="0" w:space="0" w:color="auto"/>
            <w:right w:val="none" w:sz="0" w:space="0" w:color="auto"/>
          </w:divBdr>
        </w:div>
      </w:divsChild>
    </w:div>
    <w:div w:id="542596624">
      <w:marLeft w:val="0"/>
      <w:marRight w:val="150"/>
      <w:marTop w:val="0"/>
      <w:marBottom w:val="0"/>
      <w:divBdr>
        <w:top w:val="none" w:sz="0" w:space="0" w:color="auto"/>
        <w:left w:val="none" w:sz="0" w:space="0" w:color="auto"/>
        <w:bottom w:val="none" w:sz="0" w:space="0" w:color="auto"/>
        <w:right w:val="none" w:sz="0" w:space="0" w:color="auto"/>
      </w:divBdr>
      <w:divsChild>
        <w:div w:id="9963141">
          <w:marLeft w:val="0"/>
          <w:marRight w:val="150"/>
          <w:marTop w:val="0"/>
          <w:marBottom w:val="0"/>
          <w:divBdr>
            <w:top w:val="none" w:sz="0" w:space="0" w:color="auto"/>
            <w:left w:val="none" w:sz="0" w:space="0" w:color="auto"/>
            <w:bottom w:val="none" w:sz="0" w:space="0" w:color="auto"/>
            <w:right w:val="none" w:sz="0" w:space="0" w:color="auto"/>
          </w:divBdr>
        </w:div>
      </w:divsChild>
    </w:div>
    <w:div w:id="544293867">
      <w:bodyDiv w:val="1"/>
      <w:marLeft w:val="0"/>
      <w:marRight w:val="0"/>
      <w:marTop w:val="0"/>
      <w:marBottom w:val="0"/>
      <w:divBdr>
        <w:top w:val="none" w:sz="0" w:space="0" w:color="auto"/>
        <w:left w:val="none" w:sz="0" w:space="0" w:color="auto"/>
        <w:bottom w:val="none" w:sz="0" w:space="0" w:color="auto"/>
        <w:right w:val="none" w:sz="0" w:space="0" w:color="auto"/>
      </w:divBdr>
    </w:div>
    <w:div w:id="545878724">
      <w:marLeft w:val="0"/>
      <w:marRight w:val="0"/>
      <w:marTop w:val="0"/>
      <w:marBottom w:val="0"/>
      <w:divBdr>
        <w:top w:val="none" w:sz="0" w:space="0" w:color="auto"/>
        <w:left w:val="none" w:sz="0" w:space="0" w:color="auto"/>
        <w:bottom w:val="none" w:sz="0" w:space="0" w:color="auto"/>
        <w:right w:val="none" w:sz="0" w:space="0" w:color="auto"/>
      </w:divBdr>
      <w:divsChild>
        <w:div w:id="1940403995">
          <w:marLeft w:val="0"/>
          <w:marRight w:val="0"/>
          <w:marTop w:val="0"/>
          <w:marBottom w:val="0"/>
          <w:divBdr>
            <w:top w:val="none" w:sz="0" w:space="0" w:color="auto"/>
            <w:left w:val="none" w:sz="0" w:space="0" w:color="auto"/>
            <w:bottom w:val="none" w:sz="0" w:space="0" w:color="auto"/>
            <w:right w:val="none" w:sz="0" w:space="0" w:color="auto"/>
          </w:divBdr>
        </w:div>
      </w:divsChild>
    </w:div>
    <w:div w:id="547424719">
      <w:marLeft w:val="0"/>
      <w:marRight w:val="0"/>
      <w:marTop w:val="0"/>
      <w:marBottom w:val="0"/>
      <w:divBdr>
        <w:top w:val="none" w:sz="0" w:space="0" w:color="auto"/>
        <w:left w:val="none" w:sz="0" w:space="0" w:color="auto"/>
        <w:bottom w:val="none" w:sz="0" w:space="0" w:color="auto"/>
        <w:right w:val="none" w:sz="0" w:space="0" w:color="auto"/>
      </w:divBdr>
      <w:divsChild>
        <w:div w:id="11153799">
          <w:marLeft w:val="0"/>
          <w:marRight w:val="0"/>
          <w:marTop w:val="0"/>
          <w:marBottom w:val="0"/>
          <w:divBdr>
            <w:top w:val="none" w:sz="0" w:space="0" w:color="auto"/>
            <w:left w:val="none" w:sz="0" w:space="0" w:color="auto"/>
            <w:bottom w:val="none" w:sz="0" w:space="0" w:color="auto"/>
            <w:right w:val="none" w:sz="0" w:space="0" w:color="auto"/>
          </w:divBdr>
        </w:div>
      </w:divsChild>
    </w:div>
    <w:div w:id="554586288">
      <w:bodyDiv w:val="1"/>
      <w:marLeft w:val="0"/>
      <w:marRight w:val="0"/>
      <w:marTop w:val="0"/>
      <w:marBottom w:val="0"/>
      <w:divBdr>
        <w:top w:val="none" w:sz="0" w:space="0" w:color="auto"/>
        <w:left w:val="none" w:sz="0" w:space="0" w:color="auto"/>
        <w:bottom w:val="none" w:sz="0" w:space="0" w:color="auto"/>
        <w:right w:val="none" w:sz="0" w:space="0" w:color="auto"/>
      </w:divBdr>
      <w:divsChild>
        <w:div w:id="1011687232">
          <w:marLeft w:val="0"/>
          <w:marRight w:val="0"/>
          <w:marTop w:val="0"/>
          <w:marBottom w:val="0"/>
          <w:divBdr>
            <w:top w:val="none" w:sz="0" w:space="0" w:color="auto"/>
            <w:left w:val="none" w:sz="0" w:space="0" w:color="auto"/>
            <w:bottom w:val="none" w:sz="0" w:space="0" w:color="auto"/>
            <w:right w:val="none" w:sz="0" w:space="0" w:color="auto"/>
          </w:divBdr>
          <w:divsChild>
            <w:div w:id="418143251">
              <w:marLeft w:val="0"/>
              <w:marRight w:val="0"/>
              <w:marTop w:val="0"/>
              <w:marBottom w:val="0"/>
              <w:divBdr>
                <w:top w:val="none" w:sz="0" w:space="0" w:color="auto"/>
                <w:left w:val="none" w:sz="0" w:space="0" w:color="auto"/>
                <w:bottom w:val="none" w:sz="0" w:space="0" w:color="auto"/>
                <w:right w:val="none" w:sz="0" w:space="0" w:color="auto"/>
              </w:divBdr>
            </w:div>
            <w:div w:id="1530533969">
              <w:marLeft w:val="0"/>
              <w:marRight w:val="0"/>
              <w:marTop w:val="0"/>
              <w:marBottom w:val="0"/>
              <w:divBdr>
                <w:top w:val="none" w:sz="0" w:space="0" w:color="auto"/>
                <w:left w:val="none" w:sz="0" w:space="0" w:color="auto"/>
                <w:bottom w:val="none" w:sz="0" w:space="0" w:color="auto"/>
                <w:right w:val="none" w:sz="0" w:space="0" w:color="auto"/>
              </w:divBdr>
            </w:div>
            <w:div w:id="2109234596">
              <w:marLeft w:val="0"/>
              <w:marRight w:val="0"/>
              <w:marTop w:val="0"/>
              <w:marBottom w:val="0"/>
              <w:divBdr>
                <w:top w:val="none" w:sz="0" w:space="0" w:color="auto"/>
                <w:left w:val="none" w:sz="0" w:space="0" w:color="auto"/>
                <w:bottom w:val="none" w:sz="0" w:space="0" w:color="auto"/>
                <w:right w:val="none" w:sz="0" w:space="0" w:color="auto"/>
              </w:divBdr>
            </w:div>
            <w:div w:id="2045328942">
              <w:marLeft w:val="0"/>
              <w:marRight w:val="0"/>
              <w:marTop w:val="0"/>
              <w:marBottom w:val="0"/>
              <w:divBdr>
                <w:top w:val="none" w:sz="0" w:space="0" w:color="auto"/>
                <w:left w:val="none" w:sz="0" w:space="0" w:color="auto"/>
                <w:bottom w:val="none" w:sz="0" w:space="0" w:color="auto"/>
                <w:right w:val="none" w:sz="0" w:space="0" w:color="auto"/>
              </w:divBdr>
            </w:div>
            <w:div w:id="2144615183">
              <w:marLeft w:val="0"/>
              <w:marRight w:val="0"/>
              <w:marTop w:val="0"/>
              <w:marBottom w:val="0"/>
              <w:divBdr>
                <w:top w:val="none" w:sz="0" w:space="0" w:color="auto"/>
                <w:left w:val="none" w:sz="0" w:space="0" w:color="auto"/>
                <w:bottom w:val="none" w:sz="0" w:space="0" w:color="auto"/>
                <w:right w:val="none" w:sz="0" w:space="0" w:color="auto"/>
              </w:divBdr>
            </w:div>
            <w:div w:id="1156263384">
              <w:marLeft w:val="0"/>
              <w:marRight w:val="0"/>
              <w:marTop w:val="0"/>
              <w:marBottom w:val="0"/>
              <w:divBdr>
                <w:top w:val="none" w:sz="0" w:space="0" w:color="auto"/>
                <w:left w:val="none" w:sz="0" w:space="0" w:color="auto"/>
                <w:bottom w:val="none" w:sz="0" w:space="0" w:color="auto"/>
                <w:right w:val="none" w:sz="0" w:space="0" w:color="auto"/>
              </w:divBdr>
            </w:div>
            <w:div w:id="1340502073">
              <w:marLeft w:val="0"/>
              <w:marRight w:val="0"/>
              <w:marTop w:val="0"/>
              <w:marBottom w:val="0"/>
              <w:divBdr>
                <w:top w:val="none" w:sz="0" w:space="0" w:color="auto"/>
                <w:left w:val="none" w:sz="0" w:space="0" w:color="auto"/>
                <w:bottom w:val="none" w:sz="0" w:space="0" w:color="auto"/>
                <w:right w:val="none" w:sz="0" w:space="0" w:color="auto"/>
              </w:divBdr>
            </w:div>
            <w:div w:id="1495603037">
              <w:marLeft w:val="0"/>
              <w:marRight w:val="0"/>
              <w:marTop w:val="0"/>
              <w:marBottom w:val="0"/>
              <w:divBdr>
                <w:top w:val="none" w:sz="0" w:space="0" w:color="auto"/>
                <w:left w:val="none" w:sz="0" w:space="0" w:color="auto"/>
                <w:bottom w:val="none" w:sz="0" w:space="0" w:color="auto"/>
                <w:right w:val="none" w:sz="0" w:space="0" w:color="auto"/>
              </w:divBdr>
            </w:div>
            <w:div w:id="165780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3847">
      <w:marLeft w:val="0"/>
      <w:marRight w:val="0"/>
      <w:marTop w:val="0"/>
      <w:marBottom w:val="0"/>
      <w:divBdr>
        <w:top w:val="none" w:sz="0" w:space="0" w:color="auto"/>
        <w:left w:val="none" w:sz="0" w:space="0" w:color="auto"/>
        <w:bottom w:val="none" w:sz="0" w:space="0" w:color="auto"/>
        <w:right w:val="none" w:sz="0" w:space="0" w:color="auto"/>
      </w:divBdr>
      <w:divsChild>
        <w:div w:id="1879052480">
          <w:marLeft w:val="0"/>
          <w:marRight w:val="0"/>
          <w:marTop w:val="0"/>
          <w:marBottom w:val="0"/>
          <w:divBdr>
            <w:top w:val="none" w:sz="0" w:space="0" w:color="auto"/>
            <w:left w:val="none" w:sz="0" w:space="0" w:color="auto"/>
            <w:bottom w:val="none" w:sz="0" w:space="0" w:color="auto"/>
            <w:right w:val="none" w:sz="0" w:space="0" w:color="auto"/>
          </w:divBdr>
        </w:div>
      </w:divsChild>
    </w:div>
    <w:div w:id="557404115">
      <w:marLeft w:val="0"/>
      <w:marRight w:val="0"/>
      <w:marTop w:val="0"/>
      <w:marBottom w:val="0"/>
      <w:divBdr>
        <w:top w:val="none" w:sz="0" w:space="0" w:color="auto"/>
        <w:left w:val="none" w:sz="0" w:space="0" w:color="auto"/>
        <w:bottom w:val="none" w:sz="0" w:space="0" w:color="auto"/>
        <w:right w:val="none" w:sz="0" w:space="0" w:color="auto"/>
      </w:divBdr>
      <w:divsChild>
        <w:div w:id="298415570">
          <w:marLeft w:val="0"/>
          <w:marRight w:val="0"/>
          <w:marTop w:val="0"/>
          <w:marBottom w:val="0"/>
          <w:divBdr>
            <w:top w:val="none" w:sz="0" w:space="0" w:color="auto"/>
            <w:left w:val="none" w:sz="0" w:space="0" w:color="auto"/>
            <w:bottom w:val="none" w:sz="0" w:space="0" w:color="auto"/>
            <w:right w:val="none" w:sz="0" w:space="0" w:color="auto"/>
          </w:divBdr>
        </w:div>
      </w:divsChild>
    </w:div>
    <w:div w:id="557471935">
      <w:marLeft w:val="0"/>
      <w:marRight w:val="0"/>
      <w:marTop w:val="0"/>
      <w:marBottom w:val="0"/>
      <w:divBdr>
        <w:top w:val="none" w:sz="0" w:space="0" w:color="auto"/>
        <w:left w:val="none" w:sz="0" w:space="0" w:color="auto"/>
        <w:bottom w:val="none" w:sz="0" w:space="0" w:color="auto"/>
        <w:right w:val="none" w:sz="0" w:space="0" w:color="auto"/>
      </w:divBdr>
      <w:divsChild>
        <w:div w:id="85542437">
          <w:marLeft w:val="0"/>
          <w:marRight w:val="0"/>
          <w:marTop w:val="0"/>
          <w:marBottom w:val="0"/>
          <w:divBdr>
            <w:top w:val="none" w:sz="0" w:space="0" w:color="auto"/>
            <w:left w:val="none" w:sz="0" w:space="0" w:color="auto"/>
            <w:bottom w:val="none" w:sz="0" w:space="0" w:color="auto"/>
            <w:right w:val="none" w:sz="0" w:space="0" w:color="auto"/>
          </w:divBdr>
        </w:div>
      </w:divsChild>
    </w:div>
    <w:div w:id="560478307">
      <w:marLeft w:val="0"/>
      <w:marRight w:val="0"/>
      <w:marTop w:val="0"/>
      <w:marBottom w:val="0"/>
      <w:divBdr>
        <w:top w:val="none" w:sz="0" w:space="0" w:color="auto"/>
        <w:left w:val="none" w:sz="0" w:space="0" w:color="auto"/>
        <w:bottom w:val="none" w:sz="0" w:space="0" w:color="auto"/>
        <w:right w:val="none" w:sz="0" w:space="0" w:color="auto"/>
      </w:divBdr>
      <w:divsChild>
        <w:div w:id="1594821750">
          <w:marLeft w:val="0"/>
          <w:marRight w:val="0"/>
          <w:marTop w:val="0"/>
          <w:marBottom w:val="0"/>
          <w:divBdr>
            <w:top w:val="none" w:sz="0" w:space="0" w:color="auto"/>
            <w:left w:val="none" w:sz="0" w:space="0" w:color="auto"/>
            <w:bottom w:val="none" w:sz="0" w:space="0" w:color="auto"/>
            <w:right w:val="none" w:sz="0" w:space="0" w:color="auto"/>
          </w:divBdr>
        </w:div>
      </w:divsChild>
    </w:div>
    <w:div w:id="561988280">
      <w:bodyDiv w:val="1"/>
      <w:marLeft w:val="0"/>
      <w:marRight w:val="0"/>
      <w:marTop w:val="0"/>
      <w:marBottom w:val="0"/>
      <w:divBdr>
        <w:top w:val="none" w:sz="0" w:space="0" w:color="auto"/>
        <w:left w:val="none" w:sz="0" w:space="0" w:color="auto"/>
        <w:bottom w:val="none" w:sz="0" w:space="0" w:color="auto"/>
        <w:right w:val="none" w:sz="0" w:space="0" w:color="auto"/>
      </w:divBdr>
    </w:div>
    <w:div w:id="564606462">
      <w:bodyDiv w:val="1"/>
      <w:marLeft w:val="0"/>
      <w:marRight w:val="0"/>
      <w:marTop w:val="0"/>
      <w:marBottom w:val="0"/>
      <w:divBdr>
        <w:top w:val="none" w:sz="0" w:space="0" w:color="auto"/>
        <w:left w:val="none" w:sz="0" w:space="0" w:color="auto"/>
        <w:bottom w:val="none" w:sz="0" w:space="0" w:color="auto"/>
        <w:right w:val="none" w:sz="0" w:space="0" w:color="auto"/>
      </w:divBdr>
      <w:divsChild>
        <w:div w:id="1241406434">
          <w:marLeft w:val="0"/>
          <w:marRight w:val="0"/>
          <w:marTop w:val="0"/>
          <w:marBottom w:val="0"/>
          <w:divBdr>
            <w:top w:val="none" w:sz="0" w:space="0" w:color="auto"/>
            <w:left w:val="none" w:sz="0" w:space="0" w:color="auto"/>
            <w:bottom w:val="none" w:sz="0" w:space="0" w:color="auto"/>
            <w:right w:val="none" w:sz="0" w:space="0" w:color="auto"/>
          </w:divBdr>
          <w:divsChild>
            <w:div w:id="1845902127">
              <w:marLeft w:val="0"/>
              <w:marRight w:val="0"/>
              <w:marTop w:val="0"/>
              <w:marBottom w:val="0"/>
              <w:divBdr>
                <w:top w:val="none" w:sz="0" w:space="0" w:color="auto"/>
                <w:left w:val="none" w:sz="0" w:space="0" w:color="auto"/>
                <w:bottom w:val="none" w:sz="0" w:space="0" w:color="auto"/>
                <w:right w:val="none" w:sz="0" w:space="0" w:color="auto"/>
              </w:divBdr>
            </w:div>
            <w:div w:id="497768913">
              <w:marLeft w:val="0"/>
              <w:marRight w:val="0"/>
              <w:marTop w:val="0"/>
              <w:marBottom w:val="0"/>
              <w:divBdr>
                <w:top w:val="none" w:sz="0" w:space="0" w:color="auto"/>
                <w:left w:val="none" w:sz="0" w:space="0" w:color="auto"/>
                <w:bottom w:val="none" w:sz="0" w:space="0" w:color="auto"/>
                <w:right w:val="none" w:sz="0" w:space="0" w:color="auto"/>
              </w:divBdr>
            </w:div>
            <w:div w:id="1195197484">
              <w:marLeft w:val="0"/>
              <w:marRight w:val="0"/>
              <w:marTop w:val="0"/>
              <w:marBottom w:val="0"/>
              <w:divBdr>
                <w:top w:val="none" w:sz="0" w:space="0" w:color="auto"/>
                <w:left w:val="none" w:sz="0" w:space="0" w:color="auto"/>
                <w:bottom w:val="none" w:sz="0" w:space="0" w:color="auto"/>
                <w:right w:val="none" w:sz="0" w:space="0" w:color="auto"/>
              </w:divBdr>
            </w:div>
            <w:div w:id="1786122145">
              <w:marLeft w:val="0"/>
              <w:marRight w:val="0"/>
              <w:marTop w:val="0"/>
              <w:marBottom w:val="0"/>
              <w:divBdr>
                <w:top w:val="none" w:sz="0" w:space="0" w:color="auto"/>
                <w:left w:val="none" w:sz="0" w:space="0" w:color="auto"/>
                <w:bottom w:val="none" w:sz="0" w:space="0" w:color="auto"/>
                <w:right w:val="none" w:sz="0" w:space="0" w:color="auto"/>
              </w:divBdr>
            </w:div>
            <w:div w:id="535319046">
              <w:marLeft w:val="0"/>
              <w:marRight w:val="0"/>
              <w:marTop w:val="0"/>
              <w:marBottom w:val="0"/>
              <w:divBdr>
                <w:top w:val="none" w:sz="0" w:space="0" w:color="auto"/>
                <w:left w:val="none" w:sz="0" w:space="0" w:color="auto"/>
                <w:bottom w:val="none" w:sz="0" w:space="0" w:color="auto"/>
                <w:right w:val="none" w:sz="0" w:space="0" w:color="auto"/>
              </w:divBdr>
            </w:div>
            <w:div w:id="1613243527">
              <w:marLeft w:val="0"/>
              <w:marRight w:val="0"/>
              <w:marTop w:val="0"/>
              <w:marBottom w:val="0"/>
              <w:divBdr>
                <w:top w:val="none" w:sz="0" w:space="0" w:color="auto"/>
                <w:left w:val="none" w:sz="0" w:space="0" w:color="auto"/>
                <w:bottom w:val="none" w:sz="0" w:space="0" w:color="auto"/>
                <w:right w:val="none" w:sz="0" w:space="0" w:color="auto"/>
              </w:divBdr>
            </w:div>
            <w:div w:id="1634364385">
              <w:marLeft w:val="0"/>
              <w:marRight w:val="0"/>
              <w:marTop w:val="0"/>
              <w:marBottom w:val="0"/>
              <w:divBdr>
                <w:top w:val="none" w:sz="0" w:space="0" w:color="auto"/>
                <w:left w:val="none" w:sz="0" w:space="0" w:color="auto"/>
                <w:bottom w:val="none" w:sz="0" w:space="0" w:color="auto"/>
                <w:right w:val="none" w:sz="0" w:space="0" w:color="auto"/>
              </w:divBdr>
            </w:div>
            <w:div w:id="1192763355">
              <w:marLeft w:val="0"/>
              <w:marRight w:val="0"/>
              <w:marTop w:val="0"/>
              <w:marBottom w:val="0"/>
              <w:divBdr>
                <w:top w:val="none" w:sz="0" w:space="0" w:color="auto"/>
                <w:left w:val="none" w:sz="0" w:space="0" w:color="auto"/>
                <w:bottom w:val="none" w:sz="0" w:space="0" w:color="auto"/>
                <w:right w:val="none" w:sz="0" w:space="0" w:color="auto"/>
              </w:divBdr>
            </w:div>
            <w:div w:id="345793060">
              <w:marLeft w:val="0"/>
              <w:marRight w:val="0"/>
              <w:marTop w:val="0"/>
              <w:marBottom w:val="0"/>
              <w:divBdr>
                <w:top w:val="none" w:sz="0" w:space="0" w:color="auto"/>
                <w:left w:val="none" w:sz="0" w:space="0" w:color="auto"/>
                <w:bottom w:val="none" w:sz="0" w:space="0" w:color="auto"/>
                <w:right w:val="none" w:sz="0" w:space="0" w:color="auto"/>
              </w:divBdr>
            </w:div>
            <w:div w:id="450592423">
              <w:marLeft w:val="0"/>
              <w:marRight w:val="0"/>
              <w:marTop w:val="0"/>
              <w:marBottom w:val="0"/>
              <w:divBdr>
                <w:top w:val="none" w:sz="0" w:space="0" w:color="auto"/>
                <w:left w:val="none" w:sz="0" w:space="0" w:color="auto"/>
                <w:bottom w:val="none" w:sz="0" w:space="0" w:color="auto"/>
                <w:right w:val="none" w:sz="0" w:space="0" w:color="auto"/>
              </w:divBdr>
            </w:div>
            <w:div w:id="82384110">
              <w:marLeft w:val="0"/>
              <w:marRight w:val="0"/>
              <w:marTop w:val="0"/>
              <w:marBottom w:val="0"/>
              <w:divBdr>
                <w:top w:val="none" w:sz="0" w:space="0" w:color="auto"/>
                <w:left w:val="none" w:sz="0" w:space="0" w:color="auto"/>
                <w:bottom w:val="none" w:sz="0" w:space="0" w:color="auto"/>
                <w:right w:val="none" w:sz="0" w:space="0" w:color="auto"/>
              </w:divBdr>
            </w:div>
            <w:div w:id="1920599882">
              <w:marLeft w:val="0"/>
              <w:marRight w:val="0"/>
              <w:marTop w:val="0"/>
              <w:marBottom w:val="0"/>
              <w:divBdr>
                <w:top w:val="none" w:sz="0" w:space="0" w:color="auto"/>
                <w:left w:val="none" w:sz="0" w:space="0" w:color="auto"/>
                <w:bottom w:val="none" w:sz="0" w:space="0" w:color="auto"/>
                <w:right w:val="none" w:sz="0" w:space="0" w:color="auto"/>
              </w:divBdr>
            </w:div>
            <w:div w:id="58885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48218">
      <w:marLeft w:val="0"/>
      <w:marRight w:val="0"/>
      <w:marTop w:val="0"/>
      <w:marBottom w:val="0"/>
      <w:divBdr>
        <w:top w:val="none" w:sz="0" w:space="0" w:color="auto"/>
        <w:left w:val="none" w:sz="0" w:space="0" w:color="auto"/>
        <w:bottom w:val="none" w:sz="0" w:space="0" w:color="auto"/>
        <w:right w:val="none" w:sz="0" w:space="0" w:color="auto"/>
      </w:divBdr>
      <w:divsChild>
        <w:div w:id="724983505">
          <w:marLeft w:val="0"/>
          <w:marRight w:val="0"/>
          <w:marTop w:val="0"/>
          <w:marBottom w:val="0"/>
          <w:divBdr>
            <w:top w:val="none" w:sz="0" w:space="0" w:color="auto"/>
            <w:left w:val="none" w:sz="0" w:space="0" w:color="auto"/>
            <w:bottom w:val="none" w:sz="0" w:space="0" w:color="auto"/>
            <w:right w:val="none" w:sz="0" w:space="0" w:color="auto"/>
          </w:divBdr>
        </w:div>
      </w:divsChild>
    </w:div>
    <w:div w:id="576092688">
      <w:marLeft w:val="0"/>
      <w:marRight w:val="0"/>
      <w:marTop w:val="0"/>
      <w:marBottom w:val="0"/>
      <w:divBdr>
        <w:top w:val="none" w:sz="0" w:space="0" w:color="auto"/>
        <w:left w:val="none" w:sz="0" w:space="0" w:color="auto"/>
        <w:bottom w:val="none" w:sz="0" w:space="0" w:color="auto"/>
        <w:right w:val="none" w:sz="0" w:space="0" w:color="auto"/>
      </w:divBdr>
      <w:divsChild>
        <w:div w:id="750859502">
          <w:marLeft w:val="0"/>
          <w:marRight w:val="0"/>
          <w:marTop w:val="0"/>
          <w:marBottom w:val="0"/>
          <w:divBdr>
            <w:top w:val="none" w:sz="0" w:space="0" w:color="auto"/>
            <w:left w:val="none" w:sz="0" w:space="0" w:color="auto"/>
            <w:bottom w:val="none" w:sz="0" w:space="0" w:color="auto"/>
            <w:right w:val="none" w:sz="0" w:space="0" w:color="auto"/>
          </w:divBdr>
        </w:div>
      </w:divsChild>
    </w:div>
    <w:div w:id="576206545">
      <w:bodyDiv w:val="1"/>
      <w:marLeft w:val="0"/>
      <w:marRight w:val="0"/>
      <w:marTop w:val="0"/>
      <w:marBottom w:val="0"/>
      <w:divBdr>
        <w:top w:val="none" w:sz="0" w:space="0" w:color="auto"/>
        <w:left w:val="none" w:sz="0" w:space="0" w:color="auto"/>
        <w:bottom w:val="none" w:sz="0" w:space="0" w:color="auto"/>
        <w:right w:val="none" w:sz="0" w:space="0" w:color="auto"/>
      </w:divBdr>
    </w:div>
    <w:div w:id="577522091">
      <w:marLeft w:val="0"/>
      <w:marRight w:val="0"/>
      <w:marTop w:val="0"/>
      <w:marBottom w:val="0"/>
      <w:divBdr>
        <w:top w:val="none" w:sz="0" w:space="0" w:color="auto"/>
        <w:left w:val="none" w:sz="0" w:space="0" w:color="auto"/>
        <w:bottom w:val="none" w:sz="0" w:space="0" w:color="auto"/>
        <w:right w:val="none" w:sz="0" w:space="0" w:color="auto"/>
      </w:divBdr>
      <w:divsChild>
        <w:div w:id="1708291518">
          <w:marLeft w:val="0"/>
          <w:marRight w:val="0"/>
          <w:marTop w:val="0"/>
          <w:marBottom w:val="0"/>
          <w:divBdr>
            <w:top w:val="none" w:sz="0" w:space="0" w:color="auto"/>
            <w:left w:val="none" w:sz="0" w:space="0" w:color="auto"/>
            <w:bottom w:val="none" w:sz="0" w:space="0" w:color="auto"/>
            <w:right w:val="none" w:sz="0" w:space="0" w:color="auto"/>
          </w:divBdr>
        </w:div>
      </w:divsChild>
    </w:div>
    <w:div w:id="578255189">
      <w:marLeft w:val="0"/>
      <w:marRight w:val="0"/>
      <w:marTop w:val="0"/>
      <w:marBottom w:val="0"/>
      <w:divBdr>
        <w:top w:val="none" w:sz="0" w:space="0" w:color="auto"/>
        <w:left w:val="none" w:sz="0" w:space="0" w:color="auto"/>
        <w:bottom w:val="none" w:sz="0" w:space="0" w:color="auto"/>
        <w:right w:val="none" w:sz="0" w:space="0" w:color="auto"/>
      </w:divBdr>
      <w:divsChild>
        <w:div w:id="1360547136">
          <w:marLeft w:val="0"/>
          <w:marRight w:val="0"/>
          <w:marTop w:val="0"/>
          <w:marBottom w:val="0"/>
          <w:divBdr>
            <w:top w:val="none" w:sz="0" w:space="0" w:color="auto"/>
            <w:left w:val="none" w:sz="0" w:space="0" w:color="auto"/>
            <w:bottom w:val="none" w:sz="0" w:space="0" w:color="auto"/>
            <w:right w:val="none" w:sz="0" w:space="0" w:color="auto"/>
          </w:divBdr>
        </w:div>
      </w:divsChild>
    </w:div>
    <w:div w:id="579683702">
      <w:bodyDiv w:val="1"/>
      <w:marLeft w:val="0"/>
      <w:marRight w:val="0"/>
      <w:marTop w:val="0"/>
      <w:marBottom w:val="0"/>
      <w:divBdr>
        <w:top w:val="none" w:sz="0" w:space="0" w:color="auto"/>
        <w:left w:val="none" w:sz="0" w:space="0" w:color="auto"/>
        <w:bottom w:val="none" w:sz="0" w:space="0" w:color="auto"/>
        <w:right w:val="none" w:sz="0" w:space="0" w:color="auto"/>
      </w:divBdr>
    </w:div>
    <w:div w:id="580723251">
      <w:bodyDiv w:val="1"/>
      <w:marLeft w:val="0"/>
      <w:marRight w:val="0"/>
      <w:marTop w:val="0"/>
      <w:marBottom w:val="0"/>
      <w:divBdr>
        <w:top w:val="none" w:sz="0" w:space="0" w:color="auto"/>
        <w:left w:val="none" w:sz="0" w:space="0" w:color="auto"/>
        <w:bottom w:val="none" w:sz="0" w:space="0" w:color="auto"/>
        <w:right w:val="none" w:sz="0" w:space="0" w:color="auto"/>
      </w:divBdr>
    </w:div>
    <w:div w:id="580724704">
      <w:bodyDiv w:val="1"/>
      <w:marLeft w:val="0"/>
      <w:marRight w:val="0"/>
      <w:marTop w:val="0"/>
      <w:marBottom w:val="0"/>
      <w:divBdr>
        <w:top w:val="none" w:sz="0" w:space="0" w:color="auto"/>
        <w:left w:val="none" w:sz="0" w:space="0" w:color="auto"/>
        <w:bottom w:val="none" w:sz="0" w:space="0" w:color="auto"/>
        <w:right w:val="none" w:sz="0" w:space="0" w:color="auto"/>
      </w:divBdr>
    </w:div>
    <w:div w:id="588390138">
      <w:marLeft w:val="0"/>
      <w:marRight w:val="0"/>
      <w:marTop w:val="0"/>
      <w:marBottom w:val="0"/>
      <w:divBdr>
        <w:top w:val="none" w:sz="0" w:space="0" w:color="auto"/>
        <w:left w:val="none" w:sz="0" w:space="0" w:color="auto"/>
        <w:bottom w:val="none" w:sz="0" w:space="0" w:color="auto"/>
        <w:right w:val="none" w:sz="0" w:space="0" w:color="auto"/>
      </w:divBdr>
      <w:divsChild>
        <w:div w:id="369033594">
          <w:marLeft w:val="0"/>
          <w:marRight w:val="0"/>
          <w:marTop w:val="0"/>
          <w:marBottom w:val="0"/>
          <w:divBdr>
            <w:top w:val="none" w:sz="0" w:space="0" w:color="auto"/>
            <w:left w:val="none" w:sz="0" w:space="0" w:color="auto"/>
            <w:bottom w:val="none" w:sz="0" w:space="0" w:color="auto"/>
            <w:right w:val="none" w:sz="0" w:space="0" w:color="auto"/>
          </w:divBdr>
        </w:div>
      </w:divsChild>
    </w:div>
    <w:div w:id="592590598">
      <w:marLeft w:val="0"/>
      <w:marRight w:val="0"/>
      <w:marTop w:val="0"/>
      <w:marBottom w:val="0"/>
      <w:divBdr>
        <w:top w:val="none" w:sz="0" w:space="0" w:color="auto"/>
        <w:left w:val="none" w:sz="0" w:space="0" w:color="auto"/>
        <w:bottom w:val="none" w:sz="0" w:space="0" w:color="auto"/>
        <w:right w:val="none" w:sz="0" w:space="0" w:color="auto"/>
      </w:divBdr>
      <w:divsChild>
        <w:div w:id="1767731149">
          <w:marLeft w:val="0"/>
          <w:marRight w:val="0"/>
          <w:marTop w:val="0"/>
          <w:marBottom w:val="0"/>
          <w:divBdr>
            <w:top w:val="none" w:sz="0" w:space="0" w:color="auto"/>
            <w:left w:val="none" w:sz="0" w:space="0" w:color="auto"/>
            <w:bottom w:val="none" w:sz="0" w:space="0" w:color="auto"/>
            <w:right w:val="none" w:sz="0" w:space="0" w:color="auto"/>
          </w:divBdr>
        </w:div>
      </w:divsChild>
    </w:div>
    <w:div w:id="592788001">
      <w:marLeft w:val="0"/>
      <w:marRight w:val="150"/>
      <w:marTop w:val="0"/>
      <w:marBottom w:val="0"/>
      <w:divBdr>
        <w:top w:val="none" w:sz="0" w:space="0" w:color="auto"/>
        <w:left w:val="none" w:sz="0" w:space="0" w:color="auto"/>
        <w:bottom w:val="none" w:sz="0" w:space="0" w:color="auto"/>
        <w:right w:val="none" w:sz="0" w:space="0" w:color="auto"/>
      </w:divBdr>
      <w:divsChild>
        <w:div w:id="1716663307">
          <w:marLeft w:val="0"/>
          <w:marRight w:val="150"/>
          <w:marTop w:val="0"/>
          <w:marBottom w:val="0"/>
          <w:divBdr>
            <w:top w:val="none" w:sz="0" w:space="0" w:color="auto"/>
            <w:left w:val="none" w:sz="0" w:space="0" w:color="auto"/>
            <w:bottom w:val="none" w:sz="0" w:space="0" w:color="auto"/>
            <w:right w:val="none" w:sz="0" w:space="0" w:color="auto"/>
          </w:divBdr>
        </w:div>
      </w:divsChild>
    </w:div>
    <w:div w:id="596593965">
      <w:marLeft w:val="0"/>
      <w:marRight w:val="0"/>
      <w:marTop w:val="0"/>
      <w:marBottom w:val="0"/>
      <w:divBdr>
        <w:top w:val="none" w:sz="0" w:space="0" w:color="auto"/>
        <w:left w:val="none" w:sz="0" w:space="0" w:color="auto"/>
        <w:bottom w:val="none" w:sz="0" w:space="0" w:color="auto"/>
        <w:right w:val="none" w:sz="0" w:space="0" w:color="auto"/>
      </w:divBdr>
      <w:divsChild>
        <w:div w:id="1067386144">
          <w:marLeft w:val="0"/>
          <w:marRight w:val="0"/>
          <w:marTop w:val="0"/>
          <w:marBottom w:val="0"/>
          <w:divBdr>
            <w:top w:val="none" w:sz="0" w:space="0" w:color="auto"/>
            <w:left w:val="none" w:sz="0" w:space="0" w:color="auto"/>
            <w:bottom w:val="none" w:sz="0" w:space="0" w:color="auto"/>
            <w:right w:val="none" w:sz="0" w:space="0" w:color="auto"/>
          </w:divBdr>
        </w:div>
      </w:divsChild>
    </w:div>
    <w:div w:id="597446926">
      <w:marLeft w:val="0"/>
      <w:marRight w:val="0"/>
      <w:marTop w:val="0"/>
      <w:marBottom w:val="0"/>
      <w:divBdr>
        <w:top w:val="none" w:sz="0" w:space="0" w:color="auto"/>
        <w:left w:val="none" w:sz="0" w:space="0" w:color="auto"/>
        <w:bottom w:val="none" w:sz="0" w:space="0" w:color="auto"/>
        <w:right w:val="none" w:sz="0" w:space="0" w:color="auto"/>
      </w:divBdr>
      <w:divsChild>
        <w:div w:id="1815946143">
          <w:marLeft w:val="0"/>
          <w:marRight w:val="0"/>
          <w:marTop w:val="0"/>
          <w:marBottom w:val="0"/>
          <w:divBdr>
            <w:top w:val="none" w:sz="0" w:space="0" w:color="auto"/>
            <w:left w:val="none" w:sz="0" w:space="0" w:color="auto"/>
            <w:bottom w:val="none" w:sz="0" w:space="0" w:color="auto"/>
            <w:right w:val="none" w:sz="0" w:space="0" w:color="auto"/>
          </w:divBdr>
        </w:div>
      </w:divsChild>
    </w:div>
    <w:div w:id="599220447">
      <w:marLeft w:val="0"/>
      <w:marRight w:val="0"/>
      <w:marTop w:val="0"/>
      <w:marBottom w:val="0"/>
      <w:divBdr>
        <w:top w:val="none" w:sz="0" w:space="0" w:color="auto"/>
        <w:left w:val="none" w:sz="0" w:space="0" w:color="auto"/>
        <w:bottom w:val="none" w:sz="0" w:space="0" w:color="auto"/>
        <w:right w:val="none" w:sz="0" w:space="0" w:color="auto"/>
      </w:divBdr>
      <w:divsChild>
        <w:div w:id="1126582788">
          <w:marLeft w:val="0"/>
          <w:marRight w:val="0"/>
          <w:marTop w:val="0"/>
          <w:marBottom w:val="0"/>
          <w:divBdr>
            <w:top w:val="none" w:sz="0" w:space="0" w:color="auto"/>
            <w:left w:val="none" w:sz="0" w:space="0" w:color="auto"/>
            <w:bottom w:val="none" w:sz="0" w:space="0" w:color="auto"/>
            <w:right w:val="none" w:sz="0" w:space="0" w:color="auto"/>
          </w:divBdr>
        </w:div>
      </w:divsChild>
    </w:div>
    <w:div w:id="601500989">
      <w:bodyDiv w:val="1"/>
      <w:marLeft w:val="0"/>
      <w:marRight w:val="0"/>
      <w:marTop w:val="0"/>
      <w:marBottom w:val="0"/>
      <w:divBdr>
        <w:top w:val="none" w:sz="0" w:space="0" w:color="auto"/>
        <w:left w:val="none" w:sz="0" w:space="0" w:color="auto"/>
        <w:bottom w:val="none" w:sz="0" w:space="0" w:color="auto"/>
        <w:right w:val="none" w:sz="0" w:space="0" w:color="auto"/>
      </w:divBdr>
    </w:div>
    <w:div w:id="610553554">
      <w:marLeft w:val="0"/>
      <w:marRight w:val="0"/>
      <w:marTop w:val="0"/>
      <w:marBottom w:val="0"/>
      <w:divBdr>
        <w:top w:val="none" w:sz="0" w:space="0" w:color="auto"/>
        <w:left w:val="none" w:sz="0" w:space="0" w:color="auto"/>
        <w:bottom w:val="none" w:sz="0" w:space="0" w:color="auto"/>
        <w:right w:val="none" w:sz="0" w:space="0" w:color="auto"/>
      </w:divBdr>
      <w:divsChild>
        <w:div w:id="1537161848">
          <w:marLeft w:val="0"/>
          <w:marRight w:val="0"/>
          <w:marTop w:val="0"/>
          <w:marBottom w:val="0"/>
          <w:divBdr>
            <w:top w:val="none" w:sz="0" w:space="0" w:color="auto"/>
            <w:left w:val="none" w:sz="0" w:space="0" w:color="auto"/>
            <w:bottom w:val="none" w:sz="0" w:space="0" w:color="auto"/>
            <w:right w:val="none" w:sz="0" w:space="0" w:color="auto"/>
          </w:divBdr>
        </w:div>
      </w:divsChild>
    </w:div>
    <w:div w:id="623804031">
      <w:bodyDiv w:val="1"/>
      <w:marLeft w:val="0"/>
      <w:marRight w:val="0"/>
      <w:marTop w:val="0"/>
      <w:marBottom w:val="0"/>
      <w:divBdr>
        <w:top w:val="none" w:sz="0" w:space="0" w:color="auto"/>
        <w:left w:val="none" w:sz="0" w:space="0" w:color="auto"/>
        <w:bottom w:val="none" w:sz="0" w:space="0" w:color="auto"/>
        <w:right w:val="none" w:sz="0" w:space="0" w:color="auto"/>
      </w:divBdr>
      <w:divsChild>
        <w:div w:id="1397780516">
          <w:marLeft w:val="0"/>
          <w:marRight w:val="0"/>
          <w:marTop w:val="0"/>
          <w:marBottom w:val="0"/>
          <w:divBdr>
            <w:top w:val="none" w:sz="0" w:space="0" w:color="auto"/>
            <w:left w:val="none" w:sz="0" w:space="0" w:color="auto"/>
            <w:bottom w:val="none" w:sz="0" w:space="0" w:color="auto"/>
            <w:right w:val="none" w:sz="0" w:space="0" w:color="auto"/>
          </w:divBdr>
          <w:divsChild>
            <w:div w:id="1353801760">
              <w:marLeft w:val="0"/>
              <w:marRight w:val="0"/>
              <w:marTop w:val="0"/>
              <w:marBottom w:val="0"/>
              <w:divBdr>
                <w:top w:val="none" w:sz="0" w:space="0" w:color="auto"/>
                <w:left w:val="none" w:sz="0" w:space="0" w:color="auto"/>
                <w:bottom w:val="none" w:sz="0" w:space="0" w:color="auto"/>
                <w:right w:val="none" w:sz="0" w:space="0" w:color="auto"/>
              </w:divBdr>
            </w:div>
            <w:div w:id="1305699948">
              <w:marLeft w:val="0"/>
              <w:marRight w:val="0"/>
              <w:marTop w:val="0"/>
              <w:marBottom w:val="0"/>
              <w:divBdr>
                <w:top w:val="none" w:sz="0" w:space="0" w:color="auto"/>
                <w:left w:val="none" w:sz="0" w:space="0" w:color="auto"/>
                <w:bottom w:val="none" w:sz="0" w:space="0" w:color="auto"/>
                <w:right w:val="none" w:sz="0" w:space="0" w:color="auto"/>
              </w:divBdr>
            </w:div>
            <w:div w:id="1458334561">
              <w:marLeft w:val="0"/>
              <w:marRight w:val="0"/>
              <w:marTop w:val="0"/>
              <w:marBottom w:val="0"/>
              <w:divBdr>
                <w:top w:val="none" w:sz="0" w:space="0" w:color="auto"/>
                <w:left w:val="none" w:sz="0" w:space="0" w:color="auto"/>
                <w:bottom w:val="none" w:sz="0" w:space="0" w:color="auto"/>
                <w:right w:val="none" w:sz="0" w:space="0" w:color="auto"/>
              </w:divBdr>
            </w:div>
            <w:div w:id="453520154">
              <w:marLeft w:val="0"/>
              <w:marRight w:val="0"/>
              <w:marTop w:val="0"/>
              <w:marBottom w:val="0"/>
              <w:divBdr>
                <w:top w:val="none" w:sz="0" w:space="0" w:color="auto"/>
                <w:left w:val="none" w:sz="0" w:space="0" w:color="auto"/>
                <w:bottom w:val="none" w:sz="0" w:space="0" w:color="auto"/>
                <w:right w:val="none" w:sz="0" w:space="0" w:color="auto"/>
              </w:divBdr>
            </w:div>
            <w:div w:id="610283817">
              <w:marLeft w:val="0"/>
              <w:marRight w:val="0"/>
              <w:marTop w:val="0"/>
              <w:marBottom w:val="0"/>
              <w:divBdr>
                <w:top w:val="none" w:sz="0" w:space="0" w:color="auto"/>
                <w:left w:val="none" w:sz="0" w:space="0" w:color="auto"/>
                <w:bottom w:val="none" w:sz="0" w:space="0" w:color="auto"/>
                <w:right w:val="none" w:sz="0" w:space="0" w:color="auto"/>
              </w:divBdr>
            </w:div>
            <w:div w:id="419527993">
              <w:marLeft w:val="0"/>
              <w:marRight w:val="0"/>
              <w:marTop w:val="0"/>
              <w:marBottom w:val="0"/>
              <w:divBdr>
                <w:top w:val="none" w:sz="0" w:space="0" w:color="auto"/>
                <w:left w:val="none" w:sz="0" w:space="0" w:color="auto"/>
                <w:bottom w:val="none" w:sz="0" w:space="0" w:color="auto"/>
                <w:right w:val="none" w:sz="0" w:space="0" w:color="auto"/>
              </w:divBdr>
            </w:div>
            <w:div w:id="469134843">
              <w:marLeft w:val="0"/>
              <w:marRight w:val="0"/>
              <w:marTop w:val="0"/>
              <w:marBottom w:val="0"/>
              <w:divBdr>
                <w:top w:val="none" w:sz="0" w:space="0" w:color="auto"/>
                <w:left w:val="none" w:sz="0" w:space="0" w:color="auto"/>
                <w:bottom w:val="none" w:sz="0" w:space="0" w:color="auto"/>
                <w:right w:val="none" w:sz="0" w:space="0" w:color="auto"/>
              </w:divBdr>
            </w:div>
            <w:div w:id="1612977782">
              <w:marLeft w:val="0"/>
              <w:marRight w:val="0"/>
              <w:marTop w:val="0"/>
              <w:marBottom w:val="0"/>
              <w:divBdr>
                <w:top w:val="none" w:sz="0" w:space="0" w:color="auto"/>
                <w:left w:val="none" w:sz="0" w:space="0" w:color="auto"/>
                <w:bottom w:val="none" w:sz="0" w:space="0" w:color="auto"/>
                <w:right w:val="none" w:sz="0" w:space="0" w:color="auto"/>
              </w:divBdr>
            </w:div>
            <w:div w:id="113956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892893">
      <w:bodyDiv w:val="1"/>
      <w:marLeft w:val="0"/>
      <w:marRight w:val="0"/>
      <w:marTop w:val="0"/>
      <w:marBottom w:val="0"/>
      <w:divBdr>
        <w:top w:val="none" w:sz="0" w:space="0" w:color="auto"/>
        <w:left w:val="none" w:sz="0" w:space="0" w:color="auto"/>
        <w:bottom w:val="none" w:sz="0" w:space="0" w:color="auto"/>
        <w:right w:val="none" w:sz="0" w:space="0" w:color="auto"/>
      </w:divBdr>
    </w:div>
    <w:div w:id="628317088">
      <w:marLeft w:val="0"/>
      <w:marRight w:val="0"/>
      <w:marTop w:val="0"/>
      <w:marBottom w:val="0"/>
      <w:divBdr>
        <w:top w:val="none" w:sz="0" w:space="0" w:color="auto"/>
        <w:left w:val="none" w:sz="0" w:space="0" w:color="auto"/>
        <w:bottom w:val="none" w:sz="0" w:space="0" w:color="auto"/>
        <w:right w:val="none" w:sz="0" w:space="0" w:color="auto"/>
      </w:divBdr>
      <w:divsChild>
        <w:div w:id="1904483317">
          <w:marLeft w:val="0"/>
          <w:marRight w:val="0"/>
          <w:marTop w:val="0"/>
          <w:marBottom w:val="0"/>
          <w:divBdr>
            <w:top w:val="none" w:sz="0" w:space="0" w:color="auto"/>
            <w:left w:val="none" w:sz="0" w:space="0" w:color="auto"/>
            <w:bottom w:val="none" w:sz="0" w:space="0" w:color="auto"/>
            <w:right w:val="none" w:sz="0" w:space="0" w:color="auto"/>
          </w:divBdr>
        </w:div>
      </w:divsChild>
    </w:div>
    <w:div w:id="630480078">
      <w:bodyDiv w:val="1"/>
      <w:marLeft w:val="0"/>
      <w:marRight w:val="0"/>
      <w:marTop w:val="0"/>
      <w:marBottom w:val="0"/>
      <w:divBdr>
        <w:top w:val="none" w:sz="0" w:space="0" w:color="auto"/>
        <w:left w:val="none" w:sz="0" w:space="0" w:color="auto"/>
        <w:bottom w:val="none" w:sz="0" w:space="0" w:color="auto"/>
        <w:right w:val="none" w:sz="0" w:space="0" w:color="auto"/>
      </w:divBdr>
    </w:div>
    <w:div w:id="632684702">
      <w:marLeft w:val="0"/>
      <w:marRight w:val="0"/>
      <w:marTop w:val="0"/>
      <w:marBottom w:val="0"/>
      <w:divBdr>
        <w:top w:val="none" w:sz="0" w:space="0" w:color="auto"/>
        <w:left w:val="none" w:sz="0" w:space="0" w:color="auto"/>
        <w:bottom w:val="none" w:sz="0" w:space="0" w:color="auto"/>
        <w:right w:val="none" w:sz="0" w:space="0" w:color="auto"/>
      </w:divBdr>
      <w:divsChild>
        <w:div w:id="1498227722">
          <w:marLeft w:val="0"/>
          <w:marRight w:val="0"/>
          <w:marTop w:val="0"/>
          <w:marBottom w:val="0"/>
          <w:divBdr>
            <w:top w:val="none" w:sz="0" w:space="0" w:color="auto"/>
            <w:left w:val="none" w:sz="0" w:space="0" w:color="auto"/>
            <w:bottom w:val="none" w:sz="0" w:space="0" w:color="auto"/>
            <w:right w:val="none" w:sz="0" w:space="0" w:color="auto"/>
          </w:divBdr>
        </w:div>
      </w:divsChild>
    </w:div>
    <w:div w:id="632832151">
      <w:bodyDiv w:val="1"/>
      <w:marLeft w:val="0"/>
      <w:marRight w:val="0"/>
      <w:marTop w:val="0"/>
      <w:marBottom w:val="0"/>
      <w:divBdr>
        <w:top w:val="none" w:sz="0" w:space="0" w:color="auto"/>
        <w:left w:val="none" w:sz="0" w:space="0" w:color="auto"/>
        <w:bottom w:val="none" w:sz="0" w:space="0" w:color="auto"/>
        <w:right w:val="none" w:sz="0" w:space="0" w:color="auto"/>
      </w:divBdr>
      <w:divsChild>
        <w:div w:id="510461273">
          <w:marLeft w:val="0"/>
          <w:marRight w:val="0"/>
          <w:marTop w:val="0"/>
          <w:marBottom w:val="0"/>
          <w:divBdr>
            <w:top w:val="none" w:sz="0" w:space="0" w:color="auto"/>
            <w:left w:val="none" w:sz="0" w:space="0" w:color="auto"/>
            <w:bottom w:val="none" w:sz="0" w:space="0" w:color="auto"/>
            <w:right w:val="none" w:sz="0" w:space="0" w:color="auto"/>
          </w:divBdr>
          <w:divsChild>
            <w:div w:id="1134057881">
              <w:marLeft w:val="0"/>
              <w:marRight w:val="0"/>
              <w:marTop w:val="0"/>
              <w:marBottom w:val="0"/>
              <w:divBdr>
                <w:top w:val="none" w:sz="0" w:space="0" w:color="auto"/>
                <w:left w:val="none" w:sz="0" w:space="0" w:color="auto"/>
                <w:bottom w:val="none" w:sz="0" w:space="0" w:color="auto"/>
                <w:right w:val="none" w:sz="0" w:space="0" w:color="auto"/>
              </w:divBdr>
            </w:div>
            <w:div w:id="1711956756">
              <w:marLeft w:val="0"/>
              <w:marRight w:val="0"/>
              <w:marTop w:val="0"/>
              <w:marBottom w:val="0"/>
              <w:divBdr>
                <w:top w:val="none" w:sz="0" w:space="0" w:color="auto"/>
                <w:left w:val="none" w:sz="0" w:space="0" w:color="auto"/>
                <w:bottom w:val="none" w:sz="0" w:space="0" w:color="auto"/>
                <w:right w:val="none" w:sz="0" w:space="0" w:color="auto"/>
              </w:divBdr>
            </w:div>
            <w:div w:id="543904624">
              <w:marLeft w:val="0"/>
              <w:marRight w:val="0"/>
              <w:marTop w:val="0"/>
              <w:marBottom w:val="0"/>
              <w:divBdr>
                <w:top w:val="none" w:sz="0" w:space="0" w:color="auto"/>
                <w:left w:val="none" w:sz="0" w:space="0" w:color="auto"/>
                <w:bottom w:val="none" w:sz="0" w:space="0" w:color="auto"/>
                <w:right w:val="none" w:sz="0" w:space="0" w:color="auto"/>
              </w:divBdr>
            </w:div>
            <w:div w:id="2145389510">
              <w:marLeft w:val="0"/>
              <w:marRight w:val="0"/>
              <w:marTop w:val="0"/>
              <w:marBottom w:val="0"/>
              <w:divBdr>
                <w:top w:val="none" w:sz="0" w:space="0" w:color="auto"/>
                <w:left w:val="none" w:sz="0" w:space="0" w:color="auto"/>
                <w:bottom w:val="none" w:sz="0" w:space="0" w:color="auto"/>
                <w:right w:val="none" w:sz="0" w:space="0" w:color="auto"/>
              </w:divBdr>
            </w:div>
            <w:div w:id="621114592">
              <w:marLeft w:val="0"/>
              <w:marRight w:val="0"/>
              <w:marTop w:val="0"/>
              <w:marBottom w:val="0"/>
              <w:divBdr>
                <w:top w:val="none" w:sz="0" w:space="0" w:color="auto"/>
                <w:left w:val="none" w:sz="0" w:space="0" w:color="auto"/>
                <w:bottom w:val="none" w:sz="0" w:space="0" w:color="auto"/>
                <w:right w:val="none" w:sz="0" w:space="0" w:color="auto"/>
              </w:divBdr>
            </w:div>
            <w:div w:id="1810246466">
              <w:marLeft w:val="0"/>
              <w:marRight w:val="0"/>
              <w:marTop w:val="0"/>
              <w:marBottom w:val="0"/>
              <w:divBdr>
                <w:top w:val="none" w:sz="0" w:space="0" w:color="auto"/>
                <w:left w:val="none" w:sz="0" w:space="0" w:color="auto"/>
                <w:bottom w:val="none" w:sz="0" w:space="0" w:color="auto"/>
                <w:right w:val="none" w:sz="0" w:space="0" w:color="auto"/>
              </w:divBdr>
            </w:div>
            <w:div w:id="403534475">
              <w:marLeft w:val="0"/>
              <w:marRight w:val="0"/>
              <w:marTop w:val="0"/>
              <w:marBottom w:val="0"/>
              <w:divBdr>
                <w:top w:val="none" w:sz="0" w:space="0" w:color="auto"/>
                <w:left w:val="none" w:sz="0" w:space="0" w:color="auto"/>
                <w:bottom w:val="none" w:sz="0" w:space="0" w:color="auto"/>
                <w:right w:val="none" w:sz="0" w:space="0" w:color="auto"/>
              </w:divBdr>
            </w:div>
            <w:div w:id="1580480487">
              <w:marLeft w:val="0"/>
              <w:marRight w:val="0"/>
              <w:marTop w:val="0"/>
              <w:marBottom w:val="0"/>
              <w:divBdr>
                <w:top w:val="none" w:sz="0" w:space="0" w:color="auto"/>
                <w:left w:val="none" w:sz="0" w:space="0" w:color="auto"/>
                <w:bottom w:val="none" w:sz="0" w:space="0" w:color="auto"/>
                <w:right w:val="none" w:sz="0" w:space="0" w:color="auto"/>
              </w:divBdr>
            </w:div>
            <w:div w:id="710302451">
              <w:marLeft w:val="0"/>
              <w:marRight w:val="0"/>
              <w:marTop w:val="0"/>
              <w:marBottom w:val="0"/>
              <w:divBdr>
                <w:top w:val="none" w:sz="0" w:space="0" w:color="auto"/>
                <w:left w:val="none" w:sz="0" w:space="0" w:color="auto"/>
                <w:bottom w:val="none" w:sz="0" w:space="0" w:color="auto"/>
                <w:right w:val="none" w:sz="0" w:space="0" w:color="auto"/>
              </w:divBdr>
            </w:div>
            <w:div w:id="1149008461">
              <w:marLeft w:val="0"/>
              <w:marRight w:val="0"/>
              <w:marTop w:val="0"/>
              <w:marBottom w:val="0"/>
              <w:divBdr>
                <w:top w:val="none" w:sz="0" w:space="0" w:color="auto"/>
                <w:left w:val="none" w:sz="0" w:space="0" w:color="auto"/>
                <w:bottom w:val="none" w:sz="0" w:space="0" w:color="auto"/>
                <w:right w:val="none" w:sz="0" w:space="0" w:color="auto"/>
              </w:divBdr>
            </w:div>
            <w:div w:id="387807546">
              <w:marLeft w:val="0"/>
              <w:marRight w:val="0"/>
              <w:marTop w:val="0"/>
              <w:marBottom w:val="0"/>
              <w:divBdr>
                <w:top w:val="none" w:sz="0" w:space="0" w:color="auto"/>
                <w:left w:val="none" w:sz="0" w:space="0" w:color="auto"/>
                <w:bottom w:val="none" w:sz="0" w:space="0" w:color="auto"/>
                <w:right w:val="none" w:sz="0" w:space="0" w:color="auto"/>
              </w:divBdr>
            </w:div>
            <w:div w:id="1587034874">
              <w:marLeft w:val="0"/>
              <w:marRight w:val="0"/>
              <w:marTop w:val="0"/>
              <w:marBottom w:val="0"/>
              <w:divBdr>
                <w:top w:val="none" w:sz="0" w:space="0" w:color="auto"/>
                <w:left w:val="none" w:sz="0" w:space="0" w:color="auto"/>
                <w:bottom w:val="none" w:sz="0" w:space="0" w:color="auto"/>
                <w:right w:val="none" w:sz="0" w:space="0" w:color="auto"/>
              </w:divBdr>
            </w:div>
            <w:div w:id="809320189">
              <w:marLeft w:val="0"/>
              <w:marRight w:val="0"/>
              <w:marTop w:val="0"/>
              <w:marBottom w:val="0"/>
              <w:divBdr>
                <w:top w:val="none" w:sz="0" w:space="0" w:color="auto"/>
                <w:left w:val="none" w:sz="0" w:space="0" w:color="auto"/>
                <w:bottom w:val="none" w:sz="0" w:space="0" w:color="auto"/>
                <w:right w:val="none" w:sz="0" w:space="0" w:color="auto"/>
              </w:divBdr>
            </w:div>
            <w:div w:id="2026859866">
              <w:marLeft w:val="0"/>
              <w:marRight w:val="0"/>
              <w:marTop w:val="0"/>
              <w:marBottom w:val="0"/>
              <w:divBdr>
                <w:top w:val="none" w:sz="0" w:space="0" w:color="auto"/>
                <w:left w:val="none" w:sz="0" w:space="0" w:color="auto"/>
                <w:bottom w:val="none" w:sz="0" w:space="0" w:color="auto"/>
                <w:right w:val="none" w:sz="0" w:space="0" w:color="auto"/>
              </w:divBdr>
            </w:div>
            <w:div w:id="1331983055">
              <w:marLeft w:val="0"/>
              <w:marRight w:val="0"/>
              <w:marTop w:val="0"/>
              <w:marBottom w:val="0"/>
              <w:divBdr>
                <w:top w:val="none" w:sz="0" w:space="0" w:color="auto"/>
                <w:left w:val="none" w:sz="0" w:space="0" w:color="auto"/>
                <w:bottom w:val="none" w:sz="0" w:space="0" w:color="auto"/>
                <w:right w:val="none" w:sz="0" w:space="0" w:color="auto"/>
              </w:divBdr>
            </w:div>
            <w:div w:id="725957218">
              <w:marLeft w:val="0"/>
              <w:marRight w:val="0"/>
              <w:marTop w:val="0"/>
              <w:marBottom w:val="0"/>
              <w:divBdr>
                <w:top w:val="none" w:sz="0" w:space="0" w:color="auto"/>
                <w:left w:val="none" w:sz="0" w:space="0" w:color="auto"/>
                <w:bottom w:val="none" w:sz="0" w:space="0" w:color="auto"/>
                <w:right w:val="none" w:sz="0" w:space="0" w:color="auto"/>
              </w:divBdr>
            </w:div>
            <w:div w:id="1260605895">
              <w:marLeft w:val="0"/>
              <w:marRight w:val="0"/>
              <w:marTop w:val="0"/>
              <w:marBottom w:val="0"/>
              <w:divBdr>
                <w:top w:val="none" w:sz="0" w:space="0" w:color="auto"/>
                <w:left w:val="none" w:sz="0" w:space="0" w:color="auto"/>
                <w:bottom w:val="none" w:sz="0" w:space="0" w:color="auto"/>
                <w:right w:val="none" w:sz="0" w:space="0" w:color="auto"/>
              </w:divBdr>
            </w:div>
            <w:div w:id="1860504066">
              <w:marLeft w:val="0"/>
              <w:marRight w:val="0"/>
              <w:marTop w:val="0"/>
              <w:marBottom w:val="0"/>
              <w:divBdr>
                <w:top w:val="none" w:sz="0" w:space="0" w:color="auto"/>
                <w:left w:val="none" w:sz="0" w:space="0" w:color="auto"/>
                <w:bottom w:val="none" w:sz="0" w:space="0" w:color="auto"/>
                <w:right w:val="none" w:sz="0" w:space="0" w:color="auto"/>
              </w:divBdr>
            </w:div>
            <w:div w:id="1820728699">
              <w:marLeft w:val="0"/>
              <w:marRight w:val="0"/>
              <w:marTop w:val="0"/>
              <w:marBottom w:val="0"/>
              <w:divBdr>
                <w:top w:val="none" w:sz="0" w:space="0" w:color="auto"/>
                <w:left w:val="none" w:sz="0" w:space="0" w:color="auto"/>
                <w:bottom w:val="none" w:sz="0" w:space="0" w:color="auto"/>
                <w:right w:val="none" w:sz="0" w:space="0" w:color="auto"/>
              </w:divBdr>
            </w:div>
            <w:div w:id="220022787">
              <w:marLeft w:val="0"/>
              <w:marRight w:val="0"/>
              <w:marTop w:val="0"/>
              <w:marBottom w:val="0"/>
              <w:divBdr>
                <w:top w:val="none" w:sz="0" w:space="0" w:color="auto"/>
                <w:left w:val="none" w:sz="0" w:space="0" w:color="auto"/>
                <w:bottom w:val="none" w:sz="0" w:space="0" w:color="auto"/>
                <w:right w:val="none" w:sz="0" w:space="0" w:color="auto"/>
              </w:divBdr>
            </w:div>
            <w:div w:id="96377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765493">
      <w:marLeft w:val="0"/>
      <w:marRight w:val="0"/>
      <w:marTop w:val="0"/>
      <w:marBottom w:val="0"/>
      <w:divBdr>
        <w:top w:val="none" w:sz="0" w:space="0" w:color="auto"/>
        <w:left w:val="none" w:sz="0" w:space="0" w:color="auto"/>
        <w:bottom w:val="none" w:sz="0" w:space="0" w:color="auto"/>
        <w:right w:val="none" w:sz="0" w:space="0" w:color="auto"/>
      </w:divBdr>
      <w:divsChild>
        <w:div w:id="969094182">
          <w:marLeft w:val="0"/>
          <w:marRight w:val="0"/>
          <w:marTop w:val="0"/>
          <w:marBottom w:val="0"/>
          <w:divBdr>
            <w:top w:val="none" w:sz="0" w:space="0" w:color="auto"/>
            <w:left w:val="none" w:sz="0" w:space="0" w:color="auto"/>
            <w:bottom w:val="none" w:sz="0" w:space="0" w:color="auto"/>
            <w:right w:val="none" w:sz="0" w:space="0" w:color="auto"/>
          </w:divBdr>
        </w:div>
      </w:divsChild>
    </w:div>
    <w:div w:id="644940752">
      <w:marLeft w:val="0"/>
      <w:marRight w:val="0"/>
      <w:marTop w:val="0"/>
      <w:marBottom w:val="0"/>
      <w:divBdr>
        <w:top w:val="none" w:sz="0" w:space="0" w:color="auto"/>
        <w:left w:val="none" w:sz="0" w:space="0" w:color="auto"/>
        <w:bottom w:val="none" w:sz="0" w:space="0" w:color="auto"/>
        <w:right w:val="none" w:sz="0" w:space="0" w:color="auto"/>
      </w:divBdr>
      <w:divsChild>
        <w:div w:id="476994180">
          <w:marLeft w:val="0"/>
          <w:marRight w:val="0"/>
          <w:marTop w:val="0"/>
          <w:marBottom w:val="0"/>
          <w:divBdr>
            <w:top w:val="none" w:sz="0" w:space="0" w:color="auto"/>
            <w:left w:val="none" w:sz="0" w:space="0" w:color="auto"/>
            <w:bottom w:val="none" w:sz="0" w:space="0" w:color="auto"/>
            <w:right w:val="none" w:sz="0" w:space="0" w:color="auto"/>
          </w:divBdr>
        </w:div>
      </w:divsChild>
    </w:div>
    <w:div w:id="646059404">
      <w:bodyDiv w:val="1"/>
      <w:marLeft w:val="0"/>
      <w:marRight w:val="0"/>
      <w:marTop w:val="0"/>
      <w:marBottom w:val="0"/>
      <w:divBdr>
        <w:top w:val="none" w:sz="0" w:space="0" w:color="auto"/>
        <w:left w:val="none" w:sz="0" w:space="0" w:color="auto"/>
        <w:bottom w:val="none" w:sz="0" w:space="0" w:color="auto"/>
        <w:right w:val="none" w:sz="0" w:space="0" w:color="auto"/>
      </w:divBdr>
    </w:div>
    <w:div w:id="646520698">
      <w:marLeft w:val="0"/>
      <w:marRight w:val="0"/>
      <w:marTop w:val="0"/>
      <w:marBottom w:val="0"/>
      <w:divBdr>
        <w:top w:val="none" w:sz="0" w:space="0" w:color="auto"/>
        <w:left w:val="none" w:sz="0" w:space="0" w:color="auto"/>
        <w:bottom w:val="none" w:sz="0" w:space="0" w:color="auto"/>
        <w:right w:val="none" w:sz="0" w:space="0" w:color="auto"/>
      </w:divBdr>
      <w:divsChild>
        <w:div w:id="1810900902">
          <w:marLeft w:val="0"/>
          <w:marRight w:val="0"/>
          <w:marTop w:val="0"/>
          <w:marBottom w:val="0"/>
          <w:divBdr>
            <w:top w:val="none" w:sz="0" w:space="0" w:color="auto"/>
            <w:left w:val="none" w:sz="0" w:space="0" w:color="auto"/>
            <w:bottom w:val="none" w:sz="0" w:space="0" w:color="auto"/>
            <w:right w:val="none" w:sz="0" w:space="0" w:color="auto"/>
          </w:divBdr>
        </w:div>
      </w:divsChild>
    </w:div>
    <w:div w:id="650184263">
      <w:marLeft w:val="0"/>
      <w:marRight w:val="0"/>
      <w:marTop w:val="0"/>
      <w:marBottom w:val="0"/>
      <w:divBdr>
        <w:top w:val="none" w:sz="0" w:space="0" w:color="auto"/>
        <w:left w:val="none" w:sz="0" w:space="0" w:color="auto"/>
        <w:bottom w:val="none" w:sz="0" w:space="0" w:color="auto"/>
        <w:right w:val="none" w:sz="0" w:space="0" w:color="auto"/>
      </w:divBdr>
      <w:divsChild>
        <w:div w:id="2067990199">
          <w:marLeft w:val="0"/>
          <w:marRight w:val="0"/>
          <w:marTop w:val="0"/>
          <w:marBottom w:val="0"/>
          <w:divBdr>
            <w:top w:val="none" w:sz="0" w:space="0" w:color="auto"/>
            <w:left w:val="none" w:sz="0" w:space="0" w:color="auto"/>
            <w:bottom w:val="none" w:sz="0" w:space="0" w:color="auto"/>
            <w:right w:val="none" w:sz="0" w:space="0" w:color="auto"/>
          </w:divBdr>
        </w:div>
      </w:divsChild>
    </w:div>
    <w:div w:id="650641469">
      <w:marLeft w:val="0"/>
      <w:marRight w:val="0"/>
      <w:marTop w:val="0"/>
      <w:marBottom w:val="0"/>
      <w:divBdr>
        <w:top w:val="none" w:sz="0" w:space="0" w:color="auto"/>
        <w:left w:val="none" w:sz="0" w:space="0" w:color="auto"/>
        <w:bottom w:val="none" w:sz="0" w:space="0" w:color="auto"/>
        <w:right w:val="none" w:sz="0" w:space="0" w:color="auto"/>
      </w:divBdr>
      <w:divsChild>
        <w:div w:id="838229573">
          <w:marLeft w:val="0"/>
          <w:marRight w:val="0"/>
          <w:marTop w:val="0"/>
          <w:marBottom w:val="0"/>
          <w:divBdr>
            <w:top w:val="none" w:sz="0" w:space="0" w:color="auto"/>
            <w:left w:val="none" w:sz="0" w:space="0" w:color="auto"/>
            <w:bottom w:val="none" w:sz="0" w:space="0" w:color="auto"/>
            <w:right w:val="none" w:sz="0" w:space="0" w:color="auto"/>
          </w:divBdr>
        </w:div>
      </w:divsChild>
    </w:div>
    <w:div w:id="653993164">
      <w:marLeft w:val="0"/>
      <w:marRight w:val="0"/>
      <w:marTop w:val="0"/>
      <w:marBottom w:val="0"/>
      <w:divBdr>
        <w:top w:val="none" w:sz="0" w:space="0" w:color="auto"/>
        <w:left w:val="none" w:sz="0" w:space="0" w:color="auto"/>
        <w:bottom w:val="none" w:sz="0" w:space="0" w:color="auto"/>
        <w:right w:val="none" w:sz="0" w:space="0" w:color="auto"/>
      </w:divBdr>
      <w:divsChild>
        <w:div w:id="425657352">
          <w:marLeft w:val="0"/>
          <w:marRight w:val="0"/>
          <w:marTop w:val="0"/>
          <w:marBottom w:val="0"/>
          <w:divBdr>
            <w:top w:val="none" w:sz="0" w:space="0" w:color="auto"/>
            <w:left w:val="none" w:sz="0" w:space="0" w:color="auto"/>
            <w:bottom w:val="none" w:sz="0" w:space="0" w:color="auto"/>
            <w:right w:val="none" w:sz="0" w:space="0" w:color="auto"/>
          </w:divBdr>
        </w:div>
      </w:divsChild>
    </w:div>
    <w:div w:id="656417152">
      <w:marLeft w:val="0"/>
      <w:marRight w:val="0"/>
      <w:marTop w:val="0"/>
      <w:marBottom w:val="0"/>
      <w:divBdr>
        <w:top w:val="none" w:sz="0" w:space="0" w:color="auto"/>
        <w:left w:val="none" w:sz="0" w:space="0" w:color="auto"/>
        <w:bottom w:val="none" w:sz="0" w:space="0" w:color="auto"/>
        <w:right w:val="none" w:sz="0" w:space="0" w:color="auto"/>
      </w:divBdr>
      <w:divsChild>
        <w:div w:id="1073965501">
          <w:marLeft w:val="0"/>
          <w:marRight w:val="0"/>
          <w:marTop w:val="0"/>
          <w:marBottom w:val="0"/>
          <w:divBdr>
            <w:top w:val="none" w:sz="0" w:space="0" w:color="auto"/>
            <w:left w:val="none" w:sz="0" w:space="0" w:color="auto"/>
            <w:bottom w:val="none" w:sz="0" w:space="0" w:color="auto"/>
            <w:right w:val="none" w:sz="0" w:space="0" w:color="auto"/>
          </w:divBdr>
        </w:div>
      </w:divsChild>
    </w:div>
    <w:div w:id="664826382">
      <w:marLeft w:val="0"/>
      <w:marRight w:val="0"/>
      <w:marTop w:val="0"/>
      <w:marBottom w:val="0"/>
      <w:divBdr>
        <w:top w:val="none" w:sz="0" w:space="0" w:color="auto"/>
        <w:left w:val="none" w:sz="0" w:space="0" w:color="auto"/>
        <w:bottom w:val="none" w:sz="0" w:space="0" w:color="auto"/>
        <w:right w:val="none" w:sz="0" w:space="0" w:color="auto"/>
      </w:divBdr>
      <w:divsChild>
        <w:div w:id="2039116262">
          <w:marLeft w:val="0"/>
          <w:marRight w:val="0"/>
          <w:marTop w:val="0"/>
          <w:marBottom w:val="0"/>
          <w:divBdr>
            <w:top w:val="none" w:sz="0" w:space="0" w:color="auto"/>
            <w:left w:val="none" w:sz="0" w:space="0" w:color="auto"/>
            <w:bottom w:val="none" w:sz="0" w:space="0" w:color="auto"/>
            <w:right w:val="none" w:sz="0" w:space="0" w:color="auto"/>
          </w:divBdr>
        </w:div>
      </w:divsChild>
    </w:div>
    <w:div w:id="667907304">
      <w:marLeft w:val="0"/>
      <w:marRight w:val="0"/>
      <w:marTop w:val="0"/>
      <w:marBottom w:val="0"/>
      <w:divBdr>
        <w:top w:val="none" w:sz="0" w:space="0" w:color="auto"/>
        <w:left w:val="none" w:sz="0" w:space="0" w:color="auto"/>
        <w:bottom w:val="none" w:sz="0" w:space="0" w:color="auto"/>
        <w:right w:val="none" w:sz="0" w:space="0" w:color="auto"/>
      </w:divBdr>
      <w:divsChild>
        <w:div w:id="681783390">
          <w:marLeft w:val="0"/>
          <w:marRight w:val="0"/>
          <w:marTop w:val="0"/>
          <w:marBottom w:val="0"/>
          <w:divBdr>
            <w:top w:val="none" w:sz="0" w:space="0" w:color="auto"/>
            <w:left w:val="none" w:sz="0" w:space="0" w:color="auto"/>
            <w:bottom w:val="none" w:sz="0" w:space="0" w:color="auto"/>
            <w:right w:val="none" w:sz="0" w:space="0" w:color="auto"/>
          </w:divBdr>
        </w:div>
      </w:divsChild>
    </w:div>
    <w:div w:id="668219898">
      <w:marLeft w:val="0"/>
      <w:marRight w:val="0"/>
      <w:marTop w:val="0"/>
      <w:marBottom w:val="0"/>
      <w:divBdr>
        <w:top w:val="none" w:sz="0" w:space="0" w:color="auto"/>
        <w:left w:val="none" w:sz="0" w:space="0" w:color="auto"/>
        <w:bottom w:val="none" w:sz="0" w:space="0" w:color="auto"/>
        <w:right w:val="none" w:sz="0" w:space="0" w:color="auto"/>
      </w:divBdr>
      <w:divsChild>
        <w:div w:id="1375353291">
          <w:marLeft w:val="0"/>
          <w:marRight w:val="0"/>
          <w:marTop w:val="0"/>
          <w:marBottom w:val="0"/>
          <w:divBdr>
            <w:top w:val="none" w:sz="0" w:space="0" w:color="auto"/>
            <w:left w:val="none" w:sz="0" w:space="0" w:color="auto"/>
            <w:bottom w:val="none" w:sz="0" w:space="0" w:color="auto"/>
            <w:right w:val="none" w:sz="0" w:space="0" w:color="auto"/>
          </w:divBdr>
        </w:div>
      </w:divsChild>
    </w:div>
    <w:div w:id="671221786">
      <w:bodyDiv w:val="1"/>
      <w:marLeft w:val="0"/>
      <w:marRight w:val="0"/>
      <w:marTop w:val="0"/>
      <w:marBottom w:val="0"/>
      <w:divBdr>
        <w:top w:val="none" w:sz="0" w:space="0" w:color="auto"/>
        <w:left w:val="none" w:sz="0" w:space="0" w:color="auto"/>
        <w:bottom w:val="none" w:sz="0" w:space="0" w:color="auto"/>
        <w:right w:val="none" w:sz="0" w:space="0" w:color="auto"/>
      </w:divBdr>
    </w:div>
    <w:div w:id="673218082">
      <w:marLeft w:val="0"/>
      <w:marRight w:val="0"/>
      <w:marTop w:val="0"/>
      <w:marBottom w:val="0"/>
      <w:divBdr>
        <w:top w:val="none" w:sz="0" w:space="0" w:color="auto"/>
        <w:left w:val="none" w:sz="0" w:space="0" w:color="auto"/>
        <w:bottom w:val="none" w:sz="0" w:space="0" w:color="auto"/>
        <w:right w:val="none" w:sz="0" w:space="0" w:color="auto"/>
      </w:divBdr>
      <w:divsChild>
        <w:div w:id="83454157">
          <w:marLeft w:val="0"/>
          <w:marRight w:val="0"/>
          <w:marTop w:val="0"/>
          <w:marBottom w:val="0"/>
          <w:divBdr>
            <w:top w:val="none" w:sz="0" w:space="0" w:color="auto"/>
            <w:left w:val="none" w:sz="0" w:space="0" w:color="auto"/>
            <w:bottom w:val="none" w:sz="0" w:space="0" w:color="auto"/>
            <w:right w:val="none" w:sz="0" w:space="0" w:color="auto"/>
          </w:divBdr>
        </w:div>
      </w:divsChild>
    </w:div>
    <w:div w:id="673843846">
      <w:bodyDiv w:val="1"/>
      <w:marLeft w:val="0"/>
      <w:marRight w:val="0"/>
      <w:marTop w:val="0"/>
      <w:marBottom w:val="0"/>
      <w:divBdr>
        <w:top w:val="none" w:sz="0" w:space="0" w:color="auto"/>
        <w:left w:val="none" w:sz="0" w:space="0" w:color="auto"/>
        <w:bottom w:val="none" w:sz="0" w:space="0" w:color="auto"/>
        <w:right w:val="none" w:sz="0" w:space="0" w:color="auto"/>
      </w:divBdr>
    </w:div>
    <w:div w:id="674067401">
      <w:marLeft w:val="0"/>
      <w:marRight w:val="0"/>
      <w:marTop w:val="0"/>
      <w:marBottom w:val="0"/>
      <w:divBdr>
        <w:top w:val="none" w:sz="0" w:space="0" w:color="auto"/>
        <w:left w:val="none" w:sz="0" w:space="0" w:color="auto"/>
        <w:bottom w:val="none" w:sz="0" w:space="0" w:color="auto"/>
        <w:right w:val="none" w:sz="0" w:space="0" w:color="auto"/>
      </w:divBdr>
      <w:divsChild>
        <w:div w:id="298345783">
          <w:marLeft w:val="0"/>
          <w:marRight w:val="0"/>
          <w:marTop w:val="0"/>
          <w:marBottom w:val="0"/>
          <w:divBdr>
            <w:top w:val="none" w:sz="0" w:space="0" w:color="auto"/>
            <w:left w:val="none" w:sz="0" w:space="0" w:color="auto"/>
            <w:bottom w:val="none" w:sz="0" w:space="0" w:color="auto"/>
            <w:right w:val="none" w:sz="0" w:space="0" w:color="auto"/>
          </w:divBdr>
        </w:div>
      </w:divsChild>
    </w:div>
    <w:div w:id="675233156">
      <w:bodyDiv w:val="1"/>
      <w:marLeft w:val="0"/>
      <w:marRight w:val="0"/>
      <w:marTop w:val="0"/>
      <w:marBottom w:val="0"/>
      <w:divBdr>
        <w:top w:val="none" w:sz="0" w:space="0" w:color="auto"/>
        <w:left w:val="none" w:sz="0" w:space="0" w:color="auto"/>
        <w:bottom w:val="none" w:sz="0" w:space="0" w:color="auto"/>
        <w:right w:val="none" w:sz="0" w:space="0" w:color="auto"/>
      </w:divBdr>
      <w:divsChild>
        <w:div w:id="184903498">
          <w:marLeft w:val="0"/>
          <w:marRight w:val="0"/>
          <w:marTop w:val="0"/>
          <w:marBottom w:val="0"/>
          <w:divBdr>
            <w:top w:val="none" w:sz="0" w:space="0" w:color="auto"/>
            <w:left w:val="none" w:sz="0" w:space="0" w:color="auto"/>
            <w:bottom w:val="none" w:sz="0" w:space="0" w:color="auto"/>
            <w:right w:val="none" w:sz="0" w:space="0" w:color="auto"/>
          </w:divBdr>
          <w:divsChild>
            <w:div w:id="890195205">
              <w:marLeft w:val="0"/>
              <w:marRight w:val="0"/>
              <w:marTop w:val="0"/>
              <w:marBottom w:val="0"/>
              <w:divBdr>
                <w:top w:val="none" w:sz="0" w:space="0" w:color="auto"/>
                <w:left w:val="none" w:sz="0" w:space="0" w:color="auto"/>
                <w:bottom w:val="none" w:sz="0" w:space="0" w:color="auto"/>
                <w:right w:val="none" w:sz="0" w:space="0" w:color="auto"/>
              </w:divBdr>
            </w:div>
            <w:div w:id="1778451363">
              <w:marLeft w:val="0"/>
              <w:marRight w:val="0"/>
              <w:marTop w:val="0"/>
              <w:marBottom w:val="0"/>
              <w:divBdr>
                <w:top w:val="none" w:sz="0" w:space="0" w:color="auto"/>
                <w:left w:val="none" w:sz="0" w:space="0" w:color="auto"/>
                <w:bottom w:val="none" w:sz="0" w:space="0" w:color="auto"/>
                <w:right w:val="none" w:sz="0" w:space="0" w:color="auto"/>
              </w:divBdr>
            </w:div>
            <w:div w:id="288360733">
              <w:marLeft w:val="0"/>
              <w:marRight w:val="0"/>
              <w:marTop w:val="0"/>
              <w:marBottom w:val="0"/>
              <w:divBdr>
                <w:top w:val="none" w:sz="0" w:space="0" w:color="auto"/>
                <w:left w:val="none" w:sz="0" w:space="0" w:color="auto"/>
                <w:bottom w:val="none" w:sz="0" w:space="0" w:color="auto"/>
                <w:right w:val="none" w:sz="0" w:space="0" w:color="auto"/>
              </w:divBdr>
            </w:div>
            <w:div w:id="480853122">
              <w:marLeft w:val="0"/>
              <w:marRight w:val="0"/>
              <w:marTop w:val="0"/>
              <w:marBottom w:val="0"/>
              <w:divBdr>
                <w:top w:val="none" w:sz="0" w:space="0" w:color="auto"/>
                <w:left w:val="none" w:sz="0" w:space="0" w:color="auto"/>
                <w:bottom w:val="none" w:sz="0" w:space="0" w:color="auto"/>
                <w:right w:val="none" w:sz="0" w:space="0" w:color="auto"/>
              </w:divBdr>
            </w:div>
            <w:div w:id="1549605701">
              <w:marLeft w:val="0"/>
              <w:marRight w:val="0"/>
              <w:marTop w:val="0"/>
              <w:marBottom w:val="0"/>
              <w:divBdr>
                <w:top w:val="none" w:sz="0" w:space="0" w:color="auto"/>
                <w:left w:val="none" w:sz="0" w:space="0" w:color="auto"/>
                <w:bottom w:val="none" w:sz="0" w:space="0" w:color="auto"/>
                <w:right w:val="none" w:sz="0" w:space="0" w:color="auto"/>
              </w:divBdr>
            </w:div>
            <w:div w:id="774324360">
              <w:marLeft w:val="0"/>
              <w:marRight w:val="0"/>
              <w:marTop w:val="0"/>
              <w:marBottom w:val="0"/>
              <w:divBdr>
                <w:top w:val="none" w:sz="0" w:space="0" w:color="auto"/>
                <w:left w:val="none" w:sz="0" w:space="0" w:color="auto"/>
                <w:bottom w:val="none" w:sz="0" w:space="0" w:color="auto"/>
                <w:right w:val="none" w:sz="0" w:space="0" w:color="auto"/>
              </w:divBdr>
            </w:div>
            <w:div w:id="1269241836">
              <w:marLeft w:val="0"/>
              <w:marRight w:val="0"/>
              <w:marTop w:val="0"/>
              <w:marBottom w:val="0"/>
              <w:divBdr>
                <w:top w:val="none" w:sz="0" w:space="0" w:color="auto"/>
                <w:left w:val="none" w:sz="0" w:space="0" w:color="auto"/>
                <w:bottom w:val="none" w:sz="0" w:space="0" w:color="auto"/>
                <w:right w:val="none" w:sz="0" w:space="0" w:color="auto"/>
              </w:divBdr>
            </w:div>
            <w:div w:id="1330017218">
              <w:marLeft w:val="0"/>
              <w:marRight w:val="0"/>
              <w:marTop w:val="0"/>
              <w:marBottom w:val="0"/>
              <w:divBdr>
                <w:top w:val="none" w:sz="0" w:space="0" w:color="auto"/>
                <w:left w:val="none" w:sz="0" w:space="0" w:color="auto"/>
                <w:bottom w:val="none" w:sz="0" w:space="0" w:color="auto"/>
                <w:right w:val="none" w:sz="0" w:space="0" w:color="auto"/>
              </w:divBdr>
            </w:div>
            <w:div w:id="1922987029">
              <w:marLeft w:val="0"/>
              <w:marRight w:val="0"/>
              <w:marTop w:val="0"/>
              <w:marBottom w:val="0"/>
              <w:divBdr>
                <w:top w:val="none" w:sz="0" w:space="0" w:color="auto"/>
                <w:left w:val="none" w:sz="0" w:space="0" w:color="auto"/>
                <w:bottom w:val="none" w:sz="0" w:space="0" w:color="auto"/>
                <w:right w:val="none" w:sz="0" w:space="0" w:color="auto"/>
              </w:divBdr>
            </w:div>
            <w:div w:id="1719158172">
              <w:marLeft w:val="0"/>
              <w:marRight w:val="0"/>
              <w:marTop w:val="0"/>
              <w:marBottom w:val="0"/>
              <w:divBdr>
                <w:top w:val="none" w:sz="0" w:space="0" w:color="auto"/>
                <w:left w:val="none" w:sz="0" w:space="0" w:color="auto"/>
                <w:bottom w:val="none" w:sz="0" w:space="0" w:color="auto"/>
                <w:right w:val="none" w:sz="0" w:space="0" w:color="auto"/>
              </w:divBdr>
            </w:div>
            <w:div w:id="2119056150">
              <w:marLeft w:val="0"/>
              <w:marRight w:val="0"/>
              <w:marTop w:val="0"/>
              <w:marBottom w:val="0"/>
              <w:divBdr>
                <w:top w:val="none" w:sz="0" w:space="0" w:color="auto"/>
                <w:left w:val="none" w:sz="0" w:space="0" w:color="auto"/>
                <w:bottom w:val="none" w:sz="0" w:space="0" w:color="auto"/>
                <w:right w:val="none" w:sz="0" w:space="0" w:color="auto"/>
              </w:divBdr>
            </w:div>
            <w:div w:id="1128545769">
              <w:marLeft w:val="0"/>
              <w:marRight w:val="0"/>
              <w:marTop w:val="0"/>
              <w:marBottom w:val="0"/>
              <w:divBdr>
                <w:top w:val="none" w:sz="0" w:space="0" w:color="auto"/>
                <w:left w:val="none" w:sz="0" w:space="0" w:color="auto"/>
                <w:bottom w:val="none" w:sz="0" w:space="0" w:color="auto"/>
                <w:right w:val="none" w:sz="0" w:space="0" w:color="auto"/>
              </w:divBdr>
            </w:div>
            <w:div w:id="783769295">
              <w:marLeft w:val="0"/>
              <w:marRight w:val="0"/>
              <w:marTop w:val="0"/>
              <w:marBottom w:val="0"/>
              <w:divBdr>
                <w:top w:val="none" w:sz="0" w:space="0" w:color="auto"/>
                <w:left w:val="none" w:sz="0" w:space="0" w:color="auto"/>
                <w:bottom w:val="none" w:sz="0" w:space="0" w:color="auto"/>
                <w:right w:val="none" w:sz="0" w:space="0" w:color="auto"/>
              </w:divBdr>
            </w:div>
            <w:div w:id="1169368516">
              <w:marLeft w:val="0"/>
              <w:marRight w:val="0"/>
              <w:marTop w:val="0"/>
              <w:marBottom w:val="0"/>
              <w:divBdr>
                <w:top w:val="none" w:sz="0" w:space="0" w:color="auto"/>
                <w:left w:val="none" w:sz="0" w:space="0" w:color="auto"/>
                <w:bottom w:val="none" w:sz="0" w:space="0" w:color="auto"/>
                <w:right w:val="none" w:sz="0" w:space="0" w:color="auto"/>
              </w:divBdr>
            </w:div>
            <w:div w:id="1469664867">
              <w:marLeft w:val="0"/>
              <w:marRight w:val="0"/>
              <w:marTop w:val="0"/>
              <w:marBottom w:val="0"/>
              <w:divBdr>
                <w:top w:val="none" w:sz="0" w:space="0" w:color="auto"/>
                <w:left w:val="none" w:sz="0" w:space="0" w:color="auto"/>
                <w:bottom w:val="none" w:sz="0" w:space="0" w:color="auto"/>
                <w:right w:val="none" w:sz="0" w:space="0" w:color="auto"/>
              </w:divBdr>
            </w:div>
            <w:div w:id="1125587442">
              <w:marLeft w:val="0"/>
              <w:marRight w:val="0"/>
              <w:marTop w:val="0"/>
              <w:marBottom w:val="0"/>
              <w:divBdr>
                <w:top w:val="none" w:sz="0" w:space="0" w:color="auto"/>
                <w:left w:val="none" w:sz="0" w:space="0" w:color="auto"/>
                <w:bottom w:val="none" w:sz="0" w:space="0" w:color="auto"/>
                <w:right w:val="none" w:sz="0" w:space="0" w:color="auto"/>
              </w:divBdr>
            </w:div>
            <w:div w:id="1674839538">
              <w:marLeft w:val="0"/>
              <w:marRight w:val="0"/>
              <w:marTop w:val="0"/>
              <w:marBottom w:val="0"/>
              <w:divBdr>
                <w:top w:val="none" w:sz="0" w:space="0" w:color="auto"/>
                <w:left w:val="none" w:sz="0" w:space="0" w:color="auto"/>
                <w:bottom w:val="none" w:sz="0" w:space="0" w:color="auto"/>
                <w:right w:val="none" w:sz="0" w:space="0" w:color="auto"/>
              </w:divBdr>
            </w:div>
            <w:div w:id="219366763">
              <w:marLeft w:val="0"/>
              <w:marRight w:val="0"/>
              <w:marTop w:val="0"/>
              <w:marBottom w:val="0"/>
              <w:divBdr>
                <w:top w:val="none" w:sz="0" w:space="0" w:color="auto"/>
                <w:left w:val="none" w:sz="0" w:space="0" w:color="auto"/>
                <w:bottom w:val="none" w:sz="0" w:space="0" w:color="auto"/>
                <w:right w:val="none" w:sz="0" w:space="0" w:color="auto"/>
              </w:divBdr>
            </w:div>
            <w:div w:id="1114594465">
              <w:marLeft w:val="0"/>
              <w:marRight w:val="0"/>
              <w:marTop w:val="0"/>
              <w:marBottom w:val="0"/>
              <w:divBdr>
                <w:top w:val="none" w:sz="0" w:space="0" w:color="auto"/>
                <w:left w:val="none" w:sz="0" w:space="0" w:color="auto"/>
                <w:bottom w:val="none" w:sz="0" w:space="0" w:color="auto"/>
                <w:right w:val="none" w:sz="0" w:space="0" w:color="auto"/>
              </w:divBdr>
            </w:div>
            <w:div w:id="1126004696">
              <w:marLeft w:val="0"/>
              <w:marRight w:val="0"/>
              <w:marTop w:val="0"/>
              <w:marBottom w:val="0"/>
              <w:divBdr>
                <w:top w:val="none" w:sz="0" w:space="0" w:color="auto"/>
                <w:left w:val="none" w:sz="0" w:space="0" w:color="auto"/>
                <w:bottom w:val="none" w:sz="0" w:space="0" w:color="auto"/>
                <w:right w:val="none" w:sz="0" w:space="0" w:color="auto"/>
              </w:divBdr>
            </w:div>
            <w:div w:id="1219434352">
              <w:marLeft w:val="0"/>
              <w:marRight w:val="0"/>
              <w:marTop w:val="0"/>
              <w:marBottom w:val="0"/>
              <w:divBdr>
                <w:top w:val="none" w:sz="0" w:space="0" w:color="auto"/>
                <w:left w:val="none" w:sz="0" w:space="0" w:color="auto"/>
                <w:bottom w:val="none" w:sz="0" w:space="0" w:color="auto"/>
                <w:right w:val="none" w:sz="0" w:space="0" w:color="auto"/>
              </w:divBdr>
            </w:div>
            <w:div w:id="614363593">
              <w:marLeft w:val="0"/>
              <w:marRight w:val="0"/>
              <w:marTop w:val="0"/>
              <w:marBottom w:val="0"/>
              <w:divBdr>
                <w:top w:val="none" w:sz="0" w:space="0" w:color="auto"/>
                <w:left w:val="none" w:sz="0" w:space="0" w:color="auto"/>
                <w:bottom w:val="none" w:sz="0" w:space="0" w:color="auto"/>
                <w:right w:val="none" w:sz="0" w:space="0" w:color="auto"/>
              </w:divBdr>
            </w:div>
            <w:div w:id="1197888510">
              <w:marLeft w:val="0"/>
              <w:marRight w:val="0"/>
              <w:marTop w:val="0"/>
              <w:marBottom w:val="0"/>
              <w:divBdr>
                <w:top w:val="none" w:sz="0" w:space="0" w:color="auto"/>
                <w:left w:val="none" w:sz="0" w:space="0" w:color="auto"/>
                <w:bottom w:val="none" w:sz="0" w:space="0" w:color="auto"/>
                <w:right w:val="none" w:sz="0" w:space="0" w:color="auto"/>
              </w:divBdr>
            </w:div>
            <w:div w:id="1602950854">
              <w:marLeft w:val="0"/>
              <w:marRight w:val="0"/>
              <w:marTop w:val="0"/>
              <w:marBottom w:val="0"/>
              <w:divBdr>
                <w:top w:val="none" w:sz="0" w:space="0" w:color="auto"/>
                <w:left w:val="none" w:sz="0" w:space="0" w:color="auto"/>
                <w:bottom w:val="none" w:sz="0" w:space="0" w:color="auto"/>
                <w:right w:val="none" w:sz="0" w:space="0" w:color="auto"/>
              </w:divBdr>
            </w:div>
            <w:div w:id="732434972">
              <w:marLeft w:val="0"/>
              <w:marRight w:val="0"/>
              <w:marTop w:val="0"/>
              <w:marBottom w:val="0"/>
              <w:divBdr>
                <w:top w:val="none" w:sz="0" w:space="0" w:color="auto"/>
                <w:left w:val="none" w:sz="0" w:space="0" w:color="auto"/>
                <w:bottom w:val="none" w:sz="0" w:space="0" w:color="auto"/>
                <w:right w:val="none" w:sz="0" w:space="0" w:color="auto"/>
              </w:divBdr>
            </w:div>
            <w:div w:id="935407570">
              <w:marLeft w:val="0"/>
              <w:marRight w:val="0"/>
              <w:marTop w:val="0"/>
              <w:marBottom w:val="0"/>
              <w:divBdr>
                <w:top w:val="none" w:sz="0" w:space="0" w:color="auto"/>
                <w:left w:val="none" w:sz="0" w:space="0" w:color="auto"/>
                <w:bottom w:val="none" w:sz="0" w:space="0" w:color="auto"/>
                <w:right w:val="none" w:sz="0" w:space="0" w:color="auto"/>
              </w:divBdr>
            </w:div>
            <w:div w:id="515844824">
              <w:marLeft w:val="0"/>
              <w:marRight w:val="0"/>
              <w:marTop w:val="0"/>
              <w:marBottom w:val="0"/>
              <w:divBdr>
                <w:top w:val="none" w:sz="0" w:space="0" w:color="auto"/>
                <w:left w:val="none" w:sz="0" w:space="0" w:color="auto"/>
                <w:bottom w:val="none" w:sz="0" w:space="0" w:color="auto"/>
                <w:right w:val="none" w:sz="0" w:space="0" w:color="auto"/>
              </w:divBdr>
            </w:div>
            <w:div w:id="904922517">
              <w:marLeft w:val="0"/>
              <w:marRight w:val="0"/>
              <w:marTop w:val="0"/>
              <w:marBottom w:val="0"/>
              <w:divBdr>
                <w:top w:val="none" w:sz="0" w:space="0" w:color="auto"/>
                <w:left w:val="none" w:sz="0" w:space="0" w:color="auto"/>
                <w:bottom w:val="none" w:sz="0" w:space="0" w:color="auto"/>
                <w:right w:val="none" w:sz="0" w:space="0" w:color="auto"/>
              </w:divBdr>
            </w:div>
            <w:div w:id="1025331522">
              <w:marLeft w:val="0"/>
              <w:marRight w:val="0"/>
              <w:marTop w:val="0"/>
              <w:marBottom w:val="0"/>
              <w:divBdr>
                <w:top w:val="none" w:sz="0" w:space="0" w:color="auto"/>
                <w:left w:val="none" w:sz="0" w:space="0" w:color="auto"/>
                <w:bottom w:val="none" w:sz="0" w:space="0" w:color="auto"/>
                <w:right w:val="none" w:sz="0" w:space="0" w:color="auto"/>
              </w:divBdr>
            </w:div>
            <w:div w:id="1828086877">
              <w:marLeft w:val="0"/>
              <w:marRight w:val="0"/>
              <w:marTop w:val="0"/>
              <w:marBottom w:val="0"/>
              <w:divBdr>
                <w:top w:val="none" w:sz="0" w:space="0" w:color="auto"/>
                <w:left w:val="none" w:sz="0" w:space="0" w:color="auto"/>
                <w:bottom w:val="none" w:sz="0" w:space="0" w:color="auto"/>
                <w:right w:val="none" w:sz="0" w:space="0" w:color="auto"/>
              </w:divBdr>
            </w:div>
            <w:div w:id="1956446277">
              <w:marLeft w:val="0"/>
              <w:marRight w:val="0"/>
              <w:marTop w:val="0"/>
              <w:marBottom w:val="0"/>
              <w:divBdr>
                <w:top w:val="none" w:sz="0" w:space="0" w:color="auto"/>
                <w:left w:val="none" w:sz="0" w:space="0" w:color="auto"/>
                <w:bottom w:val="none" w:sz="0" w:space="0" w:color="auto"/>
                <w:right w:val="none" w:sz="0" w:space="0" w:color="auto"/>
              </w:divBdr>
            </w:div>
            <w:div w:id="1799489556">
              <w:marLeft w:val="0"/>
              <w:marRight w:val="0"/>
              <w:marTop w:val="0"/>
              <w:marBottom w:val="0"/>
              <w:divBdr>
                <w:top w:val="none" w:sz="0" w:space="0" w:color="auto"/>
                <w:left w:val="none" w:sz="0" w:space="0" w:color="auto"/>
                <w:bottom w:val="none" w:sz="0" w:space="0" w:color="auto"/>
                <w:right w:val="none" w:sz="0" w:space="0" w:color="auto"/>
              </w:divBdr>
            </w:div>
            <w:div w:id="1908764360">
              <w:marLeft w:val="0"/>
              <w:marRight w:val="0"/>
              <w:marTop w:val="0"/>
              <w:marBottom w:val="0"/>
              <w:divBdr>
                <w:top w:val="none" w:sz="0" w:space="0" w:color="auto"/>
                <w:left w:val="none" w:sz="0" w:space="0" w:color="auto"/>
                <w:bottom w:val="none" w:sz="0" w:space="0" w:color="auto"/>
                <w:right w:val="none" w:sz="0" w:space="0" w:color="auto"/>
              </w:divBdr>
            </w:div>
            <w:div w:id="643700717">
              <w:marLeft w:val="0"/>
              <w:marRight w:val="0"/>
              <w:marTop w:val="0"/>
              <w:marBottom w:val="0"/>
              <w:divBdr>
                <w:top w:val="none" w:sz="0" w:space="0" w:color="auto"/>
                <w:left w:val="none" w:sz="0" w:space="0" w:color="auto"/>
                <w:bottom w:val="none" w:sz="0" w:space="0" w:color="auto"/>
                <w:right w:val="none" w:sz="0" w:space="0" w:color="auto"/>
              </w:divBdr>
            </w:div>
            <w:div w:id="1645813769">
              <w:marLeft w:val="0"/>
              <w:marRight w:val="0"/>
              <w:marTop w:val="0"/>
              <w:marBottom w:val="0"/>
              <w:divBdr>
                <w:top w:val="none" w:sz="0" w:space="0" w:color="auto"/>
                <w:left w:val="none" w:sz="0" w:space="0" w:color="auto"/>
                <w:bottom w:val="none" w:sz="0" w:space="0" w:color="auto"/>
                <w:right w:val="none" w:sz="0" w:space="0" w:color="auto"/>
              </w:divBdr>
            </w:div>
            <w:div w:id="479807726">
              <w:marLeft w:val="0"/>
              <w:marRight w:val="0"/>
              <w:marTop w:val="0"/>
              <w:marBottom w:val="0"/>
              <w:divBdr>
                <w:top w:val="none" w:sz="0" w:space="0" w:color="auto"/>
                <w:left w:val="none" w:sz="0" w:space="0" w:color="auto"/>
                <w:bottom w:val="none" w:sz="0" w:space="0" w:color="auto"/>
                <w:right w:val="none" w:sz="0" w:space="0" w:color="auto"/>
              </w:divBdr>
            </w:div>
            <w:div w:id="1638146146">
              <w:marLeft w:val="0"/>
              <w:marRight w:val="0"/>
              <w:marTop w:val="0"/>
              <w:marBottom w:val="0"/>
              <w:divBdr>
                <w:top w:val="none" w:sz="0" w:space="0" w:color="auto"/>
                <w:left w:val="none" w:sz="0" w:space="0" w:color="auto"/>
                <w:bottom w:val="none" w:sz="0" w:space="0" w:color="auto"/>
                <w:right w:val="none" w:sz="0" w:space="0" w:color="auto"/>
              </w:divBdr>
            </w:div>
            <w:div w:id="1573194550">
              <w:marLeft w:val="0"/>
              <w:marRight w:val="0"/>
              <w:marTop w:val="0"/>
              <w:marBottom w:val="0"/>
              <w:divBdr>
                <w:top w:val="none" w:sz="0" w:space="0" w:color="auto"/>
                <w:left w:val="none" w:sz="0" w:space="0" w:color="auto"/>
                <w:bottom w:val="none" w:sz="0" w:space="0" w:color="auto"/>
                <w:right w:val="none" w:sz="0" w:space="0" w:color="auto"/>
              </w:divBdr>
            </w:div>
            <w:div w:id="388647611">
              <w:marLeft w:val="0"/>
              <w:marRight w:val="0"/>
              <w:marTop w:val="0"/>
              <w:marBottom w:val="0"/>
              <w:divBdr>
                <w:top w:val="none" w:sz="0" w:space="0" w:color="auto"/>
                <w:left w:val="none" w:sz="0" w:space="0" w:color="auto"/>
                <w:bottom w:val="none" w:sz="0" w:space="0" w:color="auto"/>
                <w:right w:val="none" w:sz="0" w:space="0" w:color="auto"/>
              </w:divBdr>
            </w:div>
            <w:div w:id="1999385301">
              <w:marLeft w:val="0"/>
              <w:marRight w:val="0"/>
              <w:marTop w:val="0"/>
              <w:marBottom w:val="0"/>
              <w:divBdr>
                <w:top w:val="none" w:sz="0" w:space="0" w:color="auto"/>
                <w:left w:val="none" w:sz="0" w:space="0" w:color="auto"/>
                <w:bottom w:val="none" w:sz="0" w:space="0" w:color="auto"/>
                <w:right w:val="none" w:sz="0" w:space="0" w:color="auto"/>
              </w:divBdr>
            </w:div>
            <w:div w:id="1007101909">
              <w:marLeft w:val="0"/>
              <w:marRight w:val="0"/>
              <w:marTop w:val="0"/>
              <w:marBottom w:val="0"/>
              <w:divBdr>
                <w:top w:val="none" w:sz="0" w:space="0" w:color="auto"/>
                <w:left w:val="none" w:sz="0" w:space="0" w:color="auto"/>
                <w:bottom w:val="none" w:sz="0" w:space="0" w:color="auto"/>
                <w:right w:val="none" w:sz="0" w:space="0" w:color="auto"/>
              </w:divBdr>
            </w:div>
            <w:div w:id="689335735">
              <w:marLeft w:val="0"/>
              <w:marRight w:val="0"/>
              <w:marTop w:val="0"/>
              <w:marBottom w:val="0"/>
              <w:divBdr>
                <w:top w:val="none" w:sz="0" w:space="0" w:color="auto"/>
                <w:left w:val="none" w:sz="0" w:space="0" w:color="auto"/>
                <w:bottom w:val="none" w:sz="0" w:space="0" w:color="auto"/>
                <w:right w:val="none" w:sz="0" w:space="0" w:color="auto"/>
              </w:divBdr>
            </w:div>
            <w:div w:id="915091650">
              <w:marLeft w:val="0"/>
              <w:marRight w:val="0"/>
              <w:marTop w:val="0"/>
              <w:marBottom w:val="0"/>
              <w:divBdr>
                <w:top w:val="none" w:sz="0" w:space="0" w:color="auto"/>
                <w:left w:val="none" w:sz="0" w:space="0" w:color="auto"/>
                <w:bottom w:val="none" w:sz="0" w:space="0" w:color="auto"/>
                <w:right w:val="none" w:sz="0" w:space="0" w:color="auto"/>
              </w:divBdr>
            </w:div>
            <w:div w:id="202863610">
              <w:marLeft w:val="0"/>
              <w:marRight w:val="0"/>
              <w:marTop w:val="0"/>
              <w:marBottom w:val="0"/>
              <w:divBdr>
                <w:top w:val="none" w:sz="0" w:space="0" w:color="auto"/>
                <w:left w:val="none" w:sz="0" w:space="0" w:color="auto"/>
                <w:bottom w:val="none" w:sz="0" w:space="0" w:color="auto"/>
                <w:right w:val="none" w:sz="0" w:space="0" w:color="auto"/>
              </w:divBdr>
            </w:div>
            <w:div w:id="1880513313">
              <w:marLeft w:val="0"/>
              <w:marRight w:val="0"/>
              <w:marTop w:val="0"/>
              <w:marBottom w:val="0"/>
              <w:divBdr>
                <w:top w:val="none" w:sz="0" w:space="0" w:color="auto"/>
                <w:left w:val="none" w:sz="0" w:space="0" w:color="auto"/>
                <w:bottom w:val="none" w:sz="0" w:space="0" w:color="auto"/>
                <w:right w:val="none" w:sz="0" w:space="0" w:color="auto"/>
              </w:divBdr>
            </w:div>
            <w:div w:id="685668476">
              <w:marLeft w:val="0"/>
              <w:marRight w:val="0"/>
              <w:marTop w:val="0"/>
              <w:marBottom w:val="0"/>
              <w:divBdr>
                <w:top w:val="none" w:sz="0" w:space="0" w:color="auto"/>
                <w:left w:val="none" w:sz="0" w:space="0" w:color="auto"/>
                <w:bottom w:val="none" w:sz="0" w:space="0" w:color="auto"/>
                <w:right w:val="none" w:sz="0" w:space="0" w:color="auto"/>
              </w:divBdr>
            </w:div>
            <w:div w:id="1652949309">
              <w:marLeft w:val="0"/>
              <w:marRight w:val="0"/>
              <w:marTop w:val="0"/>
              <w:marBottom w:val="0"/>
              <w:divBdr>
                <w:top w:val="none" w:sz="0" w:space="0" w:color="auto"/>
                <w:left w:val="none" w:sz="0" w:space="0" w:color="auto"/>
                <w:bottom w:val="none" w:sz="0" w:space="0" w:color="auto"/>
                <w:right w:val="none" w:sz="0" w:space="0" w:color="auto"/>
              </w:divBdr>
            </w:div>
            <w:div w:id="156382743">
              <w:marLeft w:val="0"/>
              <w:marRight w:val="0"/>
              <w:marTop w:val="0"/>
              <w:marBottom w:val="0"/>
              <w:divBdr>
                <w:top w:val="none" w:sz="0" w:space="0" w:color="auto"/>
                <w:left w:val="none" w:sz="0" w:space="0" w:color="auto"/>
                <w:bottom w:val="none" w:sz="0" w:space="0" w:color="auto"/>
                <w:right w:val="none" w:sz="0" w:space="0" w:color="auto"/>
              </w:divBdr>
            </w:div>
            <w:div w:id="631718034">
              <w:marLeft w:val="0"/>
              <w:marRight w:val="0"/>
              <w:marTop w:val="0"/>
              <w:marBottom w:val="0"/>
              <w:divBdr>
                <w:top w:val="none" w:sz="0" w:space="0" w:color="auto"/>
                <w:left w:val="none" w:sz="0" w:space="0" w:color="auto"/>
                <w:bottom w:val="none" w:sz="0" w:space="0" w:color="auto"/>
                <w:right w:val="none" w:sz="0" w:space="0" w:color="auto"/>
              </w:divBdr>
            </w:div>
            <w:div w:id="929922425">
              <w:marLeft w:val="0"/>
              <w:marRight w:val="0"/>
              <w:marTop w:val="0"/>
              <w:marBottom w:val="0"/>
              <w:divBdr>
                <w:top w:val="none" w:sz="0" w:space="0" w:color="auto"/>
                <w:left w:val="none" w:sz="0" w:space="0" w:color="auto"/>
                <w:bottom w:val="none" w:sz="0" w:space="0" w:color="auto"/>
                <w:right w:val="none" w:sz="0" w:space="0" w:color="auto"/>
              </w:divBdr>
            </w:div>
            <w:div w:id="733741988">
              <w:marLeft w:val="0"/>
              <w:marRight w:val="0"/>
              <w:marTop w:val="0"/>
              <w:marBottom w:val="0"/>
              <w:divBdr>
                <w:top w:val="none" w:sz="0" w:space="0" w:color="auto"/>
                <w:left w:val="none" w:sz="0" w:space="0" w:color="auto"/>
                <w:bottom w:val="none" w:sz="0" w:space="0" w:color="auto"/>
                <w:right w:val="none" w:sz="0" w:space="0" w:color="auto"/>
              </w:divBdr>
            </w:div>
            <w:div w:id="676612744">
              <w:marLeft w:val="0"/>
              <w:marRight w:val="0"/>
              <w:marTop w:val="0"/>
              <w:marBottom w:val="0"/>
              <w:divBdr>
                <w:top w:val="none" w:sz="0" w:space="0" w:color="auto"/>
                <w:left w:val="none" w:sz="0" w:space="0" w:color="auto"/>
                <w:bottom w:val="none" w:sz="0" w:space="0" w:color="auto"/>
                <w:right w:val="none" w:sz="0" w:space="0" w:color="auto"/>
              </w:divBdr>
            </w:div>
            <w:div w:id="1530294795">
              <w:marLeft w:val="0"/>
              <w:marRight w:val="0"/>
              <w:marTop w:val="0"/>
              <w:marBottom w:val="0"/>
              <w:divBdr>
                <w:top w:val="none" w:sz="0" w:space="0" w:color="auto"/>
                <w:left w:val="none" w:sz="0" w:space="0" w:color="auto"/>
                <w:bottom w:val="none" w:sz="0" w:space="0" w:color="auto"/>
                <w:right w:val="none" w:sz="0" w:space="0" w:color="auto"/>
              </w:divBdr>
            </w:div>
            <w:div w:id="1277903227">
              <w:marLeft w:val="0"/>
              <w:marRight w:val="0"/>
              <w:marTop w:val="0"/>
              <w:marBottom w:val="0"/>
              <w:divBdr>
                <w:top w:val="none" w:sz="0" w:space="0" w:color="auto"/>
                <w:left w:val="none" w:sz="0" w:space="0" w:color="auto"/>
                <w:bottom w:val="none" w:sz="0" w:space="0" w:color="auto"/>
                <w:right w:val="none" w:sz="0" w:space="0" w:color="auto"/>
              </w:divBdr>
            </w:div>
            <w:div w:id="429393642">
              <w:marLeft w:val="0"/>
              <w:marRight w:val="0"/>
              <w:marTop w:val="0"/>
              <w:marBottom w:val="0"/>
              <w:divBdr>
                <w:top w:val="none" w:sz="0" w:space="0" w:color="auto"/>
                <w:left w:val="none" w:sz="0" w:space="0" w:color="auto"/>
                <w:bottom w:val="none" w:sz="0" w:space="0" w:color="auto"/>
                <w:right w:val="none" w:sz="0" w:space="0" w:color="auto"/>
              </w:divBdr>
            </w:div>
            <w:div w:id="1370762417">
              <w:marLeft w:val="0"/>
              <w:marRight w:val="0"/>
              <w:marTop w:val="0"/>
              <w:marBottom w:val="0"/>
              <w:divBdr>
                <w:top w:val="none" w:sz="0" w:space="0" w:color="auto"/>
                <w:left w:val="none" w:sz="0" w:space="0" w:color="auto"/>
                <w:bottom w:val="none" w:sz="0" w:space="0" w:color="auto"/>
                <w:right w:val="none" w:sz="0" w:space="0" w:color="auto"/>
              </w:divBdr>
            </w:div>
            <w:div w:id="457651115">
              <w:marLeft w:val="0"/>
              <w:marRight w:val="0"/>
              <w:marTop w:val="0"/>
              <w:marBottom w:val="0"/>
              <w:divBdr>
                <w:top w:val="none" w:sz="0" w:space="0" w:color="auto"/>
                <w:left w:val="none" w:sz="0" w:space="0" w:color="auto"/>
                <w:bottom w:val="none" w:sz="0" w:space="0" w:color="auto"/>
                <w:right w:val="none" w:sz="0" w:space="0" w:color="auto"/>
              </w:divBdr>
            </w:div>
            <w:div w:id="813911307">
              <w:marLeft w:val="0"/>
              <w:marRight w:val="0"/>
              <w:marTop w:val="0"/>
              <w:marBottom w:val="0"/>
              <w:divBdr>
                <w:top w:val="none" w:sz="0" w:space="0" w:color="auto"/>
                <w:left w:val="none" w:sz="0" w:space="0" w:color="auto"/>
                <w:bottom w:val="none" w:sz="0" w:space="0" w:color="auto"/>
                <w:right w:val="none" w:sz="0" w:space="0" w:color="auto"/>
              </w:divBdr>
            </w:div>
            <w:div w:id="1137840719">
              <w:marLeft w:val="0"/>
              <w:marRight w:val="0"/>
              <w:marTop w:val="0"/>
              <w:marBottom w:val="0"/>
              <w:divBdr>
                <w:top w:val="none" w:sz="0" w:space="0" w:color="auto"/>
                <w:left w:val="none" w:sz="0" w:space="0" w:color="auto"/>
                <w:bottom w:val="none" w:sz="0" w:space="0" w:color="auto"/>
                <w:right w:val="none" w:sz="0" w:space="0" w:color="auto"/>
              </w:divBdr>
            </w:div>
            <w:div w:id="2075732186">
              <w:marLeft w:val="0"/>
              <w:marRight w:val="0"/>
              <w:marTop w:val="0"/>
              <w:marBottom w:val="0"/>
              <w:divBdr>
                <w:top w:val="none" w:sz="0" w:space="0" w:color="auto"/>
                <w:left w:val="none" w:sz="0" w:space="0" w:color="auto"/>
                <w:bottom w:val="none" w:sz="0" w:space="0" w:color="auto"/>
                <w:right w:val="none" w:sz="0" w:space="0" w:color="auto"/>
              </w:divBdr>
            </w:div>
            <w:div w:id="912742084">
              <w:marLeft w:val="0"/>
              <w:marRight w:val="0"/>
              <w:marTop w:val="0"/>
              <w:marBottom w:val="0"/>
              <w:divBdr>
                <w:top w:val="none" w:sz="0" w:space="0" w:color="auto"/>
                <w:left w:val="none" w:sz="0" w:space="0" w:color="auto"/>
                <w:bottom w:val="none" w:sz="0" w:space="0" w:color="auto"/>
                <w:right w:val="none" w:sz="0" w:space="0" w:color="auto"/>
              </w:divBdr>
            </w:div>
            <w:div w:id="947197861">
              <w:marLeft w:val="0"/>
              <w:marRight w:val="0"/>
              <w:marTop w:val="0"/>
              <w:marBottom w:val="0"/>
              <w:divBdr>
                <w:top w:val="none" w:sz="0" w:space="0" w:color="auto"/>
                <w:left w:val="none" w:sz="0" w:space="0" w:color="auto"/>
                <w:bottom w:val="none" w:sz="0" w:space="0" w:color="auto"/>
                <w:right w:val="none" w:sz="0" w:space="0" w:color="auto"/>
              </w:divBdr>
            </w:div>
            <w:div w:id="385180298">
              <w:marLeft w:val="0"/>
              <w:marRight w:val="0"/>
              <w:marTop w:val="0"/>
              <w:marBottom w:val="0"/>
              <w:divBdr>
                <w:top w:val="none" w:sz="0" w:space="0" w:color="auto"/>
                <w:left w:val="none" w:sz="0" w:space="0" w:color="auto"/>
                <w:bottom w:val="none" w:sz="0" w:space="0" w:color="auto"/>
                <w:right w:val="none" w:sz="0" w:space="0" w:color="auto"/>
              </w:divBdr>
            </w:div>
            <w:div w:id="1783182401">
              <w:marLeft w:val="0"/>
              <w:marRight w:val="0"/>
              <w:marTop w:val="0"/>
              <w:marBottom w:val="0"/>
              <w:divBdr>
                <w:top w:val="none" w:sz="0" w:space="0" w:color="auto"/>
                <w:left w:val="none" w:sz="0" w:space="0" w:color="auto"/>
                <w:bottom w:val="none" w:sz="0" w:space="0" w:color="auto"/>
                <w:right w:val="none" w:sz="0" w:space="0" w:color="auto"/>
              </w:divBdr>
            </w:div>
            <w:div w:id="1186947603">
              <w:marLeft w:val="0"/>
              <w:marRight w:val="0"/>
              <w:marTop w:val="0"/>
              <w:marBottom w:val="0"/>
              <w:divBdr>
                <w:top w:val="none" w:sz="0" w:space="0" w:color="auto"/>
                <w:left w:val="none" w:sz="0" w:space="0" w:color="auto"/>
                <w:bottom w:val="none" w:sz="0" w:space="0" w:color="auto"/>
                <w:right w:val="none" w:sz="0" w:space="0" w:color="auto"/>
              </w:divBdr>
            </w:div>
            <w:div w:id="379403849">
              <w:marLeft w:val="0"/>
              <w:marRight w:val="0"/>
              <w:marTop w:val="0"/>
              <w:marBottom w:val="0"/>
              <w:divBdr>
                <w:top w:val="none" w:sz="0" w:space="0" w:color="auto"/>
                <w:left w:val="none" w:sz="0" w:space="0" w:color="auto"/>
                <w:bottom w:val="none" w:sz="0" w:space="0" w:color="auto"/>
                <w:right w:val="none" w:sz="0" w:space="0" w:color="auto"/>
              </w:divBdr>
            </w:div>
            <w:div w:id="598872575">
              <w:marLeft w:val="0"/>
              <w:marRight w:val="0"/>
              <w:marTop w:val="0"/>
              <w:marBottom w:val="0"/>
              <w:divBdr>
                <w:top w:val="none" w:sz="0" w:space="0" w:color="auto"/>
                <w:left w:val="none" w:sz="0" w:space="0" w:color="auto"/>
                <w:bottom w:val="none" w:sz="0" w:space="0" w:color="auto"/>
                <w:right w:val="none" w:sz="0" w:space="0" w:color="auto"/>
              </w:divBdr>
            </w:div>
            <w:div w:id="1885412344">
              <w:marLeft w:val="0"/>
              <w:marRight w:val="0"/>
              <w:marTop w:val="0"/>
              <w:marBottom w:val="0"/>
              <w:divBdr>
                <w:top w:val="none" w:sz="0" w:space="0" w:color="auto"/>
                <w:left w:val="none" w:sz="0" w:space="0" w:color="auto"/>
                <w:bottom w:val="none" w:sz="0" w:space="0" w:color="auto"/>
                <w:right w:val="none" w:sz="0" w:space="0" w:color="auto"/>
              </w:divBdr>
            </w:div>
            <w:div w:id="311447109">
              <w:marLeft w:val="0"/>
              <w:marRight w:val="0"/>
              <w:marTop w:val="0"/>
              <w:marBottom w:val="0"/>
              <w:divBdr>
                <w:top w:val="none" w:sz="0" w:space="0" w:color="auto"/>
                <w:left w:val="none" w:sz="0" w:space="0" w:color="auto"/>
                <w:bottom w:val="none" w:sz="0" w:space="0" w:color="auto"/>
                <w:right w:val="none" w:sz="0" w:space="0" w:color="auto"/>
              </w:divBdr>
            </w:div>
            <w:div w:id="1017080300">
              <w:marLeft w:val="0"/>
              <w:marRight w:val="0"/>
              <w:marTop w:val="0"/>
              <w:marBottom w:val="0"/>
              <w:divBdr>
                <w:top w:val="none" w:sz="0" w:space="0" w:color="auto"/>
                <w:left w:val="none" w:sz="0" w:space="0" w:color="auto"/>
                <w:bottom w:val="none" w:sz="0" w:space="0" w:color="auto"/>
                <w:right w:val="none" w:sz="0" w:space="0" w:color="auto"/>
              </w:divBdr>
            </w:div>
            <w:div w:id="401607145">
              <w:marLeft w:val="0"/>
              <w:marRight w:val="0"/>
              <w:marTop w:val="0"/>
              <w:marBottom w:val="0"/>
              <w:divBdr>
                <w:top w:val="none" w:sz="0" w:space="0" w:color="auto"/>
                <w:left w:val="none" w:sz="0" w:space="0" w:color="auto"/>
                <w:bottom w:val="none" w:sz="0" w:space="0" w:color="auto"/>
                <w:right w:val="none" w:sz="0" w:space="0" w:color="auto"/>
              </w:divBdr>
            </w:div>
            <w:div w:id="1020156738">
              <w:marLeft w:val="0"/>
              <w:marRight w:val="0"/>
              <w:marTop w:val="0"/>
              <w:marBottom w:val="0"/>
              <w:divBdr>
                <w:top w:val="none" w:sz="0" w:space="0" w:color="auto"/>
                <w:left w:val="none" w:sz="0" w:space="0" w:color="auto"/>
                <w:bottom w:val="none" w:sz="0" w:space="0" w:color="auto"/>
                <w:right w:val="none" w:sz="0" w:space="0" w:color="auto"/>
              </w:divBdr>
            </w:div>
            <w:div w:id="583298199">
              <w:marLeft w:val="0"/>
              <w:marRight w:val="0"/>
              <w:marTop w:val="0"/>
              <w:marBottom w:val="0"/>
              <w:divBdr>
                <w:top w:val="none" w:sz="0" w:space="0" w:color="auto"/>
                <w:left w:val="none" w:sz="0" w:space="0" w:color="auto"/>
                <w:bottom w:val="none" w:sz="0" w:space="0" w:color="auto"/>
                <w:right w:val="none" w:sz="0" w:space="0" w:color="auto"/>
              </w:divBdr>
            </w:div>
            <w:div w:id="2146005659">
              <w:marLeft w:val="0"/>
              <w:marRight w:val="0"/>
              <w:marTop w:val="0"/>
              <w:marBottom w:val="0"/>
              <w:divBdr>
                <w:top w:val="none" w:sz="0" w:space="0" w:color="auto"/>
                <w:left w:val="none" w:sz="0" w:space="0" w:color="auto"/>
                <w:bottom w:val="none" w:sz="0" w:space="0" w:color="auto"/>
                <w:right w:val="none" w:sz="0" w:space="0" w:color="auto"/>
              </w:divBdr>
            </w:div>
            <w:div w:id="1367607582">
              <w:marLeft w:val="0"/>
              <w:marRight w:val="0"/>
              <w:marTop w:val="0"/>
              <w:marBottom w:val="0"/>
              <w:divBdr>
                <w:top w:val="none" w:sz="0" w:space="0" w:color="auto"/>
                <w:left w:val="none" w:sz="0" w:space="0" w:color="auto"/>
                <w:bottom w:val="none" w:sz="0" w:space="0" w:color="auto"/>
                <w:right w:val="none" w:sz="0" w:space="0" w:color="auto"/>
              </w:divBdr>
            </w:div>
            <w:div w:id="1185827179">
              <w:marLeft w:val="0"/>
              <w:marRight w:val="0"/>
              <w:marTop w:val="0"/>
              <w:marBottom w:val="0"/>
              <w:divBdr>
                <w:top w:val="none" w:sz="0" w:space="0" w:color="auto"/>
                <w:left w:val="none" w:sz="0" w:space="0" w:color="auto"/>
                <w:bottom w:val="none" w:sz="0" w:space="0" w:color="auto"/>
                <w:right w:val="none" w:sz="0" w:space="0" w:color="auto"/>
              </w:divBdr>
            </w:div>
            <w:div w:id="728459539">
              <w:marLeft w:val="0"/>
              <w:marRight w:val="0"/>
              <w:marTop w:val="0"/>
              <w:marBottom w:val="0"/>
              <w:divBdr>
                <w:top w:val="none" w:sz="0" w:space="0" w:color="auto"/>
                <w:left w:val="none" w:sz="0" w:space="0" w:color="auto"/>
                <w:bottom w:val="none" w:sz="0" w:space="0" w:color="auto"/>
                <w:right w:val="none" w:sz="0" w:space="0" w:color="auto"/>
              </w:divBdr>
            </w:div>
            <w:div w:id="811404936">
              <w:marLeft w:val="0"/>
              <w:marRight w:val="0"/>
              <w:marTop w:val="0"/>
              <w:marBottom w:val="0"/>
              <w:divBdr>
                <w:top w:val="none" w:sz="0" w:space="0" w:color="auto"/>
                <w:left w:val="none" w:sz="0" w:space="0" w:color="auto"/>
                <w:bottom w:val="none" w:sz="0" w:space="0" w:color="auto"/>
                <w:right w:val="none" w:sz="0" w:space="0" w:color="auto"/>
              </w:divBdr>
            </w:div>
            <w:div w:id="1949921356">
              <w:marLeft w:val="0"/>
              <w:marRight w:val="0"/>
              <w:marTop w:val="0"/>
              <w:marBottom w:val="0"/>
              <w:divBdr>
                <w:top w:val="none" w:sz="0" w:space="0" w:color="auto"/>
                <w:left w:val="none" w:sz="0" w:space="0" w:color="auto"/>
                <w:bottom w:val="none" w:sz="0" w:space="0" w:color="auto"/>
                <w:right w:val="none" w:sz="0" w:space="0" w:color="auto"/>
              </w:divBdr>
            </w:div>
            <w:div w:id="916476724">
              <w:marLeft w:val="0"/>
              <w:marRight w:val="0"/>
              <w:marTop w:val="0"/>
              <w:marBottom w:val="0"/>
              <w:divBdr>
                <w:top w:val="none" w:sz="0" w:space="0" w:color="auto"/>
                <w:left w:val="none" w:sz="0" w:space="0" w:color="auto"/>
                <w:bottom w:val="none" w:sz="0" w:space="0" w:color="auto"/>
                <w:right w:val="none" w:sz="0" w:space="0" w:color="auto"/>
              </w:divBdr>
            </w:div>
            <w:div w:id="614672927">
              <w:marLeft w:val="0"/>
              <w:marRight w:val="0"/>
              <w:marTop w:val="0"/>
              <w:marBottom w:val="0"/>
              <w:divBdr>
                <w:top w:val="none" w:sz="0" w:space="0" w:color="auto"/>
                <w:left w:val="none" w:sz="0" w:space="0" w:color="auto"/>
                <w:bottom w:val="none" w:sz="0" w:space="0" w:color="auto"/>
                <w:right w:val="none" w:sz="0" w:space="0" w:color="auto"/>
              </w:divBdr>
            </w:div>
            <w:div w:id="23945893">
              <w:marLeft w:val="0"/>
              <w:marRight w:val="0"/>
              <w:marTop w:val="0"/>
              <w:marBottom w:val="0"/>
              <w:divBdr>
                <w:top w:val="none" w:sz="0" w:space="0" w:color="auto"/>
                <w:left w:val="none" w:sz="0" w:space="0" w:color="auto"/>
                <w:bottom w:val="none" w:sz="0" w:space="0" w:color="auto"/>
                <w:right w:val="none" w:sz="0" w:space="0" w:color="auto"/>
              </w:divBdr>
            </w:div>
            <w:div w:id="1922711148">
              <w:marLeft w:val="0"/>
              <w:marRight w:val="0"/>
              <w:marTop w:val="0"/>
              <w:marBottom w:val="0"/>
              <w:divBdr>
                <w:top w:val="none" w:sz="0" w:space="0" w:color="auto"/>
                <w:left w:val="none" w:sz="0" w:space="0" w:color="auto"/>
                <w:bottom w:val="none" w:sz="0" w:space="0" w:color="auto"/>
                <w:right w:val="none" w:sz="0" w:space="0" w:color="auto"/>
              </w:divBdr>
            </w:div>
            <w:div w:id="1043944352">
              <w:marLeft w:val="0"/>
              <w:marRight w:val="0"/>
              <w:marTop w:val="0"/>
              <w:marBottom w:val="0"/>
              <w:divBdr>
                <w:top w:val="none" w:sz="0" w:space="0" w:color="auto"/>
                <w:left w:val="none" w:sz="0" w:space="0" w:color="auto"/>
                <w:bottom w:val="none" w:sz="0" w:space="0" w:color="auto"/>
                <w:right w:val="none" w:sz="0" w:space="0" w:color="auto"/>
              </w:divBdr>
            </w:div>
            <w:div w:id="1216501802">
              <w:marLeft w:val="0"/>
              <w:marRight w:val="0"/>
              <w:marTop w:val="0"/>
              <w:marBottom w:val="0"/>
              <w:divBdr>
                <w:top w:val="none" w:sz="0" w:space="0" w:color="auto"/>
                <w:left w:val="none" w:sz="0" w:space="0" w:color="auto"/>
                <w:bottom w:val="none" w:sz="0" w:space="0" w:color="auto"/>
                <w:right w:val="none" w:sz="0" w:space="0" w:color="auto"/>
              </w:divBdr>
            </w:div>
            <w:div w:id="1409108461">
              <w:marLeft w:val="0"/>
              <w:marRight w:val="0"/>
              <w:marTop w:val="0"/>
              <w:marBottom w:val="0"/>
              <w:divBdr>
                <w:top w:val="none" w:sz="0" w:space="0" w:color="auto"/>
                <w:left w:val="none" w:sz="0" w:space="0" w:color="auto"/>
                <w:bottom w:val="none" w:sz="0" w:space="0" w:color="auto"/>
                <w:right w:val="none" w:sz="0" w:space="0" w:color="auto"/>
              </w:divBdr>
            </w:div>
            <w:div w:id="828055444">
              <w:marLeft w:val="0"/>
              <w:marRight w:val="0"/>
              <w:marTop w:val="0"/>
              <w:marBottom w:val="0"/>
              <w:divBdr>
                <w:top w:val="none" w:sz="0" w:space="0" w:color="auto"/>
                <w:left w:val="none" w:sz="0" w:space="0" w:color="auto"/>
                <w:bottom w:val="none" w:sz="0" w:space="0" w:color="auto"/>
                <w:right w:val="none" w:sz="0" w:space="0" w:color="auto"/>
              </w:divBdr>
            </w:div>
            <w:div w:id="102851195">
              <w:marLeft w:val="0"/>
              <w:marRight w:val="0"/>
              <w:marTop w:val="0"/>
              <w:marBottom w:val="0"/>
              <w:divBdr>
                <w:top w:val="none" w:sz="0" w:space="0" w:color="auto"/>
                <w:left w:val="none" w:sz="0" w:space="0" w:color="auto"/>
                <w:bottom w:val="none" w:sz="0" w:space="0" w:color="auto"/>
                <w:right w:val="none" w:sz="0" w:space="0" w:color="auto"/>
              </w:divBdr>
            </w:div>
            <w:div w:id="848907589">
              <w:marLeft w:val="0"/>
              <w:marRight w:val="0"/>
              <w:marTop w:val="0"/>
              <w:marBottom w:val="0"/>
              <w:divBdr>
                <w:top w:val="none" w:sz="0" w:space="0" w:color="auto"/>
                <w:left w:val="none" w:sz="0" w:space="0" w:color="auto"/>
                <w:bottom w:val="none" w:sz="0" w:space="0" w:color="auto"/>
                <w:right w:val="none" w:sz="0" w:space="0" w:color="auto"/>
              </w:divBdr>
            </w:div>
            <w:div w:id="1959411100">
              <w:marLeft w:val="0"/>
              <w:marRight w:val="0"/>
              <w:marTop w:val="0"/>
              <w:marBottom w:val="0"/>
              <w:divBdr>
                <w:top w:val="none" w:sz="0" w:space="0" w:color="auto"/>
                <w:left w:val="none" w:sz="0" w:space="0" w:color="auto"/>
                <w:bottom w:val="none" w:sz="0" w:space="0" w:color="auto"/>
                <w:right w:val="none" w:sz="0" w:space="0" w:color="auto"/>
              </w:divBdr>
            </w:div>
            <w:div w:id="922451327">
              <w:marLeft w:val="0"/>
              <w:marRight w:val="0"/>
              <w:marTop w:val="0"/>
              <w:marBottom w:val="0"/>
              <w:divBdr>
                <w:top w:val="none" w:sz="0" w:space="0" w:color="auto"/>
                <w:left w:val="none" w:sz="0" w:space="0" w:color="auto"/>
                <w:bottom w:val="none" w:sz="0" w:space="0" w:color="auto"/>
                <w:right w:val="none" w:sz="0" w:space="0" w:color="auto"/>
              </w:divBdr>
            </w:div>
            <w:div w:id="233009841">
              <w:marLeft w:val="0"/>
              <w:marRight w:val="0"/>
              <w:marTop w:val="0"/>
              <w:marBottom w:val="0"/>
              <w:divBdr>
                <w:top w:val="none" w:sz="0" w:space="0" w:color="auto"/>
                <w:left w:val="none" w:sz="0" w:space="0" w:color="auto"/>
                <w:bottom w:val="none" w:sz="0" w:space="0" w:color="auto"/>
                <w:right w:val="none" w:sz="0" w:space="0" w:color="auto"/>
              </w:divBdr>
            </w:div>
            <w:div w:id="755131743">
              <w:marLeft w:val="0"/>
              <w:marRight w:val="0"/>
              <w:marTop w:val="0"/>
              <w:marBottom w:val="0"/>
              <w:divBdr>
                <w:top w:val="none" w:sz="0" w:space="0" w:color="auto"/>
                <w:left w:val="none" w:sz="0" w:space="0" w:color="auto"/>
                <w:bottom w:val="none" w:sz="0" w:space="0" w:color="auto"/>
                <w:right w:val="none" w:sz="0" w:space="0" w:color="auto"/>
              </w:divBdr>
            </w:div>
            <w:div w:id="250358205">
              <w:marLeft w:val="0"/>
              <w:marRight w:val="0"/>
              <w:marTop w:val="0"/>
              <w:marBottom w:val="0"/>
              <w:divBdr>
                <w:top w:val="none" w:sz="0" w:space="0" w:color="auto"/>
                <w:left w:val="none" w:sz="0" w:space="0" w:color="auto"/>
                <w:bottom w:val="none" w:sz="0" w:space="0" w:color="auto"/>
                <w:right w:val="none" w:sz="0" w:space="0" w:color="auto"/>
              </w:divBdr>
            </w:div>
            <w:div w:id="1133330542">
              <w:marLeft w:val="0"/>
              <w:marRight w:val="0"/>
              <w:marTop w:val="0"/>
              <w:marBottom w:val="0"/>
              <w:divBdr>
                <w:top w:val="none" w:sz="0" w:space="0" w:color="auto"/>
                <w:left w:val="none" w:sz="0" w:space="0" w:color="auto"/>
                <w:bottom w:val="none" w:sz="0" w:space="0" w:color="auto"/>
                <w:right w:val="none" w:sz="0" w:space="0" w:color="auto"/>
              </w:divBdr>
            </w:div>
            <w:div w:id="1488129441">
              <w:marLeft w:val="0"/>
              <w:marRight w:val="0"/>
              <w:marTop w:val="0"/>
              <w:marBottom w:val="0"/>
              <w:divBdr>
                <w:top w:val="none" w:sz="0" w:space="0" w:color="auto"/>
                <w:left w:val="none" w:sz="0" w:space="0" w:color="auto"/>
                <w:bottom w:val="none" w:sz="0" w:space="0" w:color="auto"/>
                <w:right w:val="none" w:sz="0" w:space="0" w:color="auto"/>
              </w:divBdr>
            </w:div>
            <w:div w:id="1844776894">
              <w:marLeft w:val="0"/>
              <w:marRight w:val="0"/>
              <w:marTop w:val="0"/>
              <w:marBottom w:val="0"/>
              <w:divBdr>
                <w:top w:val="none" w:sz="0" w:space="0" w:color="auto"/>
                <w:left w:val="none" w:sz="0" w:space="0" w:color="auto"/>
                <w:bottom w:val="none" w:sz="0" w:space="0" w:color="auto"/>
                <w:right w:val="none" w:sz="0" w:space="0" w:color="auto"/>
              </w:divBdr>
            </w:div>
            <w:div w:id="2034065860">
              <w:marLeft w:val="0"/>
              <w:marRight w:val="0"/>
              <w:marTop w:val="0"/>
              <w:marBottom w:val="0"/>
              <w:divBdr>
                <w:top w:val="none" w:sz="0" w:space="0" w:color="auto"/>
                <w:left w:val="none" w:sz="0" w:space="0" w:color="auto"/>
                <w:bottom w:val="none" w:sz="0" w:space="0" w:color="auto"/>
                <w:right w:val="none" w:sz="0" w:space="0" w:color="auto"/>
              </w:divBdr>
            </w:div>
            <w:div w:id="951934278">
              <w:marLeft w:val="0"/>
              <w:marRight w:val="0"/>
              <w:marTop w:val="0"/>
              <w:marBottom w:val="0"/>
              <w:divBdr>
                <w:top w:val="none" w:sz="0" w:space="0" w:color="auto"/>
                <w:left w:val="none" w:sz="0" w:space="0" w:color="auto"/>
                <w:bottom w:val="none" w:sz="0" w:space="0" w:color="auto"/>
                <w:right w:val="none" w:sz="0" w:space="0" w:color="auto"/>
              </w:divBdr>
            </w:div>
            <w:div w:id="1747724885">
              <w:marLeft w:val="0"/>
              <w:marRight w:val="0"/>
              <w:marTop w:val="0"/>
              <w:marBottom w:val="0"/>
              <w:divBdr>
                <w:top w:val="none" w:sz="0" w:space="0" w:color="auto"/>
                <w:left w:val="none" w:sz="0" w:space="0" w:color="auto"/>
                <w:bottom w:val="none" w:sz="0" w:space="0" w:color="auto"/>
                <w:right w:val="none" w:sz="0" w:space="0" w:color="auto"/>
              </w:divBdr>
            </w:div>
            <w:div w:id="502552920">
              <w:marLeft w:val="0"/>
              <w:marRight w:val="0"/>
              <w:marTop w:val="0"/>
              <w:marBottom w:val="0"/>
              <w:divBdr>
                <w:top w:val="none" w:sz="0" w:space="0" w:color="auto"/>
                <w:left w:val="none" w:sz="0" w:space="0" w:color="auto"/>
                <w:bottom w:val="none" w:sz="0" w:space="0" w:color="auto"/>
                <w:right w:val="none" w:sz="0" w:space="0" w:color="auto"/>
              </w:divBdr>
            </w:div>
            <w:div w:id="658581023">
              <w:marLeft w:val="0"/>
              <w:marRight w:val="0"/>
              <w:marTop w:val="0"/>
              <w:marBottom w:val="0"/>
              <w:divBdr>
                <w:top w:val="none" w:sz="0" w:space="0" w:color="auto"/>
                <w:left w:val="none" w:sz="0" w:space="0" w:color="auto"/>
                <w:bottom w:val="none" w:sz="0" w:space="0" w:color="auto"/>
                <w:right w:val="none" w:sz="0" w:space="0" w:color="auto"/>
              </w:divBdr>
            </w:div>
            <w:div w:id="413432452">
              <w:marLeft w:val="0"/>
              <w:marRight w:val="0"/>
              <w:marTop w:val="0"/>
              <w:marBottom w:val="0"/>
              <w:divBdr>
                <w:top w:val="none" w:sz="0" w:space="0" w:color="auto"/>
                <w:left w:val="none" w:sz="0" w:space="0" w:color="auto"/>
                <w:bottom w:val="none" w:sz="0" w:space="0" w:color="auto"/>
                <w:right w:val="none" w:sz="0" w:space="0" w:color="auto"/>
              </w:divBdr>
            </w:div>
            <w:div w:id="1330988261">
              <w:marLeft w:val="0"/>
              <w:marRight w:val="0"/>
              <w:marTop w:val="0"/>
              <w:marBottom w:val="0"/>
              <w:divBdr>
                <w:top w:val="none" w:sz="0" w:space="0" w:color="auto"/>
                <w:left w:val="none" w:sz="0" w:space="0" w:color="auto"/>
                <w:bottom w:val="none" w:sz="0" w:space="0" w:color="auto"/>
                <w:right w:val="none" w:sz="0" w:space="0" w:color="auto"/>
              </w:divBdr>
            </w:div>
            <w:div w:id="571047371">
              <w:marLeft w:val="0"/>
              <w:marRight w:val="0"/>
              <w:marTop w:val="0"/>
              <w:marBottom w:val="0"/>
              <w:divBdr>
                <w:top w:val="none" w:sz="0" w:space="0" w:color="auto"/>
                <w:left w:val="none" w:sz="0" w:space="0" w:color="auto"/>
                <w:bottom w:val="none" w:sz="0" w:space="0" w:color="auto"/>
                <w:right w:val="none" w:sz="0" w:space="0" w:color="auto"/>
              </w:divBdr>
            </w:div>
            <w:div w:id="127213919">
              <w:marLeft w:val="0"/>
              <w:marRight w:val="0"/>
              <w:marTop w:val="0"/>
              <w:marBottom w:val="0"/>
              <w:divBdr>
                <w:top w:val="none" w:sz="0" w:space="0" w:color="auto"/>
                <w:left w:val="none" w:sz="0" w:space="0" w:color="auto"/>
                <w:bottom w:val="none" w:sz="0" w:space="0" w:color="auto"/>
                <w:right w:val="none" w:sz="0" w:space="0" w:color="auto"/>
              </w:divBdr>
            </w:div>
            <w:div w:id="1025980719">
              <w:marLeft w:val="0"/>
              <w:marRight w:val="0"/>
              <w:marTop w:val="0"/>
              <w:marBottom w:val="0"/>
              <w:divBdr>
                <w:top w:val="none" w:sz="0" w:space="0" w:color="auto"/>
                <w:left w:val="none" w:sz="0" w:space="0" w:color="auto"/>
                <w:bottom w:val="none" w:sz="0" w:space="0" w:color="auto"/>
                <w:right w:val="none" w:sz="0" w:space="0" w:color="auto"/>
              </w:divBdr>
            </w:div>
            <w:div w:id="1415935959">
              <w:marLeft w:val="0"/>
              <w:marRight w:val="0"/>
              <w:marTop w:val="0"/>
              <w:marBottom w:val="0"/>
              <w:divBdr>
                <w:top w:val="none" w:sz="0" w:space="0" w:color="auto"/>
                <w:left w:val="none" w:sz="0" w:space="0" w:color="auto"/>
                <w:bottom w:val="none" w:sz="0" w:space="0" w:color="auto"/>
                <w:right w:val="none" w:sz="0" w:space="0" w:color="auto"/>
              </w:divBdr>
            </w:div>
            <w:div w:id="523135634">
              <w:marLeft w:val="0"/>
              <w:marRight w:val="0"/>
              <w:marTop w:val="0"/>
              <w:marBottom w:val="0"/>
              <w:divBdr>
                <w:top w:val="none" w:sz="0" w:space="0" w:color="auto"/>
                <w:left w:val="none" w:sz="0" w:space="0" w:color="auto"/>
                <w:bottom w:val="none" w:sz="0" w:space="0" w:color="auto"/>
                <w:right w:val="none" w:sz="0" w:space="0" w:color="auto"/>
              </w:divBdr>
            </w:div>
            <w:div w:id="6450392">
              <w:marLeft w:val="0"/>
              <w:marRight w:val="0"/>
              <w:marTop w:val="0"/>
              <w:marBottom w:val="0"/>
              <w:divBdr>
                <w:top w:val="none" w:sz="0" w:space="0" w:color="auto"/>
                <w:left w:val="none" w:sz="0" w:space="0" w:color="auto"/>
                <w:bottom w:val="none" w:sz="0" w:space="0" w:color="auto"/>
                <w:right w:val="none" w:sz="0" w:space="0" w:color="auto"/>
              </w:divBdr>
            </w:div>
            <w:div w:id="1245603331">
              <w:marLeft w:val="0"/>
              <w:marRight w:val="0"/>
              <w:marTop w:val="0"/>
              <w:marBottom w:val="0"/>
              <w:divBdr>
                <w:top w:val="none" w:sz="0" w:space="0" w:color="auto"/>
                <w:left w:val="none" w:sz="0" w:space="0" w:color="auto"/>
                <w:bottom w:val="none" w:sz="0" w:space="0" w:color="auto"/>
                <w:right w:val="none" w:sz="0" w:space="0" w:color="auto"/>
              </w:divBdr>
            </w:div>
            <w:div w:id="645549037">
              <w:marLeft w:val="0"/>
              <w:marRight w:val="0"/>
              <w:marTop w:val="0"/>
              <w:marBottom w:val="0"/>
              <w:divBdr>
                <w:top w:val="none" w:sz="0" w:space="0" w:color="auto"/>
                <w:left w:val="none" w:sz="0" w:space="0" w:color="auto"/>
                <w:bottom w:val="none" w:sz="0" w:space="0" w:color="auto"/>
                <w:right w:val="none" w:sz="0" w:space="0" w:color="auto"/>
              </w:divBdr>
            </w:div>
            <w:div w:id="1939560708">
              <w:marLeft w:val="0"/>
              <w:marRight w:val="0"/>
              <w:marTop w:val="0"/>
              <w:marBottom w:val="0"/>
              <w:divBdr>
                <w:top w:val="none" w:sz="0" w:space="0" w:color="auto"/>
                <w:left w:val="none" w:sz="0" w:space="0" w:color="auto"/>
                <w:bottom w:val="none" w:sz="0" w:space="0" w:color="auto"/>
                <w:right w:val="none" w:sz="0" w:space="0" w:color="auto"/>
              </w:divBdr>
            </w:div>
            <w:div w:id="73628563">
              <w:marLeft w:val="0"/>
              <w:marRight w:val="0"/>
              <w:marTop w:val="0"/>
              <w:marBottom w:val="0"/>
              <w:divBdr>
                <w:top w:val="none" w:sz="0" w:space="0" w:color="auto"/>
                <w:left w:val="none" w:sz="0" w:space="0" w:color="auto"/>
                <w:bottom w:val="none" w:sz="0" w:space="0" w:color="auto"/>
                <w:right w:val="none" w:sz="0" w:space="0" w:color="auto"/>
              </w:divBdr>
            </w:div>
            <w:div w:id="1464226868">
              <w:marLeft w:val="0"/>
              <w:marRight w:val="0"/>
              <w:marTop w:val="0"/>
              <w:marBottom w:val="0"/>
              <w:divBdr>
                <w:top w:val="none" w:sz="0" w:space="0" w:color="auto"/>
                <w:left w:val="none" w:sz="0" w:space="0" w:color="auto"/>
                <w:bottom w:val="none" w:sz="0" w:space="0" w:color="auto"/>
                <w:right w:val="none" w:sz="0" w:space="0" w:color="auto"/>
              </w:divBdr>
            </w:div>
            <w:div w:id="1557203580">
              <w:marLeft w:val="0"/>
              <w:marRight w:val="0"/>
              <w:marTop w:val="0"/>
              <w:marBottom w:val="0"/>
              <w:divBdr>
                <w:top w:val="none" w:sz="0" w:space="0" w:color="auto"/>
                <w:left w:val="none" w:sz="0" w:space="0" w:color="auto"/>
                <w:bottom w:val="none" w:sz="0" w:space="0" w:color="auto"/>
                <w:right w:val="none" w:sz="0" w:space="0" w:color="auto"/>
              </w:divBdr>
            </w:div>
            <w:div w:id="801263516">
              <w:marLeft w:val="0"/>
              <w:marRight w:val="0"/>
              <w:marTop w:val="0"/>
              <w:marBottom w:val="0"/>
              <w:divBdr>
                <w:top w:val="none" w:sz="0" w:space="0" w:color="auto"/>
                <w:left w:val="none" w:sz="0" w:space="0" w:color="auto"/>
                <w:bottom w:val="none" w:sz="0" w:space="0" w:color="auto"/>
                <w:right w:val="none" w:sz="0" w:space="0" w:color="auto"/>
              </w:divBdr>
            </w:div>
            <w:div w:id="966668160">
              <w:marLeft w:val="0"/>
              <w:marRight w:val="0"/>
              <w:marTop w:val="0"/>
              <w:marBottom w:val="0"/>
              <w:divBdr>
                <w:top w:val="none" w:sz="0" w:space="0" w:color="auto"/>
                <w:left w:val="none" w:sz="0" w:space="0" w:color="auto"/>
                <w:bottom w:val="none" w:sz="0" w:space="0" w:color="auto"/>
                <w:right w:val="none" w:sz="0" w:space="0" w:color="auto"/>
              </w:divBdr>
            </w:div>
            <w:div w:id="1189181150">
              <w:marLeft w:val="0"/>
              <w:marRight w:val="0"/>
              <w:marTop w:val="0"/>
              <w:marBottom w:val="0"/>
              <w:divBdr>
                <w:top w:val="none" w:sz="0" w:space="0" w:color="auto"/>
                <w:left w:val="none" w:sz="0" w:space="0" w:color="auto"/>
                <w:bottom w:val="none" w:sz="0" w:space="0" w:color="auto"/>
                <w:right w:val="none" w:sz="0" w:space="0" w:color="auto"/>
              </w:divBdr>
            </w:div>
            <w:div w:id="1438452779">
              <w:marLeft w:val="0"/>
              <w:marRight w:val="0"/>
              <w:marTop w:val="0"/>
              <w:marBottom w:val="0"/>
              <w:divBdr>
                <w:top w:val="none" w:sz="0" w:space="0" w:color="auto"/>
                <w:left w:val="none" w:sz="0" w:space="0" w:color="auto"/>
                <w:bottom w:val="none" w:sz="0" w:space="0" w:color="auto"/>
                <w:right w:val="none" w:sz="0" w:space="0" w:color="auto"/>
              </w:divBdr>
            </w:div>
            <w:div w:id="1400667329">
              <w:marLeft w:val="0"/>
              <w:marRight w:val="0"/>
              <w:marTop w:val="0"/>
              <w:marBottom w:val="0"/>
              <w:divBdr>
                <w:top w:val="none" w:sz="0" w:space="0" w:color="auto"/>
                <w:left w:val="none" w:sz="0" w:space="0" w:color="auto"/>
                <w:bottom w:val="none" w:sz="0" w:space="0" w:color="auto"/>
                <w:right w:val="none" w:sz="0" w:space="0" w:color="auto"/>
              </w:divBdr>
            </w:div>
            <w:div w:id="863517924">
              <w:marLeft w:val="0"/>
              <w:marRight w:val="0"/>
              <w:marTop w:val="0"/>
              <w:marBottom w:val="0"/>
              <w:divBdr>
                <w:top w:val="none" w:sz="0" w:space="0" w:color="auto"/>
                <w:left w:val="none" w:sz="0" w:space="0" w:color="auto"/>
                <w:bottom w:val="none" w:sz="0" w:space="0" w:color="auto"/>
                <w:right w:val="none" w:sz="0" w:space="0" w:color="auto"/>
              </w:divBdr>
            </w:div>
            <w:div w:id="364864307">
              <w:marLeft w:val="0"/>
              <w:marRight w:val="0"/>
              <w:marTop w:val="0"/>
              <w:marBottom w:val="0"/>
              <w:divBdr>
                <w:top w:val="none" w:sz="0" w:space="0" w:color="auto"/>
                <w:left w:val="none" w:sz="0" w:space="0" w:color="auto"/>
                <w:bottom w:val="none" w:sz="0" w:space="0" w:color="auto"/>
                <w:right w:val="none" w:sz="0" w:space="0" w:color="auto"/>
              </w:divBdr>
            </w:div>
            <w:div w:id="1014301821">
              <w:marLeft w:val="0"/>
              <w:marRight w:val="0"/>
              <w:marTop w:val="0"/>
              <w:marBottom w:val="0"/>
              <w:divBdr>
                <w:top w:val="none" w:sz="0" w:space="0" w:color="auto"/>
                <w:left w:val="none" w:sz="0" w:space="0" w:color="auto"/>
                <w:bottom w:val="none" w:sz="0" w:space="0" w:color="auto"/>
                <w:right w:val="none" w:sz="0" w:space="0" w:color="auto"/>
              </w:divBdr>
            </w:div>
            <w:div w:id="878006040">
              <w:marLeft w:val="0"/>
              <w:marRight w:val="0"/>
              <w:marTop w:val="0"/>
              <w:marBottom w:val="0"/>
              <w:divBdr>
                <w:top w:val="none" w:sz="0" w:space="0" w:color="auto"/>
                <w:left w:val="none" w:sz="0" w:space="0" w:color="auto"/>
                <w:bottom w:val="none" w:sz="0" w:space="0" w:color="auto"/>
                <w:right w:val="none" w:sz="0" w:space="0" w:color="auto"/>
              </w:divBdr>
            </w:div>
            <w:div w:id="1491940357">
              <w:marLeft w:val="0"/>
              <w:marRight w:val="0"/>
              <w:marTop w:val="0"/>
              <w:marBottom w:val="0"/>
              <w:divBdr>
                <w:top w:val="none" w:sz="0" w:space="0" w:color="auto"/>
                <w:left w:val="none" w:sz="0" w:space="0" w:color="auto"/>
                <w:bottom w:val="none" w:sz="0" w:space="0" w:color="auto"/>
                <w:right w:val="none" w:sz="0" w:space="0" w:color="auto"/>
              </w:divBdr>
            </w:div>
            <w:div w:id="1129586392">
              <w:marLeft w:val="0"/>
              <w:marRight w:val="0"/>
              <w:marTop w:val="0"/>
              <w:marBottom w:val="0"/>
              <w:divBdr>
                <w:top w:val="none" w:sz="0" w:space="0" w:color="auto"/>
                <w:left w:val="none" w:sz="0" w:space="0" w:color="auto"/>
                <w:bottom w:val="none" w:sz="0" w:space="0" w:color="auto"/>
                <w:right w:val="none" w:sz="0" w:space="0" w:color="auto"/>
              </w:divBdr>
            </w:div>
            <w:div w:id="1698316398">
              <w:marLeft w:val="0"/>
              <w:marRight w:val="0"/>
              <w:marTop w:val="0"/>
              <w:marBottom w:val="0"/>
              <w:divBdr>
                <w:top w:val="none" w:sz="0" w:space="0" w:color="auto"/>
                <w:left w:val="none" w:sz="0" w:space="0" w:color="auto"/>
                <w:bottom w:val="none" w:sz="0" w:space="0" w:color="auto"/>
                <w:right w:val="none" w:sz="0" w:space="0" w:color="auto"/>
              </w:divBdr>
            </w:div>
            <w:div w:id="1640259009">
              <w:marLeft w:val="0"/>
              <w:marRight w:val="0"/>
              <w:marTop w:val="0"/>
              <w:marBottom w:val="0"/>
              <w:divBdr>
                <w:top w:val="none" w:sz="0" w:space="0" w:color="auto"/>
                <w:left w:val="none" w:sz="0" w:space="0" w:color="auto"/>
                <w:bottom w:val="none" w:sz="0" w:space="0" w:color="auto"/>
                <w:right w:val="none" w:sz="0" w:space="0" w:color="auto"/>
              </w:divBdr>
            </w:div>
            <w:div w:id="1564096080">
              <w:marLeft w:val="0"/>
              <w:marRight w:val="0"/>
              <w:marTop w:val="0"/>
              <w:marBottom w:val="0"/>
              <w:divBdr>
                <w:top w:val="none" w:sz="0" w:space="0" w:color="auto"/>
                <w:left w:val="none" w:sz="0" w:space="0" w:color="auto"/>
                <w:bottom w:val="none" w:sz="0" w:space="0" w:color="auto"/>
                <w:right w:val="none" w:sz="0" w:space="0" w:color="auto"/>
              </w:divBdr>
            </w:div>
            <w:div w:id="1079138674">
              <w:marLeft w:val="0"/>
              <w:marRight w:val="0"/>
              <w:marTop w:val="0"/>
              <w:marBottom w:val="0"/>
              <w:divBdr>
                <w:top w:val="none" w:sz="0" w:space="0" w:color="auto"/>
                <w:left w:val="none" w:sz="0" w:space="0" w:color="auto"/>
                <w:bottom w:val="none" w:sz="0" w:space="0" w:color="auto"/>
                <w:right w:val="none" w:sz="0" w:space="0" w:color="auto"/>
              </w:divBdr>
            </w:div>
            <w:div w:id="2139568237">
              <w:marLeft w:val="0"/>
              <w:marRight w:val="0"/>
              <w:marTop w:val="0"/>
              <w:marBottom w:val="0"/>
              <w:divBdr>
                <w:top w:val="none" w:sz="0" w:space="0" w:color="auto"/>
                <w:left w:val="none" w:sz="0" w:space="0" w:color="auto"/>
                <w:bottom w:val="none" w:sz="0" w:space="0" w:color="auto"/>
                <w:right w:val="none" w:sz="0" w:space="0" w:color="auto"/>
              </w:divBdr>
            </w:div>
            <w:div w:id="994456500">
              <w:marLeft w:val="0"/>
              <w:marRight w:val="0"/>
              <w:marTop w:val="0"/>
              <w:marBottom w:val="0"/>
              <w:divBdr>
                <w:top w:val="none" w:sz="0" w:space="0" w:color="auto"/>
                <w:left w:val="none" w:sz="0" w:space="0" w:color="auto"/>
                <w:bottom w:val="none" w:sz="0" w:space="0" w:color="auto"/>
                <w:right w:val="none" w:sz="0" w:space="0" w:color="auto"/>
              </w:divBdr>
            </w:div>
            <w:div w:id="94400220">
              <w:marLeft w:val="0"/>
              <w:marRight w:val="0"/>
              <w:marTop w:val="0"/>
              <w:marBottom w:val="0"/>
              <w:divBdr>
                <w:top w:val="none" w:sz="0" w:space="0" w:color="auto"/>
                <w:left w:val="none" w:sz="0" w:space="0" w:color="auto"/>
                <w:bottom w:val="none" w:sz="0" w:space="0" w:color="auto"/>
                <w:right w:val="none" w:sz="0" w:space="0" w:color="auto"/>
              </w:divBdr>
            </w:div>
            <w:div w:id="572666507">
              <w:marLeft w:val="0"/>
              <w:marRight w:val="0"/>
              <w:marTop w:val="0"/>
              <w:marBottom w:val="0"/>
              <w:divBdr>
                <w:top w:val="none" w:sz="0" w:space="0" w:color="auto"/>
                <w:left w:val="none" w:sz="0" w:space="0" w:color="auto"/>
                <w:bottom w:val="none" w:sz="0" w:space="0" w:color="auto"/>
                <w:right w:val="none" w:sz="0" w:space="0" w:color="auto"/>
              </w:divBdr>
            </w:div>
            <w:div w:id="625769462">
              <w:marLeft w:val="0"/>
              <w:marRight w:val="0"/>
              <w:marTop w:val="0"/>
              <w:marBottom w:val="0"/>
              <w:divBdr>
                <w:top w:val="none" w:sz="0" w:space="0" w:color="auto"/>
                <w:left w:val="none" w:sz="0" w:space="0" w:color="auto"/>
                <w:bottom w:val="none" w:sz="0" w:space="0" w:color="auto"/>
                <w:right w:val="none" w:sz="0" w:space="0" w:color="auto"/>
              </w:divBdr>
            </w:div>
            <w:div w:id="1234387209">
              <w:marLeft w:val="0"/>
              <w:marRight w:val="0"/>
              <w:marTop w:val="0"/>
              <w:marBottom w:val="0"/>
              <w:divBdr>
                <w:top w:val="none" w:sz="0" w:space="0" w:color="auto"/>
                <w:left w:val="none" w:sz="0" w:space="0" w:color="auto"/>
                <w:bottom w:val="none" w:sz="0" w:space="0" w:color="auto"/>
                <w:right w:val="none" w:sz="0" w:space="0" w:color="auto"/>
              </w:divBdr>
            </w:div>
            <w:div w:id="119308208">
              <w:marLeft w:val="0"/>
              <w:marRight w:val="0"/>
              <w:marTop w:val="0"/>
              <w:marBottom w:val="0"/>
              <w:divBdr>
                <w:top w:val="none" w:sz="0" w:space="0" w:color="auto"/>
                <w:left w:val="none" w:sz="0" w:space="0" w:color="auto"/>
                <w:bottom w:val="none" w:sz="0" w:space="0" w:color="auto"/>
                <w:right w:val="none" w:sz="0" w:space="0" w:color="auto"/>
              </w:divBdr>
            </w:div>
            <w:div w:id="962614643">
              <w:marLeft w:val="0"/>
              <w:marRight w:val="0"/>
              <w:marTop w:val="0"/>
              <w:marBottom w:val="0"/>
              <w:divBdr>
                <w:top w:val="none" w:sz="0" w:space="0" w:color="auto"/>
                <w:left w:val="none" w:sz="0" w:space="0" w:color="auto"/>
                <w:bottom w:val="none" w:sz="0" w:space="0" w:color="auto"/>
                <w:right w:val="none" w:sz="0" w:space="0" w:color="auto"/>
              </w:divBdr>
            </w:div>
            <w:div w:id="924655716">
              <w:marLeft w:val="0"/>
              <w:marRight w:val="0"/>
              <w:marTop w:val="0"/>
              <w:marBottom w:val="0"/>
              <w:divBdr>
                <w:top w:val="none" w:sz="0" w:space="0" w:color="auto"/>
                <w:left w:val="none" w:sz="0" w:space="0" w:color="auto"/>
                <w:bottom w:val="none" w:sz="0" w:space="0" w:color="auto"/>
                <w:right w:val="none" w:sz="0" w:space="0" w:color="auto"/>
              </w:divBdr>
            </w:div>
            <w:div w:id="835269661">
              <w:marLeft w:val="0"/>
              <w:marRight w:val="0"/>
              <w:marTop w:val="0"/>
              <w:marBottom w:val="0"/>
              <w:divBdr>
                <w:top w:val="none" w:sz="0" w:space="0" w:color="auto"/>
                <w:left w:val="none" w:sz="0" w:space="0" w:color="auto"/>
                <w:bottom w:val="none" w:sz="0" w:space="0" w:color="auto"/>
                <w:right w:val="none" w:sz="0" w:space="0" w:color="auto"/>
              </w:divBdr>
            </w:div>
            <w:div w:id="1203403350">
              <w:marLeft w:val="0"/>
              <w:marRight w:val="0"/>
              <w:marTop w:val="0"/>
              <w:marBottom w:val="0"/>
              <w:divBdr>
                <w:top w:val="none" w:sz="0" w:space="0" w:color="auto"/>
                <w:left w:val="none" w:sz="0" w:space="0" w:color="auto"/>
                <w:bottom w:val="none" w:sz="0" w:space="0" w:color="auto"/>
                <w:right w:val="none" w:sz="0" w:space="0" w:color="auto"/>
              </w:divBdr>
            </w:div>
            <w:div w:id="1930843147">
              <w:marLeft w:val="0"/>
              <w:marRight w:val="0"/>
              <w:marTop w:val="0"/>
              <w:marBottom w:val="0"/>
              <w:divBdr>
                <w:top w:val="none" w:sz="0" w:space="0" w:color="auto"/>
                <w:left w:val="none" w:sz="0" w:space="0" w:color="auto"/>
                <w:bottom w:val="none" w:sz="0" w:space="0" w:color="auto"/>
                <w:right w:val="none" w:sz="0" w:space="0" w:color="auto"/>
              </w:divBdr>
            </w:div>
            <w:div w:id="1375815368">
              <w:marLeft w:val="0"/>
              <w:marRight w:val="0"/>
              <w:marTop w:val="0"/>
              <w:marBottom w:val="0"/>
              <w:divBdr>
                <w:top w:val="none" w:sz="0" w:space="0" w:color="auto"/>
                <w:left w:val="none" w:sz="0" w:space="0" w:color="auto"/>
                <w:bottom w:val="none" w:sz="0" w:space="0" w:color="auto"/>
                <w:right w:val="none" w:sz="0" w:space="0" w:color="auto"/>
              </w:divBdr>
            </w:div>
            <w:div w:id="231622326">
              <w:marLeft w:val="0"/>
              <w:marRight w:val="0"/>
              <w:marTop w:val="0"/>
              <w:marBottom w:val="0"/>
              <w:divBdr>
                <w:top w:val="none" w:sz="0" w:space="0" w:color="auto"/>
                <w:left w:val="none" w:sz="0" w:space="0" w:color="auto"/>
                <w:bottom w:val="none" w:sz="0" w:space="0" w:color="auto"/>
                <w:right w:val="none" w:sz="0" w:space="0" w:color="auto"/>
              </w:divBdr>
            </w:div>
            <w:div w:id="1047293836">
              <w:marLeft w:val="0"/>
              <w:marRight w:val="0"/>
              <w:marTop w:val="0"/>
              <w:marBottom w:val="0"/>
              <w:divBdr>
                <w:top w:val="none" w:sz="0" w:space="0" w:color="auto"/>
                <w:left w:val="none" w:sz="0" w:space="0" w:color="auto"/>
                <w:bottom w:val="none" w:sz="0" w:space="0" w:color="auto"/>
                <w:right w:val="none" w:sz="0" w:space="0" w:color="auto"/>
              </w:divBdr>
            </w:div>
            <w:div w:id="2112890727">
              <w:marLeft w:val="0"/>
              <w:marRight w:val="0"/>
              <w:marTop w:val="0"/>
              <w:marBottom w:val="0"/>
              <w:divBdr>
                <w:top w:val="none" w:sz="0" w:space="0" w:color="auto"/>
                <w:left w:val="none" w:sz="0" w:space="0" w:color="auto"/>
                <w:bottom w:val="none" w:sz="0" w:space="0" w:color="auto"/>
                <w:right w:val="none" w:sz="0" w:space="0" w:color="auto"/>
              </w:divBdr>
            </w:div>
            <w:div w:id="474493817">
              <w:marLeft w:val="0"/>
              <w:marRight w:val="0"/>
              <w:marTop w:val="0"/>
              <w:marBottom w:val="0"/>
              <w:divBdr>
                <w:top w:val="none" w:sz="0" w:space="0" w:color="auto"/>
                <w:left w:val="none" w:sz="0" w:space="0" w:color="auto"/>
                <w:bottom w:val="none" w:sz="0" w:space="0" w:color="auto"/>
                <w:right w:val="none" w:sz="0" w:space="0" w:color="auto"/>
              </w:divBdr>
            </w:div>
            <w:div w:id="1166021555">
              <w:marLeft w:val="0"/>
              <w:marRight w:val="0"/>
              <w:marTop w:val="0"/>
              <w:marBottom w:val="0"/>
              <w:divBdr>
                <w:top w:val="none" w:sz="0" w:space="0" w:color="auto"/>
                <w:left w:val="none" w:sz="0" w:space="0" w:color="auto"/>
                <w:bottom w:val="none" w:sz="0" w:space="0" w:color="auto"/>
                <w:right w:val="none" w:sz="0" w:space="0" w:color="auto"/>
              </w:divBdr>
            </w:div>
            <w:div w:id="919945888">
              <w:marLeft w:val="0"/>
              <w:marRight w:val="0"/>
              <w:marTop w:val="0"/>
              <w:marBottom w:val="0"/>
              <w:divBdr>
                <w:top w:val="none" w:sz="0" w:space="0" w:color="auto"/>
                <w:left w:val="none" w:sz="0" w:space="0" w:color="auto"/>
                <w:bottom w:val="none" w:sz="0" w:space="0" w:color="auto"/>
                <w:right w:val="none" w:sz="0" w:space="0" w:color="auto"/>
              </w:divBdr>
            </w:div>
            <w:div w:id="181286989">
              <w:marLeft w:val="0"/>
              <w:marRight w:val="0"/>
              <w:marTop w:val="0"/>
              <w:marBottom w:val="0"/>
              <w:divBdr>
                <w:top w:val="none" w:sz="0" w:space="0" w:color="auto"/>
                <w:left w:val="none" w:sz="0" w:space="0" w:color="auto"/>
                <w:bottom w:val="none" w:sz="0" w:space="0" w:color="auto"/>
                <w:right w:val="none" w:sz="0" w:space="0" w:color="auto"/>
              </w:divBdr>
            </w:div>
            <w:div w:id="1919367808">
              <w:marLeft w:val="0"/>
              <w:marRight w:val="0"/>
              <w:marTop w:val="0"/>
              <w:marBottom w:val="0"/>
              <w:divBdr>
                <w:top w:val="none" w:sz="0" w:space="0" w:color="auto"/>
                <w:left w:val="none" w:sz="0" w:space="0" w:color="auto"/>
                <w:bottom w:val="none" w:sz="0" w:space="0" w:color="auto"/>
                <w:right w:val="none" w:sz="0" w:space="0" w:color="auto"/>
              </w:divBdr>
            </w:div>
            <w:div w:id="1660379016">
              <w:marLeft w:val="0"/>
              <w:marRight w:val="0"/>
              <w:marTop w:val="0"/>
              <w:marBottom w:val="0"/>
              <w:divBdr>
                <w:top w:val="none" w:sz="0" w:space="0" w:color="auto"/>
                <w:left w:val="none" w:sz="0" w:space="0" w:color="auto"/>
                <w:bottom w:val="none" w:sz="0" w:space="0" w:color="auto"/>
                <w:right w:val="none" w:sz="0" w:space="0" w:color="auto"/>
              </w:divBdr>
            </w:div>
            <w:div w:id="267785843">
              <w:marLeft w:val="0"/>
              <w:marRight w:val="0"/>
              <w:marTop w:val="0"/>
              <w:marBottom w:val="0"/>
              <w:divBdr>
                <w:top w:val="none" w:sz="0" w:space="0" w:color="auto"/>
                <w:left w:val="none" w:sz="0" w:space="0" w:color="auto"/>
                <w:bottom w:val="none" w:sz="0" w:space="0" w:color="auto"/>
                <w:right w:val="none" w:sz="0" w:space="0" w:color="auto"/>
              </w:divBdr>
            </w:div>
            <w:div w:id="1163618016">
              <w:marLeft w:val="0"/>
              <w:marRight w:val="0"/>
              <w:marTop w:val="0"/>
              <w:marBottom w:val="0"/>
              <w:divBdr>
                <w:top w:val="none" w:sz="0" w:space="0" w:color="auto"/>
                <w:left w:val="none" w:sz="0" w:space="0" w:color="auto"/>
                <w:bottom w:val="none" w:sz="0" w:space="0" w:color="auto"/>
                <w:right w:val="none" w:sz="0" w:space="0" w:color="auto"/>
              </w:divBdr>
            </w:div>
            <w:div w:id="1116022423">
              <w:marLeft w:val="0"/>
              <w:marRight w:val="0"/>
              <w:marTop w:val="0"/>
              <w:marBottom w:val="0"/>
              <w:divBdr>
                <w:top w:val="none" w:sz="0" w:space="0" w:color="auto"/>
                <w:left w:val="none" w:sz="0" w:space="0" w:color="auto"/>
                <w:bottom w:val="none" w:sz="0" w:space="0" w:color="auto"/>
                <w:right w:val="none" w:sz="0" w:space="0" w:color="auto"/>
              </w:divBdr>
            </w:div>
            <w:div w:id="2002079072">
              <w:marLeft w:val="0"/>
              <w:marRight w:val="0"/>
              <w:marTop w:val="0"/>
              <w:marBottom w:val="0"/>
              <w:divBdr>
                <w:top w:val="none" w:sz="0" w:space="0" w:color="auto"/>
                <w:left w:val="none" w:sz="0" w:space="0" w:color="auto"/>
                <w:bottom w:val="none" w:sz="0" w:space="0" w:color="auto"/>
                <w:right w:val="none" w:sz="0" w:space="0" w:color="auto"/>
              </w:divBdr>
            </w:div>
            <w:div w:id="228151315">
              <w:marLeft w:val="0"/>
              <w:marRight w:val="0"/>
              <w:marTop w:val="0"/>
              <w:marBottom w:val="0"/>
              <w:divBdr>
                <w:top w:val="none" w:sz="0" w:space="0" w:color="auto"/>
                <w:left w:val="none" w:sz="0" w:space="0" w:color="auto"/>
                <w:bottom w:val="none" w:sz="0" w:space="0" w:color="auto"/>
                <w:right w:val="none" w:sz="0" w:space="0" w:color="auto"/>
              </w:divBdr>
            </w:div>
            <w:div w:id="250551867">
              <w:marLeft w:val="0"/>
              <w:marRight w:val="0"/>
              <w:marTop w:val="0"/>
              <w:marBottom w:val="0"/>
              <w:divBdr>
                <w:top w:val="none" w:sz="0" w:space="0" w:color="auto"/>
                <w:left w:val="none" w:sz="0" w:space="0" w:color="auto"/>
                <w:bottom w:val="none" w:sz="0" w:space="0" w:color="auto"/>
                <w:right w:val="none" w:sz="0" w:space="0" w:color="auto"/>
              </w:divBdr>
            </w:div>
            <w:div w:id="1043215025">
              <w:marLeft w:val="0"/>
              <w:marRight w:val="0"/>
              <w:marTop w:val="0"/>
              <w:marBottom w:val="0"/>
              <w:divBdr>
                <w:top w:val="none" w:sz="0" w:space="0" w:color="auto"/>
                <w:left w:val="none" w:sz="0" w:space="0" w:color="auto"/>
                <w:bottom w:val="none" w:sz="0" w:space="0" w:color="auto"/>
                <w:right w:val="none" w:sz="0" w:space="0" w:color="auto"/>
              </w:divBdr>
            </w:div>
            <w:div w:id="1228035411">
              <w:marLeft w:val="0"/>
              <w:marRight w:val="0"/>
              <w:marTop w:val="0"/>
              <w:marBottom w:val="0"/>
              <w:divBdr>
                <w:top w:val="none" w:sz="0" w:space="0" w:color="auto"/>
                <w:left w:val="none" w:sz="0" w:space="0" w:color="auto"/>
                <w:bottom w:val="none" w:sz="0" w:space="0" w:color="auto"/>
                <w:right w:val="none" w:sz="0" w:space="0" w:color="auto"/>
              </w:divBdr>
            </w:div>
            <w:div w:id="1900818131">
              <w:marLeft w:val="0"/>
              <w:marRight w:val="0"/>
              <w:marTop w:val="0"/>
              <w:marBottom w:val="0"/>
              <w:divBdr>
                <w:top w:val="none" w:sz="0" w:space="0" w:color="auto"/>
                <w:left w:val="none" w:sz="0" w:space="0" w:color="auto"/>
                <w:bottom w:val="none" w:sz="0" w:space="0" w:color="auto"/>
                <w:right w:val="none" w:sz="0" w:space="0" w:color="auto"/>
              </w:divBdr>
            </w:div>
            <w:div w:id="2088260289">
              <w:marLeft w:val="0"/>
              <w:marRight w:val="0"/>
              <w:marTop w:val="0"/>
              <w:marBottom w:val="0"/>
              <w:divBdr>
                <w:top w:val="none" w:sz="0" w:space="0" w:color="auto"/>
                <w:left w:val="none" w:sz="0" w:space="0" w:color="auto"/>
                <w:bottom w:val="none" w:sz="0" w:space="0" w:color="auto"/>
                <w:right w:val="none" w:sz="0" w:space="0" w:color="auto"/>
              </w:divBdr>
            </w:div>
            <w:div w:id="1616256872">
              <w:marLeft w:val="0"/>
              <w:marRight w:val="0"/>
              <w:marTop w:val="0"/>
              <w:marBottom w:val="0"/>
              <w:divBdr>
                <w:top w:val="none" w:sz="0" w:space="0" w:color="auto"/>
                <w:left w:val="none" w:sz="0" w:space="0" w:color="auto"/>
                <w:bottom w:val="none" w:sz="0" w:space="0" w:color="auto"/>
                <w:right w:val="none" w:sz="0" w:space="0" w:color="auto"/>
              </w:divBdr>
            </w:div>
            <w:div w:id="1890191486">
              <w:marLeft w:val="0"/>
              <w:marRight w:val="0"/>
              <w:marTop w:val="0"/>
              <w:marBottom w:val="0"/>
              <w:divBdr>
                <w:top w:val="none" w:sz="0" w:space="0" w:color="auto"/>
                <w:left w:val="none" w:sz="0" w:space="0" w:color="auto"/>
                <w:bottom w:val="none" w:sz="0" w:space="0" w:color="auto"/>
                <w:right w:val="none" w:sz="0" w:space="0" w:color="auto"/>
              </w:divBdr>
            </w:div>
            <w:div w:id="1112287097">
              <w:marLeft w:val="0"/>
              <w:marRight w:val="0"/>
              <w:marTop w:val="0"/>
              <w:marBottom w:val="0"/>
              <w:divBdr>
                <w:top w:val="none" w:sz="0" w:space="0" w:color="auto"/>
                <w:left w:val="none" w:sz="0" w:space="0" w:color="auto"/>
                <w:bottom w:val="none" w:sz="0" w:space="0" w:color="auto"/>
                <w:right w:val="none" w:sz="0" w:space="0" w:color="auto"/>
              </w:divBdr>
            </w:div>
            <w:div w:id="1795979071">
              <w:marLeft w:val="0"/>
              <w:marRight w:val="0"/>
              <w:marTop w:val="0"/>
              <w:marBottom w:val="0"/>
              <w:divBdr>
                <w:top w:val="none" w:sz="0" w:space="0" w:color="auto"/>
                <w:left w:val="none" w:sz="0" w:space="0" w:color="auto"/>
                <w:bottom w:val="none" w:sz="0" w:space="0" w:color="auto"/>
                <w:right w:val="none" w:sz="0" w:space="0" w:color="auto"/>
              </w:divBdr>
            </w:div>
            <w:div w:id="1731465204">
              <w:marLeft w:val="0"/>
              <w:marRight w:val="0"/>
              <w:marTop w:val="0"/>
              <w:marBottom w:val="0"/>
              <w:divBdr>
                <w:top w:val="none" w:sz="0" w:space="0" w:color="auto"/>
                <w:left w:val="none" w:sz="0" w:space="0" w:color="auto"/>
                <w:bottom w:val="none" w:sz="0" w:space="0" w:color="auto"/>
                <w:right w:val="none" w:sz="0" w:space="0" w:color="auto"/>
              </w:divBdr>
            </w:div>
            <w:div w:id="551504850">
              <w:marLeft w:val="0"/>
              <w:marRight w:val="0"/>
              <w:marTop w:val="0"/>
              <w:marBottom w:val="0"/>
              <w:divBdr>
                <w:top w:val="none" w:sz="0" w:space="0" w:color="auto"/>
                <w:left w:val="none" w:sz="0" w:space="0" w:color="auto"/>
                <w:bottom w:val="none" w:sz="0" w:space="0" w:color="auto"/>
                <w:right w:val="none" w:sz="0" w:space="0" w:color="auto"/>
              </w:divBdr>
            </w:div>
            <w:div w:id="1338733463">
              <w:marLeft w:val="0"/>
              <w:marRight w:val="0"/>
              <w:marTop w:val="0"/>
              <w:marBottom w:val="0"/>
              <w:divBdr>
                <w:top w:val="none" w:sz="0" w:space="0" w:color="auto"/>
                <w:left w:val="none" w:sz="0" w:space="0" w:color="auto"/>
                <w:bottom w:val="none" w:sz="0" w:space="0" w:color="auto"/>
                <w:right w:val="none" w:sz="0" w:space="0" w:color="auto"/>
              </w:divBdr>
            </w:div>
            <w:div w:id="201089428">
              <w:marLeft w:val="0"/>
              <w:marRight w:val="0"/>
              <w:marTop w:val="0"/>
              <w:marBottom w:val="0"/>
              <w:divBdr>
                <w:top w:val="none" w:sz="0" w:space="0" w:color="auto"/>
                <w:left w:val="none" w:sz="0" w:space="0" w:color="auto"/>
                <w:bottom w:val="none" w:sz="0" w:space="0" w:color="auto"/>
                <w:right w:val="none" w:sz="0" w:space="0" w:color="auto"/>
              </w:divBdr>
            </w:div>
            <w:div w:id="2146044932">
              <w:marLeft w:val="0"/>
              <w:marRight w:val="0"/>
              <w:marTop w:val="0"/>
              <w:marBottom w:val="0"/>
              <w:divBdr>
                <w:top w:val="none" w:sz="0" w:space="0" w:color="auto"/>
                <w:left w:val="none" w:sz="0" w:space="0" w:color="auto"/>
                <w:bottom w:val="none" w:sz="0" w:space="0" w:color="auto"/>
                <w:right w:val="none" w:sz="0" w:space="0" w:color="auto"/>
              </w:divBdr>
            </w:div>
            <w:div w:id="260338380">
              <w:marLeft w:val="0"/>
              <w:marRight w:val="0"/>
              <w:marTop w:val="0"/>
              <w:marBottom w:val="0"/>
              <w:divBdr>
                <w:top w:val="none" w:sz="0" w:space="0" w:color="auto"/>
                <w:left w:val="none" w:sz="0" w:space="0" w:color="auto"/>
                <w:bottom w:val="none" w:sz="0" w:space="0" w:color="auto"/>
                <w:right w:val="none" w:sz="0" w:space="0" w:color="auto"/>
              </w:divBdr>
            </w:div>
            <w:div w:id="867455192">
              <w:marLeft w:val="0"/>
              <w:marRight w:val="0"/>
              <w:marTop w:val="0"/>
              <w:marBottom w:val="0"/>
              <w:divBdr>
                <w:top w:val="none" w:sz="0" w:space="0" w:color="auto"/>
                <w:left w:val="none" w:sz="0" w:space="0" w:color="auto"/>
                <w:bottom w:val="none" w:sz="0" w:space="0" w:color="auto"/>
                <w:right w:val="none" w:sz="0" w:space="0" w:color="auto"/>
              </w:divBdr>
            </w:div>
            <w:div w:id="71395869">
              <w:marLeft w:val="0"/>
              <w:marRight w:val="0"/>
              <w:marTop w:val="0"/>
              <w:marBottom w:val="0"/>
              <w:divBdr>
                <w:top w:val="none" w:sz="0" w:space="0" w:color="auto"/>
                <w:left w:val="none" w:sz="0" w:space="0" w:color="auto"/>
                <w:bottom w:val="none" w:sz="0" w:space="0" w:color="auto"/>
                <w:right w:val="none" w:sz="0" w:space="0" w:color="auto"/>
              </w:divBdr>
            </w:div>
            <w:div w:id="182204889">
              <w:marLeft w:val="0"/>
              <w:marRight w:val="0"/>
              <w:marTop w:val="0"/>
              <w:marBottom w:val="0"/>
              <w:divBdr>
                <w:top w:val="none" w:sz="0" w:space="0" w:color="auto"/>
                <w:left w:val="none" w:sz="0" w:space="0" w:color="auto"/>
                <w:bottom w:val="none" w:sz="0" w:space="0" w:color="auto"/>
                <w:right w:val="none" w:sz="0" w:space="0" w:color="auto"/>
              </w:divBdr>
            </w:div>
            <w:div w:id="1422796568">
              <w:marLeft w:val="0"/>
              <w:marRight w:val="0"/>
              <w:marTop w:val="0"/>
              <w:marBottom w:val="0"/>
              <w:divBdr>
                <w:top w:val="none" w:sz="0" w:space="0" w:color="auto"/>
                <w:left w:val="none" w:sz="0" w:space="0" w:color="auto"/>
                <w:bottom w:val="none" w:sz="0" w:space="0" w:color="auto"/>
                <w:right w:val="none" w:sz="0" w:space="0" w:color="auto"/>
              </w:divBdr>
            </w:div>
            <w:div w:id="1206260237">
              <w:marLeft w:val="0"/>
              <w:marRight w:val="0"/>
              <w:marTop w:val="0"/>
              <w:marBottom w:val="0"/>
              <w:divBdr>
                <w:top w:val="none" w:sz="0" w:space="0" w:color="auto"/>
                <w:left w:val="none" w:sz="0" w:space="0" w:color="auto"/>
                <w:bottom w:val="none" w:sz="0" w:space="0" w:color="auto"/>
                <w:right w:val="none" w:sz="0" w:space="0" w:color="auto"/>
              </w:divBdr>
            </w:div>
            <w:div w:id="290018074">
              <w:marLeft w:val="0"/>
              <w:marRight w:val="0"/>
              <w:marTop w:val="0"/>
              <w:marBottom w:val="0"/>
              <w:divBdr>
                <w:top w:val="none" w:sz="0" w:space="0" w:color="auto"/>
                <w:left w:val="none" w:sz="0" w:space="0" w:color="auto"/>
                <w:bottom w:val="none" w:sz="0" w:space="0" w:color="auto"/>
                <w:right w:val="none" w:sz="0" w:space="0" w:color="auto"/>
              </w:divBdr>
            </w:div>
            <w:div w:id="612708851">
              <w:marLeft w:val="0"/>
              <w:marRight w:val="0"/>
              <w:marTop w:val="0"/>
              <w:marBottom w:val="0"/>
              <w:divBdr>
                <w:top w:val="none" w:sz="0" w:space="0" w:color="auto"/>
                <w:left w:val="none" w:sz="0" w:space="0" w:color="auto"/>
                <w:bottom w:val="none" w:sz="0" w:space="0" w:color="auto"/>
                <w:right w:val="none" w:sz="0" w:space="0" w:color="auto"/>
              </w:divBdr>
            </w:div>
            <w:div w:id="1555120686">
              <w:marLeft w:val="0"/>
              <w:marRight w:val="0"/>
              <w:marTop w:val="0"/>
              <w:marBottom w:val="0"/>
              <w:divBdr>
                <w:top w:val="none" w:sz="0" w:space="0" w:color="auto"/>
                <w:left w:val="none" w:sz="0" w:space="0" w:color="auto"/>
                <w:bottom w:val="none" w:sz="0" w:space="0" w:color="auto"/>
                <w:right w:val="none" w:sz="0" w:space="0" w:color="auto"/>
              </w:divBdr>
            </w:div>
            <w:div w:id="85469910">
              <w:marLeft w:val="0"/>
              <w:marRight w:val="0"/>
              <w:marTop w:val="0"/>
              <w:marBottom w:val="0"/>
              <w:divBdr>
                <w:top w:val="none" w:sz="0" w:space="0" w:color="auto"/>
                <w:left w:val="none" w:sz="0" w:space="0" w:color="auto"/>
                <w:bottom w:val="none" w:sz="0" w:space="0" w:color="auto"/>
                <w:right w:val="none" w:sz="0" w:space="0" w:color="auto"/>
              </w:divBdr>
            </w:div>
            <w:div w:id="1641766446">
              <w:marLeft w:val="0"/>
              <w:marRight w:val="0"/>
              <w:marTop w:val="0"/>
              <w:marBottom w:val="0"/>
              <w:divBdr>
                <w:top w:val="none" w:sz="0" w:space="0" w:color="auto"/>
                <w:left w:val="none" w:sz="0" w:space="0" w:color="auto"/>
                <w:bottom w:val="none" w:sz="0" w:space="0" w:color="auto"/>
                <w:right w:val="none" w:sz="0" w:space="0" w:color="auto"/>
              </w:divBdr>
            </w:div>
            <w:div w:id="87104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28884">
      <w:marLeft w:val="0"/>
      <w:marRight w:val="0"/>
      <w:marTop w:val="0"/>
      <w:marBottom w:val="0"/>
      <w:divBdr>
        <w:top w:val="none" w:sz="0" w:space="0" w:color="auto"/>
        <w:left w:val="none" w:sz="0" w:space="0" w:color="auto"/>
        <w:bottom w:val="none" w:sz="0" w:space="0" w:color="auto"/>
        <w:right w:val="none" w:sz="0" w:space="0" w:color="auto"/>
      </w:divBdr>
      <w:divsChild>
        <w:div w:id="1012295208">
          <w:marLeft w:val="0"/>
          <w:marRight w:val="0"/>
          <w:marTop w:val="0"/>
          <w:marBottom w:val="0"/>
          <w:divBdr>
            <w:top w:val="none" w:sz="0" w:space="0" w:color="auto"/>
            <w:left w:val="none" w:sz="0" w:space="0" w:color="auto"/>
            <w:bottom w:val="none" w:sz="0" w:space="0" w:color="auto"/>
            <w:right w:val="none" w:sz="0" w:space="0" w:color="auto"/>
          </w:divBdr>
        </w:div>
      </w:divsChild>
    </w:div>
    <w:div w:id="683482788">
      <w:bodyDiv w:val="1"/>
      <w:marLeft w:val="0"/>
      <w:marRight w:val="0"/>
      <w:marTop w:val="0"/>
      <w:marBottom w:val="0"/>
      <w:divBdr>
        <w:top w:val="none" w:sz="0" w:space="0" w:color="auto"/>
        <w:left w:val="none" w:sz="0" w:space="0" w:color="auto"/>
        <w:bottom w:val="none" w:sz="0" w:space="0" w:color="auto"/>
        <w:right w:val="none" w:sz="0" w:space="0" w:color="auto"/>
      </w:divBdr>
    </w:div>
    <w:div w:id="685132524">
      <w:marLeft w:val="0"/>
      <w:marRight w:val="0"/>
      <w:marTop w:val="0"/>
      <w:marBottom w:val="0"/>
      <w:divBdr>
        <w:top w:val="none" w:sz="0" w:space="0" w:color="auto"/>
        <w:left w:val="none" w:sz="0" w:space="0" w:color="auto"/>
        <w:bottom w:val="none" w:sz="0" w:space="0" w:color="auto"/>
        <w:right w:val="none" w:sz="0" w:space="0" w:color="auto"/>
      </w:divBdr>
      <w:divsChild>
        <w:div w:id="290985496">
          <w:marLeft w:val="0"/>
          <w:marRight w:val="0"/>
          <w:marTop w:val="0"/>
          <w:marBottom w:val="0"/>
          <w:divBdr>
            <w:top w:val="none" w:sz="0" w:space="0" w:color="auto"/>
            <w:left w:val="none" w:sz="0" w:space="0" w:color="auto"/>
            <w:bottom w:val="none" w:sz="0" w:space="0" w:color="auto"/>
            <w:right w:val="none" w:sz="0" w:space="0" w:color="auto"/>
          </w:divBdr>
        </w:div>
      </w:divsChild>
    </w:div>
    <w:div w:id="685905592">
      <w:bodyDiv w:val="1"/>
      <w:marLeft w:val="0"/>
      <w:marRight w:val="0"/>
      <w:marTop w:val="0"/>
      <w:marBottom w:val="0"/>
      <w:divBdr>
        <w:top w:val="none" w:sz="0" w:space="0" w:color="auto"/>
        <w:left w:val="none" w:sz="0" w:space="0" w:color="auto"/>
        <w:bottom w:val="none" w:sz="0" w:space="0" w:color="auto"/>
        <w:right w:val="none" w:sz="0" w:space="0" w:color="auto"/>
      </w:divBdr>
      <w:divsChild>
        <w:div w:id="2008359843">
          <w:marLeft w:val="0"/>
          <w:marRight w:val="0"/>
          <w:marTop w:val="0"/>
          <w:marBottom w:val="0"/>
          <w:divBdr>
            <w:top w:val="none" w:sz="0" w:space="0" w:color="auto"/>
            <w:left w:val="none" w:sz="0" w:space="0" w:color="auto"/>
            <w:bottom w:val="none" w:sz="0" w:space="0" w:color="auto"/>
            <w:right w:val="none" w:sz="0" w:space="0" w:color="auto"/>
          </w:divBdr>
          <w:divsChild>
            <w:div w:id="1519542475">
              <w:marLeft w:val="0"/>
              <w:marRight w:val="0"/>
              <w:marTop w:val="0"/>
              <w:marBottom w:val="0"/>
              <w:divBdr>
                <w:top w:val="none" w:sz="0" w:space="0" w:color="auto"/>
                <w:left w:val="none" w:sz="0" w:space="0" w:color="auto"/>
                <w:bottom w:val="none" w:sz="0" w:space="0" w:color="auto"/>
                <w:right w:val="none" w:sz="0" w:space="0" w:color="auto"/>
              </w:divBdr>
            </w:div>
            <w:div w:id="1798257082">
              <w:marLeft w:val="0"/>
              <w:marRight w:val="0"/>
              <w:marTop w:val="0"/>
              <w:marBottom w:val="0"/>
              <w:divBdr>
                <w:top w:val="none" w:sz="0" w:space="0" w:color="auto"/>
                <w:left w:val="none" w:sz="0" w:space="0" w:color="auto"/>
                <w:bottom w:val="none" w:sz="0" w:space="0" w:color="auto"/>
                <w:right w:val="none" w:sz="0" w:space="0" w:color="auto"/>
              </w:divBdr>
            </w:div>
            <w:div w:id="447312098">
              <w:marLeft w:val="0"/>
              <w:marRight w:val="0"/>
              <w:marTop w:val="0"/>
              <w:marBottom w:val="0"/>
              <w:divBdr>
                <w:top w:val="none" w:sz="0" w:space="0" w:color="auto"/>
                <w:left w:val="none" w:sz="0" w:space="0" w:color="auto"/>
                <w:bottom w:val="none" w:sz="0" w:space="0" w:color="auto"/>
                <w:right w:val="none" w:sz="0" w:space="0" w:color="auto"/>
              </w:divBdr>
            </w:div>
            <w:div w:id="1053431650">
              <w:marLeft w:val="0"/>
              <w:marRight w:val="0"/>
              <w:marTop w:val="0"/>
              <w:marBottom w:val="0"/>
              <w:divBdr>
                <w:top w:val="none" w:sz="0" w:space="0" w:color="auto"/>
                <w:left w:val="none" w:sz="0" w:space="0" w:color="auto"/>
                <w:bottom w:val="none" w:sz="0" w:space="0" w:color="auto"/>
                <w:right w:val="none" w:sz="0" w:space="0" w:color="auto"/>
              </w:divBdr>
            </w:div>
            <w:div w:id="549879639">
              <w:marLeft w:val="0"/>
              <w:marRight w:val="0"/>
              <w:marTop w:val="0"/>
              <w:marBottom w:val="0"/>
              <w:divBdr>
                <w:top w:val="none" w:sz="0" w:space="0" w:color="auto"/>
                <w:left w:val="none" w:sz="0" w:space="0" w:color="auto"/>
                <w:bottom w:val="none" w:sz="0" w:space="0" w:color="auto"/>
                <w:right w:val="none" w:sz="0" w:space="0" w:color="auto"/>
              </w:divBdr>
            </w:div>
            <w:div w:id="1305159502">
              <w:marLeft w:val="0"/>
              <w:marRight w:val="0"/>
              <w:marTop w:val="0"/>
              <w:marBottom w:val="0"/>
              <w:divBdr>
                <w:top w:val="none" w:sz="0" w:space="0" w:color="auto"/>
                <w:left w:val="none" w:sz="0" w:space="0" w:color="auto"/>
                <w:bottom w:val="none" w:sz="0" w:space="0" w:color="auto"/>
                <w:right w:val="none" w:sz="0" w:space="0" w:color="auto"/>
              </w:divBdr>
            </w:div>
            <w:div w:id="1936133165">
              <w:marLeft w:val="0"/>
              <w:marRight w:val="0"/>
              <w:marTop w:val="0"/>
              <w:marBottom w:val="0"/>
              <w:divBdr>
                <w:top w:val="none" w:sz="0" w:space="0" w:color="auto"/>
                <w:left w:val="none" w:sz="0" w:space="0" w:color="auto"/>
                <w:bottom w:val="none" w:sz="0" w:space="0" w:color="auto"/>
                <w:right w:val="none" w:sz="0" w:space="0" w:color="auto"/>
              </w:divBdr>
            </w:div>
            <w:div w:id="739451336">
              <w:marLeft w:val="0"/>
              <w:marRight w:val="0"/>
              <w:marTop w:val="0"/>
              <w:marBottom w:val="0"/>
              <w:divBdr>
                <w:top w:val="none" w:sz="0" w:space="0" w:color="auto"/>
                <w:left w:val="none" w:sz="0" w:space="0" w:color="auto"/>
                <w:bottom w:val="none" w:sz="0" w:space="0" w:color="auto"/>
                <w:right w:val="none" w:sz="0" w:space="0" w:color="auto"/>
              </w:divBdr>
            </w:div>
            <w:div w:id="326523359">
              <w:marLeft w:val="0"/>
              <w:marRight w:val="0"/>
              <w:marTop w:val="0"/>
              <w:marBottom w:val="0"/>
              <w:divBdr>
                <w:top w:val="none" w:sz="0" w:space="0" w:color="auto"/>
                <w:left w:val="none" w:sz="0" w:space="0" w:color="auto"/>
                <w:bottom w:val="none" w:sz="0" w:space="0" w:color="auto"/>
                <w:right w:val="none" w:sz="0" w:space="0" w:color="auto"/>
              </w:divBdr>
            </w:div>
            <w:div w:id="1813212868">
              <w:marLeft w:val="0"/>
              <w:marRight w:val="0"/>
              <w:marTop w:val="0"/>
              <w:marBottom w:val="0"/>
              <w:divBdr>
                <w:top w:val="none" w:sz="0" w:space="0" w:color="auto"/>
                <w:left w:val="none" w:sz="0" w:space="0" w:color="auto"/>
                <w:bottom w:val="none" w:sz="0" w:space="0" w:color="auto"/>
                <w:right w:val="none" w:sz="0" w:space="0" w:color="auto"/>
              </w:divBdr>
            </w:div>
            <w:div w:id="2093820191">
              <w:marLeft w:val="0"/>
              <w:marRight w:val="0"/>
              <w:marTop w:val="0"/>
              <w:marBottom w:val="0"/>
              <w:divBdr>
                <w:top w:val="none" w:sz="0" w:space="0" w:color="auto"/>
                <w:left w:val="none" w:sz="0" w:space="0" w:color="auto"/>
                <w:bottom w:val="none" w:sz="0" w:space="0" w:color="auto"/>
                <w:right w:val="none" w:sz="0" w:space="0" w:color="auto"/>
              </w:divBdr>
            </w:div>
            <w:div w:id="243074526">
              <w:marLeft w:val="0"/>
              <w:marRight w:val="0"/>
              <w:marTop w:val="0"/>
              <w:marBottom w:val="0"/>
              <w:divBdr>
                <w:top w:val="none" w:sz="0" w:space="0" w:color="auto"/>
                <w:left w:val="none" w:sz="0" w:space="0" w:color="auto"/>
                <w:bottom w:val="none" w:sz="0" w:space="0" w:color="auto"/>
                <w:right w:val="none" w:sz="0" w:space="0" w:color="auto"/>
              </w:divBdr>
            </w:div>
            <w:div w:id="469858495">
              <w:marLeft w:val="0"/>
              <w:marRight w:val="0"/>
              <w:marTop w:val="0"/>
              <w:marBottom w:val="0"/>
              <w:divBdr>
                <w:top w:val="none" w:sz="0" w:space="0" w:color="auto"/>
                <w:left w:val="none" w:sz="0" w:space="0" w:color="auto"/>
                <w:bottom w:val="none" w:sz="0" w:space="0" w:color="auto"/>
                <w:right w:val="none" w:sz="0" w:space="0" w:color="auto"/>
              </w:divBdr>
            </w:div>
            <w:div w:id="1496384547">
              <w:marLeft w:val="0"/>
              <w:marRight w:val="0"/>
              <w:marTop w:val="0"/>
              <w:marBottom w:val="0"/>
              <w:divBdr>
                <w:top w:val="none" w:sz="0" w:space="0" w:color="auto"/>
                <w:left w:val="none" w:sz="0" w:space="0" w:color="auto"/>
                <w:bottom w:val="none" w:sz="0" w:space="0" w:color="auto"/>
                <w:right w:val="none" w:sz="0" w:space="0" w:color="auto"/>
              </w:divBdr>
            </w:div>
            <w:div w:id="760876769">
              <w:marLeft w:val="0"/>
              <w:marRight w:val="0"/>
              <w:marTop w:val="0"/>
              <w:marBottom w:val="0"/>
              <w:divBdr>
                <w:top w:val="none" w:sz="0" w:space="0" w:color="auto"/>
                <w:left w:val="none" w:sz="0" w:space="0" w:color="auto"/>
                <w:bottom w:val="none" w:sz="0" w:space="0" w:color="auto"/>
                <w:right w:val="none" w:sz="0" w:space="0" w:color="auto"/>
              </w:divBdr>
            </w:div>
            <w:div w:id="1237595682">
              <w:marLeft w:val="0"/>
              <w:marRight w:val="0"/>
              <w:marTop w:val="0"/>
              <w:marBottom w:val="0"/>
              <w:divBdr>
                <w:top w:val="none" w:sz="0" w:space="0" w:color="auto"/>
                <w:left w:val="none" w:sz="0" w:space="0" w:color="auto"/>
                <w:bottom w:val="none" w:sz="0" w:space="0" w:color="auto"/>
                <w:right w:val="none" w:sz="0" w:space="0" w:color="auto"/>
              </w:divBdr>
            </w:div>
            <w:div w:id="1606109391">
              <w:marLeft w:val="0"/>
              <w:marRight w:val="0"/>
              <w:marTop w:val="0"/>
              <w:marBottom w:val="0"/>
              <w:divBdr>
                <w:top w:val="none" w:sz="0" w:space="0" w:color="auto"/>
                <w:left w:val="none" w:sz="0" w:space="0" w:color="auto"/>
                <w:bottom w:val="none" w:sz="0" w:space="0" w:color="auto"/>
                <w:right w:val="none" w:sz="0" w:space="0" w:color="auto"/>
              </w:divBdr>
            </w:div>
            <w:div w:id="1295982344">
              <w:marLeft w:val="0"/>
              <w:marRight w:val="0"/>
              <w:marTop w:val="0"/>
              <w:marBottom w:val="0"/>
              <w:divBdr>
                <w:top w:val="none" w:sz="0" w:space="0" w:color="auto"/>
                <w:left w:val="none" w:sz="0" w:space="0" w:color="auto"/>
                <w:bottom w:val="none" w:sz="0" w:space="0" w:color="auto"/>
                <w:right w:val="none" w:sz="0" w:space="0" w:color="auto"/>
              </w:divBdr>
            </w:div>
            <w:div w:id="133835519">
              <w:marLeft w:val="0"/>
              <w:marRight w:val="0"/>
              <w:marTop w:val="0"/>
              <w:marBottom w:val="0"/>
              <w:divBdr>
                <w:top w:val="none" w:sz="0" w:space="0" w:color="auto"/>
                <w:left w:val="none" w:sz="0" w:space="0" w:color="auto"/>
                <w:bottom w:val="none" w:sz="0" w:space="0" w:color="auto"/>
                <w:right w:val="none" w:sz="0" w:space="0" w:color="auto"/>
              </w:divBdr>
            </w:div>
            <w:div w:id="115105125">
              <w:marLeft w:val="0"/>
              <w:marRight w:val="0"/>
              <w:marTop w:val="0"/>
              <w:marBottom w:val="0"/>
              <w:divBdr>
                <w:top w:val="none" w:sz="0" w:space="0" w:color="auto"/>
                <w:left w:val="none" w:sz="0" w:space="0" w:color="auto"/>
                <w:bottom w:val="none" w:sz="0" w:space="0" w:color="auto"/>
                <w:right w:val="none" w:sz="0" w:space="0" w:color="auto"/>
              </w:divBdr>
            </w:div>
            <w:div w:id="34434417">
              <w:marLeft w:val="0"/>
              <w:marRight w:val="0"/>
              <w:marTop w:val="0"/>
              <w:marBottom w:val="0"/>
              <w:divBdr>
                <w:top w:val="none" w:sz="0" w:space="0" w:color="auto"/>
                <w:left w:val="none" w:sz="0" w:space="0" w:color="auto"/>
                <w:bottom w:val="none" w:sz="0" w:space="0" w:color="auto"/>
                <w:right w:val="none" w:sz="0" w:space="0" w:color="auto"/>
              </w:divBdr>
            </w:div>
            <w:div w:id="565385040">
              <w:marLeft w:val="0"/>
              <w:marRight w:val="0"/>
              <w:marTop w:val="0"/>
              <w:marBottom w:val="0"/>
              <w:divBdr>
                <w:top w:val="none" w:sz="0" w:space="0" w:color="auto"/>
                <w:left w:val="none" w:sz="0" w:space="0" w:color="auto"/>
                <w:bottom w:val="none" w:sz="0" w:space="0" w:color="auto"/>
                <w:right w:val="none" w:sz="0" w:space="0" w:color="auto"/>
              </w:divBdr>
            </w:div>
            <w:div w:id="1429426681">
              <w:marLeft w:val="0"/>
              <w:marRight w:val="0"/>
              <w:marTop w:val="0"/>
              <w:marBottom w:val="0"/>
              <w:divBdr>
                <w:top w:val="none" w:sz="0" w:space="0" w:color="auto"/>
                <w:left w:val="none" w:sz="0" w:space="0" w:color="auto"/>
                <w:bottom w:val="none" w:sz="0" w:space="0" w:color="auto"/>
                <w:right w:val="none" w:sz="0" w:space="0" w:color="auto"/>
              </w:divBdr>
            </w:div>
            <w:div w:id="1605651045">
              <w:marLeft w:val="0"/>
              <w:marRight w:val="0"/>
              <w:marTop w:val="0"/>
              <w:marBottom w:val="0"/>
              <w:divBdr>
                <w:top w:val="none" w:sz="0" w:space="0" w:color="auto"/>
                <w:left w:val="none" w:sz="0" w:space="0" w:color="auto"/>
                <w:bottom w:val="none" w:sz="0" w:space="0" w:color="auto"/>
                <w:right w:val="none" w:sz="0" w:space="0" w:color="auto"/>
              </w:divBdr>
            </w:div>
            <w:div w:id="475954949">
              <w:marLeft w:val="0"/>
              <w:marRight w:val="0"/>
              <w:marTop w:val="0"/>
              <w:marBottom w:val="0"/>
              <w:divBdr>
                <w:top w:val="none" w:sz="0" w:space="0" w:color="auto"/>
                <w:left w:val="none" w:sz="0" w:space="0" w:color="auto"/>
                <w:bottom w:val="none" w:sz="0" w:space="0" w:color="auto"/>
                <w:right w:val="none" w:sz="0" w:space="0" w:color="auto"/>
              </w:divBdr>
            </w:div>
            <w:div w:id="592400262">
              <w:marLeft w:val="0"/>
              <w:marRight w:val="0"/>
              <w:marTop w:val="0"/>
              <w:marBottom w:val="0"/>
              <w:divBdr>
                <w:top w:val="none" w:sz="0" w:space="0" w:color="auto"/>
                <w:left w:val="none" w:sz="0" w:space="0" w:color="auto"/>
                <w:bottom w:val="none" w:sz="0" w:space="0" w:color="auto"/>
                <w:right w:val="none" w:sz="0" w:space="0" w:color="auto"/>
              </w:divBdr>
            </w:div>
            <w:div w:id="2028486569">
              <w:marLeft w:val="0"/>
              <w:marRight w:val="0"/>
              <w:marTop w:val="0"/>
              <w:marBottom w:val="0"/>
              <w:divBdr>
                <w:top w:val="none" w:sz="0" w:space="0" w:color="auto"/>
                <w:left w:val="none" w:sz="0" w:space="0" w:color="auto"/>
                <w:bottom w:val="none" w:sz="0" w:space="0" w:color="auto"/>
                <w:right w:val="none" w:sz="0" w:space="0" w:color="auto"/>
              </w:divBdr>
            </w:div>
            <w:div w:id="1371763586">
              <w:marLeft w:val="0"/>
              <w:marRight w:val="0"/>
              <w:marTop w:val="0"/>
              <w:marBottom w:val="0"/>
              <w:divBdr>
                <w:top w:val="none" w:sz="0" w:space="0" w:color="auto"/>
                <w:left w:val="none" w:sz="0" w:space="0" w:color="auto"/>
                <w:bottom w:val="none" w:sz="0" w:space="0" w:color="auto"/>
                <w:right w:val="none" w:sz="0" w:space="0" w:color="auto"/>
              </w:divBdr>
            </w:div>
            <w:div w:id="1745059509">
              <w:marLeft w:val="0"/>
              <w:marRight w:val="0"/>
              <w:marTop w:val="0"/>
              <w:marBottom w:val="0"/>
              <w:divBdr>
                <w:top w:val="none" w:sz="0" w:space="0" w:color="auto"/>
                <w:left w:val="none" w:sz="0" w:space="0" w:color="auto"/>
                <w:bottom w:val="none" w:sz="0" w:space="0" w:color="auto"/>
                <w:right w:val="none" w:sz="0" w:space="0" w:color="auto"/>
              </w:divBdr>
            </w:div>
            <w:div w:id="176237913">
              <w:marLeft w:val="0"/>
              <w:marRight w:val="0"/>
              <w:marTop w:val="0"/>
              <w:marBottom w:val="0"/>
              <w:divBdr>
                <w:top w:val="none" w:sz="0" w:space="0" w:color="auto"/>
                <w:left w:val="none" w:sz="0" w:space="0" w:color="auto"/>
                <w:bottom w:val="none" w:sz="0" w:space="0" w:color="auto"/>
                <w:right w:val="none" w:sz="0" w:space="0" w:color="auto"/>
              </w:divBdr>
            </w:div>
            <w:div w:id="834683681">
              <w:marLeft w:val="0"/>
              <w:marRight w:val="0"/>
              <w:marTop w:val="0"/>
              <w:marBottom w:val="0"/>
              <w:divBdr>
                <w:top w:val="none" w:sz="0" w:space="0" w:color="auto"/>
                <w:left w:val="none" w:sz="0" w:space="0" w:color="auto"/>
                <w:bottom w:val="none" w:sz="0" w:space="0" w:color="auto"/>
                <w:right w:val="none" w:sz="0" w:space="0" w:color="auto"/>
              </w:divBdr>
            </w:div>
            <w:div w:id="1617056915">
              <w:marLeft w:val="0"/>
              <w:marRight w:val="0"/>
              <w:marTop w:val="0"/>
              <w:marBottom w:val="0"/>
              <w:divBdr>
                <w:top w:val="none" w:sz="0" w:space="0" w:color="auto"/>
                <w:left w:val="none" w:sz="0" w:space="0" w:color="auto"/>
                <w:bottom w:val="none" w:sz="0" w:space="0" w:color="auto"/>
                <w:right w:val="none" w:sz="0" w:space="0" w:color="auto"/>
              </w:divBdr>
            </w:div>
            <w:div w:id="730929952">
              <w:marLeft w:val="0"/>
              <w:marRight w:val="0"/>
              <w:marTop w:val="0"/>
              <w:marBottom w:val="0"/>
              <w:divBdr>
                <w:top w:val="none" w:sz="0" w:space="0" w:color="auto"/>
                <w:left w:val="none" w:sz="0" w:space="0" w:color="auto"/>
                <w:bottom w:val="none" w:sz="0" w:space="0" w:color="auto"/>
                <w:right w:val="none" w:sz="0" w:space="0" w:color="auto"/>
              </w:divBdr>
            </w:div>
            <w:div w:id="1017921858">
              <w:marLeft w:val="0"/>
              <w:marRight w:val="0"/>
              <w:marTop w:val="0"/>
              <w:marBottom w:val="0"/>
              <w:divBdr>
                <w:top w:val="none" w:sz="0" w:space="0" w:color="auto"/>
                <w:left w:val="none" w:sz="0" w:space="0" w:color="auto"/>
                <w:bottom w:val="none" w:sz="0" w:space="0" w:color="auto"/>
                <w:right w:val="none" w:sz="0" w:space="0" w:color="auto"/>
              </w:divBdr>
            </w:div>
            <w:div w:id="369113352">
              <w:marLeft w:val="0"/>
              <w:marRight w:val="0"/>
              <w:marTop w:val="0"/>
              <w:marBottom w:val="0"/>
              <w:divBdr>
                <w:top w:val="none" w:sz="0" w:space="0" w:color="auto"/>
                <w:left w:val="none" w:sz="0" w:space="0" w:color="auto"/>
                <w:bottom w:val="none" w:sz="0" w:space="0" w:color="auto"/>
                <w:right w:val="none" w:sz="0" w:space="0" w:color="auto"/>
              </w:divBdr>
            </w:div>
            <w:div w:id="1881622787">
              <w:marLeft w:val="0"/>
              <w:marRight w:val="0"/>
              <w:marTop w:val="0"/>
              <w:marBottom w:val="0"/>
              <w:divBdr>
                <w:top w:val="none" w:sz="0" w:space="0" w:color="auto"/>
                <w:left w:val="none" w:sz="0" w:space="0" w:color="auto"/>
                <w:bottom w:val="none" w:sz="0" w:space="0" w:color="auto"/>
                <w:right w:val="none" w:sz="0" w:space="0" w:color="auto"/>
              </w:divBdr>
            </w:div>
            <w:div w:id="146744668">
              <w:marLeft w:val="0"/>
              <w:marRight w:val="0"/>
              <w:marTop w:val="0"/>
              <w:marBottom w:val="0"/>
              <w:divBdr>
                <w:top w:val="none" w:sz="0" w:space="0" w:color="auto"/>
                <w:left w:val="none" w:sz="0" w:space="0" w:color="auto"/>
                <w:bottom w:val="none" w:sz="0" w:space="0" w:color="auto"/>
                <w:right w:val="none" w:sz="0" w:space="0" w:color="auto"/>
              </w:divBdr>
            </w:div>
            <w:div w:id="1340618377">
              <w:marLeft w:val="0"/>
              <w:marRight w:val="0"/>
              <w:marTop w:val="0"/>
              <w:marBottom w:val="0"/>
              <w:divBdr>
                <w:top w:val="none" w:sz="0" w:space="0" w:color="auto"/>
                <w:left w:val="none" w:sz="0" w:space="0" w:color="auto"/>
                <w:bottom w:val="none" w:sz="0" w:space="0" w:color="auto"/>
                <w:right w:val="none" w:sz="0" w:space="0" w:color="auto"/>
              </w:divBdr>
            </w:div>
            <w:div w:id="944196233">
              <w:marLeft w:val="0"/>
              <w:marRight w:val="0"/>
              <w:marTop w:val="0"/>
              <w:marBottom w:val="0"/>
              <w:divBdr>
                <w:top w:val="none" w:sz="0" w:space="0" w:color="auto"/>
                <w:left w:val="none" w:sz="0" w:space="0" w:color="auto"/>
                <w:bottom w:val="none" w:sz="0" w:space="0" w:color="auto"/>
                <w:right w:val="none" w:sz="0" w:space="0" w:color="auto"/>
              </w:divBdr>
            </w:div>
            <w:div w:id="106000214">
              <w:marLeft w:val="0"/>
              <w:marRight w:val="0"/>
              <w:marTop w:val="0"/>
              <w:marBottom w:val="0"/>
              <w:divBdr>
                <w:top w:val="none" w:sz="0" w:space="0" w:color="auto"/>
                <w:left w:val="none" w:sz="0" w:space="0" w:color="auto"/>
                <w:bottom w:val="none" w:sz="0" w:space="0" w:color="auto"/>
                <w:right w:val="none" w:sz="0" w:space="0" w:color="auto"/>
              </w:divBdr>
            </w:div>
            <w:div w:id="1478377980">
              <w:marLeft w:val="0"/>
              <w:marRight w:val="0"/>
              <w:marTop w:val="0"/>
              <w:marBottom w:val="0"/>
              <w:divBdr>
                <w:top w:val="none" w:sz="0" w:space="0" w:color="auto"/>
                <w:left w:val="none" w:sz="0" w:space="0" w:color="auto"/>
                <w:bottom w:val="none" w:sz="0" w:space="0" w:color="auto"/>
                <w:right w:val="none" w:sz="0" w:space="0" w:color="auto"/>
              </w:divBdr>
            </w:div>
            <w:div w:id="1840734388">
              <w:marLeft w:val="0"/>
              <w:marRight w:val="0"/>
              <w:marTop w:val="0"/>
              <w:marBottom w:val="0"/>
              <w:divBdr>
                <w:top w:val="none" w:sz="0" w:space="0" w:color="auto"/>
                <w:left w:val="none" w:sz="0" w:space="0" w:color="auto"/>
                <w:bottom w:val="none" w:sz="0" w:space="0" w:color="auto"/>
                <w:right w:val="none" w:sz="0" w:space="0" w:color="auto"/>
              </w:divBdr>
            </w:div>
            <w:div w:id="152337760">
              <w:marLeft w:val="0"/>
              <w:marRight w:val="0"/>
              <w:marTop w:val="0"/>
              <w:marBottom w:val="0"/>
              <w:divBdr>
                <w:top w:val="none" w:sz="0" w:space="0" w:color="auto"/>
                <w:left w:val="none" w:sz="0" w:space="0" w:color="auto"/>
                <w:bottom w:val="none" w:sz="0" w:space="0" w:color="auto"/>
                <w:right w:val="none" w:sz="0" w:space="0" w:color="auto"/>
              </w:divBdr>
            </w:div>
            <w:div w:id="1776444415">
              <w:marLeft w:val="0"/>
              <w:marRight w:val="0"/>
              <w:marTop w:val="0"/>
              <w:marBottom w:val="0"/>
              <w:divBdr>
                <w:top w:val="none" w:sz="0" w:space="0" w:color="auto"/>
                <w:left w:val="none" w:sz="0" w:space="0" w:color="auto"/>
                <w:bottom w:val="none" w:sz="0" w:space="0" w:color="auto"/>
                <w:right w:val="none" w:sz="0" w:space="0" w:color="auto"/>
              </w:divBdr>
            </w:div>
            <w:div w:id="1150177349">
              <w:marLeft w:val="0"/>
              <w:marRight w:val="0"/>
              <w:marTop w:val="0"/>
              <w:marBottom w:val="0"/>
              <w:divBdr>
                <w:top w:val="none" w:sz="0" w:space="0" w:color="auto"/>
                <w:left w:val="none" w:sz="0" w:space="0" w:color="auto"/>
                <w:bottom w:val="none" w:sz="0" w:space="0" w:color="auto"/>
                <w:right w:val="none" w:sz="0" w:space="0" w:color="auto"/>
              </w:divBdr>
            </w:div>
            <w:div w:id="195116641">
              <w:marLeft w:val="0"/>
              <w:marRight w:val="0"/>
              <w:marTop w:val="0"/>
              <w:marBottom w:val="0"/>
              <w:divBdr>
                <w:top w:val="none" w:sz="0" w:space="0" w:color="auto"/>
                <w:left w:val="none" w:sz="0" w:space="0" w:color="auto"/>
                <w:bottom w:val="none" w:sz="0" w:space="0" w:color="auto"/>
                <w:right w:val="none" w:sz="0" w:space="0" w:color="auto"/>
              </w:divBdr>
            </w:div>
            <w:div w:id="398331271">
              <w:marLeft w:val="0"/>
              <w:marRight w:val="0"/>
              <w:marTop w:val="0"/>
              <w:marBottom w:val="0"/>
              <w:divBdr>
                <w:top w:val="none" w:sz="0" w:space="0" w:color="auto"/>
                <w:left w:val="none" w:sz="0" w:space="0" w:color="auto"/>
                <w:bottom w:val="none" w:sz="0" w:space="0" w:color="auto"/>
                <w:right w:val="none" w:sz="0" w:space="0" w:color="auto"/>
              </w:divBdr>
            </w:div>
            <w:div w:id="184680740">
              <w:marLeft w:val="0"/>
              <w:marRight w:val="0"/>
              <w:marTop w:val="0"/>
              <w:marBottom w:val="0"/>
              <w:divBdr>
                <w:top w:val="none" w:sz="0" w:space="0" w:color="auto"/>
                <w:left w:val="none" w:sz="0" w:space="0" w:color="auto"/>
                <w:bottom w:val="none" w:sz="0" w:space="0" w:color="auto"/>
                <w:right w:val="none" w:sz="0" w:space="0" w:color="auto"/>
              </w:divBdr>
            </w:div>
            <w:div w:id="1043017717">
              <w:marLeft w:val="0"/>
              <w:marRight w:val="0"/>
              <w:marTop w:val="0"/>
              <w:marBottom w:val="0"/>
              <w:divBdr>
                <w:top w:val="none" w:sz="0" w:space="0" w:color="auto"/>
                <w:left w:val="none" w:sz="0" w:space="0" w:color="auto"/>
                <w:bottom w:val="none" w:sz="0" w:space="0" w:color="auto"/>
                <w:right w:val="none" w:sz="0" w:space="0" w:color="auto"/>
              </w:divBdr>
            </w:div>
            <w:div w:id="1476095598">
              <w:marLeft w:val="0"/>
              <w:marRight w:val="0"/>
              <w:marTop w:val="0"/>
              <w:marBottom w:val="0"/>
              <w:divBdr>
                <w:top w:val="none" w:sz="0" w:space="0" w:color="auto"/>
                <w:left w:val="none" w:sz="0" w:space="0" w:color="auto"/>
                <w:bottom w:val="none" w:sz="0" w:space="0" w:color="auto"/>
                <w:right w:val="none" w:sz="0" w:space="0" w:color="auto"/>
              </w:divBdr>
            </w:div>
            <w:div w:id="247692853">
              <w:marLeft w:val="0"/>
              <w:marRight w:val="0"/>
              <w:marTop w:val="0"/>
              <w:marBottom w:val="0"/>
              <w:divBdr>
                <w:top w:val="none" w:sz="0" w:space="0" w:color="auto"/>
                <w:left w:val="none" w:sz="0" w:space="0" w:color="auto"/>
                <w:bottom w:val="none" w:sz="0" w:space="0" w:color="auto"/>
                <w:right w:val="none" w:sz="0" w:space="0" w:color="auto"/>
              </w:divBdr>
            </w:div>
            <w:div w:id="1994211390">
              <w:marLeft w:val="0"/>
              <w:marRight w:val="0"/>
              <w:marTop w:val="0"/>
              <w:marBottom w:val="0"/>
              <w:divBdr>
                <w:top w:val="none" w:sz="0" w:space="0" w:color="auto"/>
                <w:left w:val="none" w:sz="0" w:space="0" w:color="auto"/>
                <w:bottom w:val="none" w:sz="0" w:space="0" w:color="auto"/>
                <w:right w:val="none" w:sz="0" w:space="0" w:color="auto"/>
              </w:divBdr>
            </w:div>
            <w:div w:id="506751863">
              <w:marLeft w:val="0"/>
              <w:marRight w:val="0"/>
              <w:marTop w:val="0"/>
              <w:marBottom w:val="0"/>
              <w:divBdr>
                <w:top w:val="none" w:sz="0" w:space="0" w:color="auto"/>
                <w:left w:val="none" w:sz="0" w:space="0" w:color="auto"/>
                <w:bottom w:val="none" w:sz="0" w:space="0" w:color="auto"/>
                <w:right w:val="none" w:sz="0" w:space="0" w:color="auto"/>
              </w:divBdr>
            </w:div>
            <w:div w:id="1425150215">
              <w:marLeft w:val="0"/>
              <w:marRight w:val="0"/>
              <w:marTop w:val="0"/>
              <w:marBottom w:val="0"/>
              <w:divBdr>
                <w:top w:val="none" w:sz="0" w:space="0" w:color="auto"/>
                <w:left w:val="none" w:sz="0" w:space="0" w:color="auto"/>
                <w:bottom w:val="none" w:sz="0" w:space="0" w:color="auto"/>
                <w:right w:val="none" w:sz="0" w:space="0" w:color="auto"/>
              </w:divBdr>
            </w:div>
            <w:div w:id="1160266340">
              <w:marLeft w:val="0"/>
              <w:marRight w:val="0"/>
              <w:marTop w:val="0"/>
              <w:marBottom w:val="0"/>
              <w:divBdr>
                <w:top w:val="none" w:sz="0" w:space="0" w:color="auto"/>
                <w:left w:val="none" w:sz="0" w:space="0" w:color="auto"/>
                <w:bottom w:val="none" w:sz="0" w:space="0" w:color="auto"/>
                <w:right w:val="none" w:sz="0" w:space="0" w:color="auto"/>
              </w:divBdr>
            </w:div>
            <w:div w:id="2127833">
              <w:marLeft w:val="0"/>
              <w:marRight w:val="0"/>
              <w:marTop w:val="0"/>
              <w:marBottom w:val="0"/>
              <w:divBdr>
                <w:top w:val="none" w:sz="0" w:space="0" w:color="auto"/>
                <w:left w:val="none" w:sz="0" w:space="0" w:color="auto"/>
                <w:bottom w:val="none" w:sz="0" w:space="0" w:color="auto"/>
                <w:right w:val="none" w:sz="0" w:space="0" w:color="auto"/>
              </w:divBdr>
            </w:div>
            <w:div w:id="1644776032">
              <w:marLeft w:val="0"/>
              <w:marRight w:val="0"/>
              <w:marTop w:val="0"/>
              <w:marBottom w:val="0"/>
              <w:divBdr>
                <w:top w:val="none" w:sz="0" w:space="0" w:color="auto"/>
                <w:left w:val="none" w:sz="0" w:space="0" w:color="auto"/>
                <w:bottom w:val="none" w:sz="0" w:space="0" w:color="auto"/>
                <w:right w:val="none" w:sz="0" w:space="0" w:color="auto"/>
              </w:divBdr>
            </w:div>
            <w:div w:id="1638072838">
              <w:marLeft w:val="0"/>
              <w:marRight w:val="0"/>
              <w:marTop w:val="0"/>
              <w:marBottom w:val="0"/>
              <w:divBdr>
                <w:top w:val="none" w:sz="0" w:space="0" w:color="auto"/>
                <w:left w:val="none" w:sz="0" w:space="0" w:color="auto"/>
                <w:bottom w:val="none" w:sz="0" w:space="0" w:color="auto"/>
                <w:right w:val="none" w:sz="0" w:space="0" w:color="auto"/>
              </w:divBdr>
            </w:div>
            <w:div w:id="362052133">
              <w:marLeft w:val="0"/>
              <w:marRight w:val="0"/>
              <w:marTop w:val="0"/>
              <w:marBottom w:val="0"/>
              <w:divBdr>
                <w:top w:val="none" w:sz="0" w:space="0" w:color="auto"/>
                <w:left w:val="none" w:sz="0" w:space="0" w:color="auto"/>
                <w:bottom w:val="none" w:sz="0" w:space="0" w:color="auto"/>
                <w:right w:val="none" w:sz="0" w:space="0" w:color="auto"/>
              </w:divBdr>
            </w:div>
            <w:div w:id="274337001">
              <w:marLeft w:val="0"/>
              <w:marRight w:val="0"/>
              <w:marTop w:val="0"/>
              <w:marBottom w:val="0"/>
              <w:divBdr>
                <w:top w:val="none" w:sz="0" w:space="0" w:color="auto"/>
                <w:left w:val="none" w:sz="0" w:space="0" w:color="auto"/>
                <w:bottom w:val="none" w:sz="0" w:space="0" w:color="auto"/>
                <w:right w:val="none" w:sz="0" w:space="0" w:color="auto"/>
              </w:divBdr>
            </w:div>
            <w:div w:id="1517814992">
              <w:marLeft w:val="0"/>
              <w:marRight w:val="0"/>
              <w:marTop w:val="0"/>
              <w:marBottom w:val="0"/>
              <w:divBdr>
                <w:top w:val="none" w:sz="0" w:space="0" w:color="auto"/>
                <w:left w:val="none" w:sz="0" w:space="0" w:color="auto"/>
                <w:bottom w:val="none" w:sz="0" w:space="0" w:color="auto"/>
                <w:right w:val="none" w:sz="0" w:space="0" w:color="auto"/>
              </w:divBdr>
            </w:div>
            <w:div w:id="579367153">
              <w:marLeft w:val="0"/>
              <w:marRight w:val="0"/>
              <w:marTop w:val="0"/>
              <w:marBottom w:val="0"/>
              <w:divBdr>
                <w:top w:val="none" w:sz="0" w:space="0" w:color="auto"/>
                <w:left w:val="none" w:sz="0" w:space="0" w:color="auto"/>
                <w:bottom w:val="none" w:sz="0" w:space="0" w:color="auto"/>
                <w:right w:val="none" w:sz="0" w:space="0" w:color="auto"/>
              </w:divBdr>
            </w:div>
            <w:div w:id="1952736503">
              <w:marLeft w:val="0"/>
              <w:marRight w:val="0"/>
              <w:marTop w:val="0"/>
              <w:marBottom w:val="0"/>
              <w:divBdr>
                <w:top w:val="none" w:sz="0" w:space="0" w:color="auto"/>
                <w:left w:val="none" w:sz="0" w:space="0" w:color="auto"/>
                <w:bottom w:val="none" w:sz="0" w:space="0" w:color="auto"/>
                <w:right w:val="none" w:sz="0" w:space="0" w:color="auto"/>
              </w:divBdr>
            </w:div>
            <w:div w:id="140509339">
              <w:marLeft w:val="0"/>
              <w:marRight w:val="0"/>
              <w:marTop w:val="0"/>
              <w:marBottom w:val="0"/>
              <w:divBdr>
                <w:top w:val="none" w:sz="0" w:space="0" w:color="auto"/>
                <w:left w:val="none" w:sz="0" w:space="0" w:color="auto"/>
                <w:bottom w:val="none" w:sz="0" w:space="0" w:color="auto"/>
                <w:right w:val="none" w:sz="0" w:space="0" w:color="auto"/>
              </w:divBdr>
            </w:div>
            <w:div w:id="1181355170">
              <w:marLeft w:val="0"/>
              <w:marRight w:val="0"/>
              <w:marTop w:val="0"/>
              <w:marBottom w:val="0"/>
              <w:divBdr>
                <w:top w:val="none" w:sz="0" w:space="0" w:color="auto"/>
                <w:left w:val="none" w:sz="0" w:space="0" w:color="auto"/>
                <w:bottom w:val="none" w:sz="0" w:space="0" w:color="auto"/>
                <w:right w:val="none" w:sz="0" w:space="0" w:color="auto"/>
              </w:divBdr>
            </w:div>
            <w:div w:id="1059675001">
              <w:marLeft w:val="0"/>
              <w:marRight w:val="0"/>
              <w:marTop w:val="0"/>
              <w:marBottom w:val="0"/>
              <w:divBdr>
                <w:top w:val="none" w:sz="0" w:space="0" w:color="auto"/>
                <w:left w:val="none" w:sz="0" w:space="0" w:color="auto"/>
                <w:bottom w:val="none" w:sz="0" w:space="0" w:color="auto"/>
                <w:right w:val="none" w:sz="0" w:space="0" w:color="auto"/>
              </w:divBdr>
            </w:div>
            <w:div w:id="1387222436">
              <w:marLeft w:val="0"/>
              <w:marRight w:val="0"/>
              <w:marTop w:val="0"/>
              <w:marBottom w:val="0"/>
              <w:divBdr>
                <w:top w:val="none" w:sz="0" w:space="0" w:color="auto"/>
                <w:left w:val="none" w:sz="0" w:space="0" w:color="auto"/>
                <w:bottom w:val="none" w:sz="0" w:space="0" w:color="auto"/>
                <w:right w:val="none" w:sz="0" w:space="0" w:color="auto"/>
              </w:divBdr>
            </w:div>
            <w:div w:id="285814773">
              <w:marLeft w:val="0"/>
              <w:marRight w:val="0"/>
              <w:marTop w:val="0"/>
              <w:marBottom w:val="0"/>
              <w:divBdr>
                <w:top w:val="none" w:sz="0" w:space="0" w:color="auto"/>
                <w:left w:val="none" w:sz="0" w:space="0" w:color="auto"/>
                <w:bottom w:val="none" w:sz="0" w:space="0" w:color="auto"/>
                <w:right w:val="none" w:sz="0" w:space="0" w:color="auto"/>
              </w:divBdr>
            </w:div>
            <w:div w:id="1676759176">
              <w:marLeft w:val="0"/>
              <w:marRight w:val="0"/>
              <w:marTop w:val="0"/>
              <w:marBottom w:val="0"/>
              <w:divBdr>
                <w:top w:val="none" w:sz="0" w:space="0" w:color="auto"/>
                <w:left w:val="none" w:sz="0" w:space="0" w:color="auto"/>
                <w:bottom w:val="none" w:sz="0" w:space="0" w:color="auto"/>
                <w:right w:val="none" w:sz="0" w:space="0" w:color="auto"/>
              </w:divBdr>
            </w:div>
            <w:div w:id="315184347">
              <w:marLeft w:val="0"/>
              <w:marRight w:val="0"/>
              <w:marTop w:val="0"/>
              <w:marBottom w:val="0"/>
              <w:divBdr>
                <w:top w:val="none" w:sz="0" w:space="0" w:color="auto"/>
                <w:left w:val="none" w:sz="0" w:space="0" w:color="auto"/>
                <w:bottom w:val="none" w:sz="0" w:space="0" w:color="auto"/>
                <w:right w:val="none" w:sz="0" w:space="0" w:color="auto"/>
              </w:divBdr>
            </w:div>
            <w:div w:id="140931120">
              <w:marLeft w:val="0"/>
              <w:marRight w:val="0"/>
              <w:marTop w:val="0"/>
              <w:marBottom w:val="0"/>
              <w:divBdr>
                <w:top w:val="none" w:sz="0" w:space="0" w:color="auto"/>
                <w:left w:val="none" w:sz="0" w:space="0" w:color="auto"/>
                <w:bottom w:val="none" w:sz="0" w:space="0" w:color="auto"/>
                <w:right w:val="none" w:sz="0" w:space="0" w:color="auto"/>
              </w:divBdr>
            </w:div>
            <w:div w:id="136074426">
              <w:marLeft w:val="0"/>
              <w:marRight w:val="0"/>
              <w:marTop w:val="0"/>
              <w:marBottom w:val="0"/>
              <w:divBdr>
                <w:top w:val="none" w:sz="0" w:space="0" w:color="auto"/>
                <w:left w:val="none" w:sz="0" w:space="0" w:color="auto"/>
                <w:bottom w:val="none" w:sz="0" w:space="0" w:color="auto"/>
                <w:right w:val="none" w:sz="0" w:space="0" w:color="auto"/>
              </w:divBdr>
            </w:div>
            <w:div w:id="1953395058">
              <w:marLeft w:val="0"/>
              <w:marRight w:val="0"/>
              <w:marTop w:val="0"/>
              <w:marBottom w:val="0"/>
              <w:divBdr>
                <w:top w:val="none" w:sz="0" w:space="0" w:color="auto"/>
                <w:left w:val="none" w:sz="0" w:space="0" w:color="auto"/>
                <w:bottom w:val="none" w:sz="0" w:space="0" w:color="auto"/>
                <w:right w:val="none" w:sz="0" w:space="0" w:color="auto"/>
              </w:divBdr>
            </w:div>
            <w:div w:id="1295409600">
              <w:marLeft w:val="0"/>
              <w:marRight w:val="0"/>
              <w:marTop w:val="0"/>
              <w:marBottom w:val="0"/>
              <w:divBdr>
                <w:top w:val="none" w:sz="0" w:space="0" w:color="auto"/>
                <w:left w:val="none" w:sz="0" w:space="0" w:color="auto"/>
                <w:bottom w:val="none" w:sz="0" w:space="0" w:color="auto"/>
                <w:right w:val="none" w:sz="0" w:space="0" w:color="auto"/>
              </w:divBdr>
            </w:div>
            <w:div w:id="784927405">
              <w:marLeft w:val="0"/>
              <w:marRight w:val="0"/>
              <w:marTop w:val="0"/>
              <w:marBottom w:val="0"/>
              <w:divBdr>
                <w:top w:val="none" w:sz="0" w:space="0" w:color="auto"/>
                <w:left w:val="none" w:sz="0" w:space="0" w:color="auto"/>
                <w:bottom w:val="none" w:sz="0" w:space="0" w:color="auto"/>
                <w:right w:val="none" w:sz="0" w:space="0" w:color="auto"/>
              </w:divBdr>
            </w:div>
            <w:div w:id="486241564">
              <w:marLeft w:val="0"/>
              <w:marRight w:val="0"/>
              <w:marTop w:val="0"/>
              <w:marBottom w:val="0"/>
              <w:divBdr>
                <w:top w:val="none" w:sz="0" w:space="0" w:color="auto"/>
                <w:left w:val="none" w:sz="0" w:space="0" w:color="auto"/>
                <w:bottom w:val="none" w:sz="0" w:space="0" w:color="auto"/>
                <w:right w:val="none" w:sz="0" w:space="0" w:color="auto"/>
              </w:divBdr>
            </w:div>
            <w:div w:id="1534421721">
              <w:marLeft w:val="0"/>
              <w:marRight w:val="0"/>
              <w:marTop w:val="0"/>
              <w:marBottom w:val="0"/>
              <w:divBdr>
                <w:top w:val="none" w:sz="0" w:space="0" w:color="auto"/>
                <w:left w:val="none" w:sz="0" w:space="0" w:color="auto"/>
                <w:bottom w:val="none" w:sz="0" w:space="0" w:color="auto"/>
                <w:right w:val="none" w:sz="0" w:space="0" w:color="auto"/>
              </w:divBdr>
            </w:div>
            <w:div w:id="1072318059">
              <w:marLeft w:val="0"/>
              <w:marRight w:val="0"/>
              <w:marTop w:val="0"/>
              <w:marBottom w:val="0"/>
              <w:divBdr>
                <w:top w:val="none" w:sz="0" w:space="0" w:color="auto"/>
                <w:left w:val="none" w:sz="0" w:space="0" w:color="auto"/>
                <w:bottom w:val="none" w:sz="0" w:space="0" w:color="auto"/>
                <w:right w:val="none" w:sz="0" w:space="0" w:color="auto"/>
              </w:divBdr>
            </w:div>
            <w:div w:id="169293192">
              <w:marLeft w:val="0"/>
              <w:marRight w:val="0"/>
              <w:marTop w:val="0"/>
              <w:marBottom w:val="0"/>
              <w:divBdr>
                <w:top w:val="none" w:sz="0" w:space="0" w:color="auto"/>
                <w:left w:val="none" w:sz="0" w:space="0" w:color="auto"/>
                <w:bottom w:val="none" w:sz="0" w:space="0" w:color="auto"/>
                <w:right w:val="none" w:sz="0" w:space="0" w:color="auto"/>
              </w:divBdr>
            </w:div>
            <w:div w:id="762648641">
              <w:marLeft w:val="0"/>
              <w:marRight w:val="0"/>
              <w:marTop w:val="0"/>
              <w:marBottom w:val="0"/>
              <w:divBdr>
                <w:top w:val="none" w:sz="0" w:space="0" w:color="auto"/>
                <w:left w:val="none" w:sz="0" w:space="0" w:color="auto"/>
                <w:bottom w:val="none" w:sz="0" w:space="0" w:color="auto"/>
                <w:right w:val="none" w:sz="0" w:space="0" w:color="auto"/>
              </w:divBdr>
            </w:div>
            <w:div w:id="2052798894">
              <w:marLeft w:val="0"/>
              <w:marRight w:val="0"/>
              <w:marTop w:val="0"/>
              <w:marBottom w:val="0"/>
              <w:divBdr>
                <w:top w:val="none" w:sz="0" w:space="0" w:color="auto"/>
                <w:left w:val="none" w:sz="0" w:space="0" w:color="auto"/>
                <w:bottom w:val="none" w:sz="0" w:space="0" w:color="auto"/>
                <w:right w:val="none" w:sz="0" w:space="0" w:color="auto"/>
              </w:divBdr>
            </w:div>
            <w:div w:id="1682514855">
              <w:marLeft w:val="0"/>
              <w:marRight w:val="0"/>
              <w:marTop w:val="0"/>
              <w:marBottom w:val="0"/>
              <w:divBdr>
                <w:top w:val="none" w:sz="0" w:space="0" w:color="auto"/>
                <w:left w:val="none" w:sz="0" w:space="0" w:color="auto"/>
                <w:bottom w:val="none" w:sz="0" w:space="0" w:color="auto"/>
                <w:right w:val="none" w:sz="0" w:space="0" w:color="auto"/>
              </w:divBdr>
            </w:div>
            <w:div w:id="1545679135">
              <w:marLeft w:val="0"/>
              <w:marRight w:val="0"/>
              <w:marTop w:val="0"/>
              <w:marBottom w:val="0"/>
              <w:divBdr>
                <w:top w:val="none" w:sz="0" w:space="0" w:color="auto"/>
                <w:left w:val="none" w:sz="0" w:space="0" w:color="auto"/>
                <w:bottom w:val="none" w:sz="0" w:space="0" w:color="auto"/>
                <w:right w:val="none" w:sz="0" w:space="0" w:color="auto"/>
              </w:divBdr>
            </w:div>
            <w:div w:id="91904459">
              <w:marLeft w:val="0"/>
              <w:marRight w:val="0"/>
              <w:marTop w:val="0"/>
              <w:marBottom w:val="0"/>
              <w:divBdr>
                <w:top w:val="none" w:sz="0" w:space="0" w:color="auto"/>
                <w:left w:val="none" w:sz="0" w:space="0" w:color="auto"/>
                <w:bottom w:val="none" w:sz="0" w:space="0" w:color="auto"/>
                <w:right w:val="none" w:sz="0" w:space="0" w:color="auto"/>
              </w:divBdr>
            </w:div>
            <w:div w:id="1878394548">
              <w:marLeft w:val="0"/>
              <w:marRight w:val="0"/>
              <w:marTop w:val="0"/>
              <w:marBottom w:val="0"/>
              <w:divBdr>
                <w:top w:val="none" w:sz="0" w:space="0" w:color="auto"/>
                <w:left w:val="none" w:sz="0" w:space="0" w:color="auto"/>
                <w:bottom w:val="none" w:sz="0" w:space="0" w:color="auto"/>
                <w:right w:val="none" w:sz="0" w:space="0" w:color="auto"/>
              </w:divBdr>
            </w:div>
            <w:div w:id="701366790">
              <w:marLeft w:val="0"/>
              <w:marRight w:val="0"/>
              <w:marTop w:val="0"/>
              <w:marBottom w:val="0"/>
              <w:divBdr>
                <w:top w:val="none" w:sz="0" w:space="0" w:color="auto"/>
                <w:left w:val="none" w:sz="0" w:space="0" w:color="auto"/>
                <w:bottom w:val="none" w:sz="0" w:space="0" w:color="auto"/>
                <w:right w:val="none" w:sz="0" w:space="0" w:color="auto"/>
              </w:divBdr>
            </w:div>
            <w:div w:id="597637101">
              <w:marLeft w:val="0"/>
              <w:marRight w:val="0"/>
              <w:marTop w:val="0"/>
              <w:marBottom w:val="0"/>
              <w:divBdr>
                <w:top w:val="none" w:sz="0" w:space="0" w:color="auto"/>
                <w:left w:val="none" w:sz="0" w:space="0" w:color="auto"/>
                <w:bottom w:val="none" w:sz="0" w:space="0" w:color="auto"/>
                <w:right w:val="none" w:sz="0" w:space="0" w:color="auto"/>
              </w:divBdr>
            </w:div>
            <w:div w:id="415319768">
              <w:marLeft w:val="0"/>
              <w:marRight w:val="0"/>
              <w:marTop w:val="0"/>
              <w:marBottom w:val="0"/>
              <w:divBdr>
                <w:top w:val="none" w:sz="0" w:space="0" w:color="auto"/>
                <w:left w:val="none" w:sz="0" w:space="0" w:color="auto"/>
                <w:bottom w:val="none" w:sz="0" w:space="0" w:color="auto"/>
                <w:right w:val="none" w:sz="0" w:space="0" w:color="auto"/>
              </w:divBdr>
            </w:div>
            <w:div w:id="1783525654">
              <w:marLeft w:val="0"/>
              <w:marRight w:val="0"/>
              <w:marTop w:val="0"/>
              <w:marBottom w:val="0"/>
              <w:divBdr>
                <w:top w:val="none" w:sz="0" w:space="0" w:color="auto"/>
                <w:left w:val="none" w:sz="0" w:space="0" w:color="auto"/>
                <w:bottom w:val="none" w:sz="0" w:space="0" w:color="auto"/>
                <w:right w:val="none" w:sz="0" w:space="0" w:color="auto"/>
              </w:divBdr>
            </w:div>
            <w:div w:id="280116289">
              <w:marLeft w:val="0"/>
              <w:marRight w:val="0"/>
              <w:marTop w:val="0"/>
              <w:marBottom w:val="0"/>
              <w:divBdr>
                <w:top w:val="none" w:sz="0" w:space="0" w:color="auto"/>
                <w:left w:val="none" w:sz="0" w:space="0" w:color="auto"/>
                <w:bottom w:val="none" w:sz="0" w:space="0" w:color="auto"/>
                <w:right w:val="none" w:sz="0" w:space="0" w:color="auto"/>
              </w:divBdr>
            </w:div>
            <w:div w:id="562911150">
              <w:marLeft w:val="0"/>
              <w:marRight w:val="0"/>
              <w:marTop w:val="0"/>
              <w:marBottom w:val="0"/>
              <w:divBdr>
                <w:top w:val="none" w:sz="0" w:space="0" w:color="auto"/>
                <w:left w:val="none" w:sz="0" w:space="0" w:color="auto"/>
                <w:bottom w:val="none" w:sz="0" w:space="0" w:color="auto"/>
                <w:right w:val="none" w:sz="0" w:space="0" w:color="auto"/>
              </w:divBdr>
            </w:div>
            <w:div w:id="1543207911">
              <w:marLeft w:val="0"/>
              <w:marRight w:val="0"/>
              <w:marTop w:val="0"/>
              <w:marBottom w:val="0"/>
              <w:divBdr>
                <w:top w:val="none" w:sz="0" w:space="0" w:color="auto"/>
                <w:left w:val="none" w:sz="0" w:space="0" w:color="auto"/>
                <w:bottom w:val="none" w:sz="0" w:space="0" w:color="auto"/>
                <w:right w:val="none" w:sz="0" w:space="0" w:color="auto"/>
              </w:divBdr>
            </w:div>
            <w:div w:id="14308744">
              <w:marLeft w:val="0"/>
              <w:marRight w:val="0"/>
              <w:marTop w:val="0"/>
              <w:marBottom w:val="0"/>
              <w:divBdr>
                <w:top w:val="none" w:sz="0" w:space="0" w:color="auto"/>
                <w:left w:val="none" w:sz="0" w:space="0" w:color="auto"/>
                <w:bottom w:val="none" w:sz="0" w:space="0" w:color="auto"/>
                <w:right w:val="none" w:sz="0" w:space="0" w:color="auto"/>
              </w:divBdr>
            </w:div>
            <w:div w:id="1864317341">
              <w:marLeft w:val="0"/>
              <w:marRight w:val="0"/>
              <w:marTop w:val="0"/>
              <w:marBottom w:val="0"/>
              <w:divBdr>
                <w:top w:val="none" w:sz="0" w:space="0" w:color="auto"/>
                <w:left w:val="none" w:sz="0" w:space="0" w:color="auto"/>
                <w:bottom w:val="none" w:sz="0" w:space="0" w:color="auto"/>
                <w:right w:val="none" w:sz="0" w:space="0" w:color="auto"/>
              </w:divBdr>
            </w:div>
            <w:div w:id="1209151558">
              <w:marLeft w:val="0"/>
              <w:marRight w:val="0"/>
              <w:marTop w:val="0"/>
              <w:marBottom w:val="0"/>
              <w:divBdr>
                <w:top w:val="none" w:sz="0" w:space="0" w:color="auto"/>
                <w:left w:val="none" w:sz="0" w:space="0" w:color="auto"/>
                <w:bottom w:val="none" w:sz="0" w:space="0" w:color="auto"/>
                <w:right w:val="none" w:sz="0" w:space="0" w:color="auto"/>
              </w:divBdr>
            </w:div>
            <w:div w:id="270092179">
              <w:marLeft w:val="0"/>
              <w:marRight w:val="0"/>
              <w:marTop w:val="0"/>
              <w:marBottom w:val="0"/>
              <w:divBdr>
                <w:top w:val="none" w:sz="0" w:space="0" w:color="auto"/>
                <w:left w:val="none" w:sz="0" w:space="0" w:color="auto"/>
                <w:bottom w:val="none" w:sz="0" w:space="0" w:color="auto"/>
                <w:right w:val="none" w:sz="0" w:space="0" w:color="auto"/>
              </w:divBdr>
            </w:div>
            <w:div w:id="1738086170">
              <w:marLeft w:val="0"/>
              <w:marRight w:val="0"/>
              <w:marTop w:val="0"/>
              <w:marBottom w:val="0"/>
              <w:divBdr>
                <w:top w:val="none" w:sz="0" w:space="0" w:color="auto"/>
                <w:left w:val="none" w:sz="0" w:space="0" w:color="auto"/>
                <w:bottom w:val="none" w:sz="0" w:space="0" w:color="auto"/>
                <w:right w:val="none" w:sz="0" w:space="0" w:color="auto"/>
              </w:divBdr>
            </w:div>
            <w:div w:id="1074283786">
              <w:marLeft w:val="0"/>
              <w:marRight w:val="0"/>
              <w:marTop w:val="0"/>
              <w:marBottom w:val="0"/>
              <w:divBdr>
                <w:top w:val="none" w:sz="0" w:space="0" w:color="auto"/>
                <w:left w:val="none" w:sz="0" w:space="0" w:color="auto"/>
                <w:bottom w:val="none" w:sz="0" w:space="0" w:color="auto"/>
                <w:right w:val="none" w:sz="0" w:space="0" w:color="auto"/>
              </w:divBdr>
            </w:div>
            <w:div w:id="963078674">
              <w:marLeft w:val="0"/>
              <w:marRight w:val="0"/>
              <w:marTop w:val="0"/>
              <w:marBottom w:val="0"/>
              <w:divBdr>
                <w:top w:val="none" w:sz="0" w:space="0" w:color="auto"/>
                <w:left w:val="none" w:sz="0" w:space="0" w:color="auto"/>
                <w:bottom w:val="none" w:sz="0" w:space="0" w:color="auto"/>
                <w:right w:val="none" w:sz="0" w:space="0" w:color="auto"/>
              </w:divBdr>
            </w:div>
            <w:div w:id="1657415496">
              <w:marLeft w:val="0"/>
              <w:marRight w:val="0"/>
              <w:marTop w:val="0"/>
              <w:marBottom w:val="0"/>
              <w:divBdr>
                <w:top w:val="none" w:sz="0" w:space="0" w:color="auto"/>
                <w:left w:val="none" w:sz="0" w:space="0" w:color="auto"/>
                <w:bottom w:val="none" w:sz="0" w:space="0" w:color="auto"/>
                <w:right w:val="none" w:sz="0" w:space="0" w:color="auto"/>
              </w:divBdr>
            </w:div>
            <w:div w:id="469513">
              <w:marLeft w:val="0"/>
              <w:marRight w:val="0"/>
              <w:marTop w:val="0"/>
              <w:marBottom w:val="0"/>
              <w:divBdr>
                <w:top w:val="none" w:sz="0" w:space="0" w:color="auto"/>
                <w:left w:val="none" w:sz="0" w:space="0" w:color="auto"/>
                <w:bottom w:val="none" w:sz="0" w:space="0" w:color="auto"/>
                <w:right w:val="none" w:sz="0" w:space="0" w:color="auto"/>
              </w:divBdr>
            </w:div>
            <w:div w:id="638195612">
              <w:marLeft w:val="0"/>
              <w:marRight w:val="0"/>
              <w:marTop w:val="0"/>
              <w:marBottom w:val="0"/>
              <w:divBdr>
                <w:top w:val="none" w:sz="0" w:space="0" w:color="auto"/>
                <w:left w:val="none" w:sz="0" w:space="0" w:color="auto"/>
                <w:bottom w:val="none" w:sz="0" w:space="0" w:color="auto"/>
                <w:right w:val="none" w:sz="0" w:space="0" w:color="auto"/>
              </w:divBdr>
            </w:div>
            <w:div w:id="974487190">
              <w:marLeft w:val="0"/>
              <w:marRight w:val="0"/>
              <w:marTop w:val="0"/>
              <w:marBottom w:val="0"/>
              <w:divBdr>
                <w:top w:val="none" w:sz="0" w:space="0" w:color="auto"/>
                <w:left w:val="none" w:sz="0" w:space="0" w:color="auto"/>
                <w:bottom w:val="none" w:sz="0" w:space="0" w:color="auto"/>
                <w:right w:val="none" w:sz="0" w:space="0" w:color="auto"/>
              </w:divBdr>
            </w:div>
            <w:div w:id="1783645616">
              <w:marLeft w:val="0"/>
              <w:marRight w:val="0"/>
              <w:marTop w:val="0"/>
              <w:marBottom w:val="0"/>
              <w:divBdr>
                <w:top w:val="none" w:sz="0" w:space="0" w:color="auto"/>
                <w:left w:val="none" w:sz="0" w:space="0" w:color="auto"/>
                <w:bottom w:val="none" w:sz="0" w:space="0" w:color="auto"/>
                <w:right w:val="none" w:sz="0" w:space="0" w:color="auto"/>
              </w:divBdr>
            </w:div>
            <w:div w:id="306905845">
              <w:marLeft w:val="0"/>
              <w:marRight w:val="0"/>
              <w:marTop w:val="0"/>
              <w:marBottom w:val="0"/>
              <w:divBdr>
                <w:top w:val="none" w:sz="0" w:space="0" w:color="auto"/>
                <w:left w:val="none" w:sz="0" w:space="0" w:color="auto"/>
                <w:bottom w:val="none" w:sz="0" w:space="0" w:color="auto"/>
                <w:right w:val="none" w:sz="0" w:space="0" w:color="auto"/>
              </w:divBdr>
            </w:div>
            <w:div w:id="209996373">
              <w:marLeft w:val="0"/>
              <w:marRight w:val="0"/>
              <w:marTop w:val="0"/>
              <w:marBottom w:val="0"/>
              <w:divBdr>
                <w:top w:val="none" w:sz="0" w:space="0" w:color="auto"/>
                <w:left w:val="none" w:sz="0" w:space="0" w:color="auto"/>
                <w:bottom w:val="none" w:sz="0" w:space="0" w:color="auto"/>
                <w:right w:val="none" w:sz="0" w:space="0" w:color="auto"/>
              </w:divBdr>
            </w:div>
            <w:div w:id="850071812">
              <w:marLeft w:val="0"/>
              <w:marRight w:val="0"/>
              <w:marTop w:val="0"/>
              <w:marBottom w:val="0"/>
              <w:divBdr>
                <w:top w:val="none" w:sz="0" w:space="0" w:color="auto"/>
                <w:left w:val="none" w:sz="0" w:space="0" w:color="auto"/>
                <w:bottom w:val="none" w:sz="0" w:space="0" w:color="auto"/>
                <w:right w:val="none" w:sz="0" w:space="0" w:color="auto"/>
              </w:divBdr>
            </w:div>
            <w:div w:id="1414475693">
              <w:marLeft w:val="0"/>
              <w:marRight w:val="0"/>
              <w:marTop w:val="0"/>
              <w:marBottom w:val="0"/>
              <w:divBdr>
                <w:top w:val="none" w:sz="0" w:space="0" w:color="auto"/>
                <w:left w:val="none" w:sz="0" w:space="0" w:color="auto"/>
                <w:bottom w:val="none" w:sz="0" w:space="0" w:color="auto"/>
                <w:right w:val="none" w:sz="0" w:space="0" w:color="auto"/>
              </w:divBdr>
            </w:div>
            <w:div w:id="77332793">
              <w:marLeft w:val="0"/>
              <w:marRight w:val="0"/>
              <w:marTop w:val="0"/>
              <w:marBottom w:val="0"/>
              <w:divBdr>
                <w:top w:val="none" w:sz="0" w:space="0" w:color="auto"/>
                <w:left w:val="none" w:sz="0" w:space="0" w:color="auto"/>
                <w:bottom w:val="none" w:sz="0" w:space="0" w:color="auto"/>
                <w:right w:val="none" w:sz="0" w:space="0" w:color="auto"/>
              </w:divBdr>
            </w:div>
            <w:div w:id="1617636637">
              <w:marLeft w:val="0"/>
              <w:marRight w:val="0"/>
              <w:marTop w:val="0"/>
              <w:marBottom w:val="0"/>
              <w:divBdr>
                <w:top w:val="none" w:sz="0" w:space="0" w:color="auto"/>
                <w:left w:val="none" w:sz="0" w:space="0" w:color="auto"/>
                <w:bottom w:val="none" w:sz="0" w:space="0" w:color="auto"/>
                <w:right w:val="none" w:sz="0" w:space="0" w:color="auto"/>
              </w:divBdr>
            </w:div>
            <w:div w:id="953098393">
              <w:marLeft w:val="0"/>
              <w:marRight w:val="0"/>
              <w:marTop w:val="0"/>
              <w:marBottom w:val="0"/>
              <w:divBdr>
                <w:top w:val="none" w:sz="0" w:space="0" w:color="auto"/>
                <w:left w:val="none" w:sz="0" w:space="0" w:color="auto"/>
                <w:bottom w:val="none" w:sz="0" w:space="0" w:color="auto"/>
                <w:right w:val="none" w:sz="0" w:space="0" w:color="auto"/>
              </w:divBdr>
            </w:div>
            <w:div w:id="448012461">
              <w:marLeft w:val="0"/>
              <w:marRight w:val="0"/>
              <w:marTop w:val="0"/>
              <w:marBottom w:val="0"/>
              <w:divBdr>
                <w:top w:val="none" w:sz="0" w:space="0" w:color="auto"/>
                <w:left w:val="none" w:sz="0" w:space="0" w:color="auto"/>
                <w:bottom w:val="none" w:sz="0" w:space="0" w:color="auto"/>
                <w:right w:val="none" w:sz="0" w:space="0" w:color="auto"/>
              </w:divBdr>
            </w:div>
            <w:div w:id="802499459">
              <w:marLeft w:val="0"/>
              <w:marRight w:val="0"/>
              <w:marTop w:val="0"/>
              <w:marBottom w:val="0"/>
              <w:divBdr>
                <w:top w:val="none" w:sz="0" w:space="0" w:color="auto"/>
                <w:left w:val="none" w:sz="0" w:space="0" w:color="auto"/>
                <w:bottom w:val="none" w:sz="0" w:space="0" w:color="auto"/>
                <w:right w:val="none" w:sz="0" w:space="0" w:color="auto"/>
              </w:divBdr>
            </w:div>
            <w:div w:id="1491017438">
              <w:marLeft w:val="0"/>
              <w:marRight w:val="0"/>
              <w:marTop w:val="0"/>
              <w:marBottom w:val="0"/>
              <w:divBdr>
                <w:top w:val="none" w:sz="0" w:space="0" w:color="auto"/>
                <w:left w:val="none" w:sz="0" w:space="0" w:color="auto"/>
                <w:bottom w:val="none" w:sz="0" w:space="0" w:color="auto"/>
                <w:right w:val="none" w:sz="0" w:space="0" w:color="auto"/>
              </w:divBdr>
            </w:div>
            <w:div w:id="681973495">
              <w:marLeft w:val="0"/>
              <w:marRight w:val="0"/>
              <w:marTop w:val="0"/>
              <w:marBottom w:val="0"/>
              <w:divBdr>
                <w:top w:val="none" w:sz="0" w:space="0" w:color="auto"/>
                <w:left w:val="none" w:sz="0" w:space="0" w:color="auto"/>
                <w:bottom w:val="none" w:sz="0" w:space="0" w:color="auto"/>
                <w:right w:val="none" w:sz="0" w:space="0" w:color="auto"/>
              </w:divBdr>
            </w:div>
            <w:div w:id="536092065">
              <w:marLeft w:val="0"/>
              <w:marRight w:val="0"/>
              <w:marTop w:val="0"/>
              <w:marBottom w:val="0"/>
              <w:divBdr>
                <w:top w:val="none" w:sz="0" w:space="0" w:color="auto"/>
                <w:left w:val="none" w:sz="0" w:space="0" w:color="auto"/>
                <w:bottom w:val="none" w:sz="0" w:space="0" w:color="auto"/>
                <w:right w:val="none" w:sz="0" w:space="0" w:color="auto"/>
              </w:divBdr>
            </w:div>
            <w:div w:id="1064839883">
              <w:marLeft w:val="0"/>
              <w:marRight w:val="0"/>
              <w:marTop w:val="0"/>
              <w:marBottom w:val="0"/>
              <w:divBdr>
                <w:top w:val="none" w:sz="0" w:space="0" w:color="auto"/>
                <w:left w:val="none" w:sz="0" w:space="0" w:color="auto"/>
                <w:bottom w:val="none" w:sz="0" w:space="0" w:color="auto"/>
                <w:right w:val="none" w:sz="0" w:space="0" w:color="auto"/>
              </w:divBdr>
            </w:div>
            <w:div w:id="814954503">
              <w:marLeft w:val="0"/>
              <w:marRight w:val="0"/>
              <w:marTop w:val="0"/>
              <w:marBottom w:val="0"/>
              <w:divBdr>
                <w:top w:val="none" w:sz="0" w:space="0" w:color="auto"/>
                <w:left w:val="none" w:sz="0" w:space="0" w:color="auto"/>
                <w:bottom w:val="none" w:sz="0" w:space="0" w:color="auto"/>
                <w:right w:val="none" w:sz="0" w:space="0" w:color="auto"/>
              </w:divBdr>
            </w:div>
            <w:div w:id="118227674">
              <w:marLeft w:val="0"/>
              <w:marRight w:val="0"/>
              <w:marTop w:val="0"/>
              <w:marBottom w:val="0"/>
              <w:divBdr>
                <w:top w:val="none" w:sz="0" w:space="0" w:color="auto"/>
                <w:left w:val="none" w:sz="0" w:space="0" w:color="auto"/>
                <w:bottom w:val="none" w:sz="0" w:space="0" w:color="auto"/>
                <w:right w:val="none" w:sz="0" w:space="0" w:color="auto"/>
              </w:divBdr>
            </w:div>
            <w:div w:id="2022274095">
              <w:marLeft w:val="0"/>
              <w:marRight w:val="0"/>
              <w:marTop w:val="0"/>
              <w:marBottom w:val="0"/>
              <w:divBdr>
                <w:top w:val="none" w:sz="0" w:space="0" w:color="auto"/>
                <w:left w:val="none" w:sz="0" w:space="0" w:color="auto"/>
                <w:bottom w:val="none" w:sz="0" w:space="0" w:color="auto"/>
                <w:right w:val="none" w:sz="0" w:space="0" w:color="auto"/>
              </w:divBdr>
            </w:div>
            <w:div w:id="1257597613">
              <w:marLeft w:val="0"/>
              <w:marRight w:val="0"/>
              <w:marTop w:val="0"/>
              <w:marBottom w:val="0"/>
              <w:divBdr>
                <w:top w:val="none" w:sz="0" w:space="0" w:color="auto"/>
                <w:left w:val="none" w:sz="0" w:space="0" w:color="auto"/>
                <w:bottom w:val="none" w:sz="0" w:space="0" w:color="auto"/>
                <w:right w:val="none" w:sz="0" w:space="0" w:color="auto"/>
              </w:divBdr>
            </w:div>
            <w:div w:id="660735662">
              <w:marLeft w:val="0"/>
              <w:marRight w:val="0"/>
              <w:marTop w:val="0"/>
              <w:marBottom w:val="0"/>
              <w:divBdr>
                <w:top w:val="none" w:sz="0" w:space="0" w:color="auto"/>
                <w:left w:val="none" w:sz="0" w:space="0" w:color="auto"/>
                <w:bottom w:val="none" w:sz="0" w:space="0" w:color="auto"/>
                <w:right w:val="none" w:sz="0" w:space="0" w:color="auto"/>
              </w:divBdr>
            </w:div>
            <w:div w:id="1167601034">
              <w:marLeft w:val="0"/>
              <w:marRight w:val="0"/>
              <w:marTop w:val="0"/>
              <w:marBottom w:val="0"/>
              <w:divBdr>
                <w:top w:val="none" w:sz="0" w:space="0" w:color="auto"/>
                <w:left w:val="none" w:sz="0" w:space="0" w:color="auto"/>
                <w:bottom w:val="none" w:sz="0" w:space="0" w:color="auto"/>
                <w:right w:val="none" w:sz="0" w:space="0" w:color="auto"/>
              </w:divBdr>
            </w:div>
            <w:div w:id="616645735">
              <w:marLeft w:val="0"/>
              <w:marRight w:val="0"/>
              <w:marTop w:val="0"/>
              <w:marBottom w:val="0"/>
              <w:divBdr>
                <w:top w:val="none" w:sz="0" w:space="0" w:color="auto"/>
                <w:left w:val="none" w:sz="0" w:space="0" w:color="auto"/>
                <w:bottom w:val="none" w:sz="0" w:space="0" w:color="auto"/>
                <w:right w:val="none" w:sz="0" w:space="0" w:color="auto"/>
              </w:divBdr>
            </w:div>
            <w:div w:id="1001398246">
              <w:marLeft w:val="0"/>
              <w:marRight w:val="0"/>
              <w:marTop w:val="0"/>
              <w:marBottom w:val="0"/>
              <w:divBdr>
                <w:top w:val="none" w:sz="0" w:space="0" w:color="auto"/>
                <w:left w:val="none" w:sz="0" w:space="0" w:color="auto"/>
                <w:bottom w:val="none" w:sz="0" w:space="0" w:color="auto"/>
                <w:right w:val="none" w:sz="0" w:space="0" w:color="auto"/>
              </w:divBdr>
            </w:div>
            <w:div w:id="1256673285">
              <w:marLeft w:val="0"/>
              <w:marRight w:val="0"/>
              <w:marTop w:val="0"/>
              <w:marBottom w:val="0"/>
              <w:divBdr>
                <w:top w:val="none" w:sz="0" w:space="0" w:color="auto"/>
                <w:left w:val="none" w:sz="0" w:space="0" w:color="auto"/>
                <w:bottom w:val="none" w:sz="0" w:space="0" w:color="auto"/>
                <w:right w:val="none" w:sz="0" w:space="0" w:color="auto"/>
              </w:divBdr>
            </w:div>
            <w:div w:id="1682320493">
              <w:marLeft w:val="0"/>
              <w:marRight w:val="0"/>
              <w:marTop w:val="0"/>
              <w:marBottom w:val="0"/>
              <w:divBdr>
                <w:top w:val="none" w:sz="0" w:space="0" w:color="auto"/>
                <w:left w:val="none" w:sz="0" w:space="0" w:color="auto"/>
                <w:bottom w:val="none" w:sz="0" w:space="0" w:color="auto"/>
                <w:right w:val="none" w:sz="0" w:space="0" w:color="auto"/>
              </w:divBdr>
            </w:div>
            <w:div w:id="2042170283">
              <w:marLeft w:val="0"/>
              <w:marRight w:val="0"/>
              <w:marTop w:val="0"/>
              <w:marBottom w:val="0"/>
              <w:divBdr>
                <w:top w:val="none" w:sz="0" w:space="0" w:color="auto"/>
                <w:left w:val="none" w:sz="0" w:space="0" w:color="auto"/>
                <w:bottom w:val="none" w:sz="0" w:space="0" w:color="auto"/>
                <w:right w:val="none" w:sz="0" w:space="0" w:color="auto"/>
              </w:divBdr>
            </w:div>
            <w:div w:id="714502442">
              <w:marLeft w:val="0"/>
              <w:marRight w:val="0"/>
              <w:marTop w:val="0"/>
              <w:marBottom w:val="0"/>
              <w:divBdr>
                <w:top w:val="none" w:sz="0" w:space="0" w:color="auto"/>
                <w:left w:val="none" w:sz="0" w:space="0" w:color="auto"/>
                <w:bottom w:val="none" w:sz="0" w:space="0" w:color="auto"/>
                <w:right w:val="none" w:sz="0" w:space="0" w:color="auto"/>
              </w:divBdr>
            </w:div>
            <w:div w:id="225576593">
              <w:marLeft w:val="0"/>
              <w:marRight w:val="0"/>
              <w:marTop w:val="0"/>
              <w:marBottom w:val="0"/>
              <w:divBdr>
                <w:top w:val="none" w:sz="0" w:space="0" w:color="auto"/>
                <w:left w:val="none" w:sz="0" w:space="0" w:color="auto"/>
                <w:bottom w:val="none" w:sz="0" w:space="0" w:color="auto"/>
                <w:right w:val="none" w:sz="0" w:space="0" w:color="auto"/>
              </w:divBdr>
            </w:div>
            <w:div w:id="10499403">
              <w:marLeft w:val="0"/>
              <w:marRight w:val="0"/>
              <w:marTop w:val="0"/>
              <w:marBottom w:val="0"/>
              <w:divBdr>
                <w:top w:val="none" w:sz="0" w:space="0" w:color="auto"/>
                <w:left w:val="none" w:sz="0" w:space="0" w:color="auto"/>
                <w:bottom w:val="none" w:sz="0" w:space="0" w:color="auto"/>
                <w:right w:val="none" w:sz="0" w:space="0" w:color="auto"/>
              </w:divBdr>
            </w:div>
            <w:div w:id="413555210">
              <w:marLeft w:val="0"/>
              <w:marRight w:val="0"/>
              <w:marTop w:val="0"/>
              <w:marBottom w:val="0"/>
              <w:divBdr>
                <w:top w:val="none" w:sz="0" w:space="0" w:color="auto"/>
                <w:left w:val="none" w:sz="0" w:space="0" w:color="auto"/>
                <w:bottom w:val="none" w:sz="0" w:space="0" w:color="auto"/>
                <w:right w:val="none" w:sz="0" w:space="0" w:color="auto"/>
              </w:divBdr>
            </w:div>
            <w:div w:id="1645281724">
              <w:marLeft w:val="0"/>
              <w:marRight w:val="0"/>
              <w:marTop w:val="0"/>
              <w:marBottom w:val="0"/>
              <w:divBdr>
                <w:top w:val="none" w:sz="0" w:space="0" w:color="auto"/>
                <w:left w:val="none" w:sz="0" w:space="0" w:color="auto"/>
                <w:bottom w:val="none" w:sz="0" w:space="0" w:color="auto"/>
                <w:right w:val="none" w:sz="0" w:space="0" w:color="auto"/>
              </w:divBdr>
            </w:div>
            <w:div w:id="319966878">
              <w:marLeft w:val="0"/>
              <w:marRight w:val="0"/>
              <w:marTop w:val="0"/>
              <w:marBottom w:val="0"/>
              <w:divBdr>
                <w:top w:val="none" w:sz="0" w:space="0" w:color="auto"/>
                <w:left w:val="none" w:sz="0" w:space="0" w:color="auto"/>
                <w:bottom w:val="none" w:sz="0" w:space="0" w:color="auto"/>
                <w:right w:val="none" w:sz="0" w:space="0" w:color="auto"/>
              </w:divBdr>
            </w:div>
            <w:div w:id="523205591">
              <w:marLeft w:val="0"/>
              <w:marRight w:val="0"/>
              <w:marTop w:val="0"/>
              <w:marBottom w:val="0"/>
              <w:divBdr>
                <w:top w:val="none" w:sz="0" w:space="0" w:color="auto"/>
                <w:left w:val="none" w:sz="0" w:space="0" w:color="auto"/>
                <w:bottom w:val="none" w:sz="0" w:space="0" w:color="auto"/>
                <w:right w:val="none" w:sz="0" w:space="0" w:color="auto"/>
              </w:divBdr>
            </w:div>
            <w:div w:id="138377112">
              <w:marLeft w:val="0"/>
              <w:marRight w:val="0"/>
              <w:marTop w:val="0"/>
              <w:marBottom w:val="0"/>
              <w:divBdr>
                <w:top w:val="none" w:sz="0" w:space="0" w:color="auto"/>
                <w:left w:val="none" w:sz="0" w:space="0" w:color="auto"/>
                <w:bottom w:val="none" w:sz="0" w:space="0" w:color="auto"/>
                <w:right w:val="none" w:sz="0" w:space="0" w:color="auto"/>
              </w:divBdr>
            </w:div>
            <w:div w:id="650140440">
              <w:marLeft w:val="0"/>
              <w:marRight w:val="0"/>
              <w:marTop w:val="0"/>
              <w:marBottom w:val="0"/>
              <w:divBdr>
                <w:top w:val="none" w:sz="0" w:space="0" w:color="auto"/>
                <w:left w:val="none" w:sz="0" w:space="0" w:color="auto"/>
                <w:bottom w:val="none" w:sz="0" w:space="0" w:color="auto"/>
                <w:right w:val="none" w:sz="0" w:space="0" w:color="auto"/>
              </w:divBdr>
            </w:div>
            <w:div w:id="962540020">
              <w:marLeft w:val="0"/>
              <w:marRight w:val="0"/>
              <w:marTop w:val="0"/>
              <w:marBottom w:val="0"/>
              <w:divBdr>
                <w:top w:val="none" w:sz="0" w:space="0" w:color="auto"/>
                <w:left w:val="none" w:sz="0" w:space="0" w:color="auto"/>
                <w:bottom w:val="none" w:sz="0" w:space="0" w:color="auto"/>
                <w:right w:val="none" w:sz="0" w:space="0" w:color="auto"/>
              </w:divBdr>
            </w:div>
            <w:div w:id="70663770">
              <w:marLeft w:val="0"/>
              <w:marRight w:val="0"/>
              <w:marTop w:val="0"/>
              <w:marBottom w:val="0"/>
              <w:divBdr>
                <w:top w:val="none" w:sz="0" w:space="0" w:color="auto"/>
                <w:left w:val="none" w:sz="0" w:space="0" w:color="auto"/>
                <w:bottom w:val="none" w:sz="0" w:space="0" w:color="auto"/>
                <w:right w:val="none" w:sz="0" w:space="0" w:color="auto"/>
              </w:divBdr>
            </w:div>
            <w:div w:id="474682950">
              <w:marLeft w:val="0"/>
              <w:marRight w:val="0"/>
              <w:marTop w:val="0"/>
              <w:marBottom w:val="0"/>
              <w:divBdr>
                <w:top w:val="none" w:sz="0" w:space="0" w:color="auto"/>
                <w:left w:val="none" w:sz="0" w:space="0" w:color="auto"/>
                <w:bottom w:val="none" w:sz="0" w:space="0" w:color="auto"/>
                <w:right w:val="none" w:sz="0" w:space="0" w:color="auto"/>
              </w:divBdr>
            </w:div>
            <w:div w:id="376707883">
              <w:marLeft w:val="0"/>
              <w:marRight w:val="0"/>
              <w:marTop w:val="0"/>
              <w:marBottom w:val="0"/>
              <w:divBdr>
                <w:top w:val="none" w:sz="0" w:space="0" w:color="auto"/>
                <w:left w:val="none" w:sz="0" w:space="0" w:color="auto"/>
                <w:bottom w:val="none" w:sz="0" w:space="0" w:color="auto"/>
                <w:right w:val="none" w:sz="0" w:space="0" w:color="auto"/>
              </w:divBdr>
            </w:div>
            <w:div w:id="1622344540">
              <w:marLeft w:val="0"/>
              <w:marRight w:val="0"/>
              <w:marTop w:val="0"/>
              <w:marBottom w:val="0"/>
              <w:divBdr>
                <w:top w:val="none" w:sz="0" w:space="0" w:color="auto"/>
                <w:left w:val="none" w:sz="0" w:space="0" w:color="auto"/>
                <w:bottom w:val="none" w:sz="0" w:space="0" w:color="auto"/>
                <w:right w:val="none" w:sz="0" w:space="0" w:color="auto"/>
              </w:divBdr>
            </w:div>
            <w:div w:id="1739866044">
              <w:marLeft w:val="0"/>
              <w:marRight w:val="0"/>
              <w:marTop w:val="0"/>
              <w:marBottom w:val="0"/>
              <w:divBdr>
                <w:top w:val="none" w:sz="0" w:space="0" w:color="auto"/>
                <w:left w:val="none" w:sz="0" w:space="0" w:color="auto"/>
                <w:bottom w:val="none" w:sz="0" w:space="0" w:color="auto"/>
                <w:right w:val="none" w:sz="0" w:space="0" w:color="auto"/>
              </w:divBdr>
            </w:div>
            <w:div w:id="940533213">
              <w:marLeft w:val="0"/>
              <w:marRight w:val="0"/>
              <w:marTop w:val="0"/>
              <w:marBottom w:val="0"/>
              <w:divBdr>
                <w:top w:val="none" w:sz="0" w:space="0" w:color="auto"/>
                <w:left w:val="none" w:sz="0" w:space="0" w:color="auto"/>
                <w:bottom w:val="none" w:sz="0" w:space="0" w:color="auto"/>
                <w:right w:val="none" w:sz="0" w:space="0" w:color="auto"/>
              </w:divBdr>
            </w:div>
            <w:div w:id="1902015797">
              <w:marLeft w:val="0"/>
              <w:marRight w:val="0"/>
              <w:marTop w:val="0"/>
              <w:marBottom w:val="0"/>
              <w:divBdr>
                <w:top w:val="none" w:sz="0" w:space="0" w:color="auto"/>
                <w:left w:val="none" w:sz="0" w:space="0" w:color="auto"/>
                <w:bottom w:val="none" w:sz="0" w:space="0" w:color="auto"/>
                <w:right w:val="none" w:sz="0" w:space="0" w:color="auto"/>
              </w:divBdr>
            </w:div>
            <w:div w:id="365718401">
              <w:marLeft w:val="0"/>
              <w:marRight w:val="0"/>
              <w:marTop w:val="0"/>
              <w:marBottom w:val="0"/>
              <w:divBdr>
                <w:top w:val="none" w:sz="0" w:space="0" w:color="auto"/>
                <w:left w:val="none" w:sz="0" w:space="0" w:color="auto"/>
                <w:bottom w:val="none" w:sz="0" w:space="0" w:color="auto"/>
                <w:right w:val="none" w:sz="0" w:space="0" w:color="auto"/>
              </w:divBdr>
            </w:div>
            <w:div w:id="1632246141">
              <w:marLeft w:val="0"/>
              <w:marRight w:val="0"/>
              <w:marTop w:val="0"/>
              <w:marBottom w:val="0"/>
              <w:divBdr>
                <w:top w:val="none" w:sz="0" w:space="0" w:color="auto"/>
                <w:left w:val="none" w:sz="0" w:space="0" w:color="auto"/>
                <w:bottom w:val="none" w:sz="0" w:space="0" w:color="auto"/>
                <w:right w:val="none" w:sz="0" w:space="0" w:color="auto"/>
              </w:divBdr>
            </w:div>
            <w:div w:id="1314992403">
              <w:marLeft w:val="0"/>
              <w:marRight w:val="0"/>
              <w:marTop w:val="0"/>
              <w:marBottom w:val="0"/>
              <w:divBdr>
                <w:top w:val="none" w:sz="0" w:space="0" w:color="auto"/>
                <w:left w:val="none" w:sz="0" w:space="0" w:color="auto"/>
                <w:bottom w:val="none" w:sz="0" w:space="0" w:color="auto"/>
                <w:right w:val="none" w:sz="0" w:space="0" w:color="auto"/>
              </w:divBdr>
            </w:div>
            <w:div w:id="1288006770">
              <w:marLeft w:val="0"/>
              <w:marRight w:val="0"/>
              <w:marTop w:val="0"/>
              <w:marBottom w:val="0"/>
              <w:divBdr>
                <w:top w:val="none" w:sz="0" w:space="0" w:color="auto"/>
                <w:left w:val="none" w:sz="0" w:space="0" w:color="auto"/>
                <w:bottom w:val="none" w:sz="0" w:space="0" w:color="auto"/>
                <w:right w:val="none" w:sz="0" w:space="0" w:color="auto"/>
              </w:divBdr>
            </w:div>
            <w:div w:id="1948537196">
              <w:marLeft w:val="0"/>
              <w:marRight w:val="0"/>
              <w:marTop w:val="0"/>
              <w:marBottom w:val="0"/>
              <w:divBdr>
                <w:top w:val="none" w:sz="0" w:space="0" w:color="auto"/>
                <w:left w:val="none" w:sz="0" w:space="0" w:color="auto"/>
                <w:bottom w:val="none" w:sz="0" w:space="0" w:color="auto"/>
                <w:right w:val="none" w:sz="0" w:space="0" w:color="auto"/>
              </w:divBdr>
            </w:div>
            <w:div w:id="1326397635">
              <w:marLeft w:val="0"/>
              <w:marRight w:val="0"/>
              <w:marTop w:val="0"/>
              <w:marBottom w:val="0"/>
              <w:divBdr>
                <w:top w:val="none" w:sz="0" w:space="0" w:color="auto"/>
                <w:left w:val="none" w:sz="0" w:space="0" w:color="auto"/>
                <w:bottom w:val="none" w:sz="0" w:space="0" w:color="auto"/>
                <w:right w:val="none" w:sz="0" w:space="0" w:color="auto"/>
              </w:divBdr>
            </w:div>
            <w:div w:id="902957510">
              <w:marLeft w:val="0"/>
              <w:marRight w:val="0"/>
              <w:marTop w:val="0"/>
              <w:marBottom w:val="0"/>
              <w:divBdr>
                <w:top w:val="none" w:sz="0" w:space="0" w:color="auto"/>
                <w:left w:val="none" w:sz="0" w:space="0" w:color="auto"/>
                <w:bottom w:val="none" w:sz="0" w:space="0" w:color="auto"/>
                <w:right w:val="none" w:sz="0" w:space="0" w:color="auto"/>
              </w:divBdr>
            </w:div>
            <w:div w:id="2013020125">
              <w:marLeft w:val="0"/>
              <w:marRight w:val="0"/>
              <w:marTop w:val="0"/>
              <w:marBottom w:val="0"/>
              <w:divBdr>
                <w:top w:val="none" w:sz="0" w:space="0" w:color="auto"/>
                <w:left w:val="none" w:sz="0" w:space="0" w:color="auto"/>
                <w:bottom w:val="none" w:sz="0" w:space="0" w:color="auto"/>
                <w:right w:val="none" w:sz="0" w:space="0" w:color="auto"/>
              </w:divBdr>
            </w:div>
            <w:div w:id="321811015">
              <w:marLeft w:val="0"/>
              <w:marRight w:val="0"/>
              <w:marTop w:val="0"/>
              <w:marBottom w:val="0"/>
              <w:divBdr>
                <w:top w:val="none" w:sz="0" w:space="0" w:color="auto"/>
                <w:left w:val="none" w:sz="0" w:space="0" w:color="auto"/>
                <w:bottom w:val="none" w:sz="0" w:space="0" w:color="auto"/>
                <w:right w:val="none" w:sz="0" w:space="0" w:color="auto"/>
              </w:divBdr>
            </w:div>
            <w:div w:id="1217929302">
              <w:marLeft w:val="0"/>
              <w:marRight w:val="0"/>
              <w:marTop w:val="0"/>
              <w:marBottom w:val="0"/>
              <w:divBdr>
                <w:top w:val="none" w:sz="0" w:space="0" w:color="auto"/>
                <w:left w:val="none" w:sz="0" w:space="0" w:color="auto"/>
                <w:bottom w:val="none" w:sz="0" w:space="0" w:color="auto"/>
                <w:right w:val="none" w:sz="0" w:space="0" w:color="auto"/>
              </w:divBdr>
            </w:div>
            <w:div w:id="173884495">
              <w:marLeft w:val="0"/>
              <w:marRight w:val="0"/>
              <w:marTop w:val="0"/>
              <w:marBottom w:val="0"/>
              <w:divBdr>
                <w:top w:val="none" w:sz="0" w:space="0" w:color="auto"/>
                <w:left w:val="none" w:sz="0" w:space="0" w:color="auto"/>
                <w:bottom w:val="none" w:sz="0" w:space="0" w:color="auto"/>
                <w:right w:val="none" w:sz="0" w:space="0" w:color="auto"/>
              </w:divBdr>
            </w:div>
            <w:div w:id="929242726">
              <w:marLeft w:val="0"/>
              <w:marRight w:val="0"/>
              <w:marTop w:val="0"/>
              <w:marBottom w:val="0"/>
              <w:divBdr>
                <w:top w:val="none" w:sz="0" w:space="0" w:color="auto"/>
                <w:left w:val="none" w:sz="0" w:space="0" w:color="auto"/>
                <w:bottom w:val="none" w:sz="0" w:space="0" w:color="auto"/>
                <w:right w:val="none" w:sz="0" w:space="0" w:color="auto"/>
              </w:divBdr>
            </w:div>
            <w:div w:id="1309018383">
              <w:marLeft w:val="0"/>
              <w:marRight w:val="0"/>
              <w:marTop w:val="0"/>
              <w:marBottom w:val="0"/>
              <w:divBdr>
                <w:top w:val="none" w:sz="0" w:space="0" w:color="auto"/>
                <w:left w:val="none" w:sz="0" w:space="0" w:color="auto"/>
                <w:bottom w:val="none" w:sz="0" w:space="0" w:color="auto"/>
                <w:right w:val="none" w:sz="0" w:space="0" w:color="auto"/>
              </w:divBdr>
            </w:div>
            <w:div w:id="253520039">
              <w:marLeft w:val="0"/>
              <w:marRight w:val="0"/>
              <w:marTop w:val="0"/>
              <w:marBottom w:val="0"/>
              <w:divBdr>
                <w:top w:val="none" w:sz="0" w:space="0" w:color="auto"/>
                <w:left w:val="none" w:sz="0" w:space="0" w:color="auto"/>
                <w:bottom w:val="none" w:sz="0" w:space="0" w:color="auto"/>
                <w:right w:val="none" w:sz="0" w:space="0" w:color="auto"/>
              </w:divBdr>
            </w:div>
            <w:div w:id="1899244417">
              <w:marLeft w:val="0"/>
              <w:marRight w:val="0"/>
              <w:marTop w:val="0"/>
              <w:marBottom w:val="0"/>
              <w:divBdr>
                <w:top w:val="none" w:sz="0" w:space="0" w:color="auto"/>
                <w:left w:val="none" w:sz="0" w:space="0" w:color="auto"/>
                <w:bottom w:val="none" w:sz="0" w:space="0" w:color="auto"/>
                <w:right w:val="none" w:sz="0" w:space="0" w:color="auto"/>
              </w:divBdr>
            </w:div>
            <w:div w:id="209072605">
              <w:marLeft w:val="0"/>
              <w:marRight w:val="0"/>
              <w:marTop w:val="0"/>
              <w:marBottom w:val="0"/>
              <w:divBdr>
                <w:top w:val="none" w:sz="0" w:space="0" w:color="auto"/>
                <w:left w:val="none" w:sz="0" w:space="0" w:color="auto"/>
                <w:bottom w:val="none" w:sz="0" w:space="0" w:color="auto"/>
                <w:right w:val="none" w:sz="0" w:space="0" w:color="auto"/>
              </w:divBdr>
            </w:div>
            <w:div w:id="1932276689">
              <w:marLeft w:val="0"/>
              <w:marRight w:val="0"/>
              <w:marTop w:val="0"/>
              <w:marBottom w:val="0"/>
              <w:divBdr>
                <w:top w:val="none" w:sz="0" w:space="0" w:color="auto"/>
                <w:left w:val="none" w:sz="0" w:space="0" w:color="auto"/>
                <w:bottom w:val="none" w:sz="0" w:space="0" w:color="auto"/>
                <w:right w:val="none" w:sz="0" w:space="0" w:color="auto"/>
              </w:divBdr>
            </w:div>
            <w:div w:id="1943298907">
              <w:marLeft w:val="0"/>
              <w:marRight w:val="0"/>
              <w:marTop w:val="0"/>
              <w:marBottom w:val="0"/>
              <w:divBdr>
                <w:top w:val="none" w:sz="0" w:space="0" w:color="auto"/>
                <w:left w:val="none" w:sz="0" w:space="0" w:color="auto"/>
                <w:bottom w:val="none" w:sz="0" w:space="0" w:color="auto"/>
                <w:right w:val="none" w:sz="0" w:space="0" w:color="auto"/>
              </w:divBdr>
            </w:div>
            <w:div w:id="1205143176">
              <w:marLeft w:val="0"/>
              <w:marRight w:val="0"/>
              <w:marTop w:val="0"/>
              <w:marBottom w:val="0"/>
              <w:divBdr>
                <w:top w:val="none" w:sz="0" w:space="0" w:color="auto"/>
                <w:left w:val="none" w:sz="0" w:space="0" w:color="auto"/>
                <w:bottom w:val="none" w:sz="0" w:space="0" w:color="auto"/>
                <w:right w:val="none" w:sz="0" w:space="0" w:color="auto"/>
              </w:divBdr>
            </w:div>
            <w:div w:id="730495923">
              <w:marLeft w:val="0"/>
              <w:marRight w:val="0"/>
              <w:marTop w:val="0"/>
              <w:marBottom w:val="0"/>
              <w:divBdr>
                <w:top w:val="none" w:sz="0" w:space="0" w:color="auto"/>
                <w:left w:val="none" w:sz="0" w:space="0" w:color="auto"/>
                <w:bottom w:val="none" w:sz="0" w:space="0" w:color="auto"/>
                <w:right w:val="none" w:sz="0" w:space="0" w:color="auto"/>
              </w:divBdr>
            </w:div>
            <w:div w:id="1056779542">
              <w:marLeft w:val="0"/>
              <w:marRight w:val="0"/>
              <w:marTop w:val="0"/>
              <w:marBottom w:val="0"/>
              <w:divBdr>
                <w:top w:val="none" w:sz="0" w:space="0" w:color="auto"/>
                <w:left w:val="none" w:sz="0" w:space="0" w:color="auto"/>
                <w:bottom w:val="none" w:sz="0" w:space="0" w:color="auto"/>
                <w:right w:val="none" w:sz="0" w:space="0" w:color="auto"/>
              </w:divBdr>
            </w:div>
            <w:div w:id="889389452">
              <w:marLeft w:val="0"/>
              <w:marRight w:val="0"/>
              <w:marTop w:val="0"/>
              <w:marBottom w:val="0"/>
              <w:divBdr>
                <w:top w:val="none" w:sz="0" w:space="0" w:color="auto"/>
                <w:left w:val="none" w:sz="0" w:space="0" w:color="auto"/>
                <w:bottom w:val="none" w:sz="0" w:space="0" w:color="auto"/>
                <w:right w:val="none" w:sz="0" w:space="0" w:color="auto"/>
              </w:divBdr>
            </w:div>
            <w:div w:id="1722437554">
              <w:marLeft w:val="0"/>
              <w:marRight w:val="0"/>
              <w:marTop w:val="0"/>
              <w:marBottom w:val="0"/>
              <w:divBdr>
                <w:top w:val="none" w:sz="0" w:space="0" w:color="auto"/>
                <w:left w:val="none" w:sz="0" w:space="0" w:color="auto"/>
                <w:bottom w:val="none" w:sz="0" w:space="0" w:color="auto"/>
                <w:right w:val="none" w:sz="0" w:space="0" w:color="auto"/>
              </w:divBdr>
            </w:div>
            <w:div w:id="209729186">
              <w:marLeft w:val="0"/>
              <w:marRight w:val="0"/>
              <w:marTop w:val="0"/>
              <w:marBottom w:val="0"/>
              <w:divBdr>
                <w:top w:val="none" w:sz="0" w:space="0" w:color="auto"/>
                <w:left w:val="none" w:sz="0" w:space="0" w:color="auto"/>
                <w:bottom w:val="none" w:sz="0" w:space="0" w:color="auto"/>
                <w:right w:val="none" w:sz="0" w:space="0" w:color="auto"/>
              </w:divBdr>
            </w:div>
            <w:div w:id="2073499440">
              <w:marLeft w:val="0"/>
              <w:marRight w:val="0"/>
              <w:marTop w:val="0"/>
              <w:marBottom w:val="0"/>
              <w:divBdr>
                <w:top w:val="none" w:sz="0" w:space="0" w:color="auto"/>
                <w:left w:val="none" w:sz="0" w:space="0" w:color="auto"/>
                <w:bottom w:val="none" w:sz="0" w:space="0" w:color="auto"/>
                <w:right w:val="none" w:sz="0" w:space="0" w:color="auto"/>
              </w:divBdr>
            </w:div>
            <w:div w:id="256717469">
              <w:marLeft w:val="0"/>
              <w:marRight w:val="0"/>
              <w:marTop w:val="0"/>
              <w:marBottom w:val="0"/>
              <w:divBdr>
                <w:top w:val="none" w:sz="0" w:space="0" w:color="auto"/>
                <w:left w:val="none" w:sz="0" w:space="0" w:color="auto"/>
                <w:bottom w:val="none" w:sz="0" w:space="0" w:color="auto"/>
                <w:right w:val="none" w:sz="0" w:space="0" w:color="auto"/>
              </w:divBdr>
            </w:div>
            <w:div w:id="1134637058">
              <w:marLeft w:val="0"/>
              <w:marRight w:val="0"/>
              <w:marTop w:val="0"/>
              <w:marBottom w:val="0"/>
              <w:divBdr>
                <w:top w:val="none" w:sz="0" w:space="0" w:color="auto"/>
                <w:left w:val="none" w:sz="0" w:space="0" w:color="auto"/>
                <w:bottom w:val="none" w:sz="0" w:space="0" w:color="auto"/>
                <w:right w:val="none" w:sz="0" w:space="0" w:color="auto"/>
              </w:divBdr>
            </w:div>
            <w:div w:id="1354770003">
              <w:marLeft w:val="0"/>
              <w:marRight w:val="0"/>
              <w:marTop w:val="0"/>
              <w:marBottom w:val="0"/>
              <w:divBdr>
                <w:top w:val="none" w:sz="0" w:space="0" w:color="auto"/>
                <w:left w:val="none" w:sz="0" w:space="0" w:color="auto"/>
                <w:bottom w:val="none" w:sz="0" w:space="0" w:color="auto"/>
                <w:right w:val="none" w:sz="0" w:space="0" w:color="auto"/>
              </w:divBdr>
            </w:div>
            <w:div w:id="1348756147">
              <w:marLeft w:val="0"/>
              <w:marRight w:val="0"/>
              <w:marTop w:val="0"/>
              <w:marBottom w:val="0"/>
              <w:divBdr>
                <w:top w:val="none" w:sz="0" w:space="0" w:color="auto"/>
                <w:left w:val="none" w:sz="0" w:space="0" w:color="auto"/>
                <w:bottom w:val="none" w:sz="0" w:space="0" w:color="auto"/>
                <w:right w:val="none" w:sz="0" w:space="0" w:color="auto"/>
              </w:divBdr>
            </w:div>
            <w:div w:id="160895580">
              <w:marLeft w:val="0"/>
              <w:marRight w:val="0"/>
              <w:marTop w:val="0"/>
              <w:marBottom w:val="0"/>
              <w:divBdr>
                <w:top w:val="none" w:sz="0" w:space="0" w:color="auto"/>
                <w:left w:val="none" w:sz="0" w:space="0" w:color="auto"/>
                <w:bottom w:val="none" w:sz="0" w:space="0" w:color="auto"/>
                <w:right w:val="none" w:sz="0" w:space="0" w:color="auto"/>
              </w:divBdr>
            </w:div>
            <w:div w:id="1768042910">
              <w:marLeft w:val="0"/>
              <w:marRight w:val="0"/>
              <w:marTop w:val="0"/>
              <w:marBottom w:val="0"/>
              <w:divBdr>
                <w:top w:val="none" w:sz="0" w:space="0" w:color="auto"/>
                <w:left w:val="none" w:sz="0" w:space="0" w:color="auto"/>
                <w:bottom w:val="none" w:sz="0" w:space="0" w:color="auto"/>
                <w:right w:val="none" w:sz="0" w:space="0" w:color="auto"/>
              </w:divBdr>
            </w:div>
            <w:div w:id="596015315">
              <w:marLeft w:val="0"/>
              <w:marRight w:val="0"/>
              <w:marTop w:val="0"/>
              <w:marBottom w:val="0"/>
              <w:divBdr>
                <w:top w:val="none" w:sz="0" w:space="0" w:color="auto"/>
                <w:left w:val="none" w:sz="0" w:space="0" w:color="auto"/>
                <w:bottom w:val="none" w:sz="0" w:space="0" w:color="auto"/>
                <w:right w:val="none" w:sz="0" w:space="0" w:color="auto"/>
              </w:divBdr>
            </w:div>
            <w:div w:id="1716731790">
              <w:marLeft w:val="0"/>
              <w:marRight w:val="0"/>
              <w:marTop w:val="0"/>
              <w:marBottom w:val="0"/>
              <w:divBdr>
                <w:top w:val="none" w:sz="0" w:space="0" w:color="auto"/>
                <w:left w:val="none" w:sz="0" w:space="0" w:color="auto"/>
                <w:bottom w:val="none" w:sz="0" w:space="0" w:color="auto"/>
                <w:right w:val="none" w:sz="0" w:space="0" w:color="auto"/>
              </w:divBdr>
            </w:div>
            <w:div w:id="916287170">
              <w:marLeft w:val="0"/>
              <w:marRight w:val="0"/>
              <w:marTop w:val="0"/>
              <w:marBottom w:val="0"/>
              <w:divBdr>
                <w:top w:val="none" w:sz="0" w:space="0" w:color="auto"/>
                <w:left w:val="none" w:sz="0" w:space="0" w:color="auto"/>
                <w:bottom w:val="none" w:sz="0" w:space="0" w:color="auto"/>
                <w:right w:val="none" w:sz="0" w:space="0" w:color="auto"/>
              </w:divBdr>
            </w:div>
            <w:div w:id="638535540">
              <w:marLeft w:val="0"/>
              <w:marRight w:val="0"/>
              <w:marTop w:val="0"/>
              <w:marBottom w:val="0"/>
              <w:divBdr>
                <w:top w:val="none" w:sz="0" w:space="0" w:color="auto"/>
                <w:left w:val="none" w:sz="0" w:space="0" w:color="auto"/>
                <w:bottom w:val="none" w:sz="0" w:space="0" w:color="auto"/>
                <w:right w:val="none" w:sz="0" w:space="0" w:color="auto"/>
              </w:divBdr>
            </w:div>
            <w:div w:id="1147358020">
              <w:marLeft w:val="0"/>
              <w:marRight w:val="0"/>
              <w:marTop w:val="0"/>
              <w:marBottom w:val="0"/>
              <w:divBdr>
                <w:top w:val="none" w:sz="0" w:space="0" w:color="auto"/>
                <w:left w:val="none" w:sz="0" w:space="0" w:color="auto"/>
                <w:bottom w:val="none" w:sz="0" w:space="0" w:color="auto"/>
                <w:right w:val="none" w:sz="0" w:space="0" w:color="auto"/>
              </w:divBdr>
            </w:div>
            <w:div w:id="2093886962">
              <w:marLeft w:val="0"/>
              <w:marRight w:val="0"/>
              <w:marTop w:val="0"/>
              <w:marBottom w:val="0"/>
              <w:divBdr>
                <w:top w:val="none" w:sz="0" w:space="0" w:color="auto"/>
                <w:left w:val="none" w:sz="0" w:space="0" w:color="auto"/>
                <w:bottom w:val="none" w:sz="0" w:space="0" w:color="auto"/>
                <w:right w:val="none" w:sz="0" w:space="0" w:color="auto"/>
              </w:divBdr>
            </w:div>
            <w:div w:id="755438763">
              <w:marLeft w:val="0"/>
              <w:marRight w:val="0"/>
              <w:marTop w:val="0"/>
              <w:marBottom w:val="0"/>
              <w:divBdr>
                <w:top w:val="none" w:sz="0" w:space="0" w:color="auto"/>
                <w:left w:val="none" w:sz="0" w:space="0" w:color="auto"/>
                <w:bottom w:val="none" w:sz="0" w:space="0" w:color="auto"/>
                <w:right w:val="none" w:sz="0" w:space="0" w:color="auto"/>
              </w:divBdr>
            </w:div>
            <w:div w:id="180958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23337">
      <w:marLeft w:val="0"/>
      <w:marRight w:val="0"/>
      <w:marTop w:val="0"/>
      <w:marBottom w:val="0"/>
      <w:divBdr>
        <w:top w:val="none" w:sz="0" w:space="0" w:color="auto"/>
        <w:left w:val="none" w:sz="0" w:space="0" w:color="auto"/>
        <w:bottom w:val="none" w:sz="0" w:space="0" w:color="auto"/>
        <w:right w:val="none" w:sz="0" w:space="0" w:color="auto"/>
      </w:divBdr>
      <w:divsChild>
        <w:div w:id="269704380">
          <w:marLeft w:val="0"/>
          <w:marRight w:val="0"/>
          <w:marTop w:val="0"/>
          <w:marBottom w:val="0"/>
          <w:divBdr>
            <w:top w:val="none" w:sz="0" w:space="0" w:color="auto"/>
            <w:left w:val="none" w:sz="0" w:space="0" w:color="auto"/>
            <w:bottom w:val="none" w:sz="0" w:space="0" w:color="auto"/>
            <w:right w:val="none" w:sz="0" w:space="0" w:color="auto"/>
          </w:divBdr>
        </w:div>
      </w:divsChild>
    </w:div>
    <w:div w:id="707145451">
      <w:marLeft w:val="0"/>
      <w:marRight w:val="0"/>
      <w:marTop w:val="0"/>
      <w:marBottom w:val="0"/>
      <w:divBdr>
        <w:top w:val="none" w:sz="0" w:space="0" w:color="auto"/>
        <w:left w:val="none" w:sz="0" w:space="0" w:color="auto"/>
        <w:bottom w:val="none" w:sz="0" w:space="0" w:color="auto"/>
        <w:right w:val="none" w:sz="0" w:space="0" w:color="auto"/>
      </w:divBdr>
      <w:divsChild>
        <w:div w:id="306017436">
          <w:marLeft w:val="0"/>
          <w:marRight w:val="0"/>
          <w:marTop w:val="0"/>
          <w:marBottom w:val="0"/>
          <w:divBdr>
            <w:top w:val="none" w:sz="0" w:space="0" w:color="auto"/>
            <w:left w:val="none" w:sz="0" w:space="0" w:color="auto"/>
            <w:bottom w:val="none" w:sz="0" w:space="0" w:color="auto"/>
            <w:right w:val="none" w:sz="0" w:space="0" w:color="auto"/>
          </w:divBdr>
        </w:div>
      </w:divsChild>
    </w:div>
    <w:div w:id="709768594">
      <w:bodyDiv w:val="1"/>
      <w:marLeft w:val="0"/>
      <w:marRight w:val="0"/>
      <w:marTop w:val="0"/>
      <w:marBottom w:val="0"/>
      <w:divBdr>
        <w:top w:val="none" w:sz="0" w:space="0" w:color="auto"/>
        <w:left w:val="none" w:sz="0" w:space="0" w:color="auto"/>
        <w:bottom w:val="none" w:sz="0" w:space="0" w:color="auto"/>
        <w:right w:val="none" w:sz="0" w:space="0" w:color="auto"/>
      </w:divBdr>
    </w:div>
    <w:div w:id="709914777">
      <w:marLeft w:val="0"/>
      <w:marRight w:val="0"/>
      <w:marTop w:val="0"/>
      <w:marBottom w:val="0"/>
      <w:divBdr>
        <w:top w:val="none" w:sz="0" w:space="0" w:color="auto"/>
        <w:left w:val="none" w:sz="0" w:space="0" w:color="auto"/>
        <w:bottom w:val="none" w:sz="0" w:space="0" w:color="auto"/>
        <w:right w:val="none" w:sz="0" w:space="0" w:color="auto"/>
      </w:divBdr>
      <w:divsChild>
        <w:div w:id="520970324">
          <w:marLeft w:val="0"/>
          <w:marRight w:val="0"/>
          <w:marTop w:val="0"/>
          <w:marBottom w:val="0"/>
          <w:divBdr>
            <w:top w:val="none" w:sz="0" w:space="0" w:color="auto"/>
            <w:left w:val="none" w:sz="0" w:space="0" w:color="auto"/>
            <w:bottom w:val="none" w:sz="0" w:space="0" w:color="auto"/>
            <w:right w:val="none" w:sz="0" w:space="0" w:color="auto"/>
          </w:divBdr>
        </w:div>
      </w:divsChild>
    </w:div>
    <w:div w:id="710228985">
      <w:bodyDiv w:val="1"/>
      <w:marLeft w:val="0"/>
      <w:marRight w:val="0"/>
      <w:marTop w:val="0"/>
      <w:marBottom w:val="0"/>
      <w:divBdr>
        <w:top w:val="none" w:sz="0" w:space="0" w:color="auto"/>
        <w:left w:val="none" w:sz="0" w:space="0" w:color="auto"/>
        <w:bottom w:val="none" w:sz="0" w:space="0" w:color="auto"/>
        <w:right w:val="none" w:sz="0" w:space="0" w:color="auto"/>
      </w:divBdr>
    </w:div>
    <w:div w:id="713696116">
      <w:marLeft w:val="0"/>
      <w:marRight w:val="0"/>
      <w:marTop w:val="0"/>
      <w:marBottom w:val="0"/>
      <w:divBdr>
        <w:top w:val="none" w:sz="0" w:space="0" w:color="auto"/>
        <w:left w:val="none" w:sz="0" w:space="0" w:color="auto"/>
        <w:bottom w:val="none" w:sz="0" w:space="0" w:color="auto"/>
        <w:right w:val="none" w:sz="0" w:space="0" w:color="auto"/>
      </w:divBdr>
      <w:divsChild>
        <w:div w:id="1914701138">
          <w:marLeft w:val="0"/>
          <w:marRight w:val="0"/>
          <w:marTop w:val="0"/>
          <w:marBottom w:val="0"/>
          <w:divBdr>
            <w:top w:val="none" w:sz="0" w:space="0" w:color="auto"/>
            <w:left w:val="none" w:sz="0" w:space="0" w:color="auto"/>
            <w:bottom w:val="none" w:sz="0" w:space="0" w:color="auto"/>
            <w:right w:val="none" w:sz="0" w:space="0" w:color="auto"/>
          </w:divBdr>
        </w:div>
      </w:divsChild>
    </w:div>
    <w:div w:id="716782813">
      <w:marLeft w:val="0"/>
      <w:marRight w:val="0"/>
      <w:marTop w:val="0"/>
      <w:marBottom w:val="0"/>
      <w:divBdr>
        <w:top w:val="none" w:sz="0" w:space="0" w:color="auto"/>
        <w:left w:val="none" w:sz="0" w:space="0" w:color="auto"/>
        <w:bottom w:val="none" w:sz="0" w:space="0" w:color="auto"/>
        <w:right w:val="none" w:sz="0" w:space="0" w:color="auto"/>
      </w:divBdr>
      <w:divsChild>
        <w:div w:id="1940408309">
          <w:marLeft w:val="0"/>
          <w:marRight w:val="0"/>
          <w:marTop w:val="0"/>
          <w:marBottom w:val="0"/>
          <w:divBdr>
            <w:top w:val="none" w:sz="0" w:space="0" w:color="auto"/>
            <w:left w:val="none" w:sz="0" w:space="0" w:color="auto"/>
            <w:bottom w:val="none" w:sz="0" w:space="0" w:color="auto"/>
            <w:right w:val="none" w:sz="0" w:space="0" w:color="auto"/>
          </w:divBdr>
        </w:div>
      </w:divsChild>
    </w:div>
    <w:div w:id="726681211">
      <w:marLeft w:val="0"/>
      <w:marRight w:val="0"/>
      <w:marTop w:val="0"/>
      <w:marBottom w:val="0"/>
      <w:divBdr>
        <w:top w:val="none" w:sz="0" w:space="0" w:color="auto"/>
        <w:left w:val="none" w:sz="0" w:space="0" w:color="auto"/>
        <w:bottom w:val="none" w:sz="0" w:space="0" w:color="auto"/>
        <w:right w:val="none" w:sz="0" w:space="0" w:color="auto"/>
      </w:divBdr>
      <w:divsChild>
        <w:div w:id="7175698">
          <w:marLeft w:val="0"/>
          <w:marRight w:val="0"/>
          <w:marTop w:val="0"/>
          <w:marBottom w:val="0"/>
          <w:divBdr>
            <w:top w:val="none" w:sz="0" w:space="0" w:color="auto"/>
            <w:left w:val="none" w:sz="0" w:space="0" w:color="auto"/>
            <w:bottom w:val="none" w:sz="0" w:space="0" w:color="auto"/>
            <w:right w:val="none" w:sz="0" w:space="0" w:color="auto"/>
          </w:divBdr>
        </w:div>
      </w:divsChild>
    </w:div>
    <w:div w:id="726759929">
      <w:marLeft w:val="0"/>
      <w:marRight w:val="0"/>
      <w:marTop w:val="0"/>
      <w:marBottom w:val="0"/>
      <w:divBdr>
        <w:top w:val="none" w:sz="0" w:space="0" w:color="auto"/>
        <w:left w:val="none" w:sz="0" w:space="0" w:color="auto"/>
        <w:bottom w:val="none" w:sz="0" w:space="0" w:color="auto"/>
        <w:right w:val="none" w:sz="0" w:space="0" w:color="auto"/>
      </w:divBdr>
      <w:divsChild>
        <w:div w:id="1259144090">
          <w:marLeft w:val="0"/>
          <w:marRight w:val="0"/>
          <w:marTop w:val="0"/>
          <w:marBottom w:val="0"/>
          <w:divBdr>
            <w:top w:val="none" w:sz="0" w:space="0" w:color="auto"/>
            <w:left w:val="none" w:sz="0" w:space="0" w:color="auto"/>
            <w:bottom w:val="none" w:sz="0" w:space="0" w:color="auto"/>
            <w:right w:val="none" w:sz="0" w:space="0" w:color="auto"/>
          </w:divBdr>
        </w:div>
      </w:divsChild>
    </w:div>
    <w:div w:id="730888821">
      <w:marLeft w:val="0"/>
      <w:marRight w:val="0"/>
      <w:marTop w:val="0"/>
      <w:marBottom w:val="0"/>
      <w:divBdr>
        <w:top w:val="none" w:sz="0" w:space="0" w:color="auto"/>
        <w:left w:val="none" w:sz="0" w:space="0" w:color="auto"/>
        <w:bottom w:val="none" w:sz="0" w:space="0" w:color="auto"/>
        <w:right w:val="none" w:sz="0" w:space="0" w:color="auto"/>
      </w:divBdr>
      <w:divsChild>
        <w:div w:id="510098809">
          <w:marLeft w:val="0"/>
          <w:marRight w:val="0"/>
          <w:marTop w:val="0"/>
          <w:marBottom w:val="0"/>
          <w:divBdr>
            <w:top w:val="none" w:sz="0" w:space="0" w:color="auto"/>
            <w:left w:val="none" w:sz="0" w:space="0" w:color="auto"/>
            <w:bottom w:val="none" w:sz="0" w:space="0" w:color="auto"/>
            <w:right w:val="none" w:sz="0" w:space="0" w:color="auto"/>
          </w:divBdr>
        </w:div>
      </w:divsChild>
    </w:div>
    <w:div w:id="731200296">
      <w:bodyDiv w:val="1"/>
      <w:marLeft w:val="0"/>
      <w:marRight w:val="0"/>
      <w:marTop w:val="0"/>
      <w:marBottom w:val="0"/>
      <w:divBdr>
        <w:top w:val="none" w:sz="0" w:space="0" w:color="auto"/>
        <w:left w:val="none" w:sz="0" w:space="0" w:color="auto"/>
        <w:bottom w:val="none" w:sz="0" w:space="0" w:color="auto"/>
        <w:right w:val="none" w:sz="0" w:space="0" w:color="auto"/>
      </w:divBdr>
    </w:div>
    <w:div w:id="733117568">
      <w:marLeft w:val="0"/>
      <w:marRight w:val="0"/>
      <w:marTop w:val="0"/>
      <w:marBottom w:val="0"/>
      <w:divBdr>
        <w:top w:val="none" w:sz="0" w:space="0" w:color="auto"/>
        <w:left w:val="none" w:sz="0" w:space="0" w:color="auto"/>
        <w:bottom w:val="none" w:sz="0" w:space="0" w:color="auto"/>
        <w:right w:val="none" w:sz="0" w:space="0" w:color="auto"/>
      </w:divBdr>
      <w:divsChild>
        <w:div w:id="1456174453">
          <w:marLeft w:val="0"/>
          <w:marRight w:val="0"/>
          <w:marTop w:val="0"/>
          <w:marBottom w:val="0"/>
          <w:divBdr>
            <w:top w:val="none" w:sz="0" w:space="0" w:color="auto"/>
            <w:left w:val="none" w:sz="0" w:space="0" w:color="auto"/>
            <w:bottom w:val="none" w:sz="0" w:space="0" w:color="auto"/>
            <w:right w:val="none" w:sz="0" w:space="0" w:color="auto"/>
          </w:divBdr>
        </w:div>
      </w:divsChild>
    </w:div>
    <w:div w:id="738987651">
      <w:marLeft w:val="0"/>
      <w:marRight w:val="0"/>
      <w:marTop w:val="0"/>
      <w:marBottom w:val="0"/>
      <w:divBdr>
        <w:top w:val="none" w:sz="0" w:space="0" w:color="auto"/>
        <w:left w:val="none" w:sz="0" w:space="0" w:color="auto"/>
        <w:bottom w:val="none" w:sz="0" w:space="0" w:color="auto"/>
        <w:right w:val="none" w:sz="0" w:space="0" w:color="auto"/>
      </w:divBdr>
      <w:divsChild>
        <w:div w:id="924145768">
          <w:marLeft w:val="0"/>
          <w:marRight w:val="0"/>
          <w:marTop w:val="0"/>
          <w:marBottom w:val="0"/>
          <w:divBdr>
            <w:top w:val="none" w:sz="0" w:space="0" w:color="auto"/>
            <w:left w:val="none" w:sz="0" w:space="0" w:color="auto"/>
            <w:bottom w:val="none" w:sz="0" w:space="0" w:color="auto"/>
            <w:right w:val="none" w:sz="0" w:space="0" w:color="auto"/>
          </w:divBdr>
        </w:div>
      </w:divsChild>
    </w:div>
    <w:div w:id="741025051">
      <w:marLeft w:val="0"/>
      <w:marRight w:val="0"/>
      <w:marTop w:val="0"/>
      <w:marBottom w:val="0"/>
      <w:divBdr>
        <w:top w:val="none" w:sz="0" w:space="0" w:color="auto"/>
        <w:left w:val="none" w:sz="0" w:space="0" w:color="auto"/>
        <w:bottom w:val="none" w:sz="0" w:space="0" w:color="auto"/>
        <w:right w:val="none" w:sz="0" w:space="0" w:color="auto"/>
      </w:divBdr>
      <w:divsChild>
        <w:div w:id="567888198">
          <w:marLeft w:val="0"/>
          <w:marRight w:val="0"/>
          <w:marTop w:val="0"/>
          <w:marBottom w:val="0"/>
          <w:divBdr>
            <w:top w:val="none" w:sz="0" w:space="0" w:color="auto"/>
            <w:left w:val="none" w:sz="0" w:space="0" w:color="auto"/>
            <w:bottom w:val="none" w:sz="0" w:space="0" w:color="auto"/>
            <w:right w:val="none" w:sz="0" w:space="0" w:color="auto"/>
          </w:divBdr>
        </w:div>
      </w:divsChild>
    </w:div>
    <w:div w:id="743524369">
      <w:marLeft w:val="0"/>
      <w:marRight w:val="0"/>
      <w:marTop w:val="0"/>
      <w:marBottom w:val="0"/>
      <w:divBdr>
        <w:top w:val="none" w:sz="0" w:space="0" w:color="auto"/>
        <w:left w:val="none" w:sz="0" w:space="0" w:color="auto"/>
        <w:bottom w:val="none" w:sz="0" w:space="0" w:color="auto"/>
        <w:right w:val="none" w:sz="0" w:space="0" w:color="auto"/>
      </w:divBdr>
      <w:divsChild>
        <w:div w:id="1584606372">
          <w:marLeft w:val="0"/>
          <w:marRight w:val="0"/>
          <w:marTop w:val="0"/>
          <w:marBottom w:val="0"/>
          <w:divBdr>
            <w:top w:val="none" w:sz="0" w:space="0" w:color="auto"/>
            <w:left w:val="none" w:sz="0" w:space="0" w:color="auto"/>
            <w:bottom w:val="none" w:sz="0" w:space="0" w:color="auto"/>
            <w:right w:val="none" w:sz="0" w:space="0" w:color="auto"/>
          </w:divBdr>
        </w:div>
      </w:divsChild>
    </w:div>
    <w:div w:id="745566209">
      <w:marLeft w:val="0"/>
      <w:marRight w:val="0"/>
      <w:marTop w:val="0"/>
      <w:marBottom w:val="0"/>
      <w:divBdr>
        <w:top w:val="none" w:sz="0" w:space="0" w:color="auto"/>
        <w:left w:val="none" w:sz="0" w:space="0" w:color="auto"/>
        <w:bottom w:val="none" w:sz="0" w:space="0" w:color="auto"/>
        <w:right w:val="none" w:sz="0" w:space="0" w:color="auto"/>
      </w:divBdr>
      <w:divsChild>
        <w:div w:id="2066096492">
          <w:marLeft w:val="0"/>
          <w:marRight w:val="0"/>
          <w:marTop w:val="0"/>
          <w:marBottom w:val="0"/>
          <w:divBdr>
            <w:top w:val="none" w:sz="0" w:space="0" w:color="auto"/>
            <w:left w:val="none" w:sz="0" w:space="0" w:color="auto"/>
            <w:bottom w:val="none" w:sz="0" w:space="0" w:color="auto"/>
            <w:right w:val="none" w:sz="0" w:space="0" w:color="auto"/>
          </w:divBdr>
        </w:div>
      </w:divsChild>
    </w:div>
    <w:div w:id="751047959">
      <w:marLeft w:val="0"/>
      <w:marRight w:val="0"/>
      <w:marTop w:val="0"/>
      <w:marBottom w:val="0"/>
      <w:divBdr>
        <w:top w:val="none" w:sz="0" w:space="0" w:color="auto"/>
        <w:left w:val="none" w:sz="0" w:space="0" w:color="auto"/>
        <w:bottom w:val="none" w:sz="0" w:space="0" w:color="auto"/>
        <w:right w:val="none" w:sz="0" w:space="0" w:color="auto"/>
      </w:divBdr>
      <w:divsChild>
        <w:div w:id="719937510">
          <w:marLeft w:val="0"/>
          <w:marRight w:val="0"/>
          <w:marTop w:val="0"/>
          <w:marBottom w:val="0"/>
          <w:divBdr>
            <w:top w:val="none" w:sz="0" w:space="0" w:color="auto"/>
            <w:left w:val="none" w:sz="0" w:space="0" w:color="auto"/>
            <w:bottom w:val="none" w:sz="0" w:space="0" w:color="auto"/>
            <w:right w:val="none" w:sz="0" w:space="0" w:color="auto"/>
          </w:divBdr>
        </w:div>
      </w:divsChild>
    </w:div>
    <w:div w:id="751242054">
      <w:marLeft w:val="0"/>
      <w:marRight w:val="0"/>
      <w:marTop w:val="0"/>
      <w:marBottom w:val="0"/>
      <w:divBdr>
        <w:top w:val="none" w:sz="0" w:space="0" w:color="auto"/>
        <w:left w:val="none" w:sz="0" w:space="0" w:color="auto"/>
        <w:bottom w:val="none" w:sz="0" w:space="0" w:color="auto"/>
        <w:right w:val="none" w:sz="0" w:space="0" w:color="auto"/>
      </w:divBdr>
      <w:divsChild>
        <w:div w:id="626668489">
          <w:marLeft w:val="0"/>
          <w:marRight w:val="0"/>
          <w:marTop w:val="0"/>
          <w:marBottom w:val="0"/>
          <w:divBdr>
            <w:top w:val="none" w:sz="0" w:space="0" w:color="auto"/>
            <w:left w:val="none" w:sz="0" w:space="0" w:color="auto"/>
            <w:bottom w:val="none" w:sz="0" w:space="0" w:color="auto"/>
            <w:right w:val="none" w:sz="0" w:space="0" w:color="auto"/>
          </w:divBdr>
        </w:div>
      </w:divsChild>
    </w:div>
    <w:div w:id="755322358">
      <w:marLeft w:val="0"/>
      <w:marRight w:val="0"/>
      <w:marTop w:val="0"/>
      <w:marBottom w:val="0"/>
      <w:divBdr>
        <w:top w:val="none" w:sz="0" w:space="0" w:color="auto"/>
        <w:left w:val="none" w:sz="0" w:space="0" w:color="auto"/>
        <w:bottom w:val="none" w:sz="0" w:space="0" w:color="auto"/>
        <w:right w:val="none" w:sz="0" w:space="0" w:color="auto"/>
      </w:divBdr>
      <w:divsChild>
        <w:div w:id="1981155900">
          <w:marLeft w:val="0"/>
          <w:marRight w:val="0"/>
          <w:marTop w:val="0"/>
          <w:marBottom w:val="0"/>
          <w:divBdr>
            <w:top w:val="none" w:sz="0" w:space="0" w:color="auto"/>
            <w:left w:val="none" w:sz="0" w:space="0" w:color="auto"/>
            <w:bottom w:val="none" w:sz="0" w:space="0" w:color="auto"/>
            <w:right w:val="none" w:sz="0" w:space="0" w:color="auto"/>
          </w:divBdr>
        </w:div>
      </w:divsChild>
    </w:div>
    <w:div w:id="757167386">
      <w:marLeft w:val="0"/>
      <w:marRight w:val="0"/>
      <w:marTop w:val="0"/>
      <w:marBottom w:val="0"/>
      <w:divBdr>
        <w:top w:val="none" w:sz="0" w:space="0" w:color="auto"/>
        <w:left w:val="none" w:sz="0" w:space="0" w:color="auto"/>
        <w:bottom w:val="none" w:sz="0" w:space="0" w:color="auto"/>
        <w:right w:val="none" w:sz="0" w:space="0" w:color="auto"/>
      </w:divBdr>
      <w:divsChild>
        <w:div w:id="434832002">
          <w:marLeft w:val="0"/>
          <w:marRight w:val="0"/>
          <w:marTop w:val="0"/>
          <w:marBottom w:val="0"/>
          <w:divBdr>
            <w:top w:val="none" w:sz="0" w:space="0" w:color="auto"/>
            <w:left w:val="none" w:sz="0" w:space="0" w:color="auto"/>
            <w:bottom w:val="none" w:sz="0" w:space="0" w:color="auto"/>
            <w:right w:val="none" w:sz="0" w:space="0" w:color="auto"/>
          </w:divBdr>
        </w:div>
      </w:divsChild>
    </w:div>
    <w:div w:id="757412372">
      <w:bodyDiv w:val="1"/>
      <w:marLeft w:val="0"/>
      <w:marRight w:val="0"/>
      <w:marTop w:val="0"/>
      <w:marBottom w:val="0"/>
      <w:divBdr>
        <w:top w:val="none" w:sz="0" w:space="0" w:color="auto"/>
        <w:left w:val="none" w:sz="0" w:space="0" w:color="auto"/>
        <w:bottom w:val="none" w:sz="0" w:space="0" w:color="auto"/>
        <w:right w:val="none" w:sz="0" w:space="0" w:color="auto"/>
      </w:divBdr>
    </w:div>
    <w:div w:id="763576513">
      <w:marLeft w:val="0"/>
      <w:marRight w:val="0"/>
      <w:marTop w:val="0"/>
      <w:marBottom w:val="0"/>
      <w:divBdr>
        <w:top w:val="none" w:sz="0" w:space="0" w:color="auto"/>
        <w:left w:val="none" w:sz="0" w:space="0" w:color="auto"/>
        <w:bottom w:val="none" w:sz="0" w:space="0" w:color="auto"/>
        <w:right w:val="none" w:sz="0" w:space="0" w:color="auto"/>
      </w:divBdr>
      <w:divsChild>
        <w:div w:id="1954053997">
          <w:marLeft w:val="0"/>
          <w:marRight w:val="0"/>
          <w:marTop w:val="0"/>
          <w:marBottom w:val="0"/>
          <w:divBdr>
            <w:top w:val="none" w:sz="0" w:space="0" w:color="auto"/>
            <w:left w:val="none" w:sz="0" w:space="0" w:color="auto"/>
            <w:bottom w:val="none" w:sz="0" w:space="0" w:color="auto"/>
            <w:right w:val="none" w:sz="0" w:space="0" w:color="auto"/>
          </w:divBdr>
        </w:div>
      </w:divsChild>
    </w:div>
    <w:div w:id="764379123">
      <w:bodyDiv w:val="1"/>
      <w:marLeft w:val="0"/>
      <w:marRight w:val="0"/>
      <w:marTop w:val="0"/>
      <w:marBottom w:val="0"/>
      <w:divBdr>
        <w:top w:val="none" w:sz="0" w:space="0" w:color="auto"/>
        <w:left w:val="none" w:sz="0" w:space="0" w:color="auto"/>
        <w:bottom w:val="none" w:sz="0" w:space="0" w:color="auto"/>
        <w:right w:val="none" w:sz="0" w:space="0" w:color="auto"/>
      </w:divBdr>
    </w:div>
    <w:div w:id="774134209">
      <w:bodyDiv w:val="1"/>
      <w:marLeft w:val="0"/>
      <w:marRight w:val="0"/>
      <w:marTop w:val="0"/>
      <w:marBottom w:val="0"/>
      <w:divBdr>
        <w:top w:val="none" w:sz="0" w:space="0" w:color="auto"/>
        <w:left w:val="none" w:sz="0" w:space="0" w:color="auto"/>
        <w:bottom w:val="none" w:sz="0" w:space="0" w:color="auto"/>
        <w:right w:val="none" w:sz="0" w:space="0" w:color="auto"/>
      </w:divBdr>
    </w:div>
    <w:div w:id="774324431">
      <w:marLeft w:val="0"/>
      <w:marRight w:val="0"/>
      <w:marTop w:val="0"/>
      <w:marBottom w:val="0"/>
      <w:divBdr>
        <w:top w:val="none" w:sz="0" w:space="0" w:color="auto"/>
        <w:left w:val="none" w:sz="0" w:space="0" w:color="auto"/>
        <w:bottom w:val="none" w:sz="0" w:space="0" w:color="auto"/>
        <w:right w:val="none" w:sz="0" w:space="0" w:color="auto"/>
      </w:divBdr>
      <w:divsChild>
        <w:div w:id="1949042910">
          <w:marLeft w:val="0"/>
          <w:marRight w:val="0"/>
          <w:marTop w:val="0"/>
          <w:marBottom w:val="0"/>
          <w:divBdr>
            <w:top w:val="none" w:sz="0" w:space="0" w:color="auto"/>
            <w:left w:val="none" w:sz="0" w:space="0" w:color="auto"/>
            <w:bottom w:val="none" w:sz="0" w:space="0" w:color="auto"/>
            <w:right w:val="none" w:sz="0" w:space="0" w:color="auto"/>
          </w:divBdr>
        </w:div>
      </w:divsChild>
    </w:div>
    <w:div w:id="775249599">
      <w:bodyDiv w:val="1"/>
      <w:marLeft w:val="0"/>
      <w:marRight w:val="0"/>
      <w:marTop w:val="0"/>
      <w:marBottom w:val="0"/>
      <w:divBdr>
        <w:top w:val="none" w:sz="0" w:space="0" w:color="auto"/>
        <w:left w:val="none" w:sz="0" w:space="0" w:color="auto"/>
        <w:bottom w:val="none" w:sz="0" w:space="0" w:color="auto"/>
        <w:right w:val="none" w:sz="0" w:space="0" w:color="auto"/>
      </w:divBdr>
    </w:div>
    <w:div w:id="776945870">
      <w:marLeft w:val="0"/>
      <w:marRight w:val="0"/>
      <w:marTop w:val="0"/>
      <w:marBottom w:val="0"/>
      <w:divBdr>
        <w:top w:val="none" w:sz="0" w:space="0" w:color="auto"/>
        <w:left w:val="none" w:sz="0" w:space="0" w:color="auto"/>
        <w:bottom w:val="none" w:sz="0" w:space="0" w:color="auto"/>
        <w:right w:val="none" w:sz="0" w:space="0" w:color="auto"/>
      </w:divBdr>
      <w:divsChild>
        <w:div w:id="666177248">
          <w:marLeft w:val="0"/>
          <w:marRight w:val="0"/>
          <w:marTop w:val="0"/>
          <w:marBottom w:val="0"/>
          <w:divBdr>
            <w:top w:val="none" w:sz="0" w:space="0" w:color="auto"/>
            <w:left w:val="none" w:sz="0" w:space="0" w:color="auto"/>
            <w:bottom w:val="none" w:sz="0" w:space="0" w:color="auto"/>
            <w:right w:val="none" w:sz="0" w:space="0" w:color="auto"/>
          </w:divBdr>
        </w:div>
      </w:divsChild>
    </w:div>
    <w:div w:id="777412085">
      <w:marLeft w:val="0"/>
      <w:marRight w:val="0"/>
      <w:marTop w:val="0"/>
      <w:marBottom w:val="0"/>
      <w:divBdr>
        <w:top w:val="none" w:sz="0" w:space="0" w:color="auto"/>
        <w:left w:val="none" w:sz="0" w:space="0" w:color="auto"/>
        <w:bottom w:val="none" w:sz="0" w:space="0" w:color="auto"/>
        <w:right w:val="none" w:sz="0" w:space="0" w:color="auto"/>
      </w:divBdr>
      <w:divsChild>
        <w:div w:id="306908422">
          <w:marLeft w:val="0"/>
          <w:marRight w:val="0"/>
          <w:marTop w:val="0"/>
          <w:marBottom w:val="0"/>
          <w:divBdr>
            <w:top w:val="none" w:sz="0" w:space="0" w:color="auto"/>
            <w:left w:val="none" w:sz="0" w:space="0" w:color="auto"/>
            <w:bottom w:val="none" w:sz="0" w:space="0" w:color="auto"/>
            <w:right w:val="none" w:sz="0" w:space="0" w:color="auto"/>
          </w:divBdr>
        </w:div>
      </w:divsChild>
    </w:div>
    <w:div w:id="778528116">
      <w:marLeft w:val="0"/>
      <w:marRight w:val="0"/>
      <w:marTop w:val="0"/>
      <w:marBottom w:val="0"/>
      <w:divBdr>
        <w:top w:val="none" w:sz="0" w:space="0" w:color="auto"/>
        <w:left w:val="none" w:sz="0" w:space="0" w:color="auto"/>
        <w:bottom w:val="none" w:sz="0" w:space="0" w:color="auto"/>
        <w:right w:val="none" w:sz="0" w:space="0" w:color="auto"/>
      </w:divBdr>
      <w:divsChild>
        <w:div w:id="2051147547">
          <w:marLeft w:val="0"/>
          <w:marRight w:val="0"/>
          <w:marTop w:val="0"/>
          <w:marBottom w:val="0"/>
          <w:divBdr>
            <w:top w:val="none" w:sz="0" w:space="0" w:color="auto"/>
            <w:left w:val="none" w:sz="0" w:space="0" w:color="auto"/>
            <w:bottom w:val="none" w:sz="0" w:space="0" w:color="auto"/>
            <w:right w:val="none" w:sz="0" w:space="0" w:color="auto"/>
          </w:divBdr>
        </w:div>
      </w:divsChild>
    </w:div>
    <w:div w:id="784081543">
      <w:marLeft w:val="0"/>
      <w:marRight w:val="0"/>
      <w:marTop w:val="0"/>
      <w:marBottom w:val="0"/>
      <w:divBdr>
        <w:top w:val="none" w:sz="0" w:space="0" w:color="auto"/>
        <w:left w:val="none" w:sz="0" w:space="0" w:color="auto"/>
        <w:bottom w:val="none" w:sz="0" w:space="0" w:color="auto"/>
        <w:right w:val="none" w:sz="0" w:space="0" w:color="auto"/>
      </w:divBdr>
      <w:divsChild>
        <w:div w:id="122970610">
          <w:marLeft w:val="0"/>
          <w:marRight w:val="0"/>
          <w:marTop w:val="0"/>
          <w:marBottom w:val="0"/>
          <w:divBdr>
            <w:top w:val="none" w:sz="0" w:space="0" w:color="auto"/>
            <w:left w:val="none" w:sz="0" w:space="0" w:color="auto"/>
            <w:bottom w:val="none" w:sz="0" w:space="0" w:color="auto"/>
            <w:right w:val="none" w:sz="0" w:space="0" w:color="auto"/>
          </w:divBdr>
        </w:div>
      </w:divsChild>
    </w:div>
    <w:div w:id="784814553">
      <w:marLeft w:val="0"/>
      <w:marRight w:val="0"/>
      <w:marTop w:val="0"/>
      <w:marBottom w:val="0"/>
      <w:divBdr>
        <w:top w:val="none" w:sz="0" w:space="0" w:color="auto"/>
        <w:left w:val="none" w:sz="0" w:space="0" w:color="auto"/>
        <w:bottom w:val="none" w:sz="0" w:space="0" w:color="auto"/>
        <w:right w:val="none" w:sz="0" w:space="0" w:color="auto"/>
      </w:divBdr>
      <w:divsChild>
        <w:div w:id="1446189396">
          <w:marLeft w:val="0"/>
          <w:marRight w:val="0"/>
          <w:marTop w:val="0"/>
          <w:marBottom w:val="0"/>
          <w:divBdr>
            <w:top w:val="none" w:sz="0" w:space="0" w:color="auto"/>
            <w:left w:val="none" w:sz="0" w:space="0" w:color="auto"/>
            <w:bottom w:val="none" w:sz="0" w:space="0" w:color="auto"/>
            <w:right w:val="none" w:sz="0" w:space="0" w:color="auto"/>
          </w:divBdr>
        </w:div>
      </w:divsChild>
    </w:div>
    <w:div w:id="786891720">
      <w:marLeft w:val="0"/>
      <w:marRight w:val="0"/>
      <w:marTop w:val="0"/>
      <w:marBottom w:val="0"/>
      <w:divBdr>
        <w:top w:val="none" w:sz="0" w:space="0" w:color="auto"/>
        <w:left w:val="none" w:sz="0" w:space="0" w:color="auto"/>
        <w:bottom w:val="none" w:sz="0" w:space="0" w:color="auto"/>
        <w:right w:val="none" w:sz="0" w:space="0" w:color="auto"/>
      </w:divBdr>
      <w:divsChild>
        <w:div w:id="1232811500">
          <w:marLeft w:val="0"/>
          <w:marRight w:val="0"/>
          <w:marTop w:val="0"/>
          <w:marBottom w:val="0"/>
          <w:divBdr>
            <w:top w:val="none" w:sz="0" w:space="0" w:color="auto"/>
            <w:left w:val="none" w:sz="0" w:space="0" w:color="auto"/>
            <w:bottom w:val="none" w:sz="0" w:space="0" w:color="auto"/>
            <w:right w:val="none" w:sz="0" w:space="0" w:color="auto"/>
          </w:divBdr>
        </w:div>
      </w:divsChild>
    </w:div>
    <w:div w:id="788546113">
      <w:marLeft w:val="0"/>
      <w:marRight w:val="150"/>
      <w:marTop w:val="0"/>
      <w:marBottom w:val="0"/>
      <w:divBdr>
        <w:top w:val="none" w:sz="0" w:space="0" w:color="auto"/>
        <w:left w:val="none" w:sz="0" w:space="0" w:color="auto"/>
        <w:bottom w:val="none" w:sz="0" w:space="0" w:color="auto"/>
        <w:right w:val="none" w:sz="0" w:space="0" w:color="auto"/>
      </w:divBdr>
      <w:divsChild>
        <w:div w:id="958023329">
          <w:marLeft w:val="0"/>
          <w:marRight w:val="150"/>
          <w:marTop w:val="0"/>
          <w:marBottom w:val="0"/>
          <w:divBdr>
            <w:top w:val="none" w:sz="0" w:space="0" w:color="auto"/>
            <w:left w:val="none" w:sz="0" w:space="0" w:color="auto"/>
            <w:bottom w:val="none" w:sz="0" w:space="0" w:color="auto"/>
            <w:right w:val="none" w:sz="0" w:space="0" w:color="auto"/>
          </w:divBdr>
        </w:div>
      </w:divsChild>
    </w:div>
    <w:div w:id="791363175">
      <w:bodyDiv w:val="1"/>
      <w:marLeft w:val="0"/>
      <w:marRight w:val="0"/>
      <w:marTop w:val="0"/>
      <w:marBottom w:val="0"/>
      <w:divBdr>
        <w:top w:val="none" w:sz="0" w:space="0" w:color="auto"/>
        <w:left w:val="none" w:sz="0" w:space="0" w:color="auto"/>
        <w:bottom w:val="none" w:sz="0" w:space="0" w:color="auto"/>
        <w:right w:val="none" w:sz="0" w:space="0" w:color="auto"/>
      </w:divBdr>
    </w:div>
    <w:div w:id="792405425">
      <w:marLeft w:val="0"/>
      <w:marRight w:val="0"/>
      <w:marTop w:val="0"/>
      <w:marBottom w:val="0"/>
      <w:divBdr>
        <w:top w:val="none" w:sz="0" w:space="0" w:color="auto"/>
        <w:left w:val="none" w:sz="0" w:space="0" w:color="auto"/>
        <w:bottom w:val="none" w:sz="0" w:space="0" w:color="auto"/>
        <w:right w:val="none" w:sz="0" w:space="0" w:color="auto"/>
      </w:divBdr>
      <w:divsChild>
        <w:div w:id="608782993">
          <w:marLeft w:val="0"/>
          <w:marRight w:val="0"/>
          <w:marTop w:val="0"/>
          <w:marBottom w:val="0"/>
          <w:divBdr>
            <w:top w:val="none" w:sz="0" w:space="0" w:color="auto"/>
            <w:left w:val="none" w:sz="0" w:space="0" w:color="auto"/>
            <w:bottom w:val="none" w:sz="0" w:space="0" w:color="auto"/>
            <w:right w:val="none" w:sz="0" w:space="0" w:color="auto"/>
          </w:divBdr>
        </w:div>
      </w:divsChild>
    </w:div>
    <w:div w:id="792595204">
      <w:bodyDiv w:val="1"/>
      <w:marLeft w:val="0"/>
      <w:marRight w:val="0"/>
      <w:marTop w:val="0"/>
      <w:marBottom w:val="0"/>
      <w:divBdr>
        <w:top w:val="none" w:sz="0" w:space="0" w:color="auto"/>
        <w:left w:val="none" w:sz="0" w:space="0" w:color="auto"/>
        <w:bottom w:val="none" w:sz="0" w:space="0" w:color="auto"/>
        <w:right w:val="none" w:sz="0" w:space="0" w:color="auto"/>
      </w:divBdr>
    </w:div>
    <w:div w:id="792674060">
      <w:marLeft w:val="0"/>
      <w:marRight w:val="0"/>
      <w:marTop w:val="0"/>
      <w:marBottom w:val="0"/>
      <w:divBdr>
        <w:top w:val="none" w:sz="0" w:space="0" w:color="auto"/>
        <w:left w:val="none" w:sz="0" w:space="0" w:color="auto"/>
        <w:bottom w:val="none" w:sz="0" w:space="0" w:color="auto"/>
        <w:right w:val="none" w:sz="0" w:space="0" w:color="auto"/>
      </w:divBdr>
      <w:divsChild>
        <w:div w:id="1120226150">
          <w:marLeft w:val="0"/>
          <w:marRight w:val="0"/>
          <w:marTop w:val="0"/>
          <w:marBottom w:val="0"/>
          <w:divBdr>
            <w:top w:val="none" w:sz="0" w:space="0" w:color="auto"/>
            <w:left w:val="none" w:sz="0" w:space="0" w:color="auto"/>
            <w:bottom w:val="none" w:sz="0" w:space="0" w:color="auto"/>
            <w:right w:val="none" w:sz="0" w:space="0" w:color="auto"/>
          </w:divBdr>
        </w:div>
      </w:divsChild>
    </w:div>
    <w:div w:id="794376119">
      <w:bodyDiv w:val="1"/>
      <w:marLeft w:val="0"/>
      <w:marRight w:val="0"/>
      <w:marTop w:val="0"/>
      <w:marBottom w:val="0"/>
      <w:divBdr>
        <w:top w:val="none" w:sz="0" w:space="0" w:color="auto"/>
        <w:left w:val="none" w:sz="0" w:space="0" w:color="auto"/>
        <w:bottom w:val="none" w:sz="0" w:space="0" w:color="auto"/>
        <w:right w:val="none" w:sz="0" w:space="0" w:color="auto"/>
      </w:divBdr>
    </w:div>
    <w:div w:id="795224594">
      <w:bodyDiv w:val="1"/>
      <w:marLeft w:val="0"/>
      <w:marRight w:val="0"/>
      <w:marTop w:val="0"/>
      <w:marBottom w:val="0"/>
      <w:divBdr>
        <w:top w:val="none" w:sz="0" w:space="0" w:color="auto"/>
        <w:left w:val="none" w:sz="0" w:space="0" w:color="auto"/>
        <w:bottom w:val="none" w:sz="0" w:space="0" w:color="auto"/>
        <w:right w:val="none" w:sz="0" w:space="0" w:color="auto"/>
      </w:divBdr>
    </w:div>
    <w:div w:id="796721901">
      <w:marLeft w:val="0"/>
      <w:marRight w:val="0"/>
      <w:marTop w:val="0"/>
      <w:marBottom w:val="0"/>
      <w:divBdr>
        <w:top w:val="none" w:sz="0" w:space="0" w:color="auto"/>
        <w:left w:val="none" w:sz="0" w:space="0" w:color="auto"/>
        <w:bottom w:val="none" w:sz="0" w:space="0" w:color="auto"/>
        <w:right w:val="none" w:sz="0" w:space="0" w:color="auto"/>
      </w:divBdr>
      <w:divsChild>
        <w:div w:id="104812054">
          <w:marLeft w:val="0"/>
          <w:marRight w:val="0"/>
          <w:marTop w:val="0"/>
          <w:marBottom w:val="0"/>
          <w:divBdr>
            <w:top w:val="none" w:sz="0" w:space="0" w:color="auto"/>
            <w:left w:val="none" w:sz="0" w:space="0" w:color="auto"/>
            <w:bottom w:val="none" w:sz="0" w:space="0" w:color="auto"/>
            <w:right w:val="none" w:sz="0" w:space="0" w:color="auto"/>
          </w:divBdr>
        </w:div>
      </w:divsChild>
    </w:div>
    <w:div w:id="807867194">
      <w:bodyDiv w:val="1"/>
      <w:marLeft w:val="0"/>
      <w:marRight w:val="0"/>
      <w:marTop w:val="0"/>
      <w:marBottom w:val="0"/>
      <w:divBdr>
        <w:top w:val="none" w:sz="0" w:space="0" w:color="auto"/>
        <w:left w:val="none" w:sz="0" w:space="0" w:color="auto"/>
        <w:bottom w:val="none" w:sz="0" w:space="0" w:color="auto"/>
        <w:right w:val="none" w:sz="0" w:space="0" w:color="auto"/>
      </w:divBdr>
    </w:div>
    <w:div w:id="808744526">
      <w:bodyDiv w:val="1"/>
      <w:marLeft w:val="0"/>
      <w:marRight w:val="0"/>
      <w:marTop w:val="0"/>
      <w:marBottom w:val="0"/>
      <w:divBdr>
        <w:top w:val="none" w:sz="0" w:space="0" w:color="auto"/>
        <w:left w:val="none" w:sz="0" w:space="0" w:color="auto"/>
        <w:bottom w:val="none" w:sz="0" w:space="0" w:color="auto"/>
        <w:right w:val="none" w:sz="0" w:space="0" w:color="auto"/>
      </w:divBdr>
      <w:divsChild>
        <w:div w:id="1709334352">
          <w:marLeft w:val="0"/>
          <w:marRight w:val="0"/>
          <w:marTop w:val="0"/>
          <w:marBottom w:val="0"/>
          <w:divBdr>
            <w:top w:val="none" w:sz="0" w:space="0" w:color="auto"/>
            <w:left w:val="none" w:sz="0" w:space="0" w:color="auto"/>
            <w:bottom w:val="none" w:sz="0" w:space="0" w:color="auto"/>
            <w:right w:val="none" w:sz="0" w:space="0" w:color="auto"/>
          </w:divBdr>
          <w:divsChild>
            <w:div w:id="1528984370">
              <w:marLeft w:val="0"/>
              <w:marRight w:val="0"/>
              <w:marTop w:val="0"/>
              <w:marBottom w:val="0"/>
              <w:divBdr>
                <w:top w:val="none" w:sz="0" w:space="0" w:color="auto"/>
                <w:left w:val="none" w:sz="0" w:space="0" w:color="auto"/>
                <w:bottom w:val="none" w:sz="0" w:space="0" w:color="auto"/>
                <w:right w:val="none" w:sz="0" w:space="0" w:color="auto"/>
              </w:divBdr>
            </w:div>
            <w:div w:id="1799645051">
              <w:marLeft w:val="0"/>
              <w:marRight w:val="0"/>
              <w:marTop w:val="0"/>
              <w:marBottom w:val="0"/>
              <w:divBdr>
                <w:top w:val="none" w:sz="0" w:space="0" w:color="auto"/>
                <w:left w:val="none" w:sz="0" w:space="0" w:color="auto"/>
                <w:bottom w:val="none" w:sz="0" w:space="0" w:color="auto"/>
                <w:right w:val="none" w:sz="0" w:space="0" w:color="auto"/>
              </w:divBdr>
            </w:div>
            <w:div w:id="1984313468">
              <w:marLeft w:val="0"/>
              <w:marRight w:val="0"/>
              <w:marTop w:val="0"/>
              <w:marBottom w:val="0"/>
              <w:divBdr>
                <w:top w:val="none" w:sz="0" w:space="0" w:color="auto"/>
                <w:left w:val="none" w:sz="0" w:space="0" w:color="auto"/>
                <w:bottom w:val="none" w:sz="0" w:space="0" w:color="auto"/>
                <w:right w:val="none" w:sz="0" w:space="0" w:color="auto"/>
              </w:divBdr>
            </w:div>
            <w:div w:id="2026595131">
              <w:marLeft w:val="0"/>
              <w:marRight w:val="0"/>
              <w:marTop w:val="0"/>
              <w:marBottom w:val="0"/>
              <w:divBdr>
                <w:top w:val="none" w:sz="0" w:space="0" w:color="auto"/>
                <w:left w:val="none" w:sz="0" w:space="0" w:color="auto"/>
                <w:bottom w:val="none" w:sz="0" w:space="0" w:color="auto"/>
                <w:right w:val="none" w:sz="0" w:space="0" w:color="auto"/>
              </w:divBdr>
            </w:div>
            <w:div w:id="2080901039">
              <w:marLeft w:val="0"/>
              <w:marRight w:val="0"/>
              <w:marTop w:val="0"/>
              <w:marBottom w:val="0"/>
              <w:divBdr>
                <w:top w:val="none" w:sz="0" w:space="0" w:color="auto"/>
                <w:left w:val="none" w:sz="0" w:space="0" w:color="auto"/>
                <w:bottom w:val="none" w:sz="0" w:space="0" w:color="auto"/>
                <w:right w:val="none" w:sz="0" w:space="0" w:color="auto"/>
              </w:divBdr>
            </w:div>
            <w:div w:id="1301694964">
              <w:marLeft w:val="0"/>
              <w:marRight w:val="0"/>
              <w:marTop w:val="0"/>
              <w:marBottom w:val="0"/>
              <w:divBdr>
                <w:top w:val="none" w:sz="0" w:space="0" w:color="auto"/>
                <w:left w:val="none" w:sz="0" w:space="0" w:color="auto"/>
                <w:bottom w:val="none" w:sz="0" w:space="0" w:color="auto"/>
                <w:right w:val="none" w:sz="0" w:space="0" w:color="auto"/>
              </w:divBdr>
            </w:div>
            <w:div w:id="872424085">
              <w:marLeft w:val="0"/>
              <w:marRight w:val="0"/>
              <w:marTop w:val="0"/>
              <w:marBottom w:val="0"/>
              <w:divBdr>
                <w:top w:val="none" w:sz="0" w:space="0" w:color="auto"/>
                <w:left w:val="none" w:sz="0" w:space="0" w:color="auto"/>
                <w:bottom w:val="none" w:sz="0" w:space="0" w:color="auto"/>
                <w:right w:val="none" w:sz="0" w:space="0" w:color="auto"/>
              </w:divBdr>
            </w:div>
            <w:div w:id="807015789">
              <w:marLeft w:val="0"/>
              <w:marRight w:val="0"/>
              <w:marTop w:val="0"/>
              <w:marBottom w:val="0"/>
              <w:divBdr>
                <w:top w:val="none" w:sz="0" w:space="0" w:color="auto"/>
                <w:left w:val="none" w:sz="0" w:space="0" w:color="auto"/>
                <w:bottom w:val="none" w:sz="0" w:space="0" w:color="auto"/>
                <w:right w:val="none" w:sz="0" w:space="0" w:color="auto"/>
              </w:divBdr>
            </w:div>
            <w:div w:id="193932422">
              <w:marLeft w:val="0"/>
              <w:marRight w:val="0"/>
              <w:marTop w:val="0"/>
              <w:marBottom w:val="0"/>
              <w:divBdr>
                <w:top w:val="none" w:sz="0" w:space="0" w:color="auto"/>
                <w:left w:val="none" w:sz="0" w:space="0" w:color="auto"/>
                <w:bottom w:val="none" w:sz="0" w:space="0" w:color="auto"/>
                <w:right w:val="none" w:sz="0" w:space="0" w:color="auto"/>
              </w:divBdr>
            </w:div>
            <w:div w:id="441728762">
              <w:marLeft w:val="0"/>
              <w:marRight w:val="0"/>
              <w:marTop w:val="0"/>
              <w:marBottom w:val="0"/>
              <w:divBdr>
                <w:top w:val="none" w:sz="0" w:space="0" w:color="auto"/>
                <w:left w:val="none" w:sz="0" w:space="0" w:color="auto"/>
                <w:bottom w:val="none" w:sz="0" w:space="0" w:color="auto"/>
                <w:right w:val="none" w:sz="0" w:space="0" w:color="auto"/>
              </w:divBdr>
            </w:div>
            <w:div w:id="521943689">
              <w:marLeft w:val="0"/>
              <w:marRight w:val="0"/>
              <w:marTop w:val="0"/>
              <w:marBottom w:val="0"/>
              <w:divBdr>
                <w:top w:val="none" w:sz="0" w:space="0" w:color="auto"/>
                <w:left w:val="none" w:sz="0" w:space="0" w:color="auto"/>
                <w:bottom w:val="none" w:sz="0" w:space="0" w:color="auto"/>
                <w:right w:val="none" w:sz="0" w:space="0" w:color="auto"/>
              </w:divBdr>
            </w:div>
            <w:div w:id="686565568">
              <w:marLeft w:val="0"/>
              <w:marRight w:val="0"/>
              <w:marTop w:val="0"/>
              <w:marBottom w:val="0"/>
              <w:divBdr>
                <w:top w:val="none" w:sz="0" w:space="0" w:color="auto"/>
                <w:left w:val="none" w:sz="0" w:space="0" w:color="auto"/>
                <w:bottom w:val="none" w:sz="0" w:space="0" w:color="auto"/>
                <w:right w:val="none" w:sz="0" w:space="0" w:color="auto"/>
              </w:divBdr>
            </w:div>
            <w:div w:id="1884708323">
              <w:marLeft w:val="0"/>
              <w:marRight w:val="0"/>
              <w:marTop w:val="0"/>
              <w:marBottom w:val="0"/>
              <w:divBdr>
                <w:top w:val="none" w:sz="0" w:space="0" w:color="auto"/>
                <w:left w:val="none" w:sz="0" w:space="0" w:color="auto"/>
                <w:bottom w:val="none" w:sz="0" w:space="0" w:color="auto"/>
                <w:right w:val="none" w:sz="0" w:space="0" w:color="auto"/>
              </w:divBdr>
            </w:div>
            <w:div w:id="1609695856">
              <w:marLeft w:val="0"/>
              <w:marRight w:val="0"/>
              <w:marTop w:val="0"/>
              <w:marBottom w:val="0"/>
              <w:divBdr>
                <w:top w:val="none" w:sz="0" w:space="0" w:color="auto"/>
                <w:left w:val="none" w:sz="0" w:space="0" w:color="auto"/>
                <w:bottom w:val="none" w:sz="0" w:space="0" w:color="auto"/>
                <w:right w:val="none" w:sz="0" w:space="0" w:color="auto"/>
              </w:divBdr>
            </w:div>
            <w:div w:id="167909923">
              <w:marLeft w:val="0"/>
              <w:marRight w:val="0"/>
              <w:marTop w:val="0"/>
              <w:marBottom w:val="0"/>
              <w:divBdr>
                <w:top w:val="none" w:sz="0" w:space="0" w:color="auto"/>
                <w:left w:val="none" w:sz="0" w:space="0" w:color="auto"/>
                <w:bottom w:val="none" w:sz="0" w:space="0" w:color="auto"/>
                <w:right w:val="none" w:sz="0" w:space="0" w:color="auto"/>
              </w:divBdr>
            </w:div>
            <w:div w:id="1354260454">
              <w:marLeft w:val="0"/>
              <w:marRight w:val="0"/>
              <w:marTop w:val="0"/>
              <w:marBottom w:val="0"/>
              <w:divBdr>
                <w:top w:val="none" w:sz="0" w:space="0" w:color="auto"/>
                <w:left w:val="none" w:sz="0" w:space="0" w:color="auto"/>
                <w:bottom w:val="none" w:sz="0" w:space="0" w:color="auto"/>
                <w:right w:val="none" w:sz="0" w:space="0" w:color="auto"/>
              </w:divBdr>
            </w:div>
            <w:div w:id="225148582">
              <w:marLeft w:val="0"/>
              <w:marRight w:val="0"/>
              <w:marTop w:val="0"/>
              <w:marBottom w:val="0"/>
              <w:divBdr>
                <w:top w:val="none" w:sz="0" w:space="0" w:color="auto"/>
                <w:left w:val="none" w:sz="0" w:space="0" w:color="auto"/>
                <w:bottom w:val="none" w:sz="0" w:space="0" w:color="auto"/>
                <w:right w:val="none" w:sz="0" w:space="0" w:color="auto"/>
              </w:divBdr>
            </w:div>
            <w:div w:id="1679886720">
              <w:marLeft w:val="0"/>
              <w:marRight w:val="0"/>
              <w:marTop w:val="0"/>
              <w:marBottom w:val="0"/>
              <w:divBdr>
                <w:top w:val="none" w:sz="0" w:space="0" w:color="auto"/>
                <w:left w:val="none" w:sz="0" w:space="0" w:color="auto"/>
                <w:bottom w:val="none" w:sz="0" w:space="0" w:color="auto"/>
                <w:right w:val="none" w:sz="0" w:space="0" w:color="auto"/>
              </w:divBdr>
            </w:div>
            <w:div w:id="152189170">
              <w:marLeft w:val="0"/>
              <w:marRight w:val="0"/>
              <w:marTop w:val="0"/>
              <w:marBottom w:val="0"/>
              <w:divBdr>
                <w:top w:val="none" w:sz="0" w:space="0" w:color="auto"/>
                <w:left w:val="none" w:sz="0" w:space="0" w:color="auto"/>
                <w:bottom w:val="none" w:sz="0" w:space="0" w:color="auto"/>
                <w:right w:val="none" w:sz="0" w:space="0" w:color="auto"/>
              </w:divBdr>
            </w:div>
            <w:div w:id="975986370">
              <w:marLeft w:val="0"/>
              <w:marRight w:val="0"/>
              <w:marTop w:val="0"/>
              <w:marBottom w:val="0"/>
              <w:divBdr>
                <w:top w:val="none" w:sz="0" w:space="0" w:color="auto"/>
                <w:left w:val="none" w:sz="0" w:space="0" w:color="auto"/>
                <w:bottom w:val="none" w:sz="0" w:space="0" w:color="auto"/>
                <w:right w:val="none" w:sz="0" w:space="0" w:color="auto"/>
              </w:divBdr>
            </w:div>
            <w:div w:id="126518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402166">
      <w:marLeft w:val="0"/>
      <w:marRight w:val="0"/>
      <w:marTop w:val="0"/>
      <w:marBottom w:val="0"/>
      <w:divBdr>
        <w:top w:val="none" w:sz="0" w:space="0" w:color="auto"/>
        <w:left w:val="none" w:sz="0" w:space="0" w:color="auto"/>
        <w:bottom w:val="none" w:sz="0" w:space="0" w:color="auto"/>
        <w:right w:val="none" w:sz="0" w:space="0" w:color="auto"/>
      </w:divBdr>
      <w:divsChild>
        <w:div w:id="356934614">
          <w:marLeft w:val="0"/>
          <w:marRight w:val="0"/>
          <w:marTop w:val="0"/>
          <w:marBottom w:val="0"/>
          <w:divBdr>
            <w:top w:val="none" w:sz="0" w:space="0" w:color="auto"/>
            <w:left w:val="none" w:sz="0" w:space="0" w:color="auto"/>
            <w:bottom w:val="none" w:sz="0" w:space="0" w:color="auto"/>
            <w:right w:val="none" w:sz="0" w:space="0" w:color="auto"/>
          </w:divBdr>
        </w:div>
      </w:divsChild>
    </w:div>
    <w:div w:id="809980406">
      <w:marLeft w:val="0"/>
      <w:marRight w:val="0"/>
      <w:marTop w:val="0"/>
      <w:marBottom w:val="0"/>
      <w:divBdr>
        <w:top w:val="none" w:sz="0" w:space="0" w:color="auto"/>
        <w:left w:val="none" w:sz="0" w:space="0" w:color="auto"/>
        <w:bottom w:val="none" w:sz="0" w:space="0" w:color="auto"/>
        <w:right w:val="none" w:sz="0" w:space="0" w:color="auto"/>
      </w:divBdr>
      <w:divsChild>
        <w:div w:id="2024160465">
          <w:marLeft w:val="0"/>
          <w:marRight w:val="0"/>
          <w:marTop w:val="0"/>
          <w:marBottom w:val="0"/>
          <w:divBdr>
            <w:top w:val="none" w:sz="0" w:space="0" w:color="auto"/>
            <w:left w:val="none" w:sz="0" w:space="0" w:color="auto"/>
            <w:bottom w:val="none" w:sz="0" w:space="0" w:color="auto"/>
            <w:right w:val="none" w:sz="0" w:space="0" w:color="auto"/>
          </w:divBdr>
        </w:div>
      </w:divsChild>
    </w:div>
    <w:div w:id="810368930">
      <w:marLeft w:val="0"/>
      <w:marRight w:val="0"/>
      <w:marTop w:val="0"/>
      <w:marBottom w:val="0"/>
      <w:divBdr>
        <w:top w:val="none" w:sz="0" w:space="0" w:color="auto"/>
        <w:left w:val="none" w:sz="0" w:space="0" w:color="auto"/>
        <w:bottom w:val="none" w:sz="0" w:space="0" w:color="auto"/>
        <w:right w:val="none" w:sz="0" w:space="0" w:color="auto"/>
      </w:divBdr>
      <w:divsChild>
        <w:div w:id="665743382">
          <w:marLeft w:val="0"/>
          <w:marRight w:val="0"/>
          <w:marTop w:val="0"/>
          <w:marBottom w:val="0"/>
          <w:divBdr>
            <w:top w:val="none" w:sz="0" w:space="0" w:color="auto"/>
            <w:left w:val="none" w:sz="0" w:space="0" w:color="auto"/>
            <w:bottom w:val="none" w:sz="0" w:space="0" w:color="auto"/>
            <w:right w:val="none" w:sz="0" w:space="0" w:color="auto"/>
          </w:divBdr>
        </w:div>
      </w:divsChild>
    </w:div>
    <w:div w:id="815298904">
      <w:bodyDiv w:val="1"/>
      <w:marLeft w:val="0"/>
      <w:marRight w:val="0"/>
      <w:marTop w:val="0"/>
      <w:marBottom w:val="0"/>
      <w:divBdr>
        <w:top w:val="none" w:sz="0" w:space="0" w:color="auto"/>
        <w:left w:val="none" w:sz="0" w:space="0" w:color="auto"/>
        <w:bottom w:val="none" w:sz="0" w:space="0" w:color="auto"/>
        <w:right w:val="none" w:sz="0" w:space="0" w:color="auto"/>
      </w:divBdr>
    </w:div>
    <w:div w:id="816262331">
      <w:marLeft w:val="0"/>
      <w:marRight w:val="0"/>
      <w:marTop w:val="0"/>
      <w:marBottom w:val="0"/>
      <w:divBdr>
        <w:top w:val="none" w:sz="0" w:space="0" w:color="auto"/>
        <w:left w:val="none" w:sz="0" w:space="0" w:color="auto"/>
        <w:bottom w:val="none" w:sz="0" w:space="0" w:color="auto"/>
        <w:right w:val="none" w:sz="0" w:space="0" w:color="auto"/>
      </w:divBdr>
      <w:divsChild>
        <w:div w:id="543908472">
          <w:marLeft w:val="0"/>
          <w:marRight w:val="0"/>
          <w:marTop w:val="0"/>
          <w:marBottom w:val="0"/>
          <w:divBdr>
            <w:top w:val="none" w:sz="0" w:space="0" w:color="auto"/>
            <w:left w:val="none" w:sz="0" w:space="0" w:color="auto"/>
            <w:bottom w:val="none" w:sz="0" w:space="0" w:color="auto"/>
            <w:right w:val="none" w:sz="0" w:space="0" w:color="auto"/>
          </w:divBdr>
        </w:div>
      </w:divsChild>
    </w:div>
    <w:div w:id="817769778">
      <w:marLeft w:val="0"/>
      <w:marRight w:val="0"/>
      <w:marTop w:val="0"/>
      <w:marBottom w:val="0"/>
      <w:divBdr>
        <w:top w:val="none" w:sz="0" w:space="0" w:color="auto"/>
        <w:left w:val="none" w:sz="0" w:space="0" w:color="auto"/>
        <w:bottom w:val="none" w:sz="0" w:space="0" w:color="auto"/>
        <w:right w:val="none" w:sz="0" w:space="0" w:color="auto"/>
      </w:divBdr>
      <w:divsChild>
        <w:div w:id="1672946865">
          <w:marLeft w:val="0"/>
          <w:marRight w:val="0"/>
          <w:marTop w:val="0"/>
          <w:marBottom w:val="0"/>
          <w:divBdr>
            <w:top w:val="none" w:sz="0" w:space="0" w:color="auto"/>
            <w:left w:val="none" w:sz="0" w:space="0" w:color="auto"/>
            <w:bottom w:val="none" w:sz="0" w:space="0" w:color="auto"/>
            <w:right w:val="none" w:sz="0" w:space="0" w:color="auto"/>
          </w:divBdr>
        </w:div>
      </w:divsChild>
    </w:div>
    <w:div w:id="817964359">
      <w:bodyDiv w:val="1"/>
      <w:marLeft w:val="0"/>
      <w:marRight w:val="0"/>
      <w:marTop w:val="0"/>
      <w:marBottom w:val="0"/>
      <w:divBdr>
        <w:top w:val="none" w:sz="0" w:space="0" w:color="auto"/>
        <w:left w:val="none" w:sz="0" w:space="0" w:color="auto"/>
        <w:bottom w:val="none" w:sz="0" w:space="0" w:color="auto"/>
        <w:right w:val="none" w:sz="0" w:space="0" w:color="auto"/>
      </w:divBdr>
    </w:div>
    <w:div w:id="818614900">
      <w:bodyDiv w:val="1"/>
      <w:marLeft w:val="0"/>
      <w:marRight w:val="0"/>
      <w:marTop w:val="0"/>
      <w:marBottom w:val="0"/>
      <w:divBdr>
        <w:top w:val="none" w:sz="0" w:space="0" w:color="auto"/>
        <w:left w:val="none" w:sz="0" w:space="0" w:color="auto"/>
        <w:bottom w:val="none" w:sz="0" w:space="0" w:color="auto"/>
        <w:right w:val="none" w:sz="0" w:space="0" w:color="auto"/>
      </w:divBdr>
    </w:div>
    <w:div w:id="823473073">
      <w:marLeft w:val="0"/>
      <w:marRight w:val="0"/>
      <w:marTop w:val="0"/>
      <w:marBottom w:val="0"/>
      <w:divBdr>
        <w:top w:val="none" w:sz="0" w:space="0" w:color="auto"/>
        <w:left w:val="none" w:sz="0" w:space="0" w:color="auto"/>
        <w:bottom w:val="none" w:sz="0" w:space="0" w:color="auto"/>
        <w:right w:val="none" w:sz="0" w:space="0" w:color="auto"/>
      </w:divBdr>
      <w:divsChild>
        <w:div w:id="527959088">
          <w:marLeft w:val="0"/>
          <w:marRight w:val="0"/>
          <w:marTop w:val="0"/>
          <w:marBottom w:val="0"/>
          <w:divBdr>
            <w:top w:val="none" w:sz="0" w:space="0" w:color="auto"/>
            <w:left w:val="none" w:sz="0" w:space="0" w:color="auto"/>
            <w:bottom w:val="none" w:sz="0" w:space="0" w:color="auto"/>
            <w:right w:val="none" w:sz="0" w:space="0" w:color="auto"/>
          </w:divBdr>
        </w:div>
      </w:divsChild>
    </w:div>
    <w:div w:id="824127294">
      <w:marLeft w:val="0"/>
      <w:marRight w:val="0"/>
      <w:marTop w:val="0"/>
      <w:marBottom w:val="0"/>
      <w:divBdr>
        <w:top w:val="none" w:sz="0" w:space="0" w:color="auto"/>
        <w:left w:val="none" w:sz="0" w:space="0" w:color="auto"/>
        <w:bottom w:val="none" w:sz="0" w:space="0" w:color="auto"/>
        <w:right w:val="none" w:sz="0" w:space="0" w:color="auto"/>
      </w:divBdr>
      <w:divsChild>
        <w:div w:id="1907647923">
          <w:marLeft w:val="0"/>
          <w:marRight w:val="0"/>
          <w:marTop w:val="0"/>
          <w:marBottom w:val="0"/>
          <w:divBdr>
            <w:top w:val="none" w:sz="0" w:space="0" w:color="auto"/>
            <w:left w:val="none" w:sz="0" w:space="0" w:color="auto"/>
            <w:bottom w:val="none" w:sz="0" w:space="0" w:color="auto"/>
            <w:right w:val="none" w:sz="0" w:space="0" w:color="auto"/>
          </w:divBdr>
        </w:div>
      </w:divsChild>
    </w:div>
    <w:div w:id="824782916">
      <w:marLeft w:val="0"/>
      <w:marRight w:val="0"/>
      <w:marTop w:val="0"/>
      <w:marBottom w:val="0"/>
      <w:divBdr>
        <w:top w:val="none" w:sz="0" w:space="0" w:color="auto"/>
        <w:left w:val="none" w:sz="0" w:space="0" w:color="auto"/>
        <w:bottom w:val="none" w:sz="0" w:space="0" w:color="auto"/>
        <w:right w:val="none" w:sz="0" w:space="0" w:color="auto"/>
      </w:divBdr>
      <w:divsChild>
        <w:div w:id="1786995590">
          <w:marLeft w:val="0"/>
          <w:marRight w:val="0"/>
          <w:marTop w:val="0"/>
          <w:marBottom w:val="0"/>
          <w:divBdr>
            <w:top w:val="none" w:sz="0" w:space="0" w:color="auto"/>
            <w:left w:val="none" w:sz="0" w:space="0" w:color="auto"/>
            <w:bottom w:val="none" w:sz="0" w:space="0" w:color="auto"/>
            <w:right w:val="none" w:sz="0" w:space="0" w:color="auto"/>
          </w:divBdr>
        </w:div>
      </w:divsChild>
    </w:div>
    <w:div w:id="829062641">
      <w:bodyDiv w:val="1"/>
      <w:marLeft w:val="0"/>
      <w:marRight w:val="0"/>
      <w:marTop w:val="0"/>
      <w:marBottom w:val="0"/>
      <w:divBdr>
        <w:top w:val="none" w:sz="0" w:space="0" w:color="auto"/>
        <w:left w:val="none" w:sz="0" w:space="0" w:color="auto"/>
        <w:bottom w:val="none" w:sz="0" w:space="0" w:color="auto"/>
        <w:right w:val="none" w:sz="0" w:space="0" w:color="auto"/>
      </w:divBdr>
    </w:div>
    <w:div w:id="831798309">
      <w:marLeft w:val="0"/>
      <w:marRight w:val="0"/>
      <w:marTop w:val="0"/>
      <w:marBottom w:val="0"/>
      <w:divBdr>
        <w:top w:val="none" w:sz="0" w:space="0" w:color="auto"/>
        <w:left w:val="none" w:sz="0" w:space="0" w:color="auto"/>
        <w:bottom w:val="none" w:sz="0" w:space="0" w:color="auto"/>
        <w:right w:val="none" w:sz="0" w:space="0" w:color="auto"/>
      </w:divBdr>
      <w:divsChild>
        <w:div w:id="719279818">
          <w:marLeft w:val="0"/>
          <w:marRight w:val="0"/>
          <w:marTop w:val="0"/>
          <w:marBottom w:val="0"/>
          <w:divBdr>
            <w:top w:val="none" w:sz="0" w:space="0" w:color="auto"/>
            <w:left w:val="none" w:sz="0" w:space="0" w:color="auto"/>
            <w:bottom w:val="none" w:sz="0" w:space="0" w:color="auto"/>
            <w:right w:val="none" w:sz="0" w:space="0" w:color="auto"/>
          </w:divBdr>
        </w:div>
      </w:divsChild>
    </w:div>
    <w:div w:id="832839388">
      <w:bodyDiv w:val="1"/>
      <w:marLeft w:val="0"/>
      <w:marRight w:val="0"/>
      <w:marTop w:val="0"/>
      <w:marBottom w:val="0"/>
      <w:divBdr>
        <w:top w:val="none" w:sz="0" w:space="0" w:color="auto"/>
        <w:left w:val="none" w:sz="0" w:space="0" w:color="auto"/>
        <w:bottom w:val="none" w:sz="0" w:space="0" w:color="auto"/>
        <w:right w:val="none" w:sz="0" w:space="0" w:color="auto"/>
      </w:divBdr>
    </w:div>
    <w:div w:id="836070978">
      <w:marLeft w:val="0"/>
      <w:marRight w:val="0"/>
      <w:marTop w:val="0"/>
      <w:marBottom w:val="0"/>
      <w:divBdr>
        <w:top w:val="none" w:sz="0" w:space="0" w:color="auto"/>
        <w:left w:val="none" w:sz="0" w:space="0" w:color="auto"/>
        <w:bottom w:val="none" w:sz="0" w:space="0" w:color="auto"/>
        <w:right w:val="none" w:sz="0" w:space="0" w:color="auto"/>
      </w:divBdr>
      <w:divsChild>
        <w:div w:id="1570573137">
          <w:marLeft w:val="0"/>
          <w:marRight w:val="0"/>
          <w:marTop w:val="0"/>
          <w:marBottom w:val="0"/>
          <w:divBdr>
            <w:top w:val="none" w:sz="0" w:space="0" w:color="auto"/>
            <w:left w:val="none" w:sz="0" w:space="0" w:color="auto"/>
            <w:bottom w:val="none" w:sz="0" w:space="0" w:color="auto"/>
            <w:right w:val="none" w:sz="0" w:space="0" w:color="auto"/>
          </w:divBdr>
        </w:div>
      </w:divsChild>
    </w:div>
    <w:div w:id="836506631">
      <w:bodyDiv w:val="1"/>
      <w:marLeft w:val="0"/>
      <w:marRight w:val="0"/>
      <w:marTop w:val="0"/>
      <w:marBottom w:val="0"/>
      <w:divBdr>
        <w:top w:val="none" w:sz="0" w:space="0" w:color="auto"/>
        <w:left w:val="none" w:sz="0" w:space="0" w:color="auto"/>
        <w:bottom w:val="none" w:sz="0" w:space="0" w:color="auto"/>
        <w:right w:val="none" w:sz="0" w:space="0" w:color="auto"/>
      </w:divBdr>
    </w:div>
    <w:div w:id="837304164">
      <w:bodyDiv w:val="1"/>
      <w:marLeft w:val="0"/>
      <w:marRight w:val="0"/>
      <w:marTop w:val="0"/>
      <w:marBottom w:val="0"/>
      <w:divBdr>
        <w:top w:val="none" w:sz="0" w:space="0" w:color="auto"/>
        <w:left w:val="none" w:sz="0" w:space="0" w:color="auto"/>
        <w:bottom w:val="none" w:sz="0" w:space="0" w:color="auto"/>
        <w:right w:val="none" w:sz="0" w:space="0" w:color="auto"/>
      </w:divBdr>
    </w:div>
    <w:div w:id="838157475">
      <w:bodyDiv w:val="1"/>
      <w:marLeft w:val="0"/>
      <w:marRight w:val="0"/>
      <w:marTop w:val="0"/>
      <w:marBottom w:val="0"/>
      <w:divBdr>
        <w:top w:val="none" w:sz="0" w:space="0" w:color="auto"/>
        <w:left w:val="none" w:sz="0" w:space="0" w:color="auto"/>
        <w:bottom w:val="none" w:sz="0" w:space="0" w:color="auto"/>
        <w:right w:val="none" w:sz="0" w:space="0" w:color="auto"/>
      </w:divBdr>
    </w:div>
    <w:div w:id="839664987">
      <w:bodyDiv w:val="1"/>
      <w:marLeft w:val="0"/>
      <w:marRight w:val="0"/>
      <w:marTop w:val="0"/>
      <w:marBottom w:val="0"/>
      <w:divBdr>
        <w:top w:val="none" w:sz="0" w:space="0" w:color="auto"/>
        <w:left w:val="none" w:sz="0" w:space="0" w:color="auto"/>
        <w:bottom w:val="none" w:sz="0" w:space="0" w:color="auto"/>
        <w:right w:val="none" w:sz="0" w:space="0" w:color="auto"/>
      </w:divBdr>
      <w:divsChild>
        <w:div w:id="674504197">
          <w:marLeft w:val="0"/>
          <w:marRight w:val="0"/>
          <w:marTop w:val="0"/>
          <w:marBottom w:val="0"/>
          <w:divBdr>
            <w:top w:val="none" w:sz="0" w:space="0" w:color="auto"/>
            <w:left w:val="none" w:sz="0" w:space="0" w:color="auto"/>
            <w:bottom w:val="none" w:sz="0" w:space="0" w:color="auto"/>
            <w:right w:val="none" w:sz="0" w:space="0" w:color="auto"/>
          </w:divBdr>
          <w:divsChild>
            <w:div w:id="1454253948">
              <w:marLeft w:val="0"/>
              <w:marRight w:val="0"/>
              <w:marTop w:val="0"/>
              <w:marBottom w:val="0"/>
              <w:divBdr>
                <w:top w:val="none" w:sz="0" w:space="0" w:color="auto"/>
                <w:left w:val="none" w:sz="0" w:space="0" w:color="auto"/>
                <w:bottom w:val="none" w:sz="0" w:space="0" w:color="auto"/>
                <w:right w:val="none" w:sz="0" w:space="0" w:color="auto"/>
              </w:divBdr>
            </w:div>
            <w:div w:id="1141312010">
              <w:marLeft w:val="0"/>
              <w:marRight w:val="0"/>
              <w:marTop w:val="0"/>
              <w:marBottom w:val="0"/>
              <w:divBdr>
                <w:top w:val="none" w:sz="0" w:space="0" w:color="auto"/>
                <w:left w:val="none" w:sz="0" w:space="0" w:color="auto"/>
                <w:bottom w:val="none" w:sz="0" w:space="0" w:color="auto"/>
                <w:right w:val="none" w:sz="0" w:space="0" w:color="auto"/>
              </w:divBdr>
            </w:div>
            <w:div w:id="858203069">
              <w:marLeft w:val="0"/>
              <w:marRight w:val="0"/>
              <w:marTop w:val="0"/>
              <w:marBottom w:val="0"/>
              <w:divBdr>
                <w:top w:val="none" w:sz="0" w:space="0" w:color="auto"/>
                <w:left w:val="none" w:sz="0" w:space="0" w:color="auto"/>
                <w:bottom w:val="none" w:sz="0" w:space="0" w:color="auto"/>
                <w:right w:val="none" w:sz="0" w:space="0" w:color="auto"/>
              </w:divBdr>
            </w:div>
            <w:div w:id="244849146">
              <w:marLeft w:val="0"/>
              <w:marRight w:val="0"/>
              <w:marTop w:val="0"/>
              <w:marBottom w:val="0"/>
              <w:divBdr>
                <w:top w:val="none" w:sz="0" w:space="0" w:color="auto"/>
                <w:left w:val="none" w:sz="0" w:space="0" w:color="auto"/>
                <w:bottom w:val="none" w:sz="0" w:space="0" w:color="auto"/>
                <w:right w:val="none" w:sz="0" w:space="0" w:color="auto"/>
              </w:divBdr>
            </w:div>
            <w:div w:id="447362002">
              <w:marLeft w:val="0"/>
              <w:marRight w:val="0"/>
              <w:marTop w:val="0"/>
              <w:marBottom w:val="0"/>
              <w:divBdr>
                <w:top w:val="none" w:sz="0" w:space="0" w:color="auto"/>
                <w:left w:val="none" w:sz="0" w:space="0" w:color="auto"/>
                <w:bottom w:val="none" w:sz="0" w:space="0" w:color="auto"/>
                <w:right w:val="none" w:sz="0" w:space="0" w:color="auto"/>
              </w:divBdr>
            </w:div>
            <w:div w:id="488912856">
              <w:marLeft w:val="0"/>
              <w:marRight w:val="0"/>
              <w:marTop w:val="0"/>
              <w:marBottom w:val="0"/>
              <w:divBdr>
                <w:top w:val="none" w:sz="0" w:space="0" w:color="auto"/>
                <w:left w:val="none" w:sz="0" w:space="0" w:color="auto"/>
                <w:bottom w:val="none" w:sz="0" w:space="0" w:color="auto"/>
                <w:right w:val="none" w:sz="0" w:space="0" w:color="auto"/>
              </w:divBdr>
            </w:div>
            <w:div w:id="1615363483">
              <w:marLeft w:val="0"/>
              <w:marRight w:val="0"/>
              <w:marTop w:val="0"/>
              <w:marBottom w:val="0"/>
              <w:divBdr>
                <w:top w:val="none" w:sz="0" w:space="0" w:color="auto"/>
                <w:left w:val="none" w:sz="0" w:space="0" w:color="auto"/>
                <w:bottom w:val="none" w:sz="0" w:space="0" w:color="auto"/>
                <w:right w:val="none" w:sz="0" w:space="0" w:color="auto"/>
              </w:divBdr>
            </w:div>
            <w:div w:id="1501237866">
              <w:marLeft w:val="0"/>
              <w:marRight w:val="0"/>
              <w:marTop w:val="0"/>
              <w:marBottom w:val="0"/>
              <w:divBdr>
                <w:top w:val="none" w:sz="0" w:space="0" w:color="auto"/>
                <w:left w:val="none" w:sz="0" w:space="0" w:color="auto"/>
                <w:bottom w:val="none" w:sz="0" w:space="0" w:color="auto"/>
                <w:right w:val="none" w:sz="0" w:space="0" w:color="auto"/>
              </w:divBdr>
            </w:div>
            <w:div w:id="2082829317">
              <w:marLeft w:val="0"/>
              <w:marRight w:val="0"/>
              <w:marTop w:val="0"/>
              <w:marBottom w:val="0"/>
              <w:divBdr>
                <w:top w:val="none" w:sz="0" w:space="0" w:color="auto"/>
                <w:left w:val="none" w:sz="0" w:space="0" w:color="auto"/>
                <w:bottom w:val="none" w:sz="0" w:space="0" w:color="auto"/>
                <w:right w:val="none" w:sz="0" w:space="0" w:color="auto"/>
              </w:divBdr>
            </w:div>
            <w:div w:id="76286797">
              <w:marLeft w:val="0"/>
              <w:marRight w:val="0"/>
              <w:marTop w:val="0"/>
              <w:marBottom w:val="0"/>
              <w:divBdr>
                <w:top w:val="none" w:sz="0" w:space="0" w:color="auto"/>
                <w:left w:val="none" w:sz="0" w:space="0" w:color="auto"/>
                <w:bottom w:val="none" w:sz="0" w:space="0" w:color="auto"/>
                <w:right w:val="none" w:sz="0" w:space="0" w:color="auto"/>
              </w:divBdr>
            </w:div>
            <w:div w:id="413478989">
              <w:marLeft w:val="0"/>
              <w:marRight w:val="0"/>
              <w:marTop w:val="0"/>
              <w:marBottom w:val="0"/>
              <w:divBdr>
                <w:top w:val="none" w:sz="0" w:space="0" w:color="auto"/>
                <w:left w:val="none" w:sz="0" w:space="0" w:color="auto"/>
                <w:bottom w:val="none" w:sz="0" w:space="0" w:color="auto"/>
                <w:right w:val="none" w:sz="0" w:space="0" w:color="auto"/>
              </w:divBdr>
            </w:div>
            <w:div w:id="174853036">
              <w:marLeft w:val="0"/>
              <w:marRight w:val="0"/>
              <w:marTop w:val="0"/>
              <w:marBottom w:val="0"/>
              <w:divBdr>
                <w:top w:val="none" w:sz="0" w:space="0" w:color="auto"/>
                <w:left w:val="none" w:sz="0" w:space="0" w:color="auto"/>
                <w:bottom w:val="none" w:sz="0" w:space="0" w:color="auto"/>
                <w:right w:val="none" w:sz="0" w:space="0" w:color="auto"/>
              </w:divBdr>
            </w:div>
            <w:div w:id="1089934566">
              <w:marLeft w:val="0"/>
              <w:marRight w:val="0"/>
              <w:marTop w:val="0"/>
              <w:marBottom w:val="0"/>
              <w:divBdr>
                <w:top w:val="none" w:sz="0" w:space="0" w:color="auto"/>
                <w:left w:val="none" w:sz="0" w:space="0" w:color="auto"/>
                <w:bottom w:val="none" w:sz="0" w:space="0" w:color="auto"/>
                <w:right w:val="none" w:sz="0" w:space="0" w:color="auto"/>
              </w:divBdr>
            </w:div>
            <w:div w:id="1483349878">
              <w:marLeft w:val="0"/>
              <w:marRight w:val="0"/>
              <w:marTop w:val="0"/>
              <w:marBottom w:val="0"/>
              <w:divBdr>
                <w:top w:val="none" w:sz="0" w:space="0" w:color="auto"/>
                <w:left w:val="none" w:sz="0" w:space="0" w:color="auto"/>
                <w:bottom w:val="none" w:sz="0" w:space="0" w:color="auto"/>
                <w:right w:val="none" w:sz="0" w:space="0" w:color="auto"/>
              </w:divBdr>
            </w:div>
            <w:div w:id="34473254">
              <w:marLeft w:val="0"/>
              <w:marRight w:val="0"/>
              <w:marTop w:val="0"/>
              <w:marBottom w:val="0"/>
              <w:divBdr>
                <w:top w:val="none" w:sz="0" w:space="0" w:color="auto"/>
                <w:left w:val="none" w:sz="0" w:space="0" w:color="auto"/>
                <w:bottom w:val="none" w:sz="0" w:space="0" w:color="auto"/>
                <w:right w:val="none" w:sz="0" w:space="0" w:color="auto"/>
              </w:divBdr>
            </w:div>
            <w:div w:id="144054681">
              <w:marLeft w:val="0"/>
              <w:marRight w:val="0"/>
              <w:marTop w:val="0"/>
              <w:marBottom w:val="0"/>
              <w:divBdr>
                <w:top w:val="none" w:sz="0" w:space="0" w:color="auto"/>
                <w:left w:val="none" w:sz="0" w:space="0" w:color="auto"/>
                <w:bottom w:val="none" w:sz="0" w:space="0" w:color="auto"/>
                <w:right w:val="none" w:sz="0" w:space="0" w:color="auto"/>
              </w:divBdr>
            </w:div>
            <w:div w:id="567955533">
              <w:marLeft w:val="0"/>
              <w:marRight w:val="0"/>
              <w:marTop w:val="0"/>
              <w:marBottom w:val="0"/>
              <w:divBdr>
                <w:top w:val="none" w:sz="0" w:space="0" w:color="auto"/>
                <w:left w:val="none" w:sz="0" w:space="0" w:color="auto"/>
                <w:bottom w:val="none" w:sz="0" w:space="0" w:color="auto"/>
                <w:right w:val="none" w:sz="0" w:space="0" w:color="auto"/>
              </w:divBdr>
            </w:div>
            <w:div w:id="908073286">
              <w:marLeft w:val="0"/>
              <w:marRight w:val="0"/>
              <w:marTop w:val="0"/>
              <w:marBottom w:val="0"/>
              <w:divBdr>
                <w:top w:val="none" w:sz="0" w:space="0" w:color="auto"/>
                <w:left w:val="none" w:sz="0" w:space="0" w:color="auto"/>
                <w:bottom w:val="none" w:sz="0" w:space="0" w:color="auto"/>
                <w:right w:val="none" w:sz="0" w:space="0" w:color="auto"/>
              </w:divBdr>
            </w:div>
            <w:div w:id="653949940">
              <w:marLeft w:val="0"/>
              <w:marRight w:val="0"/>
              <w:marTop w:val="0"/>
              <w:marBottom w:val="0"/>
              <w:divBdr>
                <w:top w:val="none" w:sz="0" w:space="0" w:color="auto"/>
                <w:left w:val="none" w:sz="0" w:space="0" w:color="auto"/>
                <w:bottom w:val="none" w:sz="0" w:space="0" w:color="auto"/>
                <w:right w:val="none" w:sz="0" w:space="0" w:color="auto"/>
              </w:divBdr>
            </w:div>
            <w:div w:id="2008366542">
              <w:marLeft w:val="0"/>
              <w:marRight w:val="0"/>
              <w:marTop w:val="0"/>
              <w:marBottom w:val="0"/>
              <w:divBdr>
                <w:top w:val="none" w:sz="0" w:space="0" w:color="auto"/>
                <w:left w:val="none" w:sz="0" w:space="0" w:color="auto"/>
                <w:bottom w:val="none" w:sz="0" w:space="0" w:color="auto"/>
                <w:right w:val="none" w:sz="0" w:space="0" w:color="auto"/>
              </w:divBdr>
            </w:div>
            <w:div w:id="620915426">
              <w:marLeft w:val="0"/>
              <w:marRight w:val="0"/>
              <w:marTop w:val="0"/>
              <w:marBottom w:val="0"/>
              <w:divBdr>
                <w:top w:val="none" w:sz="0" w:space="0" w:color="auto"/>
                <w:left w:val="none" w:sz="0" w:space="0" w:color="auto"/>
                <w:bottom w:val="none" w:sz="0" w:space="0" w:color="auto"/>
                <w:right w:val="none" w:sz="0" w:space="0" w:color="auto"/>
              </w:divBdr>
            </w:div>
            <w:div w:id="293751969">
              <w:marLeft w:val="0"/>
              <w:marRight w:val="0"/>
              <w:marTop w:val="0"/>
              <w:marBottom w:val="0"/>
              <w:divBdr>
                <w:top w:val="none" w:sz="0" w:space="0" w:color="auto"/>
                <w:left w:val="none" w:sz="0" w:space="0" w:color="auto"/>
                <w:bottom w:val="none" w:sz="0" w:space="0" w:color="auto"/>
                <w:right w:val="none" w:sz="0" w:space="0" w:color="auto"/>
              </w:divBdr>
            </w:div>
            <w:div w:id="1514487615">
              <w:marLeft w:val="0"/>
              <w:marRight w:val="0"/>
              <w:marTop w:val="0"/>
              <w:marBottom w:val="0"/>
              <w:divBdr>
                <w:top w:val="none" w:sz="0" w:space="0" w:color="auto"/>
                <w:left w:val="none" w:sz="0" w:space="0" w:color="auto"/>
                <w:bottom w:val="none" w:sz="0" w:space="0" w:color="auto"/>
                <w:right w:val="none" w:sz="0" w:space="0" w:color="auto"/>
              </w:divBdr>
            </w:div>
            <w:div w:id="1730298353">
              <w:marLeft w:val="0"/>
              <w:marRight w:val="0"/>
              <w:marTop w:val="0"/>
              <w:marBottom w:val="0"/>
              <w:divBdr>
                <w:top w:val="none" w:sz="0" w:space="0" w:color="auto"/>
                <w:left w:val="none" w:sz="0" w:space="0" w:color="auto"/>
                <w:bottom w:val="none" w:sz="0" w:space="0" w:color="auto"/>
                <w:right w:val="none" w:sz="0" w:space="0" w:color="auto"/>
              </w:divBdr>
            </w:div>
            <w:div w:id="1550411694">
              <w:marLeft w:val="0"/>
              <w:marRight w:val="0"/>
              <w:marTop w:val="0"/>
              <w:marBottom w:val="0"/>
              <w:divBdr>
                <w:top w:val="none" w:sz="0" w:space="0" w:color="auto"/>
                <w:left w:val="none" w:sz="0" w:space="0" w:color="auto"/>
                <w:bottom w:val="none" w:sz="0" w:space="0" w:color="auto"/>
                <w:right w:val="none" w:sz="0" w:space="0" w:color="auto"/>
              </w:divBdr>
            </w:div>
            <w:div w:id="383020649">
              <w:marLeft w:val="0"/>
              <w:marRight w:val="0"/>
              <w:marTop w:val="0"/>
              <w:marBottom w:val="0"/>
              <w:divBdr>
                <w:top w:val="none" w:sz="0" w:space="0" w:color="auto"/>
                <w:left w:val="none" w:sz="0" w:space="0" w:color="auto"/>
                <w:bottom w:val="none" w:sz="0" w:space="0" w:color="auto"/>
                <w:right w:val="none" w:sz="0" w:space="0" w:color="auto"/>
              </w:divBdr>
            </w:div>
            <w:div w:id="1486623189">
              <w:marLeft w:val="0"/>
              <w:marRight w:val="0"/>
              <w:marTop w:val="0"/>
              <w:marBottom w:val="0"/>
              <w:divBdr>
                <w:top w:val="none" w:sz="0" w:space="0" w:color="auto"/>
                <w:left w:val="none" w:sz="0" w:space="0" w:color="auto"/>
                <w:bottom w:val="none" w:sz="0" w:space="0" w:color="auto"/>
                <w:right w:val="none" w:sz="0" w:space="0" w:color="auto"/>
              </w:divBdr>
            </w:div>
            <w:div w:id="717975625">
              <w:marLeft w:val="0"/>
              <w:marRight w:val="0"/>
              <w:marTop w:val="0"/>
              <w:marBottom w:val="0"/>
              <w:divBdr>
                <w:top w:val="none" w:sz="0" w:space="0" w:color="auto"/>
                <w:left w:val="none" w:sz="0" w:space="0" w:color="auto"/>
                <w:bottom w:val="none" w:sz="0" w:space="0" w:color="auto"/>
                <w:right w:val="none" w:sz="0" w:space="0" w:color="auto"/>
              </w:divBdr>
            </w:div>
            <w:div w:id="1409230297">
              <w:marLeft w:val="0"/>
              <w:marRight w:val="0"/>
              <w:marTop w:val="0"/>
              <w:marBottom w:val="0"/>
              <w:divBdr>
                <w:top w:val="none" w:sz="0" w:space="0" w:color="auto"/>
                <w:left w:val="none" w:sz="0" w:space="0" w:color="auto"/>
                <w:bottom w:val="none" w:sz="0" w:space="0" w:color="auto"/>
                <w:right w:val="none" w:sz="0" w:space="0" w:color="auto"/>
              </w:divBdr>
            </w:div>
            <w:div w:id="1984962407">
              <w:marLeft w:val="0"/>
              <w:marRight w:val="0"/>
              <w:marTop w:val="0"/>
              <w:marBottom w:val="0"/>
              <w:divBdr>
                <w:top w:val="none" w:sz="0" w:space="0" w:color="auto"/>
                <w:left w:val="none" w:sz="0" w:space="0" w:color="auto"/>
                <w:bottom w:val="none" w:sz="0" w:space="0" w:color="auto"/>
                <w:right w:val="none" w:sz="0" w:space="0" w:color="auto"/>
              </w:divBdr>
            </w:div>
            <w:div w:id="1364283072">
              <w:marLeft w:val="0"/>
              <w:marRight w:val="0"/>
              <w:marTop w:val="0"/>
              <w:marBottom w:val="0"/>
              <w:divBdr>
                <w:top w:val="none" w:sz="0" w:space="0" w:color="auto"/>
                <w:left w:val="none" w:sz="0" w:space="0" w:color="auto"/>
                <w:bottom w:val="none" w:sz="0" w:space="0" w:color="auto"/>
                <w:right w:val="none" w:sz="0" w:space="0" w:color="auto"/>
              </w:divBdr>
            </w:div>
            <w:div w:id="707338587">
              <w:marLeft w:val="0"/>
              <w:marRight w:val="0"/>
              <w:marTop w:val="0"/>
              <w:marBottom w:val="0"/>
              <w:divBdr>
                <w:top w:val="none" w:sz="0" w:space="0" w:color="auto"/>
                <w:left w:val="none" w:sz="0" w:space="0" w:color="auto"/>
                <w:bottom w:val="none" w:sz="0" w:space="0" w:color="auto"/>
                <w:right w:val="none" w:sz="0" w:space="0" w:color="auto"/>
              </w:divBdr>
            </w:div>
            <w:div w:id="1004863645">
              <w:marLeft w:val="0"/>
              <w:marRight w:val="0"/>
              <w:marTop w:val="0"/>
              <w:marBottom w:val="0"/>
              <w:divBdr>
                <w:top w:val="none" w:sz="0" w:space="0" w:color="auto"/>
                <w:left w:val="none" w:sz="0" w:space="0" w:color="auto"/>
                <w:bottom w:val="none" w:sz="0" w:space="0" w:color="auto"/>
                <w:right w:val="none" w:sz="0" w:space="0" w:color="auto"/>
              </w:divBdr>
            </w:div>
            <w:div w:id="93400421">
              <w:marLeft w:val="0"/>
              <w:marRight w:val="0"/>
              <w:marTop w:val="0"/>
              <w:marBottom w:val="0"/>
              <w:divBdr>
                <w:top w:val="none" w:sz="0" w:space="0" w:color="auto"/>
                <w:left w:val="none" w:sz="0" w:space="0" w:color="auto"/>
                <w:bottom w:val="none" w:sz="0" w:space="0" w:color="auto"/>
                <w:right w:val="none" w:sz="0" w:space="0" w:color="auto"/>
              </w:divBdr>
            </w:div>
            <w:div w:id="255865489">
              <w:marLeft w:val="0"/>
              <w:marRight w:val="0"/>
              <w:marTop w:val="0"/>
              <w:marBottom w:val="0"/>
              <w:divBdr>
                <w:top w:val="none" w:sz="0" w:space="0" w:color="auto"/>
                <w:left w:val="none" w:sz="0" w:space="0" w:color="auto"/>
                <w:bottom w:val="none" w:sz="0" w:space="0" w:color="auto"/>
                <w:right w:val="none" w:sz="0" w:space="0" w:color="auto"/>
              </w:divBdr>
            </w:div>
            <w:div w:id="225651402">
              <w:marLeft w:val="0"/>
              <w:marRight w:val="0"/>
              <w:marTop w:val="0"/>
              <w:marBottom w:val="0"/>
              <w:divBdr>
                <w:top w:val="none" w:sz="0" w:space="0" w:color="auto"/>
                <w:left w:val="none" w:sz="0" w:space="0" w:color="auto"/>
                <w:bottom w:val="none" w:sz="0" w:space="0" w:color="auto"/>
                <w:right w:val="none" w:sz="0" w:space="0" w:color="auto"/>
              </w:divBdr>
            </w:div>
            <w:div w:id="603927859">
              <w:marLeft w:val="0"/>
              <w:marRight w:val="0"/>
              <w:marTop w:val="0"/>
              <w:marBottom w:val="0"/>
              <w:divBdr>
                <w:top w:val="none" w:sz="0" w:space="0" w:color="auto"/>
                <w:left w:val="none" w:sz="0" w:space="0" w:color="auto"/>
                <w:bottom w:val="none" w:sz="0" w:space="0" w:color="auto"/>
                <w:right w:val="none" w:sz="0" w:space="0" w:color="auto"/>
              </w:divBdr>
            </w:div>
            <w:div w:id="1851216005">
              <w:marLeft w:val="0"/>
              <w:marRight w:val="0"/>
              <w:marTop w:val="0"/>
              <w:marBottom w:val="0"/>
              <w:divBdr>
                <w:top w:val="none" w:sz="0" w:space="0" w:color="auto"/>
                <w:left w:val="none" w:sz="0" w:space="0" w:color="auto"/>
                <w:bottom w:val="none" w:sz="0" w:space="0" w:color="auto"/>
                <w:right w:val="none" w:sz="0" w:space="0" w:color="auto"/>
              </w:divBdr>
            </w:div>
            <w:div w:id="698511339">
              <w:marLeft w:val="0"/>
              <w:marRight w:val="0"/>
              <w:marTop w:val="0"/>
              <w:marBottom w:val="0"/>
              <w:divBdr>
                <w:top w:val="none" w:sz="0" w:space="0" w:color="auto"/>
                <w:left w:val="none" w:sz="0" w:space="0" w:color="auto"/>
                <w:bottom w:val="none" w:sz="0" w:space="0" w:color="auto"/>
                <w:right w:val="none" w:sz="0" w:space="0" w:color="auto"/>
              </w:divBdr>
            </w:div>
            <w:div w:id="610474855">
              <w:marLeft w:val="0"/>
              <w:marRight w:val="0"/>
              <w:marTop w:val="0"/>
              <w:marBottom w:val="0"/>
              <w:divBdr>
                <w:top w:val="none" w:sz="0" w:space="0" w:color="auto"/>
                <w:left w:val="none" w:sz="0" w:space="0" w:color="auto"/>
                <w:bottom w:val="none" w:sz="0" w:space="0" w:color="auto"/>
                <w:right w:val="none" w:sz="0" w:space="0" w:color="auto"/>
              </w:divBdr>
            </w:div>
            <w:div w:id="1497575870">
              <w:marLeft w:val="0"/>
              <w:marRight w:val="0"/>
              <w:marTop w:val="0"/>
              <w:marBottom w:val="0"/>
              <w:divBdr>
                <w:top w:val="none" w:sz="0" w:space="0" w:color="auto"/>
                <w:left w:val="none" w:sz="0" w:space="0" w:color="auto"/>
                <w:bottom w:val="none" w:sz="0" w:space="0" w:color="auto"/>
                <w:right w:val="none" w:sz="0" w:space="0" w:color="auto"/>
              </w:divBdr>
            </w:div>
            <w:div w:id="1451820683">
              <w:marLeft w:val="0"/>
              <w:marRight w:val="0"/>
              <w:marTop w:val="0"/>
              <w:marBottom w:val="0"/>
              <w:divBdr>
                <w:top w:val="none" w:sz="0" w:space="0" w:color="auto"/>
                <w:left w:val="none" w:sz="0" w:space="0" w:color="auto"/>
                <w:bottom w:val="none" w:sz="0" w:space="0" w:color="auto"/>
                <w:right w:val="none" w:sz="0" w:space="0" w:color="auto"/>
              </w:divBdr>
            </w:div>
            <w:div w:id="190726950">
              <w:marLeft w:val="0"/>
              <w:marRight w:val="0"/>
              <w:marTop w:val="0"/>
              <w:marBottom w:val="0"/>
              <w:divBdr>
                <w:top w:val="none" w:sz="0" w:space="0" w:color="auto"/>
                <w:left w:val="none" w:sz="0" w:space="0" w:color="auto"/>
                <w:bottom w:val="none" w:sz="0" w:space="0" w:color="auto"/>
                <w:right w:val="none" w:sz="0" w:space="0" w:color="auto"/>
              </w:divBdr>
            </w:div>
            <w:div w:id="709308821">
              <w:marLeft w:val="0"/>
              <w:marRight w:val="0"/>
              <w:marTop w:val="0"/>
              <w:marBottom w:val="0"/>
              <w:divBdr>
                <w:top w:val="none" w:sz="0" w:space="0" w:color="auto"/>
                <w:left w:val="none" w:sz="0" w:space="0" w:color="auto"/>
                <w:bottom w:val="none" w:sz="0" w:space="0" w:color="auto"/>
                <w:right w:val="none" w:sz="0" w:space="0" w:color="auto"/>
              </w:divBdr>
            </w:div>
            <w:div w:id="1176118547">
              <w:marLeft w:val="0"/>
              <w:marRight w:val="0"/>
              <w:marTop w:val="0"/>
              <w:marBottom w:val="0"/>
              <w:divBdr>
                <w:top w:val="none" w:sz="0" w:space="0" w:color="auto"/>
                <w:left w:val="none" w:sz="0" w:space="0" w:color="auto"/>
                <w:bottom w:val="none" w:sz="0" w:space="0" w:color="auto"/>
                <w:right w:val="none" w:sz="0" w:space="0" w:color="auto"/>
              </w:divBdr>
            </w:div>
            <w:div w:id="1857235406">
              <w:marLeft w:val="0"/>
              <w:marRight w:val="0"/>
              <w:marTop w:val="0"/>
              <w:marBottom w:val="0"/>
              <w:divBdr>
                <w:top w:val="none" w:sz="0" w:space="0" w:color="auto"/>
                <w:left w:val="none" w:sz="0" w:space="0" w:color="auto"/>
                <w:bottom w:val="none" w:sz="0" w:space="0" w:color="auto"/>
                <w:right w:val="none" w:sz="0" w:space="0" w:color="auto"/>
              </w:divBdr>
            </w:div>
            <w:div w:id="1587037702">
              <w:marLeft w:val="0"/>
              <w:marRight w:val="0"/>
              <w:marTop w:val="0"/>
              <w:marBottom w:val="0"/>
              <w:divBdr>
                <w:top w:val="none" w:sz="0" w:space="0" w:color="auto"/>
                <w:left w:val="none" w:sz="0" w:space="0" w:color="auto"/>
                <w:bottom w:val="none" w:sz="0" w:space="0" w:color="auto"/>
                <w:right w:val="none" w:sz="0" w:space="0" w:color="auto"/>
              </w:divBdr>
            </w:div>
            <w:div w:id="1727214580">
              <w:marLeft w:val="0"/>
              <w:marRight w:val="0"/>
              <w:marTop w:val="0"/>
              <w:marBottom w:val="0"/>
              <w:divBdr>
                <w:top w:val="none" w:sz="0" w:space="0" w:color="auto"/>
                <w:left w:val="none" w:sz="0" w:space="0" w:color="auto"/>
                <w:bottom w:val="none" w:sz="0" w:space="0" w:color="auto"/>
                <w:right w:val="none" w:sz="0" w:space="0" w:color="auto"/>
              </w:divBdr>
            </w:div>
            <w:div w:id="531963292">
              <w:marLeft w:val="0"/>
              <w:marRight w:val="0"/>
              <w:marTop w:val="0"/>
              <w:marBottom w:val="0"/>
              <w:divBdr>
                <w:top w:val="none" w:sz="0" w:space="0" w:color="auto"/>
                <w:left w:val="none" w:sz="0" w:space="0" w:color="auto"/>
                <w:bottom w:val="none" w:sz="0" w:space="0" w:color="auto"/>
                <w:right w:val="none" w:sz="0" w:space="0" w:color="auto"/>
              </w:divBdr>
            </w:div>
            <w:div w:id="1917276092">
              <w:marLeft w:val="0"/>
              <w:marRight w:val="0"/>
              <w:marTop w:val="0"/>
              <w:marBottom w:val="0"/>
              <w:divBdr>
                <w:top w:val="none" w:sz="0" w:space="0" w:color="auto"/>
                <w:left w:val="none" w:sz="0" w:space="0" w:color="auto"/>
                <w:bottom w:val="none" w:sz="0" w:space="0" w:color="auto"/>
                <w:right w:val="none" w:sz="0" w:space="0" w:color="auto"/>
              </w:divBdr>
            </w:div>
            <w:div w:id="1900092132">
              <w:marLeft w:val="0"/>
              <w:marRight w:val="0"/>
              <w:marTop w:val="0"/>
              <w:marBottom w:val="0"/>
              <w:divBdr>
                <w:top w:val="none" w:sz="0" w:space="0" w:color="auto"/>
                <w:left w:val="none" w:sz="0" w:space="0" w:color="auto"/>
                <w:bottom w:val="none" w:sz="0" w:space="0" w:color="auto"/>
                <w:right w:val="none" w:sz="0" w:space="0" w:color="auto"/>
              </w:divBdr>
            </w:div>
            <w:div w:id="831483244">
              <w:marLeft w:val="0"/>
              <w:marRight w:val="0"/>
              <w:marTop w:val="0"/>
              <w:marBottom w:val="0"/>
              <w:divBdr>
                <w:top w:val="none" w:sz="0" w:space="0" w:color="auto"/>
                <w:left w:val="none" w:sz="0" w:space="0" w:color="auto"/>
                <w:bottom w:val="none" w:sz="0" w:space="0" w:color="auto"/>
                <w:right w:val="none" w:sz="0" w:space="0" w:color="auto"/>
              </w:divBdr>
            </w:div>
            <w:div w:id="1806897611">
              <w:marLeft w:val="0"/>
              <w:marRight w:val="0"/>
              <w:marTop w:val="0"/>
              <w:marBottom w:val="0"/>
              <w:divBdr>
                <w:top w:val="none" w:sz="0" w:space="0" w:color="auto"/>
                <w:left w:val="none" w:sz="0" w:space="0" w:color="auto"/>
                <w:bottom w:val="none" w:sz="0" w:space="0" w:color="auto"/>
                <w:right w:val="none" w:sz="0" w:space="0" w:color="auto"/>
              </w:divBdr>
            </w:div>
            <w:div w:id="532886745">
              <w:marLeft w:val="0"/>
              <w:marRight w:val="0"/>
              <w:marTop w:val="0"/>
              <w:marBottom w:val="0"/>
              <w:divBdr>
                <w:top w:val="none" w:sz="0" w:space="0" w:color="auto"/>
                <w:left w:val="none" w:sz="0" w:space="0" w:color="auto"/>
                <w:bottom w:val="none" w:sz="0" w:space="0" w:color="auto"/>
                <w:right w:val="none" w:sz="0" w:space="0" w:color="auto"/>
              </w:divBdr>
            </w:div>
            <w:div w:id="1984187879">
              <w:marLeft w:val="0"/>
              <w:marRight w:val="0"/>
              <w:marTop w:val="0"/>
              <w:marBottom w:val="0"/>
              <w:divBdr>
                <w:top w:val="none" w:sz="0" w:space="0" w:color="auto"/>
                <w:left w:val="none" w:sz="0" w:space="0" w:color="auto"/>
                <w:bottom w:val="none" w:sz="0" w:space="0" w:color="auto"/>
                <w:right w:val="none" w:sz="0" w:space="0" w:color="auto"/>
              </w:divBdr>
            </w:div>
            <w:div w:id="1035348673">
              <w:marLeft w:val="0"/>
              <w:marRight w:val="0"/>
              <w:marTop w:val="0"/>
              <w:marBottom w:val="0"/>
              <w:divBdr>
                <w:top w:val="none" w:sz="0" w:space="0" w:color="auto"/>
                <w:left w:val="none" w:sz="0" w:space="0" w:color="auto"/>
                <w:bottom w:val="none" w:sz="0" w:space="0" w:color="auto"/>
                <w:right w:val="none" w:sz="0" w:space="0" w:color="auto"/>
              </w:divBdr>
            </w:div>
            <w:div w:id="1101879194">
              <w:marLeft w:val="0"/>
              <w:marRight w:val="0"/>
              <w:marTop w:val="0"/>
              <w:marBottom w:val="0"/>
              <w:divBdr>
                <w:top w:val="none" w:sz="0" w:space="0" w:color="auto"/>
                <w:left w:val="none" w:sz="0" w:space="0" w:color="auto"/>
                <w:bottom w:val="none" w:sz="0" w:space="0" w:color="auto"/>
                <w:right w:val="none" w:sz="0" w:space="0" w:color="auto"/>
              </w:divBdr>
            </w:div>
            <w:div w:id="1122188185">
              <w:marLeft w:val="0"/>
              <w:marRight w:val="0"/>
              <w:marTop w:val="0"/>
              <w:marBottom w:val="0"/>
              <w:divBdr>
                <w:top w:val="none" w:sz="0" w:space="0" w:color="auto"/>
                <w:left w:val="none" w:sz="0" w:space="0" w:color="auto"/>
                <w:bottom w:val="none" w:sz="0" w:space="0" w:color="auto"/>
                <w:right w:val="none" w:sz="0" w:space="0" w:color="auto"/>
              </w:divBdr>
            </w:div>
            <w:div w:id="1936864638">
              <w:marLeft w:val="0"/>
              <w:marRight w:val="0"/>
              <w:marTop w:val="0"/>
              <w:marBottom w:val="0"/>
              <w:divBdr>
                <w:top w:val="none" w:sz="0" w:space="0" w:color="auto"/>
                <w:left w:val="none" w:sz="0" w:space="0" w:color="auto"/>
                <w:bottom w:val="none" w:sz="0" w:space="0" w:color="auto"/>
                <w:right w:val="none" w:sz="0" w:space="0" w:color="auto"/>
              </w:divBdr>
            </w:div>
            <w:div w:id="1255475200">
              <w:marLeft w:val="0"/>
              <w:marRight w:val="0"/>
              <w:marTop w:val="0"/>
              <w:marBottom w:val="0"/>
              <w:divBdr>
                <w:top w:val="none" w:sz="0" w:space="0" w:color="auto"/>
                <w:left w:val="none" w:sz="0" w:space="0" w:color="auto"/>
                <w:bottom w:val="none" w:sz="0" w:space="0" w:color="auto"/>
                <w:right w:val="none" w:sz="0" w:space="0" w:color="auto"/>
              </w:divBdr>
            </w:div>
            <w:div w:id="1959292124">
              <w:marLeft w:val="0"/>
              <w:marRight w:val="0"/>
              <w:marTop w:val="0"/>
              <w:marBottom w:val="0"/>
              <w:divBdr>
                <w:top w:val="none" w:sz="0" w:space="0" w:color="auto"/>
                <w:left w:val="none" w:sz="0" w:space="0" w:color="auto"/>
                <w:bottom w:val="none" w:sz="0" w:space="0" w:color="auto"/>
                <w:right w:val="none" w:sz="0" w:space="0" w:color="auto"/>
              </w:divBdr>
            </w:div>
            <w:div w:id="1345746192">
              <w:marLeft w:val="0"/>
              <w:marRight w:val="0"/>
              <w:marTop w:val="0"/>
              <w:marBottom w:val="0"/>
              <w:divBdr>
                <w:top w:val="none" w:sz="0" w:space="0" w:color="auto"/>
                <w:left w:val="none" w:sz="0" w:space="0" w:color="auto"/>
                <w:bottom w:val="none" w:sz="0" w:space="0" w:color="auto"/>
                <w:right w:val="none" w:sz="0" w:space="0" w:color="auto"/>
              </w:divBdr>
            </w:div>
            <w:div w:id="485165846">
              <w:marLeft w:val="0"/>
              <w:marRight w:val="0"/>
              <w:marTop w:val="0"/>
              <w:marBottom w:val="0"/>
              <w:divBdr>
                <w:top w:val="none" w:sz="0" w:space="0" w:color="auto"/>
                <w:left w:val="none" w:sz="0" w:space="0" w:color="auto"/>
                <w:bottom w:val="none" w:sz="0" w:space="0" w:color="auto"/>
                <w:right w:val="none" w:sz="0" w:space="0" w:color="auto"/>
              </w:divBdr>
            </w:div>
            <w:div w:id="1342009023">
              <w:marLeft w:val="0"/>
              <w:marRight w:val="0"/>
              <w:marTop w:val="0"/>
              <w:marBottom w:val="0"/>
              <w:divBdr>
                <w:top w:val="none" w:sz="0" w:space="0" w:color="auto"/>
                <w:left w:val="none" w:sz="0" w:space="0" w:color="auto"/>
                <w:bottom w:val="none" w:sz="0" w:space="0" w:color="auto"/>
                <w:right w:val="none" w:sz="0" w:space="0" w:color="auto"/>
              </w:divBdr>
            </w:div>
            <w:div w:id="968709857">
              <w:marLeft w:val="0"/>
              <w:marRight w:val="0"/>
              <w:marTop w:val="0"/>
              <w:marBottom w:val="0"/>
              <w:divBdr>
                <w:top w:val="none" w:sz="0" w:space="0" w:color="auto"/>
                <w:left w:val="none" w:sz="0" w:space="0" w:color="auto"/>
                <w:bottom w:val="none" w:sz="0" w:space="0" w:color="auto"/>
                <w:right w:val="none" w:sz="0" w:space="0" w:color="auto"/>
              </w:divBdr>
            </w:div>
            <w:div w:id="632951325">
              <w:marLeft w:val="0"/>
              <w:marRight w:val="0"/>
              <w:marTop w:val="0"/>
              <w:marBottom w:val="0"/>
              <w:divBdr>
                <w:top w:val="none" w:sz="0" w:space="0" w:color="auto"/>
                <w:left w:val="none" w:sz="0" w:space="0" w:color="auto"/>
                <w:bottom w:val="none" w:sz="0" w:space="0" w:color="auto"/>
                <w:right w:val="none" w:sz="0" w:space="0" w:color="auto"/>
              </w:divBdr>
            </w:div>
            <w:div w:id="1573613527">
              <w:marLeft w:val="0"/>
              <w:marRight w:val="0"/>
              <w:marTop w:val="0"/>
              <w:marBottom w:val="0"/>
              <w:divBdr>
                <w:top w:val="none" w:sz="0" w:space="0" w:color="auto"/>
                <w:left w:val="none" w:sz="0" w:space="0" w:color="auto"/>
                <w:bottom w:val="none" w:sz="0" w:space="0" w:color="auto"/>
                <w:right w:val="none" w:sz="0" w:space="0" w:color="auto"/>
              </w:divBdr>
            </w:div>
            <w:div w:id="911741211">
              <w:marLeft w:val="0"/>
              <w:marRight w:val="0"/>
              <w:marTop w:val="0"/>
              <w:marBottom w:val="0"/>
              <w:divBdr>
                <w:top w:val="none" w:sz="0" w:space="0" w:color="auto"/>
                <w:left w:val="none" w:sz="0" w:space="0" w:color="auto"/>
                <w:bottom w:val="none" w:sz="0" w:space="0" w:color="auto"/>
                <w:right w:val="none" w:sz="0" w:space="0" w:color="auto"/>
              </w:divBdr>
            </w:div>
            <w:div w:id="1027416184">
              <w:marLeft w:val="0"/>
              <w:marRight w:val="0"/>
              <w:marTop w:val="0"/>
              <w:marBottom w:val="0"/>
              <w:divBdr>
                <w:top w:val="none" w:sz="0" w:space="0" w:color="auto"/>
                <w:left w:val="none" w:sz="0" w:space="0" w:color="auto"/>
                <w:bottom w:val="none" w:sz="0" w:space="0" w:color="auto"/>
                <w:right w:val="none" w:sz="0" w:space="0" w:color="auto"/>
              </w:divBdr>
            </w:div>
            <w:div w:id="881788617">
              <w:marLeft w:val="0"/>
              <w:marRight w:val="0"/>
              <w:marTop w:val="0"/>
              <w:marBottom w:val="0"/>
              <w:divBdr>
                <w:top w:val="none" w:sz="0" w:space="0" w:color="auto"/>
                <w:left w:val="none" w:sz="0" w:space="0" w:color="auto"/>
                <w:bottom w:val="none" w:sz="0" w:space="0" w:color="auto"/>
                <w:right w:val="none" w:sz="0" w:space="0" w:color="auto"/>
              </w:divBdr>
            </w:div>
            <w:div w:id="1430128240">
              <w:marLeft w:val="0"/>
              <w:marRight w:val="0"/>
              <w:marTop w:val="0"/>
              <w:marBottom w:val="0"/>
              <w:divBdr>
                <w:top w:val="none" w:sz="0" w:space="0" w:color="auto"/>
                <w:left w:val="none" w:sz="0" w:space="0" w:color="auto"/>
                <w:bottom w:val="none" w:sz="0" w:space="0" w:color="auto"/>
                <w:right w:val="none" w:sz="0" w:space="0" w:color="auto"/>
              </w:divBdr>
            </w:div>
            <w:div w:id="1905792531">
              <w:marLeft w:val="0"/>
              <w:marRight w:val="0"/>
              <w:marTop w:val="0"/>
              <w:marBottom w:val="0"/>
              <w:divBdr>
                <w:top w:val="none" w:sz="0" w:space="0" w:color="auto"/>
                <w:left w:val="none" w:sz="0" w:space="0" w:color="auto"/>
                <w:bottom w:val="none" w:sz="0" w:space="0" w:color="auto"/>
                <w:right w:val="none" w:sz="0" w:space="0" w:color="auto"/>
              </w:divBdr>
            </w:div>
            <w:div w:id="188436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2820">
      <w:marLeft w:val="0"/>
      <w:marRight w:val="0"/>
      <w:marTop w:val="0"/>
      <w:marBottom w:val="0"/>
      <w:divBdr>
        <w:top w:val="none" w:sz="0" w:space="0" w:color="auto"/>
        <w:left w:val="none" w:sz="0" w:space="0" w:color="auto"/>
        <w:bottom w:val="none" w:sz="0" w:space="0" w:color="auto"/>
        <w:right w:val="none" w:sz="0" w:space="0" w:color="auto"/>
      </w:divBdr>
      <w:divsChild>
        <w:div w:id="279342636">
          <w:marLeft w:val="0"/>
          <w:marRight w:val="0"/>
          <w:marTop w:val="0"/>
          <w:marBottom w:val="0"/>
          <w:divBdr>
            <w:top w:val="none" w:sz="0" w:space="0" w:color="auto"/>
            <w:left w:val="none" w:sz="0" w:space="0" w:color="auto"/>
            <w:bottom w:val="none" w:sz="0" w:space="0" w:color="auto"/>
            <w:right w:val="none" w:sz="0" w:space="0" w:color="auto"/>
          </w:divBdr>
        </w:div>
      </w:divsChild>
    </w:div>
    <w:div w:id="846864790">
      <w:bodyDiv w:val="1"/>
      <w:marLeft w:val="0"/>
      <w:marRight w:val="0"/>
      <w:marTop w:val="0"/>
      <w:marBottom w:val="0"/>
      <w:divBdr>
        <w:top w:val="none" w:sz="0" w:space="0" w:color="auto"/>
        <w:left w:val="none" w:sz="0" w:space="0" w:color="auto"/>
        <w:bottom w:val="none" w:sz="0" w:space="0" w:color="auto"/>
        <w:right w:val="none" w:sz="0" w:space="0" w:color="auto"/>
      </w:divBdr>
    </w:div>
    <w:div w:id="847524456">
      <w:marLeft w:val="0"/>
      <w:marRight w:val="0"/>
      <w:marTop w:val="0"/>
      <w:marBottom w:val="0"/>
      <w:divBdr>
        <w:top w:val="none" w:sz="0" w:space="0" w:color="auto"/>
        <w:left w:val="none" w:sz="0" w:space="0" w:color="auto"/>
        <w:bottom w:val="none" w:sz="0" w:space="0" w:color="auto"/>
        <w:right w:val="none" w:sz="0" w:space="0" w:color="auto"/>
      </w:divBdr>
      <w:divsChild>
        <w:div w:id="356351313">
          <w:marLeft w:val="0"/>
          <w:marRight w:val="0"/>
          <w:marTop w:val="0"/>
          <w:marBottom w:val="0"/>
          <w:divBdr>
            <w:top w:val="none" w:sz="0" w:space="0" w:color="auto"/>
            <w:left w:val="none" w:sz="0" w:space="0" w:color="auto"/>
            <w:bottom w:val="none" w:sz="0" w:space="0" w:color="auto"/>
            <w:right w:val="none" w:sz="0" w:space="0" w:color="auto"/>
          </w:divBdr>
        </w:div>
      </w:divsChild>
    </w:div>
    <w:div w:id="848758455">
      <w:marLeft w:val="0"/>
      <w:marRight w:val="0"/>
      <w:marTop w:val="0"/>
      <w:marBottom w:val="0"/>
      <w:divBdr>
        <w:top w:val="none" w:sz="0" w:space="0" w:color="auto"/>
        <w:left w:val="none" w:sz="0" w:space="0" w:color="auto"/>
        <w:bottom w:val="none" w:sz="0" w:space="0" w:color="auto"/>
        <w:right w:val="none" w:sz="0" w:space="0" w:color="auto"/>
      </w:divBdr>
      <w:divsChild>
        <w:div w:id="367605521">
          <w:marLeft w:val="0"/>
          <w:marRight w:val="0"/>
          <w:marTop w:val="0"/>
          <w:marBottom w:val="0"/>
          <w:divBdr>
            <w:top w:val="none" w:sz="0" w:space="0" w:color="auto"/>
            <w:left w:val="none" w:sz="0" w:space="0" w:color="auto"/>
            <w:bottom w:val="none" w:sz="0" w:space="0" w:color="auto"/>
            <w:right w:val="none" w:sz="0" w:space="0" w:color="auto"/>
          </w:divBdr>
        </w:div>
      </w:divsChild>
    </w:div>
    <w:div w:id="855122237">
      <w:marLeft w:val="0"/>
      <w:marRight w:val="0"/>
      <w:marTop w:val="0"/>
      <w:marBottom w:val="0"/>
      <w:divBdr>
        <w:top w:val="none" w:sz="0" w:space="0" w:color="auto"/>
        <w:left w:val="none" w:sz="0" w:space="0" w:color="auto"/>
        <w:bottom w:val="none" w:sz="0" w:space="0" w:color="auto"/>
        <w:right w:val="none" w:sz="0" w:space="0" w:color="auto"/>
      </w:divBdr>
      <w:divsChild>
        <w:div w:id="1213151167">
          <w:marLeft w:val="0"/>
          <w:marRight w:val="0"/>
          <w:marTop w:val="0"/>
          <w:marBottom w:val="0"/>
          <w:divBdr>
            <w:top w:val="none" w:sz="0" w:space="0" w:color="auto"/>
            <w:left w:val="none" w:sz="0" w:space="0" w:color="auto"/>
            <w:bottom w:val="none" w:sz="0" w:space="0" w:color="auto"/>
            <w:right w:val="none" w:sz="0" w:space="0" w:color="auto"/>
          </w:divBdr>
        </w:div>
      </w:divsChild>
    </w:div>
    <w:div w:id="859127419">
      <w:bodyDiv w:val="1"/>
      <w:marLeft w:val="0"/>
      <w:marRight w:val="0"/>
      <w:marTop w:val="0"/>
      <w:marBottom w:val="0"/>
      <w:divBdr>
        <w:top w:val="none" w:sz="0" w:space="0" w:color="auto"/>
        <w:left w:val="none" w:sz="0" w:space="0" w:color="auto"/>
        <w:bottom w:val="none" w:sz="0" w:space="0" w:color="auto"/>
        <w:right w:val="none" w:sz="0" w:space="0" w:color="auto"/>
      </w:divBdr>
    </w:div>
    <w:div w:id="861285646">
      <w:marLeft w:val="0"/>
      <w:marRight w:val="0"/>
      <w:marTop w:val="0"/>
      <w:marBottom w:val="0"/>
      <w:divBdr>
        <w:top w:val="none" w:sz="0" w:space="0" w:color="auto"/>
        <w:left w:val="none" w:sz="0" w:space="0" w:color="auto"/>
        <w:bottom w:val="none" w:sz="0" w:space="0" w:color="auto"/>
        <w:right w:val="none" w:sz="0" w:space="0" w:color="auto"/>
      </w:divBdr>
      <w:divsChild>
        <w:div w:id="129908952">
          <w:marLeft w:val="0"/>
          <w:marRight w:val="0"/>
          <w:marTop w:val="0"/>
          <w:marBottom w:val="0"/>
          <w:divBdr>
            <w:top w:val="none" w:sz="0" w:space="0" w:color="auto"/>
            <w:left w:val="none" w:sz="0" w:space="0" w:color="auto"/>
            <w:bottom w:val="none" w:sz="0" w:space="0" w:color="auto"/>
            <w:right w:val="none" w:sz="0" w:space="0" w:color="auto"/>
          </w:divBdr>
        </w:div>
      </w:divsChild>
    </w:div>
    <w:div w:id="864169958">
      <w:bodyDiv w:val="1"/>
      <w:marLeft w:val="0"/>
      <w:marRight w:val="0"/>
      <w:marTop w:val="0"/>
      <w:marBottom w:val="0"/>
      <w:divBdr>
        <w:top w:val="none" w:sz="0" w:space="0" w:color="auto"/>
        <w:left w:val="none" w:sz="0" w:space="0" w:color="auto"/>
        <w:bottom w:val="none" w:sz="0" w:space="0" w:color="auto"/>
        <w:right w:val="none" w:sz="0" w:space="0" w:color="auto"/>
      </w:divBdr>
    </w:div>
    <w:div w:id="864944413">
      <w:marLeft w:val="0"/>
      <w:marRight w:val="0"/>
      <w:marTop w:val="0"/>
      <w:marBottom w:val="0"/>
      <w:divBdr>
        <w:top w:val="none" w:sz="0" w:space="0" w:color="auto"/>
        <w:left w:val="none" w:sz="0" w:space="0" w:color="auto"/>
        <w:bottom w:val="none" w:sz="0" w:space="0" w:color="auto"/>
        <w:right w:val="none" w:sz="0" w:space="0" w:color="auto"/>
      </w:divBdr>
      <w:divsChild>
        <w:div w:id="576867818">
          <w:marLeft w:val="0"/>
          <w:marRight w:val="0"/>
          <w:marTop w:val="0"/>
          <w:marBottom w:val="0"/>
          <w:divBdr>
            <w:top w:val="none" w:sz="0" w:space="0" w:color="auto"/>
            <w:left w:val="none" w:sz="0" w:space="0" w:color="auto"/>
            <w:bottom w:val="none" w:sz="0" w:space="0" w:color="auto"/>
            <w:right w:val="none" w:sz="0" w:space="0" w:color="auto"/>
          </w:divBdr>
        </w:div>
      </w:divsChild>
    </w:div>
    <w:div w:id="867328899">
      <w:marLeft w:val="0"/>
      <w:marRight w:val="0"/>
      <w:marTop w:val="0"/>
      <w:marBottom w:val="0"/>
      <w:divBdr>
        <w:top w:val="none" w:sz="0" w:space="0" w:color="auto"/>
        <w:left w:val="none" w:sz="0" w:space="0" w:color="auto"/>
        <w:bottom w:val="none" w:sz="0" w:space="0" w:color="auto"/>
        <w:right w:val="none" w:sz="0" w:space="0" w:color="auto"/>
      </w:divBdr>
      <w:divsChild>
        <w:div w:id="760221692">
          <w:marLeft w:val="0"/>
          <w:marRight w:val="0"/>
          <w:marTop w:val="0"/>
          <w:marBottom w:val="0"/>
          <w:divBdr>
            <w:top w:val="none" w:sz="0" w:space="0" w:color="auto"/>
            <w:left w:val="none" w:sz="0" w:space="0" w:color="auto"/>
            <w:bottom w:val="none" w:sz="0" w:space="0" w:color="auto"/>
            <w:right w:val="none" w:sz="0" w:space="0" w:color="auto"/>
          </w:divBdr>
        </w:div>
      </w:divsChild>
    </w:div>
    <w:div w:id="868565429">
      <w:marLeft w:val="0"/>
      <w:marRight w:val="0"/>
      <w:marTop w:val="0"/>
      <w:marBottom w:val="0"/>
      <w:divBdr>
        <w:top w:val="none" w:sz="0" w:space="0" w:color="auto"/>
        <w:left w:val="none" w:sz="0" w:space="0" w:color="auto"/>
        <w:bottom w:val="none" w:sz="0" w:space="0" w:color="auto"/>
        <w:right w:val="none" w:sz="0" w:space="0" w:color="auto"/>
      </w:divBdr>
      <w:divsChild>
        <w:div w:id="2129541135">
          <w:marLeft w:val="0"/>
          <w:marRight w:val="0"/>
          <w:marTop w:val="0"/>
          <w:marBottom w:val="0"/>
          <w:divBdr>
            <w:top w:val="none" w:sz="0" w:space="0" w:color="auto"/>
            <w:left w:val="none" w:sz="0" w:space="0" w:color="auto"/>
            <w:bottom w:val="none" w:sz="0" w:space="0" w:color="auto"/>
            <w:right w:val="none" w:sz="0" w:space="0" w:color="auto"/>
          </w:divBdr>
        </w:div>
      </w:divsChild>
    </w:div>
    <w:div w:id="871267503">
      <w:marLeft w:val="0"/>
      <w:marRight w:val="0"/>
      <w:marTop w:val="0"/>
      <w:marBottom w:val="0"/>
      <w:divBdr>
        <w:top w:val="none" w:sz="0" w:space="0" w:color="auto"/>
        <w:left w:val="none" w:sz="0" w:space="0" w:color="auto"/>
        <w:bottom w:val="none" w:sz="0" w:space="0" w:color="auto"/>
        <w:right w:val="none" w:sz="0" w:space="0" w:color="auto"/>
      </w:divBdr>
      <w:divsChild>
        <w:div w:id="952596096">
          <w:marLeft w:val="0"/>
          <w:marRight w:val="0"/>
          <w:marTop w:val="0"/>
          <w:marBottom w:val="0"/>
          <w:divBdr>
            <w:top w:val="none" w:sz="0" w:space="0" w:color="auto"/>
            <w:left w:val="none" w:sz="0" w:space="0" w:color="auto"/>
            <w:bottom w:val="none" w:sz="0" w:space="0" w:color="auto"/>
            <w:right w:val="none" w:sz="0" w:space="0" w:color="auto"/>
          </w:divBdr>
        </w:div>
      </w:divsChild>
    </w:div>
    <w:div w:id="873885229">
      <w:bodyDiv w:val="1"/>
      <w:marLeft w:val="0"/>
      <w:marRight w:val="0"/>
      <w:marTop w:val="0"/>
      <w:marBottom w:val="0"/>
      <w:divBdr>
        <w:top w:val="none" w:sz="0" w:space="0" w:color="auto"/>
        <w:left w:val="none" w:sz="0" w:space="0" w:color="auto"/>
        <w:bottom w:val="none" w:sz="0" w:space="0" w:color="auto"/>
        <w:right w:val="none" w:sz="0" w:space="0" w:color="auto"/>
      </w:divBdr>
      <w:divsChild>
        <w:div w:id="752239341">
          <w:marLeft w:val="0"/>
          <w:marRight w:val="0"/>
          <w:marTop w:val="0"/>
          <w:marBottom w:val="0"/>
          <w:divBdr>
            <w:top w:val="none" w:sz="0" w:space="0" w:color="auto"/>
            <w:left w:val="none" w:sz="0" w:space="0" w:color="auto"/>
            <w:bottom w:val="none" w:sz="0" w:space="0" w:color="auto"/>
            <w:right w:val="none" w:sz="0" w:space="0" w:color="auto"/>
          </w:divBdr>
          <w:divsChild>
            <w:div w:id="1558931975">
              <w:marLeft w:val="0"/>
              <w:marRight w:val="0"/>
              <w:marTop w:val="0"/>
              <w:marBottom w:val="0"/>
              <w:divBdr>
                <w:top w:val="none" w:sz="0" w:space="0" w:color="auto"/>
                <w:left w:val="none" w:sz="0" w:space="0" w:color="auto"/>
                <w:bottom w:val="none" w:sz="0" w:space="0" w:color="auto"/>
                <w:right w:val="none" w:sz="0" w:space="0" w:color="auto"/>
              </w:divBdr>
              <w:divsChild>
                <w:div w:id="1556089959">
                  <w:marLeft w:val="0"/>
                  <w:marRight w:val="150"/>
                  <w:marTop w:val="0"/>
                  <w:marBottom w:val="0"/>
                  <w:divBdr>
                    <w:top w:val="none" w:sz="0" w:space="0" w:color="auto"/>
                    <w:left w:val="none" w:sz="0" w:space="0" w:color="auto"/>
                    <w:bottom w:val="none" w:sz="0" w:space="0" w:color="auto"/>
                    <w:right w:val="none" w:sz="0" w:space="0" w:color="auto"/>
                  </w:divBdr>
                  <w:divsChild>
                    <w:div w:id="21385998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57487280">
          <w:marLeft w:val="0"/>
          <w:marRight w:val="150"/>
          <w:marTop w:val="0"/>
          <w:marBottom w:val="0"/>
          <w:divBdr>
            <w:top w:val="none" w:sz="0" w:space="0" w:color="auto"/>
            <w:left w:val="none" w:sz="0" w:space="0" w:color="auto"/>
            <w:bottom w:val="none" w:sz="0" w:space="0" w:color="auto"/>
            <w:right w:val="none" w:sz="0" w:space="0" w:color="auto"/>
          </w:divBdr>
          <w:divsChild>
            <w:div w:id="41289964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74847757">
      <w:marLeft w:val="0"/>
      <w:marRight w:val="0"/>
      <w:marTop w:val="0"/>
      <w:marBottom w:val="0"/>
      <w:divBdr>
        <w:top w:val="none" w:sz="0" w:space="0" w:color="auto"/>
        <w:left w:val="none" w:sz="0" w:space="0" w:color="auto"/>
        <w:bottom w:val="none" w:sz="0" w:space="0" w:color="auto"/>
        <w:right w:val="none" w:sz="0" w:space="0" w:color="auto"/>
      </w:divBdr>
      <w:divsChild>
        <w:div w:id="285241770">
          <w:marLeft w:val="0"/>
          <w:marRight w:val="0"/>
          <w:marTop w:val="0"/>
          <w:marBottom w:val="0"/>
          <w:divBdr>
            <w:top w:val="none" w:sz="0" w:space="0" w:color="auto"/>
            <w:left w:val="none" w:sz="0" w:space="0" w:color="auto"/>
            <w:bottom w:val="none" w:sz="0" w:space="0" w:color="auto"/>
            <w:right w:val="none" w:sz="0" w:space="0" w:color="auto"/>
          </w:divBdr>
        </w:div>
      </w:divsChild>
    </w:div>
    <w:div w:id="875435333">
      <w:marLeft w:val="0"/>
      <w:marRight w:val="0"/>
      <w:marTop w:val="0"/>
      <w:marBottom w:val="0"/>
      <w:divBdr>
        <w:top w:val="none" w:sz="0" w:space="0" w:color="auto"/>
        <w:left w:val="none" w:sz="0" w:space="0" w:color="auto"/>
        <w:bottom w:val="none" w:sz="0" w:space="0" w:color="auto"/>
        <w:right w:val="none" w:sz="0" w:space="0" w:color="auto"/>
      </w:divBdr>
      <w:divsChild>
        <w:div w:id="441656701">
          <w:marLeft w:val="0"/>
          <w:marRight w:val="0"/>
          <w:marTop w:val="0"/>
          <w:marBottom w:val="0"/>
          <w:divBdr>
            <w:top w:val="none" w:sz="0" w:space="0" w:color="auto"/>
            <w:left w:val="none" w:sz="0" w:space="0" w:color="auto"/>
            <w:bottom w:val="none" w:sz="0" w:space="0" w:color="auto"/>
            <w:right w:val="none" w:sz="0" w:space="0" w:color="auto"/>
          </w:divBdr>
        </w:div>
      </w:divsChild>
    </w:div>
    <w:div w:id="876162039">
      <w:marLeft w:val="0"/>
      <w:marRight w:val="0"/>
      <w:marTop w:val="0"/>
      <w:marBottom w:val="0"/>
      <w:divBdr>
        <w:top w:val="none" w:sz="0" w:space="0" w:color="auto"/>
        <w:left w:val="none" w:sz="0" w:space="0" w:color="auto"/>
        <w:bottom w:val="none" w:sz="0" w:space="0" w:color="auto"/>
        <w:right w:val="none" w:sz="0" w:space="0" w:color="auto"/>
      </w:divBdr>
      <w:divsChild>
        <w:div w:id="1702899033">
          <w:marLeft w:val="0"/>
          <w:marRight w:val="0"/>
          <w:marTop w:val="0"/>
          <w:marBottom w:val="0"/>
          <w:divBdr>
            <w:top w:val="none" w:sz="0" w:space="0" w:color="auto"/>
            <w:left w:val="none" w:sz="0" w:space="0" w:color="auto"/>
            <w:bottom w:val="none" w:sz="0" w:space="0" w:color="auto"/>
            <w:right w:val="none" w:sz="0" w:space="0" w:color="auto"/>
          </w:divBdr>
        </w:div>
      </w:divsChild>
    </w:div>
    <w:div w:id="877470201">
      <w:marLeft w:val="0"/>
      <w:marRight w:val="0"/>
      <w:marTop w:val="0"/>
      <w:marBottom w:val="0"/>
      <w:divBdr>
        <w:top w:val="none" w:sz="0" w:space="0" w:color="auto"/>
        <w:left w:val="none" w:sz="0" w:space="0" w:color="auto"/>
        <w:bottom w:val="none" w:sz="0" w:space="0" w:color="auto"/>
        <w:right w:val="none" w:sz="0" w:space="0" w:color="auto"/>
      </w:divBdr>
      <w:divsChild>
        <w:div w:id="979657006">
          <w:marLeft w:val="0"/>
          <w:marRight w:val="0"/>
          <w:marTop w:val="0"/>
          <w:marBottom w:val="0"/>
          <w:divBdr>
            <w:top w:val="none" w:sz="0" w:space="0" w:color="auto"/>
            <w:left w:val="none" w:sz="0" w:space="0" w:color="auto"/>
            <w:bottom w:val="none" w:sz="0" w:space="0" w:color="auto"/>
            <w:right w:val="none" w:sz="0" w:space="0" w:color="auto"/>
          </w:divBdr>
        </w:div>
      </w:divsChild>
    </w:div>
    <w:div w:id="879896972">
      <w:marLeft w:val="0"/>
      <w:marRight w:val="0"/>
      <w:marTop w:val="0"/>
      <w:marBottom w:val="0"/>
      <w:divBdr>
        <w:top w:val="none" w:sz="0" w:space="0" w:color="auto"/>
        <w:left w:val="none" w:sz="0" w:space="0" w:color="auto"/>
        <w:bottom w:val="none" w:sz="0" w:space="0" w:color="auto"/>
        <w:right w:val="none" w:sz="0" w:space="0" w:color="auto"/>
      </w:divBdr>
      <w:divsChild>
        <w:div w:id="211235011">
          <w:marLeft w:val="0"/>
          <w:marRight w:val="0"/>
          <w:marTop w:val="0"/>
          <w:marBottom w:val="0"/>
          <w:divBdr>
            <w:top w:val="none" w:sz="0" w:space="0" w:color="auto"/>
            <w:left w:val="none" w:sz="0" w:space="0" w:color="auto"/>
            <w:bottom w:val="none" w:sz="0" w:space="0" w:color="auto"/>
            <w:right w:val="none" w:sz="0" w:space="0" w:color="auto"/>
          </w:divBdr>
        </w:div>
      </w:divsChild>
    </w:div>
    <w:div w:id="883253532">
      <w:bodyDiv w:val="1"/>
      <w:marLeft w:val="0"/>
      <w:marRight w:val="0"/>
      <w:marTop w:val="0"/>
      <w:marBottom w:val="0"/>
      <w:divBdr>
        <w:top w:val="none" w:sz="0" w:space="0" w:color="auto"/>
        <w:left w:val="none" w:sz="0" w:space="0" w:color="auto"/>
        <w:bottom w:val="none" w:sz="0" w:space="0" w:color="auto"/>
        <w:right w:val="none" w:sz="0" w:space="0" w:color="auto"/>
      </w:divBdr>
    </w:div>
    <w:div w:id="887108158">
      <w:marLeft w:val="0"/>
      <w:marRight w:val="0"/>
      <w:marTop w:val="0"/>
      <w:marBottom w:val="0"/>
      <w:divBdr>
        <w:top w:val="none" w:sz="0" w:space="0" w:color="auto"/>
        <w:left w:val="none" w:sz="0" w:space="0" w:color="auto"/>
        <w:bottom w:val="none" w:sz="0" w:space="0" w:color="auto"/>
        <w:right w:val="none" w:sz="0" w:space="0" w:color="auto"/>
      </w:divBdr>
      <w:divsChild>
        <w:div w:id="1644047274">
          <w:marLeft w:val="0"/>
          <w:marRight w:val="0"/>
          <w:marTop w:val="0"/>
          <w:marBottom w:val="0"/>
          <w:divBdr>
            <w:top w:val="none" w:sz="0" w:space="0" w:color="auto"/>
            <w:left w:val="none" w:sz="0" w:space="0" w:color="auto"/>
            <w:bottom w:val="none" w:sz="0" w:space="0" w:color="auto"/>
            <w:right w:val="none" w:sz="0" w:space="0" w:color="auto"/>
          </w:divBdr>
        </w:div>
      </w:divsChild>
    </w:div>
    <w:div w:id="890578986">
      <w:bodyDiv w:val="1"/>
      <w:marLeft w:val="0"/>
      <w:marRight w:val="0"/>
      <w:marTop w:val="0"/>
      <w:marBottom w:val="0"/>
      <w:divBdr>
        <w:top w:val="none" w:sz="0" w:space="0" w:color="auto"/>
        <w:left w:val="none" w:sz="0" w:space="0" w:color="auto"/>
        <w:bottom w:val="none" w:sz="0" w:space="0" w:color="auto"/>
        <w:right w:val="none" w:sz="0" w:space="0" w:color="auto"/>
      </w:divBdr>
      <w:divsChild>
        <w:div w:id="358315128">
          <w:marLeft w:val="0"/>
          <w:marRight w:val="0"/>
          <w:marTop w:val="0"/>
          <w:marBottom w:val="0"/>
          <w:divBdr>
            <w:top w:val="none" w:sz="0" w:space="0" w:color="auto"/>
            <w:left w:val="none" w:sz="0" w:space="0" w:color="auto"/>
            <w:bottom w:val="none" w:sz="0" w:space="0" w:color="auto"/>
            <w:right w:val="none" w:sz="0" w:space="0" w:color="auto"/>
          </w:divBdr>
          <w:divsChild>
            <w:div w:id="252664861">
              <w:marLeft w:val="0"/>
              <w:marRight w:val="0"/>
              <w:marTop w:val="0"/>
              <w:marBottom w:val="0"/>
              <w:divBdr>
                <w:top w:val="none" w:sz="0" w:space="0" w:color="auto"/>
                <w:left w:val="none" w:sz="0" w:space="0" w:color="auto"/>
                <w:bottom w:val="none" w:sz="0" w:space="0" w:color="auto"/>
                <w:right w:val="none" w:sz="0" w:space="0" w:color="auto"/>
              </w:divBdr>
            </w:div>
            <w:div w:id="2037610242">
              <w:marLeft w:val="0"/>
              <w:marRight w:val="0"/>
              <w:marTop w:val="0"/>
              <w:marBottom w:val="0"/>
              <w:divBdr>
                <w:top w:val="none" w:sz="0" w:space="0" w:color="auto"/>
                <w:left w:val="none" w:sz="0" w:space="0" w:color="auto"/>
                <w:bottom w:val="none" w:sz="0" w:space="0" w:color="auto"/>
                <w:right w:val="none" w:sz="0" w:space="0" w:color="auto"/>
              </w:divBdr>
            </w:div>
            <w:div w:id="972904529">
              <w:marLeft w:val="0"/>
              <w:marRight w:val="0"/>
              <w:marTop w:val="0"/>
              <w:marBottom w:val="0"/>
              <w:divBdr>
                <w:top w:val="none" w:sz="0" w:space="0" w:color="auto"/>
                <w:left w:val="none" w:sz="0" w:space="0" w:color="auto"/>
                <w:bottom w:val="none" w:sz="0" w:space="0" w:color="auto"/>
                <w:right w:val="none" w:sz="0" w:space="0" w:color="auto"/>
              </w:divBdr>
            </w:div>
            <w:div w:id="838813969">
              <w:marLeft w:val="0"/>
              <w:marRight w:val="0"/>
              <w:marTop w:val="0"/>
              <w:marBottom w:val="0"/>
              <w:divBdr>
                <w:top w:val="none" w:sz="0" w:space="0" w:color="auto"/>
                <w:left w:val="none" w:sz="0" w:space="0" w:color="auto"/>
                <w:bottom w:val="none" w:sz="0" w:space="0" w:color="auto"/>
                <w:right w:val="none" w:sz="0" w:space="0" w:color="auto"/>
              </w:divBdr>
            </w:div>
            <w:div w:id="772748600">
              <w:marLeft w:val="0"/>
              <w:marRight w:val="0"/>
              <w:marTop w:val="0"/>
              <w:marBottom w:val="0"/>
              <w:divBdr>
                <w:top w:val="none" w:sz="0" w:space="0" w:color="auto"/>
                <w:left w:val="none" w:sz="0" w:space="0" w:color="auto"/>
                <w:bottom w:val="none" w:sz="0" w:space="0" w:color="auto"/>
                <w:right w:val="none" w:sz="0" w:space="0" w:color="auto"/>
              </w:divBdr>
            </w:div>
            <w:div w:id="979964047">
              <w:marLeft w:val="0"/>
              <w:marRight w:val="0"/>
              <w:marTop w:val="0"/>
              <w:marBottom w:val="0"/>
              <w:divBdr>
                <w:top w:val="none" w:sz="0" w:space="0" w:color="auto"/>
                <w:left w:val="none" w:sz="0" w:space="0" w:color="auto"/>
                <w:bottom w:val="none" w:sz="0" w:space="0" w:color="auto"/>
                <w:right w:val="none" w:sz="0" w:space="0" w:color="auto"/>
              </w:divBdr>
            </w:div>
            <w:div w:id="972953125">
              <w:marLeft w:val="0"/>
              <w:marRight w:val="0"/>
              <w:marTop w:val="0"/>
              <w:marBottom w:val="0"/>
              <w:divBdr>
                <w:top w:val="none" w:sz="0" w:space="0" w:color="auto"/>
                <w:left w:val="none" w:sz="0" w:space="0" w:color="auto"/>
                <w:bottom w:val="none" w:sz="0" w:space="0" w:color="auto"/>
                <w:right w:val="none" w:sz="0" w:space="0" w:color="auto"/>
              </w:divBdr>
            </w:div>
            <w:div w:id="623313834">
              <w:marLeft w:val="0"/>
              <w:marRight w:val="0"/>
              <w:marTop w:val="0"/>
              <w:marBottom w:val="0"/>
              <w:divBdr>
                <w:top w:val="none" w:sz="0" w:space="0" w:color="auto"/>
                <w:left w:val="none" w:sz="0" w:space="0" w:color="auto"/>
                <w:bottom w:val="none" w:sz="0" w:space="0" w:color="auto"/>
                <w:right w:val="none" w:sz="0" w:space="0" w:color="auto"/>
              </w:divBdr>
            </w:div>
            <w:div w:id="1750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653325">
      <w:bodyDiv w:val="1"/>
      <w:marLeft w:val="0"/>
      <w:marRight w:val="0"/>
      <w:marTop w:val="0"/>
      <w:marBottom w:val="0"/>
      <w:divBdr>
        <w:top w:val="none" w:sz="0" w:space="0" w:color="auto"/>
        <w:left w:val="none" w:sz="0" w:space="0" w:color="auto"/>
        <w:bottom w:val="none" w:sz="0" w:space="0" w:color="auto"/>
        <w:right w:val="none" w:sz="0" w:space="0" w:color="auto"/>
      </w:divBdr>
    </w:div>
    <w:div w:id="891160362">
      <w:marLeft w:val="0"/>
      <w:marRight w:val="0"/>
      <w:marTop w:val="0"/>
      <w:marBottom w:val="0"/>
      <w:divBdr>
        <w:top w:val="none" w:sz="0" w:space="0" w:color="auto"/>
        <w:left w:val="none" w:sz="0" w:space="0" w:color="auto"/>
        <w:bottom w:val="none" w:sz="0" w:space="0" w:color="auto"/>
        <w:right w:val="none" w:sz="0" w:space="0" w:color="auto"/>
      </w:divBdr>
      <w:divsChild>
        <w:div w:id="751436004">
          <w:marLeft w:val="0"/>
          <w:marRight w:val="0"/>
          <w:marTop w:val="0"/>
          <w:marBottom w:val="0"/>
          <w:divBdr>
            <w:top w:val="none" w:sz="0" w:space="0" w:color="auto"/>
            <w:left w:val="none" w:sz="0" w:space="0" w:color="auto"/>
            <w:bottom w:val="none" w:sz="0" w:space="0" w:color="auto"/>
            <w:right w:val="none" w:sz="0" w:space="0" w:color="auto"/>
          </w:divBdr>
        </w:div>
      </w:divsChild>
    </w:div>
    <w:div w:id="892696273">
      <w:bodyDiv w:val="1"/>
      <w:marLeft w:val="0"/>
      <w:marRight w:val="0"/>
      <w:marTop w:val="0"/>
      <w:marBottom w:val="0"/>
      <w:divBdr>
        <w:top w:val="none" w:sz="0" w:space="0" w:color="auto"/>
        <w:left w:val="none" w:sz="0" w:space="0" w:color="auto"/>
        <w:bottom w:val="none" w:sz="0" w:space="0" w:color="auto"/>
        <w:right w:val="none" w:sz="0" w:space="0" w:color="auto"/>
      </w:divBdr>
    </w:div>
    <w:div w:id="894465864">
      <w:marLeft w:val="0"/>
      <w:marRight w:val="0"/>
      <w:marTop w:val="0"/>
      <w:marBottom w:val="0"/>
      <w:divBdr>
        <w:top w:val="none" w:sz="0" w:space="0" w:color="auto"/>
        <w:left w:val="none" w:sz="0" w:space="0" w:color="auto"/>
        <w:bottom w:val="none" w:sz="0" w:space="0" w:color="auto"/>
        <w:right w:val="none" w:sz="0" w:space="0" w:color="auto"/>
      </w:divBdr>
      <w:divsChild>
        <w:div w:id="479887187">
          <w:marLeft w:val="0"/>
          <w:marRight w:val="0"/>
          <w:marTop w:val="0"/>
          <w:marBottom w:val="0"/>
          <w:divBdr>
            <w:top w:val="none" w:sz="0" w:space="0" w:color="auto"/>
            <w:left w:val="none" w:sz="0" w:space="0" w:color="auto"/>
            <w:bottom w:val="none" w:sz="0" w:space="0" w:color="auto"/>
            <w:right w:val="none" w:sz="0" w:space="0" w:color="auto"/>
          </w:divBdr>
        </w:div>
      </w:divsChild>
    </w:div>
    <w:div w:id="895625257">
      <w:marLeft w:val="0"/>
      <w:marRight w:val="0"/>
      <w:marTop w:val="0"/>
      <w:marBottom w:val="0"/>
      <w:divBdr>
        <w:top w:val="none" w:sz="0" w:space="0" w:color="auto"/>
        <w:left w:val="none" w:sz="0" w:space="0" w:color="auto"/>
        <w:bottom w:val="none" w:sz="0" w:space="0" w:color="auto"/>
        <w:right w:val="none" w:sz="0" w:space="0" w:color="auto"/>
      </w:divBdr>
      <w:divsChild>
        <w:div w:id="140465373">
          <w:marLeft w:val="0"/>
          <w:marRight w:val="0"/>
          <w:marTop w:val="0"/>
          <w:marBottom w:val="0"/>
          <w:divBdr>
            <w:top w:val="none" w:sz="0" w:space="0" w:color="auto"/>
            <w:left w:val="none" w:sz="0" w:space="0" w:color="auto"/>
            <w:bottom w:val="none" w:sz="0" w:space="0" w:color="auto"/>
            <w:right w:val="none" w:sz="0" w:space="0" w:color="auto"/>
          </w:divBdr>
        </w:div>
      </w:divsChild>
    </w:div>
    <w:div w:id="898789407">
      <w:marLeft w:val="0"/>
      <w:marRight w:val="0"/>
      <w:marTop w:val="0"/>
      <w:marBottom w:val="0"/>
      <w:divBdr>
        <w:top w:val="none" w:sz="0" w:space="0" w:color="auto"/>
        <w:left w:val="none" w:sz="0" w:space="0" w:color="auto"/>
        <w:bottom w:val="none" w:sz="0" w:space="0" w:color="auto"/>
        <w:right w:val="none" w:sz="0" w:space="0" w:color="auto"/>
      </w:divBdr>
      <w:divsChild>
        <w:div w:id="1238203208">
          <w:marLeft w:val="0"/>
          <w:marRight w:val="0"/>
          <w:marTop w:val="0"/>
          <w:marBottom w:val="0"/>
          <w:divBdr>
            <w:top w:val="none" w:sz="0" w:space="0" w:color="auto"/>
            <w:left w:val="none" w:sz="0" w:space="0" w:color="auto"/>
            <w:bottom w:val="none" w:sz="0" w:space="0" w:color="auto"/>
            <w:right w:val="none" w:sz="0" w:space="0" w:color="auto"/>
          </w:divBdr>
        </w:div>
      </w:divsChild>
    </w:div>
    <w:div w:id="903873517">
      <w:marLeft w:val="0"/>
      <w:marRight w:val="0"/>
      <w:marTop w:val="0"/>
      <w:marBottom w:val="0"/>
      <w:divBdr>
        <w:top w:val="none" w:sz="0" w:space="0" w:color="auto"/>
        <w:left w:val="none" w:sz="0" w:space="0" w:color="auto"/>
        <w:bottom w:val="none" w:sz="0" w:space="0" w:color="auto"/>
        <w:right w:val="none" w:sz="0" w:space="0" w:color="auto"/>
      </w:divBdr>
      <w:divsChild>
        <w:div w:id="419254192">
          <w:marLeft w:val="0"/>
          <w:marRight w:val="0"/>
          <w:marTop w:val="0"/>
          <w:marBottom w:val="0"/>
          <w:divBdr>
            <w:top w:val="none" w:sz="0" w:space="0" w:color="auto"/>
            <w:left w:val="none" w:sz="0" w:space="0" w:color="auto"/>
            <w:bottom w:val="none" w:sz="0" w:space="0" w:color="auto"/>
            <w:right w:val="none" w:sz="0" w:space="0" w:color="auto"/>
          </w:divBdr>
        </w:div>
      </w:divsChild>
    </w:div>
    <w:div w:id="905265771">
      <w:marLeft w:val="0"/>
      <w:marRight w:val="0"/>
      <w:marTop w:val="0"/>
      <w:marBottom w:val="0"/>
      <w:divBdr>
        <w:top w:val="none" w:sz="0" w:space="0" w:color="auto"/>
        <w:left w:val="none" w:sz="0" w:space="0" w:color="auto"/>
        <w:bottom w:val="none" w:sz="0" w:space="0" w:color="auto"/>
        <w:right w:val="none" w:sz="0" w:space="0" w:color="auto"/>
      </w:divBdr>
      <w:divsChild>
        <w:div w:id="1052846011">
          <w:marLeft w:val="0"/>
          <w:marRight w:val="0"/>
          <w:marTop w:val="0"/>
          <w:marBottom w:val="0"/>
          <w:divBdr>
            <w:top w:val="none" w:sz="0" w:space="0" w:color="auto"/>
            <w:left w:val="none" w:sz="0" w:space="0" w:color="auto"/>
            <w:bottom w:val="none" w:sz="0" w:space="0" w:color="auto"/>
            <w:right w:val="none" w:sz="0" w:space="0" w:color="auto"/>
          </w:divBdr>
        </w:div>
      </w:divsChild>
    </w:div>
    <w:div w:id="906959643">
      <w:bodyDiv w:val="1"/>
      <w:marLeft w:val="0"/>
      <w:marRight w:val="0"/>
      <w:marTop w:val="0"/>
      <w:marBottom w:val="0"/>
      <w:divBdr>
        <w:top w:val="none" w:sz="0" w:space="0" w:color="auto"/>
        <w:left w:val="none" w:sz="0" w:space="0" w:color="auto"/>
        <w:bottom w:val="none" w:sz="0" w:space="0" w:color="auto"/>
        <w:right w:val="none" w:sz="0" w:space="0" w:color="auto"/>
      </w:divBdr>
    </w:div>
    <w:div w:id="908274588">
      <w:bodyDiv w:val="1"/>
      <w:marLeft w:val="0"/>
      <w:marRight w:val="0"/>
      <w:marTop w:val="0"/>
      <w:marBottom w:val="0"/>
      <w:divBdr>
        <w:top w:val="none" w:sz="0" w:space="0" w:color="auto"/>
        <w:left w:val="none" w:sz="0" w:space="0" w:color="auto"/>
        <w:bottom w:val="none" w:sz="0" w:space="0" w:color="auto"/>
        <w:right w:val="none" w:sz="0" w:space="0" w:color="auto"/>
      </w:divBdr>
    </w:div>
    <w:div w:id="909466211">
      <w:marLeft w:val="0"/>
      <w:marRight w:val="0"/>
      <w:marTop w:val="0"/>
      <w:marBottom w:val="0"/>
      <w:divBdr>
        <w:top w:val="none" w:sz="0" w:space="0" w:color="auto"/>
        <w:left w:val="none" w:sz="0" w:space="0" w:color="auto"/>
        <w:bottom w:val="none" w:sz="0" w:space="0" w:color="auto"/>
        <w:right w:val="none" w:sz="0" w:space="0" w:color="auto"/>
      </w:divBdr>
      <w:divsChild>
        <w:div w:id="128980885">
          <w:marLeft w:val="0"/>
          <w:marRight w:val="0"/>
          <w:marTop w:val="0"/>
          <w:marBottom w:val="0"/>
          <w:divBdr>
            <w:top w:val="none" w:sz="0" w:space="0" w:color="auto"/>
            <w:left w:val="none" w:sz="0" w:space="0" w:color="auto"/>
            <w:bottom w:val="none" w:sz="0" w:space="0" w:color="auto"/>
            <w:right w:val="none" w:sz="0" w:space="0" w:color="auto"/>
          </w:divBdr>
        </w:div>
      </w:divsChild>
    </w:div>
    <w:div w:id="911158101">
      <w:marLeft w:val="0"/>
      <w:marRight w:val="0"/>
      <w:marTop w:val="0"/>
      <w:marBottom w:val="0"/>
      <w:divBdr>
        <w:top w:val="none" w:sz="0" w:space="0" w:color="auto"/>
        <w:left w:val="none" w:sz="0" w:space="0" w:color="auto"/>
        <w:bottom w:val="none" w:sz="0" w:space="0" w:color="auto"/>
        <w:right w:val="none" w:sz="0" w:space="0" w:color="auto"/>
      </w:divBdr>
      <w:divsChild>
        <w:div w:id="1861696357">
          <w:marLeft w:val="0"/>
          <w:marRight w:val="0"/>
          <w:marTop w:val="0"/>
          <w:marBottom w:val="0"/>
          <w:divBdr>
            <w:top w:val="none" w:sz="0" w:space="0" w:color="auto"/>
            <w:left w:val="none" w:sz="0" w:space="0" w:color="auto"/>
            <w:bottom w:val="none" w:sz="0" w:space="0" w:color="auto"/>
            <w:right w:val="none" w:sz="0" w:space="0" w:color="auto"/>
          </w:divBdr>
        </w:div>
      </w:divsChild>
    </w:div>
    <w:div w:id="913390767">
      <w:marLeft w:val="0"/>
      <w:marRight w:val="0"/>
      <w:marTop w:val="0"/>
      <w:marBottom w:val="0"/>
      <w:divBdr>
        <w:top w:val="none" w:sz="0" w:space="0" w:color="auto"/>
        <w:left w:val="none" w:sz="0" w:space="0" w:color="auto"/>
        <w:bottom w:val="none" w:sz="0" w:space="0" w:color="auto"/>
        <w:right w:val="none" w:sz="0" w:space="0" w:color="auto"/>
      </w:divBdr>
      <w:divsChild>
        <w:div w:id="1505627932">
          <w:marLeft w:val="0"/>
          <w:marRight w:val="0"/>
          <w:marTop w:val="0"/>
          <w:marBottom w:val="0"/>
          <w:divBdr>
            <w:top w:val="none" w:sz="0" w:space="0" w:color="auto"/>
            <w:left w:val="none" w:sz="0" w:space="0" w:color="auto"/>
            <w:bottom w:val="none" w:sz="0" w:space="0" w:color="auto"/>
            <w:right w:val="none" w:sz="0" w:space="0" w:color="auto"/>
          </w:divBdr>
        </w:div>
      </w:divsChild>
    </w:div>
    <w:div w:id="915164994">
      <w:marLeft w:val="0"/>
      <w:marRight w:val="0"/>
      <w:marTop w:val="0"/>
      <w:marBottom w:val="0"/>
      <w:divBdr>
        <w:top w:val="none" w:sz="0" w:space="0" w:color="auto"/>
        <w:left w:val="none" w:sz="0" w:space="0" w:color="auto"/>
        <w:bottom w:val="none" w:sz="0" w:space="0" w:color="auto"/>
        <w:right w:val="none" w:sz="0" w:space="0" w:color="auto"/>
      </w:divBdr>
      <w:divsChild>
        <w:div w:id="893202997">
          <w:marLeft w:val="0"/>
          <w:marRight w:val="0"/>
          <w:marTop w:val="0"/>
          <w:marBottom w:val="0"/>
          <w:divBdr>
            <w:top w:val="none" w:sz="0" w:space="0" w:color="auto"/>
            <w:left w:val="none" w:sz="0" w:space="0" w:color="auto"/>
            <w:bottom w:val="none" w:sz="0" w:space="0" w:color="auto"/>
            <w:right w:val="none" w:sz="0" w:space="0" w:color="auto"/>
          </w:divBdr>
        </w:div>
      </w:divsChild>
    </w:div>
    <w:div w:id="917636611">
      <w:marLeft w:val="0"/>
      <w:marRight w:val="0"/>
      <w:marTop w:val="0"/>
      <w:marBottom w:val="0"/>
      <w:divBdr>
        <w:top w:val="none" w:sz="0" w:space="0" w:color="auto"/>
        <w:left w:val="none" w:sz="0" w:space="0" w:color="auto"/>
        <w:bottom w:val="none" w:sz="0" w:space="0" w:color="auto"/>
        <w:right w:val="none" w:sz="0" w:space="0" w:color="auto"/>
      </w:divBdr>
      <w:divsChild>
        <w:div w:id="1208907996">
          <w:marLeft w:val="0"/>
          <w:marRight w:val="0"/>
          <w:marTop w:val="0"/>
          <w:marBottom w:val="0"/>
          <w:divBdr>
            <w:top w:val="none" w:sz="0" w:space="0" w:color="auto"/>
            <w:left w:val="none" w:sz="0" w:space="0" w:color="auto"/>
            <w:bottom w:val="none" w:sz="0" w:space="0" w:color="auto"/>
            <w:right w:val="none" w:sz="0" w:space="0" w:color="auto"/>
          </w:divBdr>
        </w:div>
      </w:divsChild>
    </w:div>
    <w:div w:id="918171941">
      <w:marLeft w:val="0"/>
      <w:marRight w:val="0"/>
      <w:marTop w:val="0"/>
      <w:marBottom w:val="0"/>
      <w:divBdr>
        <w:top w:val="none" w:sz="0" w:space="0" w:color="auto"/>
        <w:left w:val="none" w:sz="0" w:space="0" w:color="auto"/>
        <w:bottom w:val="none" w:sz="0" w:space="0" w:color="auto"/>
        <w:right w:val="none" w:sz="0" w:space="0" w:color="auto"/>
      </w:divBdr>
      <w:divsChild>
        <w:div w:id="1624116723">
          <w:marLeft w:val="0"/>
          <w:marRight w:val="0"/>
          <w:marTop w:val="0"/>
          <w:marBottom w:val="0"/>
          <w:divBdr>
            <w:top w:val="none" w:sz="0" w:space="0" w:color="auto"/>
            <w:left w:val="none" w:sz="0" w:space="0" w:color="auto"/>
            <w:bottom w:val="none" w:sz="0" w:space="0" w:color="auto"/>
            <w:right w:val="none" w:sz="0" w:space="0" w:color="auto"/>
          </w:divBdr>
        </w:div>
      </w:divsChild>
    </w:div>
    <w:div w:id="918366806">
      <w:bodyDiv w:val="1"/>
      <w:marLeft w:val="0"/>
      <w:marRight w:val="0"/>
      <w:marTop w:val="0"/>
      <w:marBottom w:val="0"/>
      <w:divBdr>
        <w:top w:val="none" w:sz="0" w:space="0" w:color="auto"/>
        <w:left w:val="none" w:sz="0" w:space="0" w:color="auto"/>
        <w:bottom w:val="none" w:sz="0" w:space="0" w:color="auto"/>
        <w:right w:val="none" w:sz="0" w:space="0" w:color="auto"/>
      </w:divBdr>
    </w:div>
    <w:div w:id="919481208">
      <w:bodyDiv w:val="1"/>
      <w:marLeft w:val="0"/>
      <w:marRight w:val="0"/>
      <w:marTop w:val="0"/>
      <w:marBottom w:val="0"/>
      <w:divBdr>
        <w:top w:val="none" w:sz="0" w:space="0" w:color="auto"/>
        <w:left w:val="none" w:sz="0" w:space="0" w:color="auto"/>
        <w:bottom w:val="none" w:sz="0" w:space="0" w:color="auto"/>
        <w:right w:val="none" w:sz="0" w:space="0" w:color="auto"/>
      </w:divBdr>
    </w:div>
    <w:div w:id="926232485">
      <w:marLeft w:val="0"/>
      <w:marRight w:val="0"/>
      <w:marTop w:val="0"/>
      <w:marBottom w:val="0"/>
      <w:divBdr>
        <w:top w:val="none" w:sz="0" w:space="0" w:color="auto"/>
        <w:left w:val="none" w:sz="0" w:space="0" w:color="auto"/>
        <w:bottom w:val="none" w:sz="0" w:space="0" w:color="auto"/>
        <w:right w:val="none" w:sz="0" w:space="0" w:color="auto"/>
      </w:divBdr>
      <w:divsChild>
        <w:div w:id="337540065">
          <w:marLeft w:val="0"/>
          <w:marRight w:val="0"/>
          <w:marTop w:val="0"/>
          <w:marBottom w:val="0"/>
          <w:divBdr>
            <w:top w:val="none" w:sz="0" w:space="0" w:color="auto"/>
            <w:left w:val="none" w:sz="0" w:space="0" w:color="auto"/>
            <w:bottom w:val="none" w:sz="0" w:space="0" w:color="auto"/>
            <w:right w:val="none" w:sz="0" w:space="0" w:color="auto"/>
          </w:divBdr>
        </w:div>
      </w:divsChild>
    </w:div>
    <w:div w:id="927931256">
      <w:bodyDiv w:val="1"/>
      <w:marLeft w:val="0"/>
      <w:marRight w:val="0"/>
      <w:marTop w:val="0"/>
      <w:marBottom w:val="0"/>
      <w:divBdr>
        <w:top w:val="none" w:sz="0" w:space="0" w:color="auto"/>
        <w:left w:val="none" w:sz="0" w:space="0" w:color="auto"/>
        <w:bottom w:val="none" w:sz="0" w:space="0" w:color="auto"/>
        <w:right w:val="none" w:sz="0" w:space="0" w:color="auto"/>
      </w:divBdr>
    </w:div>
    <w:div w:id="929922747">
      <w:marLeft w:val="0"/>
      <w:marRight w:val="0"/>
      <w:marTop w:val="0"/>
      <w:marBottom w:val="0"/>
      <w:divBdr>
        <w:top w:val="none" w:sz="0" w:space="0" w:color="auto"/>
        <w:left w:val="none" w:sz="0" w:space="0" w:color="auto"/>
        <w:bottom w:val="none" w:sz="0" w:space="0" w:color="auto"/>
        <w:right w:val="none" w:sz="0" w:space="0" w:color="auto"/>
      </w:divBdr>
      <w:divsChild>
        <w:div w:id="2129473007">
          <w:marLeft w:val="0"/>
          <w:marRight w:val="0"/>
          <w:marTop w:val="0"/>
          <w:marBottom w:val="0"/>
          <w:divBdr>
            <w:top w:val="none" w:sz="0" w:space="0" w:color="auto"/>
            <w:left w:val="none" w:sz="0" w:space="0" w:color="auto"/>
            <w:bottom w:val="none" w:sz="0" w:space="0" w:color="auto"/>
            <w:right w:val="none" w:sz="0" w:space="0" w:color="auto"/>
          </w:divBdr>
        </w:div>
      </w:divsChild>
    </w:div>
    <w:div w:id="931284580">
      <w:marLeft w:val="0"/>
      <w:marRight w:val="0"/>
      <w:marTop w:val="0"/>
      <w:marBottom w:val="0"/>
      <w:divBdr>
        <w:top w:val="none" w:sz="0" w:space="0" w:color="auto"/>
        <w:left w:val="none" w:sz="0" w:space="0" w:color="auto"/>
        <w:bottom w:val="none" w:sz="0" w:space="0" w:color="auto"/>
        <w:right w:val="none" w:sz="0" w:space="0" w:color="auto"/>
      </w:divBdr>
      <w:divsChild>
        <w:div w:id="1272591929">
          <w:marLeft w:val="0"/>
          <w:marRight w:val="0"/>
          <w:marTop w:val="0"/>
          <w:marBottom w:val="0"/>
          <w:divBdr>
            <w:top w:val="none" w:sz="0" w:space="0" w:color="auto"/>
            <w:left w:val="none" w:sz="0" w:space="0" w:color="auto"/>
            <w:bottom w:val="none" w:sz="0" w:space="0" w:color="auto"/>
            <w:right w:val="none" w:sz="0" w:space="0" w:color="auto"/>
          </w:divBdr>
        </w:div>
      </w:divsChild>
    </w:div>
    <w:div w:id="932785209">
      <w:marLeft w:val="0"/>
      <w:marRight w:val="0"/>
      <w:marTop w:val="0"/>
      <w:marBottom w:val="0"/>
      <w:divBdr>
        <w:top w:val="none" w:sz="0" w:space="0" w:color="auto"/>
        <w:left w:val="none" w:sz="0" w:space="0" w:color="auto"/>
        <w:bottom w:val="none" w:sz="0" w:space="0" w:color="auto"/>
        <w:right w:val="none" w:sz="0" w:space="0" w:color="auto"/>
      </w:divBdr>
      <w:divsChild>
        <w:div w:id="589199246">
          <w:marLeft w:val="0"/>
          <w:marRight w:val="0"/>
          <w:marTop w:val="0"/>
          <w:marBottom w:val="0"/>
          <w:divBdr>
            <w:top w:val="none" w:sz="0" w:space="0" w:color="auto"/>
            <w:left w:val="none" w:sz="0" w:space="0" w:color="auto"/>
            <w:bottom w:val="none" w:sz="0" w:space="0" w:color="auto"/>
            <w:right w:val="none" w:sz="0" w:space="0" w:color="auto"/>
          </w:divBdr>
        </w:div>
      </w:divsChild>
    </w:div>
    <w:div w:id="933786923">
      <w:marLeft w:val="0"/>
      <w:marRight w:val="0"/>
      <w:marTop w:val="0"/>
      <w:marBottom w:val="0"/>
      <w:divBdr>
        <w:top w:val="none" w:sz="0" w:space="0" w:color="auto"/>
        <w:left w:val="none" w:sz="0" w:space="0" w:color="auto"/>
        <w:bottom w:val="none" w:sz="0" w:space="0" w:color="auto"/>
        <w:right w:val="none" w:sz="0" w:space="0" w:color="auto"/>
      </w:divBdr>
      <w:divsChild>
        <w:div w:id="760953388">
          <w:marLeft w:val="0"/>
          <w:marRight w:val="0"/>
          <w:marTop w:val="0"/>
          <w:marBottom w:val="0"/>
          <w:divBdr>
            <w:top w:val="none" w:sz="0" w:space="0" w:color="auto"/>
            <w:left w:val="none" w:sz="0" w:space="0" w:color="auto"/>
            <w:bottom w:val="none" w:sz="0" w:space="0" w:color="auto"/>
            <w:right w:val="none" w:sz="0" w:space="0" w:color="auto"/>
          </w:divBdr>
        </w:div>
      </w:divsChild>
    </w:div>
    <w:div w:id="934359138">
      <w:bodyDiv w:val="1"/>
      <w:marLeft w:val="0"/>
      <w:marRight w:val="0"/>
      <w:marTop w:val="0"/>
      <w:marBottom w:val="0"/>
      <w:divBdr>
        <w:top w:val="none" w:sz="0" w:space="0" w:color="auto"/>
        <w:left w:val="none" w:sz="0" w:space="0" w:color="auto"/>
        <w:bottom w:val="none" w:sz="0" w:space="0" w:color="auto"/>
        <w:right w:val="none" w:sz="0" w:space="0" w:color="auto"/>
      </w:divBdr>
      <w:divsChild>
        <w:div w:id="1076560776">
          <w:marLeft w:val="0"/>
          <w:marRight w:val="0"/>
          <w:marTop w:val="0"/>
          <w:marBottom w:val="0"/>
          <w:divBdr>
            <w:top w:val="none" w:sz="0" w:space="0" w:color="auto"/>
            <w:left w:val="none" w:sz="0" w:space="0" w:color="auto"/>
            <w:bottom w:val="none" w:sz="0" w:space="0" w:color="auto"/>
            <w:right w:val="none" w:sz="0" w:space="0" w:color="auto"/>
          </w:divBdr>
          <w:divsChild>
            <w:div w:id="599920029">
              <w:marLeft w:val="0"/>
              <w:marRight w:val="0"/>
              <w:marTop w:val="0"/>
              <w:marBottom w:val="0"/>
              <w:divBdr>
                <w:top w:val="none" w:sz="0" w:space="0" w:color="auto"/>
                <w:left w:val="none" w:sz="0" w:space="0" w:color="auto"/>
                <w:bottom w:val="none" w:sz="0" w:space="0" w:color="auto"/>
                <w:right w:val="none" w:sz="0" w:space="0" w:color="auto"/>
              </w:divBdr>
              <w:divsChild>
                <w:div w:id="1897275662">
                  <w:marLeft w:val="0"/>
                  <w:marRight w:val="150"/>
                  <w:marTop w:val="0"/>
                  <w:marBottom w:val="0"/>
                  <w:divBdr>
                    <w:top w:val="none" w:sz="0" w:space="0" w:color="auto"/>
                    <w:left w:val="none" w:sz="0" w:space="0" w:color="auto"/>
                    <w:bottom w:val="none" w:sz="0" w:space="0" w:color="auto"/>
                    <w:right w:val="none" w:sz="0" w:space="0" w:color="auto"/>
                  </w:divBdr>
                  <w:divsChild>
                    <w:div w:id="194140392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43855521">
          <w:marLeft w:val="0"/>
          <w:marRight w:val="150"/>
          <w:marTop w:val="0"/>
          <w:marBottom w:val="0"/>
          <w:divBdr>
            <w:top w:val="none" w:sz="0" w:space="0" w:color="auto"/>
            <w:left w:val="none" w:sz="0" w:space="0" w:color="auto"/>
            <w:bottom w:val="none" w:sz="0" w:space="0" w:color="auto"/>
            <w:right w:val="none" w:sz="0" w:space="0" w:color="auto"/>
          </w:divBdr>
          <w:divsChild>
            <w:div w:id="15168047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34826299">
      <w:bodyDiv w:val="1"/>
      <w:marLeft w:val="0"/>
      <w:marRight w:val="0"/>
      <w:marTop w:val="0"/>
      <w:marBottom w:val="0"/>
      <w:divBdr>
        <w:top w:val="none" w:sz="0" w:space="0" w:color="auto"/>
        <w:left w:val="none" w:sz="0" w:space="0" w:color="auto"/>
        <w:bottom w:val="none" w:sz="0" w:space="0" w:color="auto"/>
        <w:right w:val="none" w:sz="0" w:space="0" w:color="auto"/>
      </w:divBdr>
    </w:div>
    <w:div w:id="942958031">
      <w:marLeft w:val="0"/>
      <w:marRight w:val="0"/>
      <w:marTop w:val="0"/>
      <w:marBottom w:val="0"/>
      <w:divBdr>
        <w:top w:val="none" w:sz="0" w:space="0" w:color="auto"/>
        <w:left w:val="none" w:sz="0" w:space="0" w:color="auto"/>
        <w:bottom w:val="none" w:sz="0" w:space="0" w:color="auto"/>
        <w:right w:val="none" w:sz="0" w:space="0" w:color="auto"/>
      </w:divBdr>
      <w:divsChild>
        <w:div w:id="491795955">
          <w:marLeft w:val="0"/>
          <w:marRight w:val="0"/>
          <w:marTop w:val="0"/>
          <w:marBottom w:val="0"/>
          <w:divBdr>
            <w:top w:val="none" w:sz="0" w:space="0" w:color="auto"/>
            <w:left w:val="none" w:sz="0" w:space="0" w:color="auto"/>
            <w:bottom w:val="none" w:sz="0" w:space="0" w:color="auto"/>
            <w:right w:val="none" w:sz="0" w:space="0" w:color="auto"/>
          </w:divBdr>
        </w:div>
      </w:divsChild>
    </w:div>
    <w:div w:id="953365258">
      <w:marLeft w:val="0"/>
      <w:marRight w:val="0"/>
      <w:marTop w:val="0"/>
      <w:marBottom w:val="0"/>
      <w:divBdr>
        <w:top w:val="none" w:sz="0" w:space="0" w:color="auto"/>
        <w:left w:val="none" w:sz="0" w:space="0" w:color="auto"/>
        <w:bottom w:val="none" w:sz="0" w:space="0" w:color="auto"/>
        <w:right w:val="none" w:sz="0" w:space="0" w:color="auto"/>
      </w:divBdr>
      <w:divsChild>
        <w:div w:id="5795722">
          <w:marLeft w:val="0"/>
          <w:marRight w:val="0"/>
          <w:marTop w:val="0"/>
          <w:marBottom w:val="0"/>
          <w:divBdr>
            <w:top w:val="none" w:sz="0" w:space="0" w:color="auto"/>
            <w:left w:val="none" w:sz="0" w:space="0" w:color="auto"/>
            <w:bottom w:val="none" w:sz="0" w:space="0" w:color="auto"/>
            <w:right w:val="none" w:sz="0" w:space="0" w:color="auto"/>
          </w:divBdr>
        </w:div>
      </w:divsChild>
    </w:div>
    <w:div w:id="959648669">
      <w:bodyDiv w:val="1"/>
      <w:marLeft w:val="0"/>
      <w:marRight w:val="0"/>
      <w:marTop w:val="0"/>
      <w:marBottom w:val="0"/>
      <w:divBdr>
        <w:top w:val="none" w:sz="0" w:space="0" w:color="auto"/>
        <w:left w:val="none" w:sz="0" w:space="0" w:color="auto"/>
        <w:bottom w:val="none" w:sz="0" w:space="0" w:color="auto"/>
        <w:right w:val="none" w:sz="0" w:space="0" w:color="auto"/>
      </w:divBdr>
    </w:div>
    <w:div w:id="966661566">
      <w:marLeft w:val="0"/>
      <w:marRight w:val="150"/>
      <w:marTop w:val="0"/>
      <w:marBottom w:val="0"/>
      <w:divBdr>
        <w:top w:val="none" w:sz="0" w:space="0" w:color="auto"/>
        <w:left w:val="none" w:sz="0" w:space="0" w:color="auto"/>
        <w:bottom w:val="none" w:sz="0" w:space="0" w:color="auto"/>
        <w:right w:val="none" w:sz="0" w:space="0" w:color="auto"/>
      </w:divBdr>
      <w:divsChild>
        <w:div w:id="2144224843">
          <w:marLeft w:val="0"/>
          <w:marRight w:val="150"/>
          <w:marTop w:val="0"/>
          <w:marBottom w:val="0"/>
          <w:divBdr>
            <w:top w:val="none" w:sz="0" w:space="0" w:color="auto"/>
            <w:left w:val="none" w:sz="0" w:space="0" w:color="auto"/>
            <w:bottom w:val="none" w:sz="0" w:space="0" w:color="auto"/>
            <w:right w:val="none" w:sz="0" w:space="0" w:color="auto"/>
          </w:divBdr>
        </w:div>
      </w:divsChild>
    </w:div>
    <w:div w:id="973146243">
      <w:marLeft w:val="0"/>
      <w:marRight w:val="0"/>
      <w:marTop w:val="0"/>
      <w:marBottom w:val="0"/>
      <w:divBdr>
        <w:top w:val="none" w:sz="0" w:space="0" w:color="auto"/>
        <w:left w:val="none" w:sz="0" w:space="0" w:color="auto"/>
        <w:bottom w:val="none" w:sz="0" w:space="0" w:color="auto"/>
        <w:right w:val="none" w:sz="0" w:space="0" w:color="auto"/>
      </w:divBdr>
      <w:divsChild>
        <w:div w:id="1458569441">
          <w:marLeft w:val="0"/>
          <w:marRight w:val="0"/>
          <w:marTop w:val="0"/>
          <w:marBottom w:val="0"/>
          <w:divBdr>
            <w:top w:val="none" w:sz="0" w:space="0" w:color="auto"/>
            <w:left w:val="none" w:sz="0" w:space="0" w:color="auto"/>
            <w:bottom w:val="none" w:sz="0" w:space="0" w:color="auto"/>
            <w:right w:val="none" w:sz="0" w:space="0" w:color="auto"/>
          </w:divBdr>
        </w:div>
      </w:divsChild>
    </w:div>
    <w:div w:id="981084096">
      <w:marLeft w:val="0"/>
      <w:marRight w:val="0"/>
      <w:marTop w:val="0"/>
      <w:marBottom w:val="0"/>
      <w:divBdr>
        <w:top w:val="none" w:sz="0" w:space="0" w:color="auto"/>
        <w:left w:val="none" w:sz="0" w:space="0" w:color="auto"/>
        <w:bottom w:val="none" w:sz="0" w:space="0" w:color="auto"/>
        <w:right w:val="none" w:sz="0" w:space="0" w:color="auto"/>
      </w:divBdr>
      <w:divsChild>
        <w:div w:id="2040619710">
          <w:marLeft w:val="0"/>
          <w:marRight w:val="0"/>
          <w:marTop w:val="0"/>
          <w:marBottom w:val="0"/>
          <w:divBdr>
            <w:top w:val="none" w:sz="0" w:space="0" w:color="auto"/>
            <w:left w:val="none" w:sz="0" w:space="0" w:color="auto"/>
            <w:bottom w:val="none" w:sz="0" w:space="0" w:color="auto"/>
            <w:right w:val="none" w:sz="0" w:space="0" w:color="auto"/>
          </w:divBdr>
        </w:div>
      </w:divsChild>
    </w:div>
    <w:div w:id="982001473">
      <w:marLeft w:val="0"/>
      <w:marRight w:val="0"/>
      <w:marTop w:val="0"/>
      <w:marBottom w:val="0"/>
      <w:divBdr>
        <w:top w:val="none" w:sz="0" w:space="0" w:color="auto"/>
        <w:left w:val="none" w:sz="0" w:space="0" w:color="auto"/>
        <w:bottom w:val="none" w:sz="0" w:space="0" w:color="auto"/>
        <w:right w:val="none" w:sz="0" w:space="0" w:color="auto"/>
      </w:divBdr>
      <w:divsChild>
        <w:div w:id="992948786">
          <w:marLeft w:val="0"/>
          <w:marRight w:val="0"/>
          <w:marTop w:val="0"/>
          <w:marBottom w:val="0"/>
          <w:divBdr>
            <w:top w:val="none" w:sz="0" w:space="0" w:color="auto"/>
            <w:left w:val="none" w:sz="0" w:space="0" w:color="auto"/>
            <w:bottom w:val="none" w:sz="0" w:space="0" w:color="auto"/>
            <w:right w:val="none" w:sz="0" w:space="0" w:color="auto"/>
          </w:divBdr>
        </w:div>
      </w:divsChild>
    </w:div>
    <w:div w:id="988284142">
      <w:marLeft w:val="0"/>
      <w:marRight w:val="0"/>
      <w:marTop w:val="0"/>
      <w:marBottom w:val="0"/>
      <w:divBdr>
        <w:top w:val="none" w:sz="0" w:space="0" w:color="auto"/>
        <w:left w:val="none" w:sz="0" w:space="0" w:color="auto"/>
        <w:bottom w:val="none" w:sz="0" w:space="0" w:color="auto"/>
        <w:right w:val="none" w:sz="0" w:space="0" w:color="auto"/>
      </w:divBdr>
      <w:divsChild>
        <w:div w:id="1369641737">
          <w:marLeft w:val="0"/>
          <w:marRight w:val="0"/>
          <w:marTop w:val="0"/>
          <w:marBottom w:val="0"/>
          <w:divBdr>
            <w:top w:val="none" w:sz="0" w:space="0" w:color="auto"/>
            <w:left w:val="none" w:sz="0" w:space="0" w:color="auto"/>
            <w:bottom w:val="none" w:sz="0" w:space="0" w:color="auto"/>
            <w:right w:val="none" w:sz="0" w:space="0" w:color="auto"/>
          </w:divBdr>
        </w:div>
      </w:divsChild>
    </w:div>
    <w:div w:id="988898808">
      <w:marLeft w:val="0"/>
      <w:marRight w:val="0"/>
      <w:marTop w:val="0"/>
      <w:marBottom w:val="0"/>
      <w:divBdr>
        <w:top w:val="none" w:sz="0" w:space="0" w:color="auto"/>
        <w:left w:val="none" w:sz="0" w:space="0" w:color="auto"/>
        <w:bottom w:val="none" w:sz="0" w:space="0" w:color="auto"/>
        <w:right w:val="none" w:sz="0" w:space="0" w:color="auto"/>
      </w:divBdr>
      <w:divsChild>
        <w:div w:id="1732270882">
          <w:marLeft w:val="0"/>
          <w:marRight w:val="0"/>
          <w:marTop w:val="0"/>
          <w:marBottom w:val="0"/>
          <w:divBdr>
            <w:top w:val="none" w:sz="0" w:space="0" w:color="auto"/>
            <w:left w:val="none" w:sz="0" w:space="0" w:color="auto"/>
            <w:bottom w:val="none" w:sz="0" w:space="0" w:color="auto"/>
            <w:right w:val="none" w:sz="0" w:space="0" w:color="auto"/>
          </w:divBdr>
        </w:div>
      </w:divsChild>
    </w:div>
    <w:div w:id="994577229">
      <w:marLeft w:val="0"/>
      <w:marRight w:val="0"/>
      <w:marTop w:val="0"/>
      <w:marBottom w:val="0"/>
      <w:divBdr>
        <w:top w:val="none" w:sz="0" w:space="0" w:color="auto"/>
        <w:left w:val="none" w:sz="0" w:space="0" w:color="auto"/>
        <w:bottom w:val="none" w:sz="0" w:space="0" w:color="auto"/>
        <w:right w:val="none" w:sz="0" w:space="0" w:color="auto"/>
      </w:divBdr>
      <w:divsChild>
        <w:div w:id="138620622">
          <w:marLeft w:val="0"/>
          <w:marRight w:val="0"/>
          <w:marTop w:val="0"/>
          <w:marBottom w:val="0"/>
          <w:divBdr>
            <w:top w:val="none" w:sz="0" w:space="0" w:color="auto"/>
            <w:left w:val="none" w:sz="0" w:space="0" w:color="auto"/>
            <w:bottom w:val="none" w:sz="0" w:space="0" w:color="auto"/>
            <w:right w:val="none" w:sz="0" w:space="0" w:color="auto"/>
          </w:divBdr>
        </w:div>
      </w:divsChild>
    </w:div>
    <w:div w:id="996416111">
      <w:marLeft w:val="0"/>
      <w:marRight w:val="0"/>
      <w:marTop w:val="0"/>
      <w:marBottom w:val="0"/>
      <w:divBdr>
        <w:top w:val="none" w:sz="0" w:space="0" w:color="auto"/>
        <w:left w:val="none" w:sz="0" w:space="0" w:color="auto"/>
        <w:bottom w:val="none" w:sz="0" w:space="0" w:color="auto"/>
        <w:right w:val="none" w:sz="0" w:space="0" w:color="auto"/>
      </w:divBdr>
      <w:divsChild>
        <w:div w:id="1651518131">
          <w:marLeft w:val="0"/>
          <w:marRight w:val="0"/>
          <w:marTop w:val="0"/>
          <w:marBottom w:val="0"/>
          <w:divBdr>
            <w:top w:val="none" w:sz="0" w:space="0" w:color="auto"/>
            <w:left w:val="none" w:sz="0" w:space="0" w:color="auto"/>
            <w:bottom w:val="none" w:sz="0" w:space="0" w:color="auto"/>
            <w:right w:val="none" w:sz="0" w:space="0" w:color="auto"/>
          </w:divBdr>
        </w:div>
      </w:divsChild>
    </w:div>
    <w:div w:id="997146310">
      <w:marLeft w:val="0"/>
      <w:marRight w:val="0"/>
      <w:marTop w:val="0"/>
      <w:marBottom w:val="0"/>
      <w:divBdr>
        <w:top w:val="none" w:sz="0" w:space="0" w:color="auto"/>
        <w:left w:val="none" w:sz="0" w:space="0" w:color="auto"/>
        <w:bottom w:val="none" w:sz="0" w:space="0" w:color="auto"/>
        <w:right w:val="none" w:sz="0" w:space="0" w:color="auto"/>
      </w:divBdr>
      <w:divsChild>
        <w:div w:id="1305159007">
          <w:marLeft w:val="0"/>
          <w:marRight w:val="0"/>
          <w:marTop w:val="0"/>
          <w:marBottom w:val="0"/>
          <w:divBdr>
            <w:top w:val="none" w:sz="0" w:space="0" w:color="auto"/>
            <w:left w:val="none" w:sz="0" w:space="0" w:color="auto"/>
            <w:bottom w:val="none" w:sz="0" w:space="0" w:color="auto"/>
            <w:right w:val="none" w:sz="0" w:space="0" w:color="auto"/>
          </w:divBdr>
        </w:div>
      </w:divsChild>
    </w:div>
    <w:div w:id="1001661033">
      <w:marLeft w:val="0"/>
      <w:marRight w:val="0"/>
      <w:marTop w:val="0"/>
      <w:marBottom w:val="0"/>
      <w:divBdr>
        <w:top w:val="none" w:sz="0" w:space="0" w:color="auto"/>
        <w:left w:val="none" w:sz="0" w:space="0" w:color="auto"/>
        <w:bottom w:val="none" w:sz="0" w:space="0" w:color="auto"/>
        <w:right w:val="none" w:sz="0" w:space="0" w:color="auto"/>
      </w:divBdr>
      <w:divsChild>
        <w:div w:id="1684625479">
          <w:marLeft w:val="0"/>
          <w:marRight w:val="0"/>
          <w:marTop w:val="0"/>
          <w:marBottom w:val="0"/>
          <w:divBdr>
            <w:top w:val="none" w:sz="0" w:space="0" w:color="auto"/>
            <w:left w:val="none" w:sz="0" w:space="0" w:color="auto"/>
            <w:bottom w:val="none" w:sz="0" w:space="0" w:color="auto"/>
            <w:right w:val="none" w:sz="0" w:space="0" w:color="auto"/>
          </w:divBdr>
        </w:div>
      </w:divsChild>
    </w:div>
    <w:div w:id="1008021164">
      <w:bodyDiv w:val="1"/>
      <w:marLeft w:val="0"/>
      <w:marRight w:val="0"/>
      <w:marTop w:val="0"/>
      <w:marBottom w:val="0"/>
      <w:divBdr>
        <w:top w:val="none" w:sz="0" w:space="0" w:color="auto"/>
        <w:left w:val="none" w:sz="0" w:space="0" w:color="auto"/>
        <w:bottom w:val="none" w:sz="0" w:space="0" w:color="auto"/>
        <w:right w:val="none" w:sz="0" w:space="0" w:color="auto"/>
      </w:divBdr>
    </w:div>
    <w:div w:id="1008143784">
      <w:marLeft w:val="0"/>
      <w:marRight w:val="0"/>
      <w:marTop w:val="0"/>
      <w:marBottom w:val="0"/>
      <w:divBdr>
        <w:top w:val="none" w:sz="0" w:space="0" w:color="auto"/>
        <w:left w:val="none" w:sz="0" w:space="0" w:color="auto"/>
        <w:bottom w:val="none" w:sz="0" w:space="0" w:color="auto"/>
        <w:right w:val="none" w:sz="0" w:space="0" w:color="auto"/>
      </w:divBdr>
    </w:div>
    <w:div w:id="1009867368">
      <w:bodyDiv w:val="1"/>
      <w:marLeft w:val="0"/>
      <w:marRight w:val="0"/>
      <w:marTop w:val="0"/>
      <w:marBottom w:val="0"/>
      <w:divBdr>
        <w:top w:val="none" w:sz="0" w:space="0" w:color="auto"/>
        <w:left w:val="none" w:sz="0" w:space="0" w:color="auto"/>
        <w:bottom w:val="none" w:sz="0" w:space="0" w:color="auto"/>
        <w:right w:val="none" w:sz="0" w:space="0" w:color="auto"/>
      </w:divBdr>
    </w:div>
    <w:div w:id="1017469240">
      <w:bodyDiv w:val="1"/>
      <w:marLeft w:val="0"/>
      <w:marRight w:val="0"/>
      <w:marTop w:val="0"/>
      <w:marBottom w:val="0"/>
      <w:divBdr>
        <w:top w:val="none" w:sz="0" w:space="0" w:color="auto"/>
        <w:left w:val="none" w:sz="0" w:space="0" w:color="auto"/>
        <w:bottom w:val="none" w:sz="0" w:space="0" w:color="auto"/>
        <w:right w:val="none" w:sz="0" w:space="0" w:color="auto"/>
      </w:divBdr>
    </w:div>
    <w:div w:id="1017582995">
      <w:bodyDiv w:val="1"/>
      <w:marLeft w:val="0"/>
      <w:marRight w:val="0"/>
      <w:marTop w:val="0"/>
      <w:marBottom w:val="0"/>
      <w:divBdr>
        <w:top w:val="none" w:sz="0" w:space="0" w:color="auto"/>
        <w:left w:val="none" w:sz="0" w:space="0" w:color="auto"/>
        <w:bottom w:val="none" w:sz="0" w:space="0" w:color="auto"/>
        <w:right w:val="none" w:sz="0" w:space="0" w:color="auto"/>
      </w:divBdr>
    </w:div>
    <w:div w:id="1018117495">
      <w:marLeft w:val="0"/>
      <w:marRight w:val="0"/>
      <w:marTop w:val="0"/>
      <w:marBottom w:val="0"/>
      <w:divBdr>
        <w:top w:val="none" w:sz="0" w:space="0" w:color="auto"/>
        <w:left w:val="none" w:sz="0" w:space="0" w:color="auto"/>
        <w:bottom w:val="none" w:sz="0" w:space="0" w:color="auto"/>
        <w:right w:val="none" w:sz="0" w:space="0" w:color="auto"/>
      </w:divBdr>
      <w:divsChild>
        <w:div w:id="278076753">
          <w:marLeft w:val="0"/>
          <w:marRight w:val="0"/>
          <w:marTop w:val="0"/>
          <w:marBottom w:val="0"/>
          <w:divBdr>
            <w:top w:val="none" w:sz="0" w:space="0" w:color="auto"/>
            <w:left w:val="none" w:sz="0" w:space="0" w:color="auto"/>
            <w:bottom w:val="none" w:sz="0" w:space="0" w:color="auto"/>
            <w:right w:val="none" w:sz="0" w:space="0" w:color="auto"/>
          </w:divBdr>
        </w:div>
      </w:divsChild>
    </w:div>
    <w:div w:id="1020543462">
      <w:marLeft w:val="0"/>
      <w:marRight w:val="0"/>
      <w:marTop w:val="0"/>
      <w:marBottom w:val="0"/>
      <w:divBdr>
        <w:top w:val="none" w:sz="0" w:space="0" w:color="auto"/>
        <w:left w:val="none" w:sz="0" w:space="0" w:color="auto"/>
        <w:bottom w:val="none" w:sz="0" w:space="0" w:color="auto"/>
        <w:right w:val="none" w:sz="0" w:space="0" w:color="auto"/>
      </w:divBdr>
      <w:divsChild>
        <w:div w:id="929584429">
          <w:marLeft w:val="0"/>
          <w:marRight w:val="0"/>
          <w:marTop w:val="0"/>
          <w:marBottom w:val="0"/>
          <w:divBdr>
            <w:top w:val="none" w:sz="0" w:space="0" w:color="auto"/>
            <w:left w:val="none" w:sz="0" w:space="0" w:color="auto"/>
            <w:bottom w:val="none" w:sz="0" w:space="0" w:color="auto"/>
            <w:right w:val="none" w:sz="0" w:space="0" w:color="auto"/>
          </w:divBdr>
        </w:div>
      </w:divsChild>
    </w:div>
    <w:div w:id="1020811982">
      <w:marLeft w:val="0"/>
      <w:marRight w:val="0"/>
      <w:marTop w:val="0"/>
      <w:marBottom w:val="0"/>
      <w:divBdr>
        <w:top w:val="none" w:sz="0" w:space="0" w:color="auto"/>
        <w:left w:val="none" w:sz="0" w:space="0" w:color="auto"/>
        <w:bottom w:val="none" w:sz="0" w:space="0" w:color="auto"/>
        <w:right w:val="none" w:sz="0" w:space="0" w:color="auto"/>
      </w:divBdr>
      <w:divsChild>
        <w:div w:id="1324622762">
          <w:marLeft w:val="0"/>
          <w:marRight w:val="0"/>
          <w:marTop w:val="0"/>
          <w:marBottom w:val="0"/>
          <w:divBdr>
            <w:top w:val="none" w:sz="0" w:space="0" w:color="auto"/>
            <w:left w:val="none" w:sz="0" w:space="0" w:color="auto"/>
            <w:bottom w:val="none" w:sz="0" w:space="0" w:color="auto"/>
            <w:right w:val="none" w:sz="0" w:space="0" w:color="auto"/>
          </w:divBdr>
        </w:div>
      </w:divsChild>
    </w:div>
    <w:div w:id="1021476048">
      <w:marLeft w:val="0"/>
      <w:marRight w:val="150"/>
      <w:marTop w:val="0"/>
      <w:marBottom w:val="0"/>
      <w:divBdr>
        <w:top w:val="none" w:sz="0" w:space="0" w:color="auto"/>
        <w:left w:val="none" w:sz="0" w:space="0" w:color="auto"/>
        <w:bottom w:val="none" w:sz="0" w:space="0" w:color="auto"/>
        <w:right w:val="none" w:sz="0" w:space="0" w:color="auto"/>
      </w:divBdr>
      <w:divsChild>
        <w:div w:id="633483329">
          <w:marLeft w:val="0"/>
          <w:marRight w:val="150"/>
          <w:marTop w:val="0"/>
          <w:marBottom w:val="0"/>
          <w:divBdr>
            <w:top w:val="none" w:sz="0" w:space="0" w:color="auto"/>
            <w:left w:val="none" w:sz="0" w:space="0" w:color="auto"/>
            <w:bottom w:val="none" w:sz="0" w:space="0" w:color="auto"/>
            <w:right w:val="none" w:sz="0" w:space="0" w:color="auto"/>
          </w:divBdr>
        </w:div>
      </w:divsChild>
    </w:div>
    <w:div w:id="1025249135">
      <w:bodyDiv w:val="1"/>
      <w:marLeft w:val="0"/>
      <w:marRight w:val="0"/>
      <w:marTop w:val="0"/>
      <w:marBottom w:val="0"/>
      <w:divBdr>
        <w:top w:val="none" w:sz="0" w:space="0" w:color="auto"/>
        <w:left w:val="none" w:sz="0" w:space="0" w:color="auto"/>
        <w:bottom w:val="none" w:sz="0" w:space="0" w:color="auto"/>
        <w:right w:val="none" w:sz="0" w:space="0" w:color="auto"/>
      </w:divBdr>
    </w:div>
    <w:div w:id="1026101964">
      <w:marLeft w:val="0"/>
      <w:marRight w:val="0"/>
      <w:marTop w:val="0"/>
      <w:marBottom w:val="0"/>
      <w:divBdr>
        <w:top w:val="none" w:sz="0" w:space="0" w:color="auto"/>
        <w:left w:val="none" w:sz="0" w:space="0" w:color="auto"/>
        <w:bottom w:val="none" w:sz="0" w:space="0" w:color="auto"/>
        <w:right w:val="none" w:sz="0" w:space="0" w:color="auto"/>
      </w:divBdr>
      <w:divsChild>
        <w:div w:id="1653947611">
          <w:marLeft w:val="0"/>
          <w:marRight w:val="0"/>
          <w:marTop w:val="0"/>
          <w:marBottom w:val="0"/>
          <w:divBdr>
            <w:top w:val="none" w:sz="0" w:space="0" w:color="auto"/>
            <w:left w:val="none" w:sz="0" w:space="0" w:color="auto"/>
            <w:bottom w:val="none" w:sz="0" w:space="0" w:color="auto"/>
            <w:right w:val="none" w:sz="0" w:space="0" w:color="auto"/>
          </w:divBdr>
        </w:div>
      </w:divsChild>
    </w:div>
    <w:div w:id="1027678732">
      <w:bodyDiv w:val="1"/>
      <w:marLeft w:val="0"/>
      <w:marRight w:val="0"/>
      <w:marTop w:val="0"/>
      <w:marBottom w:val="0"/>
      <w:divBdr>
        <w:top w:val="none" w:sz="0" w:space="0" w:color="auto"/>
        <w:left w:val="none" w:sz="0" w:space="0" w:color="auto"/>
        <w:bottom w:val="none" w:sz="0" w:space="0" w:color="auto"/>
        <w:right w:val="none" w:sz="0" w:space="0" w:color="auto"/>
      </w:divBdr>
    </w:div>
    <w:div w:id="1028800214">
      <w:marLeft w:val="0"/>
      <w:marRight w:val="0"/>
      <w:marTop w:val="0"/>
      <w:marBottom w:val="0"/>
      <w:divBdr>
        <w:top w:val="none" w:sz="0" w:space="0" w:color="auto"/>
        <w:left w:val="none" w:sz="0" w:space="0" w:color="auto"/>
        <w:bottom w:val="none" w:sz="0" w:space="0" w:color="auto"/>
        <w:right w:val="none" w:sz="0" w:space="0" w:color="auto"/>
      </w:divBdr>
      <w:divsChild>
        <w:div w:id="863371642">
          <w:marLeft w:val="0"/>
          <w:marRight w:val="0"/>
          <w:marTop w:val="0"/>
          <w:marBottom w:val="0"/>
          <w:divBdr>
            <w:top w:val="none" w:sz="0" w:space="0" w:color="auto"/>
            <w:left w:val="none" w:sz="0" w:space="0" w:color="auto"/>
            <w:bottom w:val="none" w:sz="0" w:space="0" w:color="auto"/>
            <w:right w:val="none" w:sz="0" w:space="0" w:color="auto"/>
          </w:divBdr>
        </w:div>
      </w:divsChild>
    </w:div>
    <w:div w:id="1029994170">
      <w:marLeft w:val="0"/>
      <w:marRight w:val="0"/>
      <w:marTop w:val="0"/>
      <w:marBottom w:val="0"/>
      <w:divBdr>
        <w:top w:val="none" w:sz="0" w:space="0" w:color="auto"/>
        <w:left w:val="none" w:sz="0" w:space="0" w:color="auto"/>
        <w:bottom w:val="none" w:sz="0" w:space="0" w:color="auto"/>
        <w:right w:val="none" w:sz="0" w:space="0" w:color="auto"/>
      </w:divBdr>
      <w:divsChild>
        <w:div w:id="269169169">
          <w:marLeft w:val="0"/>
          <w:marRight w:val="0"/>
          <w:marTop w:val="0"/>
          <w:marBottom w:val="0"/>
          <w:divBdr>
            <w:top w:val="none" w:sz="0" w:space="0" w:color="auto"/>
            <w:left w:val="none" w:sz="0" w:space="0" w:color="auto"/>
            <w:bottom w:val="none" w:sz="0" w:space="0" w:color="auto"/>
            <w:right w:val="none" w:sz="0" w:space="0" w:color="auto"/>
          </w:divBdr>
        </w:div>
      </w:divsChild>
    </w:div>
    <w:div w:id="1030765978">
      <w:marLeft w:val="0"/>
      <w:marRight w:val="0"/>
      <w:marTop w:val="0"/>
      <w:marBottom w:val="0"/>
      <w:divBdr>
        <w:top w:val="none" w:sz="0" w:space="0" w:color="auto"/>
        <w:left w:val="none" w:sz="0" w:space="0" w:color="auto"/>
        <w:bottom w:val="none" w:sz="0" w:space="0" w:color="auto"/>
        <w:right w:val="none" w:sz="0" w:space="0" w:color="auto"/>
      </w:divBdr>
      <w:divsChild>
        <w:div w:id="1887990663">
          <w:marLeft w:val="0"/>
          <w:marRight w:val="0"/>
          <w:marTop w:val="0"/>
          <w:marBottom w:val="0"/>
          <w:divBdr>
            <w:top w:val="none" w:sz="0" w:space="0" w:color="auto"/>
            <w:left w:val="none" w:sz="0" w:space="0" w:color="auto"/>
            <w:bottom w:val="none" w:sz="0" w:space="0" w:color="auto"/>
            <w:right w:val="none" w:sz="0" w:space="0" w:color="auto"/>
          </w:divBdr>
        </w:div>
      </w:divsChild>
    </w:div>
    <w:div w:id="1031144967">
      <w:bodyDiv w:val="1"/>
      <w:marLeft w:val="0"/>
      <w:marRight w:val="0"/>
      <w:marTop w:val="0"/>
      <w:marBottom w:val="0"/>
      <w:divBdr>
        <w:top w:val="none" w:sz="0" w:space="0" w:color="auto"/>
        <w:left w:val="none" w:sz="0" w:space="0" w:color="auto"/>
        <w:bottom w:val="none" w:sz="0" w:space="0" w:color="auto"/>
        <w:right w:val="none" w:sz="0" w:space="0" w:color="auto"/>
      </w:divBdr>
      <w:divsChild>
        <w:div w:id="1031689313">
          <w:marLeft w:val="0"/>
          <w:marRight w:val="0"/>
          <w:marTop w:val="0"/>
          <w:marBottom w:val="0"/>
          <w:divBdr>
            <w:top w:val="none" w:sz="0" w:space="0" w:color="auto"/>
            <w:left w:val="none" w:sz="0" w:space="0" w:color="auto"/>
            <w:bottom w:val="none" w:sz="0" w:space="0" w:color="auto"/>
            <w:right w:val="none" w:sz="0" w:space="0" w:color="auto"/>
          </w:divBdr>
          <w:divsChild>
            <w:div w:id="1787652546">
              <w:marLeft w:val="0"/>
              <w:marRight w:val="0"/>
              <w:marTop w:val="0"/>
              <w:marBottom w:val="0"/>
              <w:divBdr>
                <w:top w:val="none" w:sz="0" w:space="0" w:color="auto"/>
                <w:left w:val="none" w:sz="0" w:space="0" w:color="auto"/>
                <w:bottom w:val="none" w:sz="0" w:space="0" w:color="auto"/>
                <w:right w:val="none" w:sz="0" w:space="0" w:color="auto"/>
              </w:divBdr>
            </w:div>
            <w:div w:id="1623655591">
              <w:marLeft w:val="0"/>
              <w:marRight w:val="0"/>
              <w:marTop w:val="0"/>
              <w:marBottom w:val="0"/>
              <w:divBdr>
                <w:top w:val="none" w:sz="0" w:space="0" w:color="auto"/>
                <w:left w:val="none" w:sz="0" w:space="0" w:color="auto"/>
                <w:bottom w:val="none" w:sz="0" w:space="0" w:color="auto"/>
                <w:right w:val="none" w:sz="0" w:space="0" w:color="auto"/>
              </w:divBdr>
            </w:div>
            <w:div w:id="86705060">
              <w:marLeft w:val="0"/>
              <w:marRight w:val="0"/>
              <w:marTop w:val="0"/>
              <w:marBottom w:val="0"/>
              <w:divBdr>
                <w:top w:val="none" w:sz="0" w:space="0" w:color="auto"/>
                <w:left w:val="none" w:sz="0" w:space="0" w:color="auto"/>
                <w:bottom w:val="none" w:sz="0" w:space="0" w:color="auto"/>
                <w:right w:val="none" w:sz="0" w:space="0" w:color="auto"/>
              </w:divBdr>
            </w:div>
            <w:div w:id="892614486">
              <w:marLeft w:val="0"/>
              <w:marRight w:val="0"/>
              <w:marTop w:val="0"/>
              <w:marBottom w:val="0"/>
              <w:divBdr>
                <w:top w:val="none" w:sz="0" w:space="0" w:color="auto"/>
                <w:left w:val="none" w:sz="0" w:space="0" w:color="auto"/>
                <w:bottom w:val="none" w:sz="0" w:space="0" w:color="auto"/>
                <w:right w:val="none" w:sz="0" w:space="0" w:color="auto"/>
              </w:divBdr>
            </w:div>
            <w:div w:id="2073917357">
              <w:marLeft w:val="0"/>
              <w:marRight w:val="0"/>
              <w:marTop w:val="0"/>
              <w:marBottom w:val="0"/>
              <w:divBdr>
                <w:top w:val="none" w:sz="0" w:space="0" w:color="auto"/>
                <w:left w:val="none" w:sz="0" w:space="0" w:color="auto"/>
                <w:bottom w:val="none" w:sz="0" w:space="0" w:color="auto"/>
                <w:right w:val="none" w:sz="0" w:space="0" w:color="auto"/>
              </w:divBdr>
            </w:div>
            <w:div w:id="1611667514">
              <w:marLeft w:val="0"/>
              <w:marRight w:val="0"/>
              <w:marTop w:val="0"/>
              <w:marBottom w:val="0"/>
              <w:divBdr>
                <w:top w:val="none" w:sz="0" w:space="0" w:color="auto"/>
                <w:left w:val="none" w:sz="0" w:space="0" w:color="auto"/>
                <w:bottom w:val="none" w:sz="0" w:space="0" w:color="auto"/>
                <w:right w:val="none" w:sz="0" w:space="0" w:color="auto"/>
              </w:divBdr>
            </w:div>
            <w:div w:id="1953584606">
              <w:marLeft w:val="0"/>
              <w:marRight w:val="0"/>
              <w:marTop w:val="0"/>
              <w:marBottom w:val="0"/>
              <w:divBdr>
                <w:top w:val="none" w:sz="0" w:space="0" w:color="auto"/>
                <w:left w:val="none" w:sz="0" w:space="0" w:color="auto"/>
                <w:bottom w:val="none" w:sz="0" w:space="0" w:color="auto"/>
                <w:right w:val="none" w:sz="0" w:space="0" w:color="auto"/>
              </w:divBdr>
            </w:div>
            <w:div w:id="985015072">
              <w:marLeft w:val="0"/>
              <w:marRight w:val="0"/>
              <w:marTop w:val="0"/>
              <w:marBottom w:val="0"/>
              <w:divBdr>
                <w:top w:val="none" w:sz="0" w:space="0" w:color="auto"/>
                <w:left w:val="none" w:sz="0" w:space="0" w:color="auto"/>
                <w:bottom w:val="none" w:sz="0" w:space="0" w:color="auto"/>
                <w:right w:val="none" w:sz="0" w:space="0" w:color="auto"/>
              </w:divBdr>
            </w:div>
            <w:div w:id="437411944">
              <w:marLeft w:val="0"/>
              <w:marRight w:val="0"/>
              <w:marTop w:val="0"/>
              <w:marBottom w:val="0"/>
              <w:divBdr>
                <w:top w:val="none" w:sz="0" w:space="0" w:color="auto"/>
                <w:left w:val="none" w:sz="0" w:space="0" w:color="auto"/>
                <w:bottom w:val="none" w:sz="0" w:space="0" w:color="auto"/>
                <w:right w:val="none" w:sz="0" w:space="0" w:color="auto"/>
              </w:divBdr>
            </w:div>
            <w:div w:id="591354088">
              <w:marLeft w:val="0"/>
              <w:marRight w:val="0"/>
              <w:marTop w:val="0"/>
              <w:marBottom w:val="0"/>
              <w:divBdr>
                <w:top w:val="none" w:sz="0" w:space="0" w:color="auto"/>
                <w:left w:val="none" w:sz="0" w:space="0" w:color="auto"/>
                <w:bottom w:val="none" w:sz="0" w:space="0" w:color="auto"/>
                <w:right w:val="none" w:sz="0" w:space="0" w:color="auto"/>
              </w:divBdr>
            </w:div>
            <w:div w:id="1646936971">
              <w:marLeft w:val="0"/>
              <w:marRight w:val="0"/>
              <w:marTop w:val="0"/>
              <w:marBottom w:val="0"/>
              <w:divBdr>
                <w:top w:val="none" w:sz="0" w:space="0" w:color="auto"/>
                <w:left w:val="none" w:sz="0" w:space="0" w:color="auto"/>
                <w:bottom w:val="none" w:sz="0" w:space="0" w:color="auto"/>
                <w:right w:val="none" w:sz="0" w:space="0" w:color="auto"/>
              </w:divBdr>
            </w:div>
            <w:div w:id="1281955184">
              <w:marLeft w:val="0"/>
              <w:marRight w:val="0"/>
              <w:marTop w:val="0"/>
              <w:marBottom w:val="0"/>
              <w:divBdr>
                <w:top w:val="none" w:sz="0" w:space="0" w:color="auto"/>
                <w:left w:val="none" w:sz="0" w:space="0" w:color="auto"/>
                <w:bottom w:val="none" w:sz="0" w:space="0" w:color="auto"/>
                <w:right w:val="none" w:sz="0" w:space="0" w:color="auto"/>
              </w:divBdr>
            </w:div>
            <w:div w:id="2132480862">
              <w:marLeft w:val="0"/>
              <w:marRight w:val="0"/>
              <w:marTop w:val="0"/>
              <w:marBottom w:val="0"/>
              <w:divBdr>
                <w:top w:val="none" w:sz="0" w:space="0" w:color="auto"/>
                <w:left w:val="none" w:sz="0" w:space="0" w:color="auto"/>
                <w:bottom w:val="none" w:sz="0" w:space="0" w:color="auto"/>
                <w:right w:val="none" w:sz="0" w:space="0" w:color="auto"/>
              </w:divBdr>
            </w:div>
            <w:div w:id="46226169">
              <w:marLeft w:val="0"/>
              <w:marRight w:val="0"/>
              <w:marTop w:val="0"/>
              <w:marBottom w:val="0"/>
              <w:divBdr>
                <w:top w:val="none" w:sz="0" w:space="0" w:color="auto"/>
                <w:left w:val="none" w:sz="0" w:space="0" w:color="auto"/>
                <w:bottom w:val="none" w:sz="0" w:space="0" w:color="auto"/>
                <w:right w:val="none" w:sz="0" w:space="0" w:color="auto"/>
              </w:divBdr>
            </w:div>
            <w:div w:id="601911026">
              <w:marLeft w:val="0"/>
              <w:marRight w:val="0"/>
              <w:marTop w:val="0"/>
              <w:marBottom w:val="0"/>
              <w:divBdr>
                <w:top w:val="none" w:sz="0" w:space="0" w:color="auto"/>
                <w:left w:val="none" w:sz="0" w:space="0" w:color="auto"/>
                <w:bottom w:val="none" w:sz="0" w:space="0" w:color="auto"/>
                <w:right w:val="none" w:sz="0" w:space="0" w:color="auto"/>
              </w:divBdr>
            </w:div>
            <w:div w:id="1787120619">
              <w:marLeft w:val="0"/>
              <w:marRight w:val="0"/>
              <w:marTop w:val="0"/>
              <w:marBottom w:val="0"/>
              <w:divBdr>
                <w:top w:val="none" w:sz="0" w:space="0" w:color="auto"/>
                <w:left w:val="none" w:sz="0" w:space="0" w:color="auto"/>
                <w:bottom w:val="none" w:sz="0" w:space="0" w:color="auto"/>
                <w:right w:val="none" w:sz="0" w:space="0" w:color="auto"/>
              </w:divBdr>
            </w:div>
            <w:div w:id="480269758">
              <w:marLeft w:val="0"/>
              <w:marRight w:val="0"/>
              <w:marTop w:val="0"/>
              <w:marBottom w:val="0"/>
              <w:divBdr>
                <w:top w:val="none" w:sz="0" w:space="0" w:color="auto"/>
                <w:left w:val="none" w:sz="0" w:space="0" w:color="auto"/>
                <w:bottom w:val="none" w:sz="0" w:space="0" w:color="auto"/>
                <w:right w:val="none" w:sz="0" w:space="0" w:color="auto"/>
              </w:divBdr>
            </w:div>
            <w:div w:id="240139264">
              <w:marLeft w:val="0"/>
              <w:marRight w:val="0"/>
              <w:marTop w:val="0"/>
              <w:marBottom w:val="0"/>
              <w:divBdr>
                <w:top w:val="none" w:sz="0" w:space="0" w:color="auto"/>
                <w:left w:val="none" w:sz="0" w:space="0" w:color="auto"/>
                <w:bottom w:val="none" w:sz="0" w:space="0" w:color="auto"/>
                <w:right w:val="none" w:sz="0" w:space="0" w:color="auto"/>
              </w:divBdr>
            </w:div>
            <w:div w:id="1862279558">
              <w:marLeft w:val="0"/>
              <w:marRight w:val="0"/>
              <w:marTop w:val="0"/>
              <w:marBottom w:val="0"/>
              <w:divBdr>
                <w:top w:val="none" w:sz="0" w:space="0" w:color="auto"/>
                <w:left w:val="none" w:sz="0" w:space="0" w:color="auto"/>
                <w:bottom w:val="none" w:sz="0" w:space="0" w:color="auto"/>
                <w:right w:val="none" w:sz="0" w:space="0" w:color="auto"/>
              </w:divBdr>
            </w:div>
            <w:div w:id="442577664">
              <w:marLeft w:val="0"/>
              <w:marRight w:val="0"/>
              <w:marTop w:val="0"/>
              <w:marBottom w:val="0"/>
              <w:divBdr>
                <w:top w:val="none" w:sz="0" w:space="0" w:color="auto"/>
                <w:left w:val="none" w:sz="0" w:space="0" w:color="auto"/>
                <w:bottom w:val="none" w:sz="0" w:space="0" w:color="auto"/>
                <w:right w:val="none" w:sz="0" w:space="0" w:color="auto"/>
              </w:divBdr>
            </w:div>
            <w:div w:id="762457179">
              <w:marLeft w:val="0"/>
              <w:marRight w:val="0"/>
              <w:marTop w:val="0"/>
              <w:marBottom w:val="0"/>
              <w:divBdr>
                <w:top w:val="none" w:sz="0" w:space="0" w:color="auto"/>
                <w:left w:val="none" w:sz="0" w:space="0" w:color="auto"/>
                <w:bottom w:val="none" w:sz="0" w:space="0" w:color="auto"/>
                <w:right w:val="none" w:sz="0" w:space="0" w:color="auto"/>
              </w:divBdr>
            </w:div>
            <w:div w:id="1177425954">
              <w:marLeft w:val="0"/>
              <w:marRight w:val="0"/>
              <w:marTop w:val="0"/>
              <w:marBottom w:val="0"/>
              <w:divBdr>
                <w:top w:val="none" w:sz="0" w:space="0" w:color="auto"/>
                <w:left w:val="none" w:sz="0" w:space="0" w:color="auto"/>
                <w:bottom w:val="none" w:sz="0" w:space="0" w:color="auto"/>
                <w:right w:val="none" w:sz="0" w:space="0" w:color="auto"/>
              </w:divBdr>
            </w:div>
            <w:div w:id="1886208720">
              <w:marLeft w:val="0"/>
              <w:marRight w:val="0"/>
              <w:marTop w:val="0"/>
              <w:marBottom w:val="0"/>
              <w:divBdr>
                <w:top w:val="none" w:sz="0" w:space="0" w:color="auto"/>
                <w:left w:val="none" w:sz="0" w:space="0" w:color="auto"/>
                <w:bottom w:val="none" w:sz="0" w:space="0" w:color="auto"/>
                <w:right w:val="none" w:sz="0" w:space="0" w:color="auto"/>
              </w:divBdr>
            </w:div>
            <w:div w:id="1049113457">
              <w:marLeft w:val="0"/>
              <w:marRight w:val="0"/>
              <w:marTop w:val="0"/>
              <w:marBottom w:val="0"/>
              <w:divBdr>
                <w:top w:val="none" w:sz="0" w:space="0" w:color="auto"/>
                <w:left w:val="none" w:sz="0" w:space="0" w:color="auto"/>
                <w:bottom w:val="none" w:sz="0" w:space="0" w:color="auto"/>
                <w:right w:val="none" w:sz="0" w:space="0" w:color="auto"/>
              </w:divBdr>
            </w:div>
            <w:div w:id="52147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300280">
      <w:bodyDiv w:val="1"/>
      <w:marLeft w:val="0"/>
      <w:marRight w:val="0"/>
      <w:marTop w:val="0"/>
      <w:marBottom w:val="0"/>
      <w:divBdr>
        <w:top w:val="none" w:sz="0" w:space="0" w:color="auto"/>
        <w:left w:val="none" w:sz="0" w:space="0" w:color="auto"/>
        <w:bottom w:val="none" w:sz="0" w:space="0" w:color="auto"/>
        <w:right w:val="none" w:sz="0" w:space="0" w:color="auto"/>
      </w:divBdr>
    </w:div>
    <w:div w:id="1031301955">
      <w:bodyDiv w:val="1"/>
      <w:marLeft w:val="0"/>
      <w:marRight w:val="0"/>
      <w:marTop w:val="0"/>
      <w:marBottom w:val="0"/>
      <w:divBdr>
        <w:top w:val="none" w:sz="0" w:space="0" w:color="auto"/>
        <w:left w:val="none" w:sz="0" w:space="0" w:color="auto"/>
        <w:bottom w:val="none" w:sz="0" w:space="0" w:color="auto"/>
        <w:right w:val="none" w:sz="0" w:space="0" w:color="auto"/>
      </w:divBdr>
      <w:divsChild>
        <w:div w:id="622686857">
          <w:marLeft w:val="0"/>
          <w:marRight w:val="0"/>
          <w:marTop w:val="0"/>
          <w:marBottom w:val="0"/>
          <w:divBdr>
            <w:top w:val="none" w:sz="0" w:space="0" w:color="auto"/>
            <w:left w:val="none" w:sz="0" w:space="0" w:color="auto"/>
            <w:bottom w:val="none" w:sz="0" w:space="0" w:color="auto"/>
            <w:right w:val="none" w:sz="0" w:space="0" w:color="auto"/>
          </w:divBdr>
          <w:divsChild>
            <w:div w:id="435171345">
              <w:marLeft w:val="0"/>
              <w:marRight w:val="0"/>
              <w:marTop w:val="0"/>
              <w:marBottom w:val="0"/>
              <w:divBdr>
                <w:top w:val="none" w:sz="0" w:space="0" w:color="auto"/>
                <w:left w:val="none" w:sz="0" w:space="0" w:color="auto"/>
                <w:bottom w:val="none" w:sz="0" w:space="0" w:color="auto"/>
                <w:right w:val="none" w:sz="0" w:space="0" w:color="auto"/>
              </w:divBdr>
              <w:divsChild>
                <w:div w:id="2145148034">
                  <w:marLeft w:val="0"/>
                  <w:marRight w:val="150"/>
                  <w:marTop w:val="0"/>
                  <w:marBottom w:val="0"/>
                  <w:divBdr>
                    <w:top w:val="none" w:sz="0" w:space="0" w:color="auto"/>
                    <w:left w:val="none" w:sz="0" w:space="0" w:color="auto"/>
                    <w:bottom w:val="none" w:sz="0" w:space="0" w:color="auto"/>
                    <w:right w:val="none" w:sz="0" w:space="0" w:color="auto"/>
                  </w:divBdr>
                  <w:divsChild>
                    <w:div w:id="20148440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36589211">
          <w:marLeft w:val="0"/>
          <w:marRight w:val="150"/>
          <w:marTop w:val="0"/>
          <w:marBottom w:val="0"/>
          <w:divBdr>
            <w:top w:val="none" w:sz="0" w:space="0" w:color="auto"/>
            <w:left w:val="none" w:sz="0" w:space="0" w:color="auto"/>
            <w:bottom w:val="none" w:sz="0" w:space="0" w:color="auto"/>
            <w:right w:val="none" w:sz="0" w:space="0" w:color="auto"/>
          </w:divBdr>
          <w:divsChild>
            <w:div w:id="42226102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41900037">
      <w:marLeft w:val="0"/>
      <w:marRight w:val="0"/>
      <w:marTop w:val="0"/>
      <w:marBottom w:val="0"/>
      <w:divBdr>
        <w:top w:val="none" w:sz="0" w:space="0" w:color="auto"/>
        <w:left w:val="none" w:sz="0" w:space="0" w:color="auto"/>
        <w:bottom w:val="none" w:sz="0" w:space="0" w:color="auto"/>
        <w:right w:val="none" w:sz="0" w:space="0" w:color="auto"/>
      </w:divBdr>
      <w:divsChild>
        <w:div w:id="1169171513">
          <w:marLeft w:val="0"/>
          <w:marRight w:val="0"/>
          <w:marTop w:val="0"/>
          <w:marBottom w:val="0"/>
          <w:divBdr>
            <w:top w:val="none" w:sz="0" w:space="0" w:color="auto"/>
            <w:left w:val="none" w:sz="0" w:space="0" w:color="auto"/>
            <w:bottom w:val="none" w:sz="0" w:space="0" w:color="auto"/>
            <w:right w:val="none" w:sz="0" w:space="0" w:color="auto"/>
          </w:divBdr>
        </w:div>
      </w:divsChild>
    </w:div>
    <w:div w:id="1045913369">
      <w:marLeft w:val="0"/>
      <w:marRight w:val="0"/>
      <w:marTop w:val="0"/>
      <w:marBottom w:val="0"/>
      <w:divBdr>
        <w:top w:val="none" w:sz="0" w:space="0" w:color="auto"/>
        <w:left w:val="none" w:sz="0" w:space="0" w:color="auto"/>
        <w:bottom w:val="none" w:sz="0" w:space="0" w:color="auto"/>
        <w:right w:val="none" w:sz="0" w:space="0" w:color="auto"/>
      </w:divBdr>
      <w:divsChild>
        <w:div w:id="1726173011">
          <w:marLeft w:val="0"/>
          <w:marRight w:val="0"/>
          <w:marTop w:val="0"/>
          <w:marBottom w:val="0"/>
          <w:divBdr>
            <w:top w:val="none" w:sz="0" w:space="0" w:color="auto"/>
            <w:left w:val="none" w:sz="0" w:space="0" w:color="auto"/>
            <w:bottom w:val="none" w:sz="0" w:space="0" w:color="auto"/>
            <w:right w:val="none" w:sz="0" w:space="0" w:color="auto"/>
          </w:divBdr>
        </w:div>
      </w:divsChild>
    </w:div>
    <w:div w:id="1057751880">
      <w:marLeft w:val="0"/>
      <w:marRight w:val="0"/>
      <w:marTop w:val="0"/>
      <w:marBottom w:val="0"/>
      <w:divBdr>
        <w:top w:val="none" w:sz="0" w:space="0" w:color="auto"/>
        <w:left w:val="none" w:sz="0" w:space="0" w:color="auto"/>
        <w:bottom w:val="none" w:sz="0" w:space="0" w:color="auto"/>
        <w:right w:val="none" w:sz="0" w:space="0" w:color="auto"/>
      </w:divBdr>
      <w:divsChild>
        <w:div w:id="140539634">
          <w:marLeft w:val="0"/>
          <w:marRight w:val="0"/>
          <w:marTop w:val="0"/>
          <w:marBottom w:val="0"/>
          <w:divBdr>
            <w:top w:val="none" w:sz="0" w:space="0" w:color="auto"/>
            <w:left w:val="none" w:sz="0" w:space="0" w:color="auto"/>
            <w:bottom w:val="none" w:sz="0" w:space="0" w:color="auto"/>
            <w:right w:val="none" w:sz="0" w:space="0" w:color="auto"/>
          </w:divBdr>
        </w:div>
      </w:divsChild>
    </w:div>
    <w:div w:id="1057976612">
      <w:bodyDiv w:val="1"/>
      <w:marLeft w:val="0"/>
      <w:marRight w:val="0"/>
      <w:marTop w:val="0"/>
      <w:marBottom w:val="0"/>
      <w:divBdr>
        <w:top w:val="none" w:sz="0" w:space="0" w:color="auto"/>
        <w:left w:val="none" w:sz="0" w:space="0" w:color="auto"/>
        <w:bottom w:val="none" w:sz="0" w:space="0" w:color="auto"/>
        <w:right w:val="none" w:sz="0" w:space="0" w:color="auto"/>
      </w:divBdr>
    </w:div>
    <w:div w:id="1058743833">
      <w:bodyDiv w:val="1"/>
      <w:marLeft w:val="0"/>
      <w:marRight w:val="0"/>
      <w:marTop w:val="0"/>
      <w:marBottom w:val="0"/>
      <w:divBdr>
        <w:top w:val="none" w:sz="0" w:space="0" w:color="auto"/>
        <w:left w:val="none" w:sz="0" w:space="0" w:color="auto"/>
        <w:bottom w:val="none" w:sz="0" w:space="0" w:color="auto"/>
        <w:right w:val="none" w:sz="0" w:space="0" w:color="auto"/>
      </w:divBdr>
    </w:div>
    <w:div w:id="1059592890">
      <w:marLeft w:val="0"/>
      <w:marRight w:val="0"/>
      <w:marTop w:val="0"/>
      <w:marBottom w:val="0"/>
      <w:divBdr>
        <w:top w:val="none" w:sz="0" w:space="0" w:color="auto"/>
        <w:left w:val="none" w:sz="0" w:space="0" w:color="auto"/>
        <w:bottom w:val="none" w:sz="0" w:space="0" w:color="auto"/>
        <w:right w:val="none" w:sz="0" w:space="0" w:color="auto"/>
      </w:divBdr>
      <w:divsChild>
        <w:div w:id="744298996">
          <w:marLeft w:val="0"/>
          <w:marRight w:val="0"/>
          <w:marTop w:val="0"/>
          <w:marBottom w:val="0"/>
          <w:divBdr>
            <w:top w:val="none" w:sz="0" w:space="0" w:color="auto"/>
            <w:left w:val="none" w:sz="0" w:space="0" w:color="auto"/>
            <w:bottom w:val="none" w:sz="0" w:space="0" w:color="auto"/>
            <w:right w:val="none" w:sz="0" w:space="0" w:color="auto"/>
          </w:divBdr>
        </w:div>
      </w:divsChild>
    </w:div>
    <w:div w:id="1061250703">
      <w:bodyDiv w:val="1"/>
      <w:marLeft w:val="0"/>
      <w:marRight w:val="0"/>
      <w:marTop w:val="0"/>
      <w:marBottom w:val="0"/>
      <w:divBdr>
        <w:top w:val="none" w:sz="0" w:space="0" w:color="auto"/>
        <w:left w:val="none" w:sz="0" w:space="0" w:color="auto"/>
        <w:bottom w:val="none" w:sz="0" w:space="0" w:color="auto"/>
        <w:right w:val="none" w:sz="0" w:space="0" w:color="auto"/>
      </w:divBdr>
    </w:div>
    <w:div w:id="1063677450">
      <w:marLeft w:val="0"/>
      <w:marRight w:val="150"/>
      <w:marTop w:val="0"/>
      <w:marBottom w:val="0"/>
      <w:divBdr>
        <w:top w:val="none" w:sz="0" w:space="0" w:color="auto"/>
        <w:left w:val="none" w:sz="0" w:space="0" w:color="auto"/>
        <w:bottom w:val="none" w:sz="0" w:space="0" w:color="auto"/>
        <w:right w:val="none" w:sz="0" w:space="0" w:color="auto"/>
      </w:divBdr>
      <w:divsChild>
        <w:div w:id="556741881">
          <w:marLeft w:val="0"/>
          <w:marRight w:val="150"/>
          <w:marTop w:val="0"/>
          <w:marBottom w:val="0"/>
          <w:divBdr>
            <w:top w:val="none" w:sz="0" w:space="0" w:color="auto"/>
            <w:left w:val="none" w:sz="0" w:space="0" w:color="auto"/>
            <w:bottom w:val="none" w:sz="0" w:space="0" w:color="auto"/>
            <w:right w:val="none" w:sz="0" w:space="0" w:color="auto"/>
          </w:divBdr>
        </w:div>
      </w:divsChild>
    </w:div>
    <w:div w:id="1064909816">
      <w:bodyDiv w:val="1"/>
      <w:marLeft w:val="0"/>
      <w:marRight w:val="0"/>
      <w:marTop w:val="0"/>
      <w:marBottom w:val="0"/>
      <w:divBdr>
        <w:top w:val="none" w:sz="0" w:space="0" w:color="auto"/>
        <w:left w:val="none" w:sz="0" w:space="0" w:color="auto"/>
        <w:bottom w:val="none" w:sz="0" w:space="0" w:color="auto"/>
        <w:right w:val="none" w:sz="0" w:space="0" w:color="auto"/>
      </w:divBdr>
    </w:div>
    <w:div w:id="1066488877">
      <w:marLeft w:val="0"/>
      <w:marRight w:val="0"/>
      <w:marTop w:val="0"/>
      <w:marBottom w:val="0"/>
      <w:divBdr>
        <w:top w:val="none" w:sz="0" w:space="0" w:color="auto"/>
        <w:left w:val="none" w:sz="0" w:space="0" w:color="auto"/>
        <w:bottom w:val="none" w:sz="0" w:space="0" w:color="auto"/>
        <w:right w:val="none" w:sz="0" w:space="0" w:color="auto"/>
      </w:divBdr>
      <w:divsChild>
        <w:div w:id="28998316">
          <w:marLeft w:val="0"/>
          <w:marRight w:val="0"/>
          <w:marTop w:val="0"/>
          <w:marBottom w:val="0"/>
          <w:divBdr>
            <w:top w:val="none" w:sz="0" w:space="0" w:color="auto"/>
            <w:left w:val="none" w:sz="0" w:space="0" w:color="auto"/>
            <w:bottom w:val="none" w:sz="0" w:space="0" w:color="auto"/>
            <w:right w:val="none" w:sz="0" w:space="0" w:color="auto"/>
          </w:divBdr>
        </w:div>
      </w:divsChild>
    </w:div>
    <w:div w:id="1074863647">
      <w:marLeft w:val="0"/>
      <w:marRight w:val="0"/>
      <w:marTop w:val="0"/>
      <w:marBottom w:val="0"/>
      <w:divBdr>
        <w:top w:val="none" w:sz="0" w:space="0" w:color="auto"/>
        <w:left w:val="none" w:sz="0" w:space="0" w:color="auto"/>
        <w:bottom w:val="none" w:sz="0" w:space="0" w:color="auto"/>
        <w:right w:val="none" w:sz="0" w:space="0" w:color="auto"/>
      </w:divBdr>
      <w:divsChild>
        <w:div w:id="765536434">
          <w:marLeft w:val="0"/>
          <w:marRight w:val="0"/>
          <w:marTop w:val="0"/>
          <w:marBottom w:val="0"/>
          <w:divBdr>
            <w:top w:val="none" w:sz="0" w:space="0" w:color="auto"/>
            <w:left w:val="none" w:sz="0" w:space="0" w:color="auto"/>
            <w:bottom w:val="none" w:sz="0" w:space="0" w:color="auto"/>
            <w:right w:val="none" w:sz="0" w:space="0" w:color="auto"/>
          </w:divBdr>
        </w:div>
      </w:divsChild>
    </w:div>
    <w:div w:id="1078865097">
      <w:marLeft w:val="0"/>
      <w:marRight w:val="0"/>
      <w:marTop w:val="0"/>
      <w:marBottom w:val="0"/>
      <w:divBdr>
        <w:top w:val="none" w:sz="0" w:space="0" w:color="auto"/>
        <w:left w:val="none" w:sz="0" w:space="0" w:color="auto"/>
        <w:bottom w:val="none" w:sz="0" w:space="0" w:color="auto"/>
        <w:right w:val="none" w:sz="0" w:space="0" w:color="auto"/>
      </w:divBdr>
      <w:divsChild>
        <w:div w:id="2047559783">
          <w:marLeft w:val="0"/>
          <w:marRight w:val="0"/>
          <w:marTop w:val="0"/>
          <w:marBottom w:val="0"/>
          <w:divBdr>
            <w:top w:val="none" w:sz="0" w:space="0" w:color="auto"/>
            <w:left w:val="none" w:sz="0" w:space="0" w:color="auto"/>
            <w:bottom w:val="none" w:sz="0" w:space="0" w:color="auto"/>
            <w:right w:val="none" w:sz="0" w:space="0" w:color="auto"/>
          </w:divBdr>
        </w:div>
      </w:divsChild>
    </w:div>
    <w:div w:id="1079640358">
      <w:bodyDiv w:val="1"/>
      <w:marLeft w:val="0"/>
      <w:marRight w:val="0"/>
      <w:marTop w:val="0"/>
      <w:marBottom w:val="0"/>
      <w:divBdr>
        <w:top w:val="none" w:sz="0" w:space="0" w:color="auto"/>
        <w:left w:val="none" w:sz="0" w:space="0" w:color="auto"/>
        <w:bottom w:val="none" w:sz="0" w:space="0" w:color="auto"/>
        <w:right w:val="none" w:sz="0" w:space="0" w:color="auto"/>
      </w:divBdr>
      <w:divsChild>
        <w:div w:id="1370762508">
          <w:marLeft w:val="0"/>
          <w:marRight w:val="0"/>
          <w:marTop w:val="0"/>
          <w:marBottom w:val="0"/>
          <w:divBdr>
            <w:top w:val="none" w:sz="0" w:space="0" w:color="auto"/>
            <w:left w:val="none" w:sz="0" w:space="0" w:color="auto"/>
            <w:bottom w:val="none" w:sz="0" w:space="0" w:color="auto"/>
            <w:right w:val="none" w:sz="0" w:space="0" w:color="auto"/>
          </w:divBdr>
          <w:divsChild>
            <w:div w:id="114299083">
              <w:marLeft w:val="0"/>
              <w:marRight w:val="0"/>
              <w:marTop w:val="0"/>
              <w:marBottom w:val="0"/>
              <w:divBdr>
                <w:top w:val="none" w:sz="0" w:space="0" w:color="auto"/>
                <w:left w:val="none" w:sz="0" w:space="0" w:color="auto"/>
                <w:bottom w:val="none" w:sz="0" w:space="0" w:color="auto"/>
                <w:right w:val="none" w:sz="0" w:space="0" w:color="auto"/>
              </w:divBdr>
              <w:divsChild>
                <w:div w:id="2122072606">
                  <w:marLeft w:val="0"/>
                  <w:marRight w:val="150"/>
                  <w:marTop w:val="0"/>
                  <w:marBottom w:val="0"/>
                  <w:divBdr>
                    <w:top w:val="none" w:sz="0" w:space="0" w:color="auto"/>
                    <w:left w:val="none" w:sz="0" w:space="0" w:color="auto"/>
                    <w:bottom w:val="none" w:sz="0" w:space="0" w:color="auto"/>
                    <w:right w:val="none" w:sz="0" w:space="0" w:color="auto"/>
                  </w:divBdr>
                  <w:divsChild>
                    <w:div w:id="12466101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01090847">
          <w:marLeft w:val="0"/>
          <w:marRight w:val="150"/>
          <w:marTop w:val="0"/>
          <w:marBottom w:val="0"/>
          <w:divBdr>
            <w:top w:val="none" w:sz="0" w:space="0" w:color="auto"/>
            <w:left w:val="none" w:sz="0" w:space="0" w:color="auto"/>
            <w:bottom w:val="none" w:sz="0" w:space="0" w:color="auto"/>
            <w:right w:val="none" w:sz="0" w:space="0" w:color="auto"/>
          </w:divBdr>
          <w:divsChild>
            <w:div w:id="114420488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80834104">
      <w:bodyDiv w:val="1"/>
      <w:marLeft w:val="0"/>
      <w:marRight w:val="0"/>
      <w:marTop w:val="0"/>
      <w:marBottom w:val="0"/>
      <w:divBdr>
        <w:top w:val="none" w:sz="0" w:space="0" w:color="auto"/>
        <w:left w:val="none" w:sz="0" w:space="0" w:color="auto"/>
        <w:bottom w:val="none" w:sz="0" w:space="0" w:color="auto"/>
        <w:right w:val="none" w:sz="0" w:space="0" w:color="auto"/>
      </w:divBdr>
    </w:div>
    <w:div w:id="1084376518">
      <w:bodyDiv w:val="1"/>
      <w:marLeft w:val="0"/>
      <w:marRight w:val="0"/>
      <w:marTop w:val="0"/>
      <w:marBottom w:val="0"/>
      <w:divBdr>
        <w:top w:val="none" w:sz="0" w:space="0" w:color="auto"/>
        <w:left w:val="none" w:sz="0" w:space="0" w:color="auto"/>
        <w:bottom w:val="none" w:sz="0" w:space="0" w:color="auto"/>
        <w:right w:val="none" w:sz="0" w:space="0" w:color="auto"/>
      </w:divBdr>
    </w:div>
    <w:div w:id="1084687517">
      <w:bodyDiv w:val="1"/>
      <w:marLeft w:val="0"/>
      <w:marRight w:val="0"/>
      <w:marTop w:val="0"/>
      <w:marBottom w:val="0"/>
      <w:divBdr>
        <w:top w:val="none" w:sz="0" w:space="0" w:color="auto"/>
        <w:left w:val="none" w:sz="0" w:space="0" w:color="auto"/>
        <w:bottom w:val="none" w:sz="0" w:space="0" w:color="auto"/>
        <w:right w:val="none" w:sz="0" w:space="0" w:color="auto"/>
      </w:divBdr>
    </w:div>
    <w:div w:id="1086271613">
      <w:marLeft w:val="0"/>
      <w:marRight w:val="0"/>
      <w:marTop w:val="0"/>
      <w:marBottom w:val="0"/>
      <w:divBdr>
        <w:top w:val="none" w:sz="0" w:space="0" w:color="auto"/>
        <w:left w:val="none" w:sz="0" w:space="0" w:color="auto"/>
        <w:bottom w:val="none" w:sz="0" w:space="0" w:color="auto"/>
        <w:right w:val="none" w:sz="0" w:space="0" w:color="auto"/>
      </w:divBdr>
      <w:divsChild>
        <w:div w:id="2102293237">
          <w:marLeft w:val="0"/>
          <w:marRight w:val="0"/>
          <w:marTop w:val="0"/>
          <w:marBottom w:val="0"/>
          <w:divBdr>
            <w:top w:val="none" w:sz="0" w:space="0" w:color="auto"/>
            <w:left w:val="none" w:sz="0" w:space="0" w:color="auto"/>
            <w:bottom w:val="none" w:sz="0" w:space="0" w:color="auto"/>
            <w:right w:val="none" w:sz="0" w:space="0" w:color="auto"/>
          </w:divBdr>
        </w:div>
      </w:divsChild>
    </w:div>
    <w:div w:id="1086851051">
      <w:marLeft w:val="0"/>
      <w:marRight w:val="0"/>
      <w:marTop w:val="0"/>
      <w:marBottom w:val="0"/>
      <w:divBdr>
        <w:top w:val="none" w:sz="0" w:space="0" w:color="auto"/>
        <w:left w:val="none" w:sz="0" w:space="0" w:color="auto"/>
        <w:bottom w:val="none" w:sz="0" w:space="0" w:color="auto"/>
        <w:right w:val="none" w:sz="0" w:space="0" w:color="auto"/>
      </w:divBdr>
      <w:divsChild>
        <w:div w:id="1964268649">
          <w:marLeft w:val="0"/>
          <w:marRight w:val="0"/>
          <w:marTop w:val="0"/>
          <w:marBottom w:val="0"/>
          <w:divBdr>
            <w:top w:val="none" w:sz="0" w:space="0" w:color="auto"/>
            <w:left w:val="none" w:sz="0" w:space="0" w:color="auto"/>
            <w:bottom w:val="none" w:sz="0" w:space="0" w:color="auto"/>
            <w:right w:val="none" w:sz="0" w:space="0" w:color="auto"/>
          </w:divBdr>
        </w:div>
      </w:divsChild>
    </w:div>
    <w:div w:id="1092317180">
      <w:marLeft w:val="0"/>
      <w:marRight w:val="0"/>
      <w:marTop w:val="0"/>
      <w:marBottom w:val="0"/>
      <w:divBdr>
        <w:top w:val="none" w:sz="0" w:space="0" w:color="auto"/>
        <w:left w:val="none" w:sz="0" w:space="0" w:color="auto"/>
        <w:bottom w:val="none" w:sz="0" w:space="0" w:color="auto"/>
        <w:right w:val="none" w:sz="0" w:space="0" w:color="auto"/>
      </w:divBdr>
      <w:divsChild>
        <w:div w:id="998970808">
          <w:marLeft w:val="0"/>
          <w:marRight w:val="0"/>
          <w:marTop w:val="0"/>
          <w:marBottom w:val="0"/>
          <w:divBdr>
            <w:top w:val="none" w:sz="0" w:space="0" w:color="auto"/>
            <w:left w:val="none" w:sz="0" w:space="0" w:color="auto"/>
            <w:bottom w:val="none" w:sz="0" w:space="0" w:color="auto"/>
            <w:right w:val="none" w:sz="0" w:space="0" w:color="auto"/>
          </w:divBdr>
        </w:div>
      </w:divsChild>
    </w:div>
    <w:div w:id="1094131325">
      <w:marLeft w:val="0"/>
      <w:marRight w:val="0"/>
      <w:marTop w:val="0"/>
      <w:marBottom w:val="0"/>
      <w:divBdr>
        <w:top w:val="none" w:sz="0" w:space="0" w:color="auto"/>
        <w:left w:val="none" w:sz="0" w:space="0" w:color="auto"/>
        <w:bottom w:val="none" w:sz="0" w:space="0" w:color="auto"/>
        <w:right w:val="none" w:sz="0" w:space="0" w:color="auto"/>
      </w:divBdr>
      <w:divsChild>
        <w:div w:id="1945914592">
          <w:marLeft w:val="0"/>
          <w:marRight w:val="0"/>
          <w:marTop w:val="0"/>
          <w:marBottom w:val="0"/>
          <w:divBdr>
            <w:top w:val="none" w:sz="0" w:space="0" w:color="auto"/>
            <w:left w:val="none" w:sz="0" w:space="0" w:color="auto"/>
            <w:bottom w:val="none" w:sz="0" w:space="0" w:color="auto"/>
            <w:right w:val="none" w:sz="0" w:space="0" w:color="auto"/>
          </w:divBdr>
        </w:div>
      </w:divsChild>
    </w:div>
    <w:div w:id="1094208831">
      <w:marLeft w:val="0"/>
      <w:marRight w:val="0"/>
      <w:marTop w:val="0"/>
      <w:marBottom w:val="0"/>
      <w:divBdr>
        <w:top w:val="none" w:sz="0" w:space="0" w:color="auto"/>
        <w:left w:val="none" w:sz="0" w:space="0" w:color="auto"/>
        <w:bottom w:val="none" w:sz="0" w:space="0" w:color="auto"/>
        <w:right w:val="none" w:sz="0" w:space="0" w:color="auto"/>
      </w:divBdr>
      <w:divsChild>
        <w:div w:id="1037511521">
          <w:marLeft w:val="0"/>
          <w:marRight w:val="0"/>
          <w:marTop w:val="0"/>
          <w:marBottom w:val="0"/>
          <w:divBdr>
            <w:top w:val="none" w:sz="0" w:space="0" w:color="auto"/>
            <w:left w:val="none" w:sz="0" w:space="0" w:color="auto"/>
            <w:bottom w:val="none" w:sz="0" w:space="0" w:color="auto"/>
            <w:right w:val="none" w:sz="0" w:space="0" w:color="auto"/>
          </w:divBdr>
        </w:div>
      </w:divsChild>
    </w:div>
    <w:div w:id="1097480124">
      <w:marLeft w:val="0"/>
      <w:marRight w:val="0"/>
      <w:marTop w:val="0"/>
      <w:marBottom w:val="0"/>
      <w:divBdr>
        <w:top w:val="none" w:sz="0" w:space="0" w:color="auto"/>
        <w:left w:val="none" w:sz="0" w:space="0" w:color="auto"/>
        <w:bottom w:val="none" w:sz="0" w:space="0" w:color="auto"/>
        <w:right w:val="none" w:sz="0" w:space="0" w:color="auto"/>
      </w:divBdr>
      <w:divsChild>
        <w:div w:id="1354071931">
          <w:marLeft w:val="0"/>
          <w:marRight w:val="0"/>
          <w:marTop w:val="0"/>
          <w:marBottom w:val="0"/>
          <w:divBdr>
            <w:top w:val="none" w:sz="0" w:space="0" w:color="auto"/>
            <w:left w:val="none" w:sz="0" w:space="0" w:color="auto"/>
            <w:bottom w:val="none" w:sz="0" w:space="0" w:color="auto"/>
            <w:right w:val="none" w:sz="0" w:space="0" w:color="auto"/>
          </w:divBdr>
        </w:div>
      </w:divsChild>
    </w:div>
    <w:div w:id="1100179933">
      <w:marLeft w:val="0"/>
      <w:marRight w:val="0"/>
      <w:marTop w:val="0"/>
      <w:marBottom w:val="0"/>
      <w:divBdr>
        <w:top w:val="none" w:sz="0" w:space="0" w:color="auto"/>
        <w:left w:val="none" w:sz="0" w:space="0" w:color="auto"/>
        <w:bottom w:val="none" w:sz="0" w:space="0" w:color="auto"/>
        <w:right w:val="none" w:sz="0" w:space="0" w:color="auto"/>
      </w:divBdr>
      <w:divsChild>
        <w:div w:id="1118646550">
          <w:marLeft w:val="0"/>
          <w:marRight w:val="0"/>
          <w:marTop w:val="0"/>
          <w:marBottom w:val="0"/>
          <w:divBdr>
            <w:top w:val="none" w:sz="0" w:space="0" w:color="auto"/>
            <w:left w:val="none" w:sz="0" w:space="0" w:color="auto"/>
            <w:bottom w:val="none" w:sz="0" w:space="0" w:color="auto"/>
            <w:right w:val="none" w:sz="0" w:space="0" w:color="auto"/>
          </w:divBdr>
        </w:div>
      </w:divsChild>
    </w:div>
    <w:div w:id="1101729313">
      <w:bodyDiv w:val="1"/>
      <w:marLeft w:val="0"/>
      <w:marRight w:val="0"/>
      <w:marTop w:val="0"/>
      <w:marBottom w:val="0"/>
      <w:divBdr>
        <w:top w:val="none" w:sz="0" w:space="0" w:color="auto"/>
        <w:left w:val="none" w:sz="0" w:space="0" w:color="auto"/>
        <w:bottom w:val="none" w:sz="0" w:space="0" w:color="auto"/>
        <w:right w:val="none" w:sz="0" w:space="0" w:color="auto"/>
      </w:divBdr>
    </w:div>
    <w:div w:id="1105226827">
      <w:marLeft w:val="0"/>
      <w:marRight w:val="0"/>
      <w:marTop w:val="0"/>
      <w:marBottom w:val="0"/>
      <w:divBdr>
        <w:top w:val="none" w:sz="0" w:space="0" w:color="auto"/>
        <w:left w:val="none" w:sz="0" w:space="0" w:color="auto"/>
        <w:bottom w:val="none" w:sz="0" w:space="0" w:color="auto"/>
        <w:right w:val="none" w:sz="0" w:space="0" w:color="auto"/>
      </w:divBdr>
      <w:divsChild>
        <w:div w:id="1549993476">
          <w:marLeft w:val="0"/>
          <w:marRight w:val="0"/>
          <w:marTop w:val="0"/>
          <w:marBottom w:val="0"/>
          <w:divBdr>
            <w:top w:val="none" w:sz="0" w:space="0" w:color="auto"/>
            <w:left w:val="none" w:sz="0" w:space="0" w:color="auto"/>
            <w:bottom w:val="none" w:sz="0" w:space="0" w:color="auto"/>
            <w:right w:val="none" w:sz="0" w:space="0" w:color="auto"/>
          </w:divBdr>
        </w:div>
      </w:divsChild>
    </w:div>
    <w:div w:id="1107771632">
      <w:marLeft w:val="0"/>
      <w:marRight w:val="0"/>
      <w:marTop w:val="0"/>
      <w:marBottom w:val="0"/>
      <w:divBdr>
        <w:top w:val="none" w:sz="0" w:space="0" w:color="auto"/>
        <w:left w:val="none" w:sz="0" w:space="0" w:color="auto"/>
        <w:bottom w:val="none" w:sz="0" w:space="0" w:color="auto"/>
        <w:right w:val="none" w:sz="0" w:space="0" w:color="auto"/>
      </w:divBdr>
      <w:divsChild>
        <w:div w:id="510294673">
          <w:marLeft w:val="0"/>
          <w:marRight w:val="0"/>
          <w:marTop w:val="0"/>
          <w:marBottom w:val="0"/>
          <w:divBdr>
            <w:top w:val="none" w:sz="0" w:space="0" w:color="auto"/>
            <w:left w:val="none" w:sz="0" w:space="0" w:color="auto"/>
            <w:bottom w:val="none" w:sz="0" w:space="0" w:color="auto"/>
            <w:right w:val="none" w:sz="0" w:space="0" w:color="auto"/>
          </w:divBdr>
        </w:div>
      </w:divsChild>
    </w:div>
    <w:div w:id="1113210180">
      <w:marLeft w:val="0"/>
      <w:marRight w:val="0"/>
      <w:marTop w:val="0"/>
      <w:marBottom w:val="0"/>
      <w:divBdr>
        <w:top w:val="none" w:sz="0" w:space="0" w:color="auto"/>
        <w:left w:val="none" w:sz="0" w:space="0" w:color="auto"/>
        <w:bottom w:val="none" w:sz="0" w:space="0" w:color="auto"/>
        <w:right w:val="none" w:sz="0" w:space="0" w:color="auto"/>
      </w:divBdr>
      <w:divsChild>
        <w:div w:id="1866825608">
          <w:marLeft w:val="0"/>
          <w:marRight w:val="0"/>
          <w:marTop w:val="0"/>
          <w:marBottom w:val="0"/>
          <w:divBdr>
            <w:top w:val="none" w:sz="0" w:space="0" w:color="auto"/>
            <w:left w:val="none" w:sz="0" w:space="0" w:color="auto"/>
            <w:bottom w:val="none" w:sz="0" w:space="0" w:color="auto"/>
            <w:right w:val="none" w:sz="0" w:space="0" w:color="auto"/>
          </w:divBdr>
        </w:div>
      </w:divsChild>
    </w:div>
    <w:div w:id="1121729817">
      <w:marLeft w:val="0"/>
      <w:marRight w:val="0"/>
      <w:marTop w:val="0"/>
      <w:marBottom w:val="0"/>
      <w:divBdr>
        <w:top w:val="none" w:sz="0" w:space="0" w:color="auto"/>
        <w:left w:val="none" w:sz="0" w:space="0" w:color="auto"/>
        <w:bottom w:val="none" w:sz="0" w:space="0" w:color="auto"/>
        <w:right w:val="none" w:sz="0" w:space="0" w:color="auto"/>
      </w:divBdr>
      <w:divsChild>
        <w:div w:id="1598248687">
          <w:marLeft w:val="0"/>
          <w:marRight w:val="0"/>
          <w:marTop w:val="0"/>
          <w:marBottom w:val="0"/>
          <w:divBdr>
            <w:top w:val="none" w:sz="0" w:space="0" w:color="auto"/>
            <w:left w:val="none" w:sz="0" w:space="0" w:color="auto"/>
            <w:bottom w:val="none" w:sz="0" w:space="0" w:color="auto"/>
            <w:right w:val="none" w:sz="0" w:space="0" w:color="auto"/>
          </w:divBdr>
        </w:div>
      </w:divsChild>
    </w:div>
    <w:div w:id="1123958284">
      <w:bodyDiv w:val="1"/>
      <w:marLeft w:val="0"/>
      <w:marRight w:val="0"/>
      <w:marTop w:val="0"/>
      <w:marBottom w:val="0"/>
      <w:divBdr>
        <w:top w:val="none" w:sz="0" w:space="0" w:color="auto"/>
        <w:left w:val="none" w:sz="0" w:space="0" w:color="auto"/>
        <w:bottom w:val="none" w:sz="0" w:space="0" w:color="auto"/>
        <w:right w:val="none" w:sz="0" w:space="0" w:color="auto"/>
      </w:divBdr>
    </w:div>
    <w:div w:id="1125345151">
      <w:bodyDiv w:val="1"/>
      <w:marLeft w:val="0"/>
      <w:marRight w:val="0"/>
      <w:marTop w:val="0"/>
      <w:marBottom w:val="0"/>
      <w:divBdr>
        <w:top w:val="none" w:sz="0" w:space="0" w:color="auto"/>
        <w:left w:val="none" w:sz="0" w:space="0" w:color="auto"/>
        <w:bottom w:val="none" w:sz="0" w:space="0" w:color="auto"/>
        <w:right w:val="none" w:sz="0" w:space="0" w:color="auto"/>
      </w:divBdr>
    </w:div>
    <w:div w:id="1132210126">
      <w:bodyDiv w:val="1"/>
      <w:marLeft w:val="0"/>
      <w:marRight w:val="0"/>
      <w:marTop w:val="0"/>
      <w:marBottom w:val="0"/>
      <w:divBdr>
        <w:top w:val="none" w:sz="0" w:space="0" w:color="auto"/>
        <w:left w:val="none" w:sz="0" w:space="0" w:color="auto"/>
        <w:bottom w:val="none" w:sz="0" w:space="0" w:color="auto"/>
        <w:right w:val="none" w:sz="0" w:space="0" w:color="auto"/>
      </w:divBdr>
    </w:div>
    <w:div w:id="1136491650">
      <w:marLeft w:val="0"/>
      <w:marRight w:val="0"/>
      <w:marTop w:val="0"/>
      <w:marBottom w:val="0"/>
      <w:divBdr>
        <w:top w:val="none" w:sz="0" w:space="0" w:color="auto"/>
        <w:left w:val="none" w:sz="0" w:space="0" w:color="auto"/>
        <w:bottom w:val="none" w:sz="0" w:space="0" w:color="auto"/>
        <w:right w:val="none" w:sz="0" w:space="0" w:color="auto"/>
      </w:divBdr>
      <w:divsChild>
        <w:div w:id="334496740">
          <w:marLeft w:val="0"/>
          <w:marRight w:val="0"/>
          <w:marTop w:val="0"/>
          <w:marBottom w:val="0"/>
          <w:divBdr>
            <w:top w:val="none" w:sz="0" w:space="0" w:color="auto"/>
            <w:left w:val="none" w:sz="0" w:space="0" w:color="auto"/>
            <w:bottom w:val="none" w:sz="0" w:space="0" w:color="auto"/>
            <w:right w:val="none" w:sz="0" w:space="0" w:color="auto"/>
          </w:divBdr>
        </w:div>
      </w:divsChild>
    </w:div>
    <w:div w:id="1137380164">
      <w:marLeft w:val="0"/>
      <w:marRight w:val="0"/>
      <w:marTop w:val="0"/>
      <w:marBottom w:val="0"/>
      <w:divBdr>
        <w:top w:val="none" w:sz="0" w:space="0" w:color="auto"/>
        <w:left w:val="none" w:sz="0" w:space="0" w:color="auto"/>
        <w:bottom w:val="none" w:sz="0" w:space="0" w:color="auto"/>
        <w:right w:val="none" w:sz="0" w:space="0" w:color="auto"/>
      </w:divBdr>
      <w:divsChild>
        <w:div w:id="1376925495">
          <w:marLeft w:val="0"/>
          <w:marRight w:val="0"/>
          <w:marTop w:val="0"/>
          <w:marBottom w:val="0"/>
          <w:divBdr>
            <w:top w:val="none" w:sz="0" w:space="0" w:color="auto"/>
            <w:left w:val="none" w:sz="0" w:space="0" w:color="auto"/>
            <w:bottom w:val="none" w:sz="0" w:space="0" w:color="auto"/>
            <w:right w:val="none" w:sz="0" w:space="0" w:color="auto"/>
          </w:divBdr>
        </w:div>
      </w:divsChild>
    </w:div>
    <w:div w:id="1137719629">
      <w:marLeft w:val="0"/>
      <w:marRight w:val="0"/>
      <w:marTop w:val="0"/>
      <w:marBottom w:val="0"/>
      <w:divBdr>
        <w:top w:val="none" w:sz="0" w:space="0" w:color="auto"/>
        <w:left w:val="none" w:sz="0" w:space="0" w:color="auto"/>
        <w:bottom w:val="none" w:sz="0" w:space="0" w:color="auto"/>
        <w:right w:val="none" w:sz="0" w:space="0" w:color="auto"/>
      </w:divBdr>
      <w:divsChild>
        <w:div w:id="298804039">
          <w:marLeft w:val="0"/>
          <w:marRight w:val="0"/>
          <w:marTop w:val="0"/>
          <w:marBottom w:val="0"/>
          <w:divBdr>
            <w:top w:val="none" w:sz="0" w:space="0" w:color="auto"/>
            <w:left w:val="none" w:sz="0" w:space="0" w:color="auto"/>
            <w:bottom w:val="none" w:sz="0" w:space="0" w:color="auto"/>
            <w:right w:val="none" w:sz="0" w:space="0" w:color="auto"/>
          </w:divBdr>
        </w:div>
      </w:divsChild>
    </w:div>
    <w:div w:id="1140002861">
      <w:marLeft w:val="0"/>
      <w:marRight w:val="0"/>
      <w:marTop w:val="0"/>
      <w:marBottom w:val="0"/>
      <w:divBdr>
        <w:top w:val="none" w:sz="0" w:space="0" w:color="auto"/>
        <w:left w:val="none" w:sz="0" w:space="0" w:color="auto"/>
        <w:bottom w:val="none" w:sz="0" w:space="0" w:color="auto"/>
        <w:right w:val="none" w:sz="0" w:space="0" w:color="auto"/>
      </w:divBdr>
      <w:divsChild>
        <w:div w:id="827944766">
          <w:marLeft w:val="0"/>
          <w:marRight w:val="0"/>
          <w:marTop w:val="0"/>
          <w:marBottom w:val="0"/>
          <w:divBdr>
            <w:top w:val="none" w:sz="0" w:space="0" w:color="auto"/>
            <w:left w:val="none" w:sz="0" w:space="0" w:color="auto"/>
            <w:bottom w:val="none" w:sz="0" w:space="0" w:color="auto"/>
            <w:right w:val="none" w:sz="0" w:space="0" w:color="auto"/>
          </w:divBdr>
        </w:div>
      </w:divsChild>
    </w:div>
    <w:div w:id="1142307048">
      <w:marLeft w:val="0"/>
      <w:marRight w:val="0"/>
      <w:marTop w:val="0"/>
      <w:marBottom w:val="0"/>
      <w:divBdr>
        <w:top w:val="none" w:sz="0" w:space="0" w:color="auto"/>
        <w:left w:val="none" w:sz="0" w:space="0" w:color="auto"/>
        <w:bottom w:val="none" w:sz="0" w:space="0" w:color="auto"/>
        <w:right w:val="none" w:sz="0" w:space="0" w:color="auto"/>
      </w:divBdr>
      <w:divsChild>
        <w:div w:id="1022318940">
          <w:marLeft w:val="0"/>
          <w:marRight w:val="0"/>
          <w:marTop w:val="0"/>
          <w:marBottom w:val="0"/>
          <w:divBdr>
            <w:top w:val="none" w:sz="0" w:space="0" w:color="auto"/>
            <w:left w:val="none" w:sz="0" w:space="0" w:color="auto"/>
            <w:bottom w:val="none" w:sz="0" w:space="0" w:color="auto"/>
            <w:right w:val="none" w:sz="0" w:space="0" w:color="auto"/>
          </w:divBdr>
        </w:div>
      </w:divsChild>
    </w:div>
    <w:div w:id="1142772102">
      <w:marLeft w:val="0"/>
      <w:marRight w:val="0"/>
      <w:marTop w:val="0"/>
      <w:marBottom w:val="0"/>
      <w:divBdr>
        <w:top w:val="none" w:sz="0" w:space="0" w:color="auto"/>
        <w:left w:val="none" w:sz="0" w:space="0" w:color="auto"/>
        <w:bottom w:val="none" w:sz="0" w:space="0" w:color="auto"/>
        <w:right w:val="none" w:sz="0" w:space="0" w:color="auto"/>
      </w:divBdr>
      <w:divsChild>
        <w:div w:id="1435321247">
          <w:marLeft w:val="0"/>
          <w:marRight w:val="0"/>
          <w:marTop w:val="0"/>
          <w:marBottom w:val="0"/>
          <w:divBdr>
            <w:top w:val="none" w:sz="0" w:space="0" w:color="auto"/>
            <w:left w:val="none" w:sz="0" w:space="0" w:color="auto"/>
            <w:bottom w:val="none" w:sz="0" w:space="0" w:color="auto"/>
            <w:right w:val="none" w:sz="0" w:space="0" w:color="auto"/>
          </w:divBdr>
        </w:div>
      </w:divsChild>
    </w:div>
    <w:div w:id="1143546290">
      <w:bodyDiv w:val="1"/>
      <w:marLeft w:val="0"/>
      <w:marRight w:val="0"/>
      <w:marTop w:val="0"/>
      <w:marBottom w:val="0"/>
      <w:divBdr>
        <w:top w:val="none" w:sz="0" w:space="0" w:color="auto"/>
        <w:left w:val="none" w:sz="0" w:space="0" w:color="auto"/>
        <w:bottom w:val="none" w:sz="0" w:space="0" w:color="auto"/>
        <w:right w:val="none" w:sz="0" w:space="0" w:color="auto"/>
      </w:divBdr>
    </w:div>
    <w:div w:id="1148865632">
      <w:marLeft w:val="0"/>
      <w:marRight w:val="150"/>
      <w:marTop w:val="0"/>
      <w:marBottom w:val="0"/>
      <w:divBdr>
        <w:top w:val="none" w:sz="0" w:space="0" w:color="auto"/>
        <w:left w:val="none" w:sz="0" w:space="0" w:color="auto"/>
        <w:bottom w:val="none" w:sz="0" w:space="0" w:color="auto"/>
        <w:right w:val="none" w:sz="0" w:space="0" w:color="auto"/>
      </w:divBdr>
      <w:divsChild>
        <w:div w:id="1198927003">
          <w:marLeft w:val="0"/>
          <w:marRight w:val="150"/>
          <w:marTop w:val="0"/>
          <w:marBottom w:val="0"/>
          <w:divBdr>
            <w:top w:val="none" w:sz="0" w:space="0" w:color="auto"/>
            <w:left w:val="none" w:sz="0" w:space="0" w:color="auto"/>
            <w:bottom w:val="none" w:sz="0" w:space="0" w:color="auto"/>
            <w:right w:val="none" w:sz="0" w:space="0" w:color="auto"/>
          </w:divBdr>
        </w:div>
      </w:divsChild>
    </w:div>
    <w:div w:id="1149860374">
      <w:marLeft w:val="0"/>
      <w:marRight w:val="0"/>
      <w:marTop w:val="0"/>
      <w:marBottom w:val="0"/>
      <w:divBdr>
        <w:top w:val="none" w:sz="0" w:space="0" w:color="auto"/>
        <w:left w:val="none" w:sz="0" w:space="0" w:color="auto"/>
        <w:bottom w:val="none" w:sz="0" w:space="0" w:color="auto"/>
        <w:right w:val="none" w:sz="0" w:space="0" w:color="auto"/>
      </w:divBdr>
      <w:divsChild>
        <w:div w:id="1973897066">
          <w:marLeft w:val="0"/>
          <w:marRight w:val="0"/>
          <w:marTop w:val="0"/>
          <w:marBottom w:val="0"/>
          <w:divBdr>
            <w:top w:val="none" w:sz="0" w:space="0" w:color="auto"/>
            <w:left w:val="none" w:sz="0" w:space="0" w:color="auto"/>
            <w:bottom w:val="none" w:sz="0" w:space="0" w:color="auto"/>
            <w:right w:val="none" w:sz="0" w:space="0" w:color="auto"/>
          </w:divBdr>
        </w:div>
      </w:divsChild>
    </w:div>
    <w:div w:id="1151170429">
      <w:bodyDiv w:val="1"/>
      <w:marLeft w:val="0"/>
      <w:marRight w:val="0"/>
      <w:marTop w:val="0"/>
      <w:marBottom w:val="0"/>
      <w:divBdr>
        <w:top w:val="none" w:sz="0" w:space="0" w:color="auto"/>
        <w:left w:val="none" w:sz="0" w:space="0" w:color="auto"/>
        <w:bottom w:val="none" w:sz="0" w:space="0" w:color="auto"/>
        <w:right w:val="none" w:sz="0" w:space="0" w:color="auto"/>
      </w:divBdr>
      <w:divsChild>
        <w:div w:id="1462922573">
          <w:marLeft w:val="0"/>
          <w:marRight w:val="0"/>
          <w:marTop w:val="0"/>
          <w:marBottom w:val="0"/>
          <w:divBdr>
            <w:top w:val="none" w:sz="0" w:space="0" w:color="auto"/>
            <w:left w:val="none" w:sz="0" w:space="0" w:color="auto"/>
            <w:bottom w:val="none" w:sz="0" w:space="0" w:color="auto"/>
            <w:right w:val="none" w:sz="0" w:space="0" w:color="auto"/>
          </w:divBdr>
          <w:divsChild>
            <w:div w:id="515048035">
              <w:marLeft w:val="0"/>
              <w:marRight w:val="0"/>
              <w:marTop w:val="0"/>
              <w:marBottom w:val="0"/>
              <w:divBdr>
                <w:top w:val="none" w:sz="0" w:space="0" w:color="auto"/>
                <w:left w:val="none" w:sz="0" w:space="0" w:color="auto"/>
                <w:bottom w:val="none" w:sz="0" w:space="0" w:color="auto"/>
                <w:right w:val="none" w:sz="0" w:space="0" w:color="auto"/>
              </w:divBdr>
            </w:div>
            <w:div w:id="211844326">
              <w:marLeft w:val="0"/>
              <w:marRight w:val="0"/>
              <w:marTop w:val="0"/>
              <w:marBottom w:val="0"/>
              <w:divBdr>
                <w:top w:val="none" w:sz="0" w:space="0" w:color="auto"/>
                <w:left w:val="none" w:sz="0" w:space="0" w:color="auto"/>
                <w:bottom w:val="none" w:sz="0" w:space="0" w:color="auto"/>
                <w:right w:val="none" w:sz="0" w:space="0" w:color="auto"/>
              </w:divBdr>
            </w:div>
            <w:div w:id="1127356979">
              <w:marLeft w:val="0"/>
              <w:marRight w:val="0"/>
              <w:marTop w:val="0"/>
              <w:marBottom w:val="0"/>
              <w:divBdr>
                <w:top w:val="none" w:sz="0" w:space="0" w:color="auto"/>
                <w:left w:val="none" w:sz="0" w:space="0" w:color="auto"/>
                <w:bottom w:val="none" w:sz="0" w:space="0" w:color="auto"/>
                <w:right w:val="none" w:sz="0" w:space="0" w:color="auto"/>
              </w:divBdr>
            </w:div>
            <w:div w:id="810289273">
              <w:marLeft w:val="0"/>
              <w:marRight w:val="0"/>
              <w:marTop w:val="0"/>
              <w:marBottom w:val="0"/>
              <w:divBdr>
                <w:top w:val="none" w:sz="0" w:space="0" w:color="auto"/>
                <w:left w:val="none" w:sz="0" w:space="0" w:color="auto"/>
                <w:bottom w:val="none" w:sz="0" w:space="0" w:color="auto"/>
                <w:right w:val="none" w:sz="0" w:space="0" w:color="auto"/>
              </w:divBdr>
            </w:div>
            <w:div w:id="108011416">
              <w:marLeft w:val="0"/>
              <w:marRight w:val="0"/>
              <w:marTop w:val="0"/>
              <w:marBottom w:val="0"/>
              <w:divBdr>
                <w:top w:val="none" w:sz="0" w:space="0" w:color="auto"/>
                <w:left w:val="none" w:sz="0" w:space="0" w:color="auto"/>
                <w:bottom w:val="none" w:sz="0" w:space="0" w:color="auto"/>
                <w:right w:val="none" w:sz="0" w:space="0" w:color="auto"/>
              </w:divBdr>
            </w:div>
            <w:div w:id="627709172">
              <w:marLeft w:val="0"/>
              <w:marRight w:val="0"/>
              <w:marTop w:val="0"/>
              <w:marBottom w:val="0"/>
              <w:divBdr>
                <w:top w:val="none" w:sz="0" w:space="0" w:color="auto"/>
                <w:left w:val="none" w:sz="0" w:space="0" w:color="auto"/>
                <w:bottom w:val="none" w:sz="0" w:space="0" w:color="auto"/>
                <w:right w:val="none" w:sz="0" w:space="0" w:color="auto"/>
              </w:divBdr>
            </w:div>
            <w:div w:id="1969436418">
              <w:marLeft w:val="0"/>
              <w:marRight w:val="0"/>
              <w:marTop w:val="0"/>
              <w:marBottom w:val="0"/>
              <w:divBdr>
                <w:top w:val="none" w:sz="0" w:space="0" w:color="auto"/>
                <w:left w:val="none" w:sz="0" w:space="0" w:color="auto"/>
                <w:bottom w:val="none" w:sz="0" w:space="0" w:color="auto"/>
                <w:right w:val="none" w:sz="0" w:space="0" w:color="auto"/>
              </w:divBdr>
            </w:div>
            <w:div w:id="1581674452">
              <w:marLeft w:val="0"/>
              <w:marRight w:val="0"/>
              <w:marTop w:val="0"/>
              <w:marBottom w:val="0"/>
              <w:divBdr>
                <w:top w:val="none" w:sz="0" w:space="0" w:color="auto"/>
                <w:left w:val="none" w:sz="0" w:space="0" w:color="auto"/>
                <w:bottom w:val="none" w:sz="0" w:space="0" w:color="auto"/>
                <w:right w:val="none" w:sz="0" w:space="0" w:color="auto"/>
              </w:divBdr>
            </w:div>
            <w:div w:id="834346961">
              <w:marLeft w:val="0"/>
              <w:marRight w:val="0"/>
              <w:marTop w:val="0"/>
              <w:marBottom w:val="0"/>
              <w:divBdr>
                <w:top w:val="none" w:sz="0" w:space="0" w:color="auto"/>
                <w:left w:val="none" w:sz="0" w:space="0" w:color="auto"/>
                <w:bottom w:val="none" w:sz="0" w:space="0" w:color="auto"/>
                <w:right w:val="none" w:sz="0" w:space="0" w:color="auto"/>
              </w:divBdr>
            </w:div>
            <w:div w:id="747966793">
              <w:marLeft w:val="0"/>
              <w:marRight w:val="0"/>
              <w:marTop w:val="0"/>
              <w:marBottom w:val="0"/>
              <w:divBdr>
                <w:top w:val="none" w:sz="0" w:space="0" w:color="auto"/>
                <w:left w:val="none" w:sz="0" w:space="0" w:color="auto"/>
                <w:bottom w:val="none" w:sz="0" w:space="0" w:color="auto"/>
                <w:right w:val="none" w:sz="0" w:space="0" w:color="auto"/>
              </w:divBdr>
            </w:div>
            <w:div w:id="410735578">
              <w:marLeft w:val="0"/>
              <w:marRight w:val="0"/>
              <w:marTop w:val="0"/>
              <w:marBottom w:val="0"/>
              <w:divBdr>
                <w:top w:val="none" w:sz="0" w:space="0" w:color="auto"/>
                <w:left w:val="none" w:sz="0" w:space="0" w:color="auto"/>
                <w:bottom w:val="none" w:sz="0" w:space="0" w:color="auto"/>
                <w:right w:val="none" w:sz="0" w:space="0" w:color="auto"/>
              </w:divBdr>
            </w:div>
            <w:div w:id="1816221556">
              <w:marLeft w:val="0"/>
              <w:marRight w:val="0"/>
              <w:marTop w:val="0"/>
              <w:marBottom w:val="0"/>
              <w:divBdr>
                <w:top w:val="none" w:sz="0" w:space="0" w:color="auto"/>
                <w:left w:val="none" w:sz="0" w:space="0" w:color="auto"/>
                <w:bottom w:val="none" w:sz="0" w:space="0" w:color="auto"/>
                <w:right w:val="none" w:sz="0" w:space="0" w:color="auto"/>
              </w:divBdr>
            </w:div>
            <w:div w:id="332342203">
              <w:marLeft w:val="0"/>
              <w:marRight w:val="0"/>
              <w:marTop w:val="0"/>
              <w:marBottom w:val="0"/>
              <w:divBdr>
                <w:top w:val="none" w:sz="0" w:space="0" w:color="auto"/>
                <w:left w:val="none" w:sz="0" w:space="0" w:color="auto"/>
                <w:bottom w:val="none" w:sz="0" w:space="0" w:color="auto"/>
                <w:right w:val="none" w:sz="0" w:space="0" w:color="auto"/>
              </w:divBdr>
            </w:div>
            <w:div w:id="1088884187">
              <w:marLeft w:val="0"/>
              <w:marRight w:val="0"/>
              <w:marTop w:val="0"/>
              <w:marBottom w:val="0"/>
              <w:divBdr>
                <w:top w:val="none" w:sz="0" w:space="0" w:color="auto"/>
                <w:left w:val="none" w:sz="0" w:space="0" w:color="auto"/>
                <w:bottom w:val="none" w:sz="0" w:space="0" w:color="auto"/>
                <w:right w:val="none" w:sz="0" w:space="0" w:color="auto"/>
              </w:divBdr>
            </w:div>
            <w:div w:id="521210928">
              <w:marLeft w:val="0"/>
              <w:marRight w:val="0"/>
              <w:marTop w:val="0"/>
              <w:marBottom w:val="0"/>
              <w:divBdr>
                <w:top w:val="none" w:sz="0" w:space="0" w:color="auto"/>
                <w:left w:val="none" w:sz="0" w:space="0" w:color="auto"/>
                <w:bottom w:val="none" w:sz="0" w:space="0" w:color="auto"/>
                <w:right w:val="none" w:sz="0" w:space="0" w:color="auto"/>
              </w:divBdr>
            </w:div>
            <w:div w:id="117534851">
              <w:marLeft w:val="0"/>
              <w:marRight w:val="0"/>
              <w:marTop w:val="0"/>
              <w:marBottom w:val="0"/>
              <w:divBdr>
                <w:top w:val="none" w:sz="0" w:space="0" w:color="auto"/>
                <w:left w:val="none" w:sz="0" w:space="0" w:color="auto"/>
                <w:bottom w:val="none" w:sz="0" w:space="0" w:color="auto"/>
                <w:right w:val="none" w:sz="0" w:space="0" w:color="auto"/>
              </w:divBdr>
            </w:div>
            <w:div w:id="1803765362">
              <w:marLeft w:val="0"/>
              <w:marRight w:val="0"/>
              <w:marTop w:val="0"/>
              <w:marBottom w:val="0"/>
              <w:divBdr>
                <w:top w:val="none" w:sz="0" w:space="0" w:color="auto"/>
                <w:left w:val="none" w:sz="0" w:space="0" w:color="auto"/>
                <w:bottom w:val="none" w:sz="0" w:space="0" w:color="auto"/>
                <w:right w:val="none" w:sz="0" w:space="0" w:color="auto"/>
              </w:divBdr>
            </w:div>
            <w:div w:id="511073353">
              <w:marLeft w:val="0"/>
              <w:marRight w:val="0"/>
              <w:marTop w:val="0"/>
              <w:marBottom w:val="0"/>
              <w:divBdr>
                <w:top w:val="none" w:sz="0" w:space="0" w:color="auto"/>
                <w:left w:val="none" w:sz="0" w:space="0" w:color="auto"/>
                <w:bottom w:val="none" w:sz="0" w:space="0" w:color="auto"/>
                <w:right w:val="none" w:sz="0" w:space="0" w:color="auto"/>
              </w:divBdr>
            </w:div>
            <w:div w:id="1904827419">
              <w:marLeft w:val="0"/>
              <w:marRight w:val="0"/>
              <w:marTop w:val="0"/>
              <w:marBottom w:val="0"/>
              <w:divBdr>
                <w:top w:val="none" w:sz="0" w:space="0" w:color="auto"/>
                <w:left w:val="none" w:sz="0" w:space="0" w:color="auto"/>
                <w:bottom w:val="none" w:sz="0" w:space="0" w:color="auto"/>
                <w:right w:val="none" w:sz="0" w:space="0" w:color="auto"/>
              </w:divBdr>
            </w:div>
            <w:div w:id="659505544">
              <w:marLeft w:val="0"/>
              <w:marRight w:val="0"/>
              <w:marTop w:val="0"/>
              <w:marBottom w:val="0"/>
              <w:divBdr>
                <w:top w:val="none" w:sz="0" w:space="0" w:color="auto"/>
                <w:left w:val="none" w:sz="0" w:space="0" w:color="auto"/>
                <w:bottom w:val="none" w:sz="0" w:space="0" w:color="auto"/>
                <w:right w:val="none" w:sz="0" w:space="0" w:color="auto"/>
              </w:divBdr>
            </w:div>
            <w:div w:id="66686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30495">
      <w:bodyDiv w:val="1"/>
      <w:marLeft w:val="0"/>
      <w:marRight w:val="0"/>
      <w:marTop w:val="0"/>
      <w:marBottom w:val="0"/>
      <w:divBdr>
        <w:top w:val="none" w:sz="0" w:space="0" w:color="auto"/>
        <w:left w:val="none" w:sz="0" w:space="0" w:color="auto"/>
        <w:bottom w:val="none" w:sz="0" w:space="0" w:color="auto"/>
        <w:right w:val="none" w:sz="0" w:space="0" w:color="auto"/>
      </w:divBdr>
    </w:div>
    <w:div w:id="1154419633">
      <w:marLeft w:val="0"/>
      <w:marRight w:val="0"/>
      <w:marTop w:val="0"/>
      <w:marBottom w:val="0"/>
      <w:divBdr>
        <w:top w:val="none" w:sz="0" w:space="0" w:color="auto"/>
        <w:left w:val="none" w:sz="0" w:space="0" w:color="auto"/>
        <w:bottom w:val="none" w:sz="0" w:space="0" w:color="auto"/>
        <w:right w:val="none" w:sz="0" w:space="0" w:color="auto"/>
      </w:divBdr>
      <w:divsChild>
        <w:div w:id="358430766">
          <w:marLeft w:val="0"/>
          <w:marRight w:val="0"/>
          <w:marTop w:val="0"/>
          <w:marBottom w:val="0"/>
          <w:divBdr>
            <w:top w:val="none" w:sz="0" w:space="0" w:color="auto"/>
            <w:left w:val="none" w:sz="0" w:space="0" w:color="auto"/>
            <w:bottom w:val="none" w:sz="0" w:space="0" w:color="auto"/>
            <w:right w:val="none" w:sz="0" w:space="0" w:color="auto"/>
          </w:divBdr>
        </w:div>
      </w:divsChild>
    </w:div>
    <w:div w:id="1160659029">
      <w:bodyDiv w:val="1"/>
      <w:marLeft w:val="0"/>
      <w:marRight w:val="0"/>
      <w:marTop w:val="0"/>
      <w:marBottom w:val="0"/>
      <w:divBdr>
        <w:top w:val="none" w:sz="0" w:space="0" w:color="auto"/>
        <w:left w:val="none" w:sz="0" w:space="0" w:color="auto"/>
        <w:bottom w:val="none" w:sz="0" w:space="0" w:color="auto"/>
        <w:right w:val="none" w:sz="0" w:space="0" w:color="auto"/>
      </w:divBdr>
    </w:div>
    <w:div w:id="1164781048">
      <w:bodyDiv w:val="1"/>
      <w:marLeft w:val="0"/>
      <w:marRight w:val="0"/>
      <w:marTop w:val="0"/>
      <w:marBottom w:val="0"/>
      <w:divBdr>
        <w:top w:val="none" w:sz="0" w:space="0" w:color="auto"/>
        <w:left w:val="none" w:sz="0" w:space="0" w:color="auto"/>
        <w:bottom w:val="none" w:sz="0" w:space="0" w:color="auto"/>
        <w:right w:val="none" w:sz="0" w:space="0" w:color="auto"/>
      </w:divBdr>
    </w:div>
    <w:div w:id="1170101289">
      <w:marLeft w:val="0"/>
      <w:marRight w:val="0"/>
      <w:marTop w:val="0"/>
      <w:marBottom w:val="0"/>
      <w:divBdr>
        <w:top w:val="none" w:sz="0" w:space="0" w:color="auto"/>
        <w:left w:val="none" w:sz="0" w:space="0" w:color="auto"/>
        <w:bottom w:val="none" w:sz="0" w:space="0" w:color="auto"/>
        <w:right w:val="none" w:sz="0" w:space="0" w:color="auto"/>
      </w:divBdr>
      <w:divsChild>
        <w:div w:id="407577391">
          <w:marLeft w:val="0"/>
          <w:marRight w:val="0"/>
          <w:marTop w:val="0"/>
          <w:marBottom w:val="0"/>
          <w:divBdr>
            <w:top w:val="none" w:sz="0" w:space="0" w:color="auto"/>
            <w:left w:val="none" w:sz="0" w:space="0" w:color="auto"/>
            <w:bottom w:val="none" w:sz="0" w:space="0" w:color="auto"/>
            <w:right w:val="none" w:sz="0" w:space="0" w:color="auto"/>
          </w:divBdr>
        </w:div>
      </w:divsChild>
    </w:div>
    <w:div w:id="1176387275">
      <w:marLeft w:val="0"/>
      <w:marRight w:val="0"/>
      <w:marTop w:val="0"/>
      <w:marBottom w:val="0"/>
      <w:divBdr>
        <w:top w:val="none" w:sz="0" w:space="0" w:color="auto"/>
        <w:left w:val="none" w:sz="0" w:space="0" w:color="auto"/>
        <w:bottom w:val="none" w:sz="0" w:space="0" w:color="auto"/>
        <w:right w:val="none" w:sz="0" w:space="0" w:color="auto"/>
      </w:divBdr>
      <w:divsChild>
        <w:div w:id="515194152">
          <w:marLeft w:val="0"/>
          <w:marRight w:val="0"/>
          <w:marTop w:val="0"/>
          <w:marBottom w:val="0"/>
          <w:divBdr>
            <w:top w:val="none" w:sz="0" w:space="0" w:color="auto"/>
            <w:left w:val="none" w:sz="0" w:space="0" w:color="auto"/>
            <w:bottom w:val="none" w:sz="0" w:space="0" w:color="auto"/>
            <w:right w:val="none" w:sz="0" w:space="0" w:color="auto"/>
          </w:divBdr>
        </w:div>
      </w:divsChild>
    </w:div>
    <w:div w:id="1176656444">
      <w:marLeft w:val="0"/>
      <w:marRight w:val="0"/>
      <w:marTop w:val="0"/>
      <w:marBottom w:val="0"/>
      <w:divBdr>
        <w:top w:val="none" w:sz="0" w:space="0" w:color="auto"/>
        <w:left w:val="none" w:sz="0" w:space="0" w:color="auto"/>
        <w:bottom w:val="none" w:sz="0" w:space="0" w:color="auto"/>
        <w:right w:val="none" w:sz="0" w:space="0" w:color="auto"/>
      </w:divBdr>
      <w:divsChild>
        <w:div w:id="1997295597">
          <w:marLeft w:val="0"/>
          <w:marRight w:val="0"/>
          <w:marTop w:val="0"/>
          <w:marBottom w:val="0"/>
          <w:divBdr>
            <w:top w:val="none" w:sz="0" w:space="0" w:color="auto"/>
            <w:left w:val="none" w:sz="0" w:space="0" w:color="auto"/>
            <w:bottom w:val="none" w:sz="0" w:space="0" w:color="auto"/>
            <w:right w:val="none" w:sz="0" w:space="0" w:color="auto"/>
          </w:divBdr>
        </w:div>
      </w:divsChild>
    </w:div>
    <w:div w:id="1177577040">
      <w:bodyDiv w:val="1"/>
      <w:marLeft w:val="0"/>
      <w:marRight w:val="0"/>
      <w:marTop w:val="0"/>
      <w:marBottom w:val="0"/>
      <w:divBdr>
        <w:top w:val="none" w:sz="0" w:space="0" w:color="auto"/>
        <w:left w:val="none" w:sz="0" w:space="0" w:color="auto"/>
        <w:bottom w:val="none" w:sz="0" w:space="0" w:color="auto"/>
        <w:right w:val="none" w:sz="0" w:space="0" w:color="auto"/>
      </w:divBdr>
    </w:div>
    <w:div w:id="1178346419">
      <w:marLeft w:val="0"/>
      <w:marRight w:val="0"/>
      <w:marTop w:val="0"/>
      <w:marBottom w:val="0"/>
      <w:divBdr>
        <w:top w:val="none" w:sz="0" w:space="0" w:color="auto"/>
        <w:left w:val="none" w:sz="0" w:space="0" w:color="auto"/>
        <w:bottom w:val="none" w:sz="0" w:space="0" w:color="auto"/>
        <w:right w:val="none" w:sz="0" w:space="0" w:color="auto"/>
      </w:divBdr>
      <w:divsChild>
        <w:div w:id="2022199974">
          <w:marLeft w:val="0"/>
          <w:marRight w:val="0"/>
          <w:marTop w:val="0"/>
          <w:marBottom w:val="0"/>
          <w:divBdr>
            <w:top w:val="none" w:sz="0" w:space="0" w:color="auto"/>
            <w:left w:val="none" w:sz="0" w:space="0" w:color="auto"/>
            <w:bottom w:val="none" w:sz="0" w:space="0" w:color="auto"/>
            <w:right w:val="none" w:sz="0" w:space="0" w:color="auto"/>
          </w:divBdr>
        </w:div>
      </w:divsChild>
    </w:div>
    <w:div w:id="1180658669">
      <w:bodyDiv w:val="1"/>
      <w:marLeft w:val="0"/>
      <w:marRight w:val="0"/>
      <w:marTop w:val="0"/>
      <w:marBottom w:val="0"/>
      <w:divBdr>
        <w:top w:val="none" w:sz="0" w:space="0" w:color="auto"/>
        <w:left w:val="none" w:sz="0" w:space="0" w:color="auto"/>
        <w:bottom w:val="none" w:sz="0" w:space="0" w:color="auto"/>
        <w:right w:val="none" w:sz="0" w:space="0" w:color="auto"/>
      </w:divBdr>
    </w:div>
    <w:div w:id="1182739376">
      <w:marLeft w:val="0"/>
      <w:marRight w:val="0"/>
      <w:marTop w:val="0"/>
      <w:marBottom w:val="0"/>
      <w:divBdr>
        <w:top w:val="none" w:sz="0" w:space="0" w:color="auto"/>
        <w:left w:val="none" w:sz="0" w:space="0" w:color="auto"/>
        <w:bottom w:val="none" w:sz="0" w:space="0" w:color="auto"/>
        <w:right w:val="none" w:sz="0" w:space="0" w:color="auto"/>
      </w:divBdr>
      <w:divsChild>
        <w:div w:id="1811172092">
          <w:marLeft w:val="0"/>
          <w:marRight w:val="0"/>
          <w:marTop w:val="0"/>
          <w:marBottom w:val="0"/>
          <w:divBdr>
            <w:top w:val="none" w:sz="0" w:space="0" w:color="auto"/>
            <w:left w:val="none" w:sz="0" w:space="0" w:color="auto"/>
            <w:bottom w:val="none" w:sz="0" w:space="0" w:color="auto"/>
            <w:right w:val="none" w:sz="0" w:space="0" w:color="auto"/>
          </w:divBdr>
        </w:div>
      </w:divsChild>
    </w:div>
    <w:div w:id="1183978711">
      <w:marLeft w:val="0"/>
      <w:marRight w:val="0"/>
      <w:marTop w:val="0"/>
      <w:marBottom w:val="0"/>
      <w:divBdr>
        <w:top w:val="none" w:sz="0" w:space="0" w:color="auto"/>
        <w:left w:val="none" w:sz="0" w:space="0" w:color="auto"/>
        <w:bottom w:val="none" w:sz="0" w:space="0" w:color="auto"/>
        <w:right w:val="none" w:sz="0" w:space="0" w:color="auto"/>
      </w:divBdr>
      <w:divsChild>
        <w:div w:id="1238322527">
          <w:marLeft w:val="0"/>
          <w:marRight w:val="0"/>
          <w:marTop w:val="0"/>
          <w:marBottom w:val="0"/>
          <w:divBdr>
            <w:top w:val="none" w:sz="0" w:space="0" w:color="auto"/>
            <w:left w:val="none" w:sz="0" w:space="0" w:color="auto"/>
            <w:bottom w:val="none" w:sz="0" w:space="0" w:color="auto"/>
            <w:right w:val="none" w:sz="0" w:space="0" w:color="auto"/>
          </w:divBdr>
        </w:div>
      </w:divsChild>
    </w:div>
    <w:div w:id="1188712895">
      <w:marLeft w:val="0"/>
      <w:marRight w:val="0"/>
      <w:marTop w:val="0"/>
      <w:marBottom w:val="0"/>
      <w:divBdr>
        <w:top w:val="none" w:sz="0" w:space="0" w:color="auto"/>
        <w:left w:val="none" w:sz="0" w:space="0" w:color="auto"/>
        <w:bottom w:val="none" w:sz="0" w:space="0" w:color="auto"/>
        <w:right w:val="none" w:sz="0" w:space="0" w:color="auto"/>
      </w:divBdr>
      <w:divsChild>
        <w:div w:id="1031954631">
          <w:marLeft w:val="0"/>
          <w:marRight w:val="0"/>
          <w:marTop w:val="0"/>
          <w:marBottom w:val="0"/>
          <w:divBdr>
            <w:top w:val="none" w:sz="0" w:space="0" w:color="auto"/>
            <w:left w:val="none" w:sz="0" w:space="0" w:color="auto"/>
            <w:bottom w:val="none" w:sz="0" w:space="0" w:color="auto"/>
            <w:right w:val="none" w:sz="0" w:space="0" w:color="auto"/>
          </w:divBdr>
        </w:div>
      </w:divsChild>
    </w:div>
    <w:div w:id="1190876217">
      <w:marLeft w:val="0"/>
      <w:marRight w:val="0"/>
      <w:marTop w:val="0"/>
      <w:marBottom w:val="0"/>
      <w:divBdr>
        <w:top w:val="none" w:sz="0" w:space="0" w:color="auto"/>
        <w:left w:val="none" w:sz="0" w:space="0" w:color="auto"/>
        <w:bottom w:val="none" w:sz="0" w:space="0" w:color="auto"/>
        <w:right w:val="none" w:sz="0" w:space="0" w:color="auto"/>
      </w:divBdr>
      <w:divsChild>
        <w:div w:id="693767948">
          <w:marLeft w:val="0"/>
          <w:marRight w:val="0"/>
          <w:marTop w:val="0"/>
          <w:marBottom w:val="0"/>
          <w:divBdr>
            <w:top w:val="none" w:sz="0" w:space="0" w:color="auto"/>
            <w:left w:val="none" w:sz="0" w:space="0" w:color="auto"/>
            <w:bottom w:val="none" w:sz="0" w:space="0" w:color="auto"/>
            <w:right w:val="none" w:sz="0" w:space="0" w:color="auto"/>
          </w:divBdr>
        </w:div>
      </w:divsChild>
    </w:div>
    <w:div w:id="1193882692">
      <w:bodyDiv w:val="1"/>
      <w:marLeft w:val="0"/>
      <w:marRight w:val="0"/>
      <w:marTop w:val="0"/>
      <w:marBottom w:val="0"/>
      <w:divBdr>
        <w:top w:val="none" w:sz="0" w:space="0" w:color="auto"/>
        <w:left w:val="none" w:sz="0" w:space="0" w:color="auto"/>
        <w:bottom w:val="none" w:sz="0" w:space="0" w:color="auto"/>
        <w:right w:val="none" w:sz="0" w:space="0" w:color="auto"/>
      </w:divBdr>
    </w:div>
    <w:div w:id="1194004736">
      <w:bodyDiv w:val="1"/>
      <w:marLeft w:val="0"/>
      <w:marRight w:val="0"/>
      <w:marTop w:val="0"/>
      <w:marBottom w:val="0"/>
      <w:divBdr>
        <w:top w:val="none" w:sz="0" w:space="0" w:color="auto"/>
        <w:left w:val="none" w:sz="0" w:space="0" w:color="auto"/>
        <w:bottom w:val="none" w:sz="0" w:space="0" w:color="auto"/>
        <w:right w:val="none" w:sz="0" w:space="0" w:color="auto"/>
      </w:divBdr>
    </w:div>
    <w:div w:id="1195460862">
      <w:bodyDiv w:val="1"/>
      <w:marLeft w:val="0"/>
      <w:marRight w:val="0"/>
      <w:marTop w:val="0"/>
      <w:marBottom w:val="0"/>
      <w:divBdr>
        <w:top w:val="none" w:sz="0" w:space="0" w:color="auto"/>
        <w:left w:val="none" w:sz="0" w:space="0" w:color="auto"/>
        <w:bottom w:val="none" w:sz="0" w:space="0" w:color="auto"/>
        <w:right w:val="none" w:sz="0" w:space="0" w:color="auto"/>
      </w:divBdr>
      <w:divsChild>
        <w:div w:id="1741169655">
          <w:marLeft w:val="0"/>
          <w:marRight w:val="0"/>
          <w:marTop w:val="0"/>
          <w:marBottom w:val="0"/>
          <w:divBdr>
            <w:top w:val="none" w:sz="0" w:space="0" w:color="auto"/>
            <w:left w:val="none" w:sz="0" w:space="0" w:color="auto"/>
            <w:bottom w:val="none" w:sz="0" w:space="0" w:color="auto"/>
            <w:right w:val="none" w:sz="0" w:space="0" w:color="auto"/>
          </w:divBdr>
          <w:divsChild>
            <w:div w:id="84424909">
              <w:marLeft w:val="0"/>
              <w:marRight w:val="0"/>
              <w:marTop w:val="0"/>
              <w:marBottom w:val="0"/>
              <w:divBdr>
                <w:top w:val="none" w:sz="0" w:space="0" w:color="auto"/>
                <w:left w:val="none" w:sz="0" w:space="0" w:color="auto"/>
                <w:bottom w:val="none" w:sz="0" w:space="0" w:color="auto"/>
                <w:right w:val="none" w:sz="0" w:space="0" w:color="auto"/>
              </w:divBdr>
            </w:div>
            <w:div w:id="1000621816">
              <w:marLeft w:val="0"/>
              <w:marRight w:val="0"/>
              <w:marTop w:val="0"/>
              <w:marBottom w:val="0"/>
              <w:divBdr>
                <w:top w:val="none" w:sz="0" w:space="0" w:color="auto"/>
                <w:left w:val="none" w:sz="0" w:space="0" w:color="auto"/>
                <w:bottom w:val="none" w:sz="0" w:space="0" w:color="auto"/>
                <w:right w:val="none" w:sz="0" w:space="0" w:color="auto"/>
              </w:divBdr>
            </w:div>
            <w:div w:id="726954589">
              <w:marLeft w:val="0"/>
              <w:marRight w:val="0"/>
              <w:marTop w:val="0"/>
              <w:marBottom w:val="0"/>
              <w:divBdr>
                <w:top w:val="none" w:sz="0" w:space="0" w:color="auto"/>
                <w:left w:val="none" w:sz="0" w:space="0" w:color="auto"/>
                <w:bottom w:val="none" w:sz="0" w:space="0" w:color="auto"/>
                <w:right w:val="none" w:sz="0" w:space="0" w:color="auto"/>
              </w:divBdr>
            </w:div>
            <w:div w:id="1998067711">
              <w:marLeft w:val="0"/>
              <w:marRight w:val="0"/>
              <w:marTop w:val="0"/>
              <w:marBottom w:val="0"/>
              <w:divBdr>
                <w:top w:val="none" w:sz="0" w:space="0" w:color="auto"/>
                <w:left w:val="none" w:sz="0" w:space="0" w:color="auto"/>
                <w:bottom w:val="none" w:sz="0" w:space="0" w:color="auto"/>
                <w:right w:val="none" w:sz="0" w:space="0" w:color="auto"/>
              </w:divBdr>
            </w:div>
            <w:div w:id="835340646">
              <w:marLeft w:val="0"/>
              <w:marRight w:val="0"/>
              <w:marTop w:val="0"/>
              <w:marBottom w:val="0"/>
              <w:divBdr>
                <w:top w:val="none" w:sz="0" w:space="0" w:color="auto"/>
                <w:left w:val="none" w:sz="0" w:space="0" w:color="auto"/>
                <w:bottom w:val="none" w:sz="0" w:space="0" w:color="auto"/>
                <w:right w:val="none" w:sz="0" w:space="0" w:color="auto"/>
              </w:divBdr>
            </w:div>
            <w:div w:id="1895119612">
              <w:marLeft w:val="0"/>
              <w:marRight w:val="0"/>
              <w:marTop w:val="0"/>
              <w:marBottom w:val="0"/>
              <w:divBdr>
                <w:top w:val="none" w:sz="0" w:space="0" w:color="auto"/>
                <w:left w:val="none" w:sz="0" w:space="0" w:color="auto"/>
                <w:bottom w:val="none" w:sz="0" w:space="0" w:color="auto"/>
                <w:right w:val="none" w:sz="0" w:space="0" w:color="auto"/>
              </w:divBdr>
            </w:div>
            <w:div w:id="1600062728">
              <w:marLeft w:val="0"/>
              <w:marRight w:val="0"/>
              <w:marTop w:val="0"/>
              <w:marBottom w:val="0"/>
              <w:divBdr>
                <w:top w:val="none" w:sz="0" w:space="0" w:color="auto"/>
                <w:left w:val="none" w:sz="0" w:space="0" w:color="auto"/>
                <w:bottom w:val="none" w:sz="0" w:space="0" w:color="auto"/>
                <w:right w:val="none" w:sz="0" w:space="0" w:color="auto"/>
              </w:divBdr>
            </w:div>
            <w:div w:id="417335915">
              <w:marLeft w:val="0"/>
              <w:marRight w:val="0"/>
              <w:marTop w:val="0"/>
              <w:marBottom w:val="0"/>
              <w:divBdr>
                <w:top w:val="none" w:sz="0" w:space="0" w:color="auto"/>
                <w:left w:val="none" w:sz="0" w:space="0" w:color="auto"/>
                <w:bottom w:val="none" w:sz="0" w:space="0" w:color="auto"/>
                <w:right w:val="none" w:sz="0" w:space="0" w:color="auto"/>
              </w:divBdr>
            </w:div>
            <w:div w:id="869495163">
              <w:marLeft w:val="0"/>
              <w:marRight w:val="0"/>
              <w:marTop w:val="0"/>
              <w:marBottom w:val="0"/>
              <w:divBdr>
                <w:top w:val="none" w:sz="0" w:space="0" w:color="auto"/>
                <w:left w:val="none" w:sz="0" w:space="0" w:color="auto"/>
                <w:bottom w:val="none" w:sz="0" w:space="0" w:color="auto"/>
                <w:right w:val="none" w:sz="0" w:space="0" w:color="auto"/>
              </w:divBdr>
            </w:div>
            <w:div w:id="352194176">
              <w:marLeft w:val="0"/>
              <w:marRight w:val="0"/>
              <w:marTop w:val="0"/>
              <w:marBottom w:val="0"/>
              <w:divBdr>
                <w:top w:val="none" w:sz="0" w:space="0" w:color="auto"/>
                <w:left w:val="none" w:sz="0" w:space="0" w:color="auto"/>
                <w:bottom w:val="none" w:sz="0" w:space="0" w:color="auto"/>
                <w:right w:val="none" w:sz="0" w:space="0" w:color="auto"/>
              </w:divBdr>
            </w:div>
            <w:div w:id="1445033453">
              <w:marLeft w:val="0"/>
              <w:marRight w:val="0"/>
              <w:marTop w:val="0"/>
              <w:marBottom w:val="0"/>
              <w:divBdr>
                <w:top w:val="none" w:sz="0" w:space="0" w:color="auto"/>
                <w:left w:val="none" w:sz="0" w:space="0" w:color="auto"/>
                <w:bottom w:val="none" w:sz="0" w:space="0" w:color="auto"/>
                <w:right w:val="none" w:sz="0" w:space="0" w:color="auto"/>
              </w:divBdr>
            </w:div>
            <w:div w:id="963461965">
              <w:marLeft w:val="0"/>
              <w:marRight w:val="0"/>
              <w:marTop w:val="0"/>
              <w:marBottom w:val="0"/>
              <w:divBdr>
                <w:top w:val="none" w:sz="0" w:space="0" w:color="auto"/>
                <w:left w:val="none" w:sz="0" w:space="0" w:color="auto"/>
                <w:bottom w:val="none" w:sz="0" w:space="0" w:color="auto"/>
                <w:right w:val="none" w:sz="0" w:space="0" w:color="auto"/>
              </w:divBdr>
            </w:div>
            <w:div w:id="2073456337">
              <w:marLeft w:val="0"/>
              <w:marRight w:val="0"/>
              <w:marTop w:val="0"/>
              <w:marBottom w:val="0"/>
              <w:divBdr>
                <w:top w:val="none" w:sz="0" w:space="0" w:color="auto"/>
                <w:left w:val="none" w:sz="0" w:space="0" w:color="auto"/>
                <w:bottom w:val="none" w:sz="0" w:space="0" w:color="auto"/>
                <w:right w:val="none" w:sz="0" w:space="0" w:color="auto"/>
              </w:divBdr>
            </w:div>
            <w:div w:id="1755391382">
              <w:marLeft w:val="0"/>
              <w:marRight w:val="0"/>
              <w:marTop w:val="0"/>
              <w:marBottom w:val="0"/>
              <w:divBdr>
                <w:top w:val="none" w:sz="0" w:space="0" w:color="auto"/>
                <w:left w:val="none" w:sz="0" w:space="0" w:color="auto"/>
                <w:bottom w:val="none" w:sz="0" w:space="0" w:color="auto"/>
                <w:right w:val="none" w:sz="0" w:space="0" w:color="auto"/>
              </w:divBdr>
            </w:div>
            <w:div w:id="1817140835">
              <w:marLeft w:val="0"/>
              <w:marRight w:val="0"/>
              <w:marTop w:val="0"/>
              <w:marBottom w:val="0"/>
              <w:divBdr>
                <w:top w:val="none" w:sz="0" w:space="0" w:color="auto"/>
                <w:left w:val="none" w:sz="0" w:space="0" w:color="auto"/>
                <w:bottom w:val="none" w:sz="0" w:space="0" w:color="auto"/>
                <w:right w:val="none" w:sz="0" w:space="0" w:color="auto"/>
              </w:divBdr>
            </w:div>
            <w:div w:id="440271304">
              <w:marLeft w:val="0"/>
              <w:marRight w:val="0"/>
              <w:marTop w:val="0"/>
              <w:marBottom w:val="0"/>
              <w:divBdr>
                <w:top w:val="none" w:sz="0" w:space="0" w:color="auto"/>
                <w:left w:val="none" w:sz="0" w:space="0" w:color="auto"/>
                <w:bottom w:val="none" w:sz="0" w:space="0" w:color="auto"/>
                <w:right w:val="none" w:sz="0" w:space="0" w:color="auto"/>
              </w:divBdr>
            </w:div>
            <w:div w:id="1596013600">
              <w:marLeft w:val="0"/>
              <w:marRight w:val="0"/>
              <w:marTop w:val="0"/>
              <w:marBottom w:val="0"/>
              <w:divBdr>
                <w:top w:val="none" w:sz="0" w:space="0" w:color="auto"/>
                <w:left w:val="none" w:sz="0" w:space="0" w:color="auto"/>
                <w:bottom w:val="none" w:sz="0" w:space="0" w:color="auto"/>
                <w:right w:val="none" w:sz="0" w:space="0" w:color="auto"/>
              </w:divBdr>
            </w:div>
            <w:div w:id="758990783">
              <w:marLeft w:val="0"/>
              <w:marRight w:val="0"/>
              <w:marTop w:val="0"/>
              <w:marBottom w:val="0"/>
              <w:divBdr>
                <w:top w:val="none" w:sz="0" w:space="0" w:color="auto"/>
                <w:left w:val="none" w:sz="0" w:space="0" w:color="auto"/>
                <w:bottom w:val="none" w:sz="0" w:space="0" w:color="auto"/>
                <w:right w:val="none" w:sz="0" w:space="0" w:color="auto"/>
              </w:divBdr>
            </w:div>
            <w:div w:id="2035763808">
              <w:marLeft w:val="0"/>
              <w:marRight w:val="0"/>
              <w:marTop w:val="0"/>
              <w:marBottom w:val="0"/>
              <w:divBdr>
                <w:top w:val="none" w:sz="0" w:space="0" w:color="auto"/>
                <w:left w:val="none" w:sz="0" w:space="0" w:color="auto"/>
                <w:bottom w:val="none" w:sz="0" w:space="0" w:color="auto"/>
                <w:right w:val="none" w:sz="0" w:space="0" w:color="auto"/>
              </w:divBdr>
            </w:div>
            <w:div w:id="1740247470">
              <w:marLeft w:val="0"/>
              <w:marRight w:val="0"/>
              <w:marTop w:val="0"/>
              <w:marBottom w:val="0"/>
              <w:divBdr>
                <w:top w:val="none" w:sz="0" w:space="0" w:color="auto"/>
                <w:left w:val="none" w:sz="0" w:space="0" w:color="auto"/>
                <w:bottom w:val="none" w:sz="0" w:space="0" w:color="auto"/>
                <w:right w:val="none" w:sz="0" w:space="0" w:color="auto"/>
              </w:divBdr>
            </w:div>
            <w:div w:id="1413966631">
              <w:marLeft w:val="0"/>
              <w:marRight w:val="0"/>
              <w:marTop w:val="0"/>
              <w:marBottom w:val="0"/>
              <w:divBdr>
                <w:top w:val="none" w:sz="0" w:space="0" w:color="auto"/>
                <w:left w:val="none" w:sz="0" w:space="0" w:color="auto"/>
                <w:bottom w:val="none" w:sz="0" w:space="0" w:color="auto"/>
                <w:right w:val="none" w:sz="0" w:space="0" w:color="auto"/>
              </w:divBdr>
            </w:div>
            <w:div w:id="1784109749">
              <w:marLeft w:val="0"/>
              <w:marRight w:val="0"/>
              <w:marTop w:val="0"/>
              <w:marBottom w:val="0"/>
              <w:divBdr>
                <w:top w:val="none" w:sz="0" w:space="0" w:color="auto"/>
                <w:left w:val="none" w:sz="0" w:space="0" w:color="auto"/>
                <w:bottom w:val="none" w:sz="0" w:space="0" w:color="auto"/>
                <w:right w:val="none" w:sz="0" w:space="0" w:color="auto"/>
              </w:divBdr>
            </w:div>
            <w:div w:id="1664698653">
              <w:marLeft w:val="0"/>
              <w:marRight w:val="0"/>
              <w:marTop w:val="0"/>
              <w:marBottom w:val="0"/>
              <w:divBdr>
                <w:top w:val="none" w:sz="0" w:space="0" w:color="auto"/>
                <w:left w:val="none" w:sz="0" w:space="0" w:color="auto"/>
                <w:bottom w:val="none" w:sz="0" w:space="0" w:color="auto"/>
                <w:right w:val="none" w:sz="0" w:space="0" w:color="auto"/>
              </w:divBdr>
            </w:div>
            <w:div w:id="2093042853">
              <w:marLeft w:val="0"/>
              <w:marRight w:val="0"/>
              <w:marTop w:val="0"/>
              <w:marBottom w:val="0"/>
              <w:divBdr>
                <w:top w:val="none" w:sz="0" w:space="0" w:color="auto"/>
                <w:left w:val="none" w:sz="0" w:space="0" w:color="auto"/>
                <w:bottom w:val="none" w:sz="0" w:space="0" w:color="auto"/>
                <w:right w:val="none" w:sz="0" w:space="0" w:color="auto"/>
              </w:divBdr>
            </w:div>
            <w:div w:id="1744257856">
              <w:marLeft w:val="0"/>
              <w:marRight w:val="0"/>
              <w:marTop w:val="0"/>
              <w:marBottom w:val="0"/>
              <w:divBdr>
                <w:top w:val="none" w:sz="0" w:space="0" w:color="auto"/>
                <w:left w:val="none" w:sz="0" w:space="0" w:color="auto"/>
                <w:bottom w:val="none" w:sz="0" w:space="0" w:color="auto"/>
                <w:right w:val="none" w:sz="0" w:space="0" w:color="auto"/>
              </w:divBdr>
            </w:div>
            <w:div w:id="28921210">
              <w:marLeft w:val="0"/>
              <w:marRight w:val="0"/>
              <w:marTop w:val="0"/>
              <w:marBottom w:val="0"/>
              <w:divBdr>
                <w:top w:val="none" w:sz="0" w:space="0" w:color="auto"/>
                <w:left w:val="none" w:sz="0" w:space="0" w:color="auto"/>
                <w:bottom w:val="none" w:sz="0" w:space="0" w:color="auto"/>
                <w:right w:val="none" w:sz="0" w:space="0" w:color="auto"/>
              </w:divBdr>
            </w:div>
            <w:div w:id="1886987850">
              <w:marLeft w:val="0"/>
              <w:marRight w:val="0"/>
              <w:marTop w:val="0"/>
              <w:marBottom w:val="0"/>
              <w:divBdr>
                <w:top w:val="none" w:sz="0" w:space="0" w:color="auto"/>
                <w:left w:val="none" w:sz="0" w:space="0" w:color="auto"/>
                <w:bottom w:val="none" w:sz="0" w:space="0" w:color="auto"/>
                <w:right w:val="none" w:sz="0" w:space="0" w:color="auto"/>
              </w:divBdr>
            </w:div>
            <w:div w:id="1923484261">
              <w:marLeft w:val="0"/>
              <w:marRight w:val="0"/>
              <w:marTop w:val="0"/>
              <w:marBottom w:val="0"/>
              <w:divBdr>
                <w:top w:val="none" w:sz="0" w:space="0" w:color="auto"/>
                <w:left w:val="none" w:sz="0" w:space="0" w:color="auto"/>
                <w:bottom w:val="none" w:sz="0" w:space="0" w:color="auto"/>
                <w:right w:val="none" w:sz="0" w:space="0" w:color="auto"/>
              </w:divBdr>
            </w:div>
            <w:div w:id="1159999412">
              <w:marLeft w:val="0"/>
              <w:marRight w:val="0"/>
              <w:marTop w:val="0"/>
              <w:marBottom w:val="0"/>
              <w:divBdr>
                <w:top w:val="none" w:sz="0" w:space="0" w:color="auto"/>
                <w:left w:val="none" w:sz="0" w:space="0" w:color="auto"/>
                <w:bottom w:val="none" w:sz="0" w:space="0" w:color="auto"/>
                <w:right w:val="none" w:sz="0" w:space="0" w:color="auto"/>
              </w:divBdr>
            </w:div>
            <w:div w:id="832523191">
              <w:marLeft w:val="0"/>
              <w:marRight w:val="0"/>
              <w:marTop w:val="0"/>
              <w:marBottom w:val="0"/>
              <w:divBdr>
                <w:top w:val="none" w:sz="0" w:space="0" w:color="auto"/>
                <w:left w:val="none" w:sz="0" w:space="0" w:color="auto"/>
                <w:bottom w:val="none" w:sz="0" w:space="0" w:color="auto"/>
                <w:right w:val="none" w:sz="0" w:space="0" w:color="auto"/>
              </w:divBdr>
            </w:div>
            <w:div w:id="992564288">
              <w:marLeft w:val="0"/>
              <w:marRight w:val="0"/>
              <w:marTop w:val="0"/>
              <w:marBottom w:val="0"/>
              <w:divBdr>
                <w:top w:val="none" w:sz="0" w:space="0" w:color="auto"/>
                <w:left w:val="none" w:sz="0" w:space="0" w:color="auto"/>
                <w:bottom w:val="none" w:sz="0" w:space="0" w:color="auto"/>
                <w:right w:val="none" w:sz="0" w:space="0" w:color="auto"/>
              </w:divBdr>
            </w:div>
            <w:div w:id="786701102">
              <w:marLeft w:val="0"/>
              <w:marRight w:val="0"/>
              <w:marTop w:val="0"/>
              <w:marBottom w:val="0"/>
              <w:divBdr>
                <w:top w:val="none" w:sz="0" w:space="0" w:color="auto"/>
                <w:left w:val="none" w:sz="0" w:space="0" w:color="auto"/>
                <w:bottom w:val="none" w:sz="0" w:space="0" w:color="auto"/>
                <w:right w:val="none" w:sz="0" w:space="0" w:color="auto"/>
              </w:divBdr>
            </w:div>
            <w:div w:id="1107576794">
              <w:marLeft w:val="0"/>
              <w:marRight w:val="0"/>
              <w:marTop w:val="0"/>
              <w:marBottom w:val="0"/>
              <w:divBdr>
                <w:top w:val="none" w:sz="0" w:space="0" w:color="auto"/>
                <w:left w:val="none" w:sz="0" w:space="0" w:color="auto"/>
                <w:bottom w:val="none" w:sz="0" w:space="0" w:color="auto"/>
                <w:right w:val="none" w:sz="0" w:space="0" w:color="auto"/>
              </w:divBdr>
            </w:div>
            <w:div w:id="543637613">
              <w:marLeft w:val="0"/>
              <w:marRight w:val="0"/>
              <w:marTop w:val="0"/>
              <w:marBottom w:val="0"/>
              <w:divBdr>
                <w:top w:val="none" w:sz="0" w:space="0" w:color="auto"/>
                <w:left w:val="none" w:sz="0" w:space="0" w:color="auto"/>
                <w:bottom w:val="none" w:sz="0" w:space="0" w:color="auto"/>
                <w:right w:val="none" w:sz="0" w:space="0" w:color="auto"/>
              </w:divBdr>
            </w:div>
            <w:div w:id="502864689">
              <w:marLeft w:val="0"/>
              <w:marRight w:val="0"/>
              <w:marTop w:val="0"/>
              <w:marBottom w:val="0"/>
              <w:divBdr>
                <w:top w:val="none" w:sz="0" w:space="0" w:color="auto"/>
                <w:left w:val="none" w:sz="0" w:space="0" w:color="auto"/>
                <w:bottom w:val="none" w:sz="0" w:space="0" w:color="auto"/>
                <w:right w:val="none" w:sz="0" w:space="0" w:color="auto"/>
              </w:divBdr>
            </w:div>
            <w:div w:id="690381925">
              <w:marLeft w:val="0"/>
              <w:marRight w:val="0"/>
              <w:marTop w:val="0"/>
              <w:marBottom w:val="0"/>
              <w:divBdr>
                <w:top w:val="none" w:sz="0" w:space="0" w:color="auto"/>
                <w:left w:val="none" w:sz="0" w:space="0" w:color="auto"/>
                <w:bottom w:val="none" w:sz="0" w:space="0" w:color="auto"/>
                <w:right w:val="none" w:sz="0" w:space="0" w:color="auto"/>
              </w:divBdr>
            </w:div>
            <w:div w:id="801776075">
              <w:marLeft w:val="0"/>
              <w:marRight w:val="0"/>
              <w:marTop w:val="0"/>
              <w:marBottom w:val="0"/>
              <w:divBdr>
                <w:top w:val="none" w:sz="0" w:space="0" w:color="auto"/>
                <w:left w:val="none" w:sz="0" w:space="0" w:color="auto"/>
                <w:bottom w:val="none" w:sz="0" w:space="0" w:color="auto"/>
                <w:right w:val="none" w:sz="0" w:space="0" w:color="auto"/>
              </w:divBdr>
            </w:div>
            <w:div w:id="173811281">
              <w:marLeft w:val="0"/>
              <w:marRight w:val="0"/>
              <w:marTop w:val="0"/>
              <w:marBottom w:val="0"/>
              <w:divBdr>
                <w:top w:val="none" w:sz="0" w:space="0" w:color="auto"/>
                <w:left w:val="none" w:sz="0" w:space="0" w:color="auto"/>
                <w:bottom w:val="none" w:sz="0" w:space="0" w:color="auto"/>
                <w:right w:val="none" w:sz="0" w:space="0" w:color="auto"/>
              </w:divBdr>
            </w:div>
            <w:div w:id="375391412">
              <w:marLeft w:val="0"/>
              <w:marRight w:val="0"/>
              <w:marTop w:val="0"/>
              <w:marBottom w:val="0"/>
              <w:divBdr>
                <w:top w:val="none" w:sz="0" w:space="0" w:color="auto"/>
                <w:left w:val="none" w:sz="0" w:space="0" w:color="auto"/>
                <w:bottom w:val="none" w:sz="0" w:space="0" w:color="auto"/>
                <w:right w:val="none" w:sz="0" w:space="0" w:color="auto"/>
              </w:divBdr>
            </w:div>
            <w:div w:id="1675064145">
              <w:marLeft w:val="0"/>
              <w:marRight w:val="0"/>
              <w:marTop w:val="0"/>
              <w:marBottom w:val="0"/>
              <w:divBdr>
                <w:top w:val="none" w:sz="0" w:space="0" w:color="auto"/>
                <w:left w:val="none" w:sz="0" w:space="0" w:color="auto"/>
                <w:bottom w:val="none" w:sz="0" w:space="0" w:color="auto"/>
                <w:right w:val="none" w:sz="0" w:space="0" w:color="auto"/>
              </w:divBdr>
            </w:div>
            <w:div w:id="469711381">
              <w:marLeft w:val="0"/>
              <w:marRight w:val="0"/>
              <w:marTop w:val="0"/>
              <w:marBottom w:val="0"/>
              <w:divBdr>
                <w:top w:val="none" w:sz="0" w:space="0" w:color="auto"/>
                <w:left w:val="none" w:sz="0" w:space="0" w:color="auto"/>
                <w:bottom w:val="none" w:sz="0" w:space="0" w:color="auto"/>
                <w:right w:val="none" w:sz="0" w:space="0" w:color="auto"/>
              </w:divBdr>
            </w:div>
            <w:div w:id="1456367394">
              <w:marLeft w:val="0"/>
              <w:marRight w:val="0"/>
              <w:marTop w:val="0"/>
              <w:marBottom w:val="0"/>
              <w:divBdr>
                <w:top w:val="none" w:sz="0" w:space="0" w:color="auto"/>
                <w:left w:val="none" w:sz="0" w:space="0" w:color="auto"/>
                <w:bottom w:val="none" w:sz="0" w:space="0" w:color="auto"/>
                <w:right w:val="none" w:sz="0" w:space="0" w:color="auto"/>
              </w:divBdr>
            </w:div>
            <w:div w:id="485054641">
              <w:marLeft w:val="0"/>
              <w:marRight w:val="0"/>
              <w:marTop w:val="0"/>
              <w:marBottom w:val="0"/>
              <w:divBdr>
                <w:top w:val="none" w:sz="0" w:space="0" w:color="auto"/>
                <w:left w:val="none" w:sz="0" w:space="0" w:color="auto"/>
                <w:bottom w:val="none" w:sz="0" w:space="0" w:color="auto"/>
                <w:right w:val="none" w:sz="0" w:space="0" w:color="auto"/>
              </w:divBdr>
            </w:div>
            <w:div w:id="466244006">
              <w:marLeft w:val="0"/>
              <w:marRight w:val="0"/>
              <w:marTop w:val="0"/>
              <w:marBottom w:val="0"/>
              <w:divBdr>
                <w:top w:val="none" w:sz="0" w:space="0" w:color="auto"/>
                <w:left w:val="none" w:sz="0" w:space="0" w:color="auto"/>
                <w:bottom w:val="none" w:sz="0" w:space="0" w:color="auto"/>
                <w:right w:val="none" w:sz="0" w:space="0" w:color="auto"/>
              </w:divBdr>
            </w:div>
            <w:div w:id="1543203527">
              <w:marLeft w:val="0"/>
              <w:marRight w:val="0"/>
              <w:marTop w:val="0"/>
              <w:marBottom w:val="0"/>
              <w:divBdr>
                <w:top w:val="none" w:sz="0" w:space="0" w:color="auto"/>
                <w:left w:val="none" w:sz="0" w:space="0" w:color="auto"/>
                <w:bottom w:val="none" w:sz="0" w:space="0" w:color="auto"/>
                <w:right w:val="none" w:sz="0" w:space="0" w:color="auto"/>
              </w:divBdr>
            </w:div>
            <w:div w:id="2087995924">
              <w:marLeft w:val="0"/>
              <w:marRight w:val="0"/>
              <w:marTop w:val="0"/>
              <w:marBottom w:val="0"/>
              <w:divBdr>
                <w:top w:val="none" w:sz="0" w:space="0" w:color="auto"/>
                <w:left w:val="none" w:sz="0" w:space="0" w:color="auto"/>
                <w:bottom w:val="none" w:sz="0" w:space="0" w:color="auto"/>
                <w:right w:val="none" w:sz="0" w:space="0" w:color="auto"/>
              </w:divBdr>
            </w:div>
            <w:div w:id="182014768">
              <w:marLeft w:val="0"/>
              <w:marRight w:val="0"/>
              <w:marTop w:val="0"/>
              <w:marBottom w:val="0"/>
              <w:divBdr>
                <w:top w:val="none" w:sz="0" w:space="0" w:color="auto"/>
                <w:left w:val="none" w:sz="0" w:space="0" w:color="auto"/>
                <w:bottom w:val="none" w:sz="0" w:space="0" w:color="auto"/>
                <w:right w:val="none" w:sz="0" w:space="0" w:color="auto"/>
              </w:divBdr>
            </w:div>
            <w:div w:id="196624290">
              <w:marLeft w:val="0"/>
              <w:marRight w:val="0"/>
              <w:marTop w:val="0"/>
              <w:marBottom w:val="0"/>
              <w:divBdr>
                <w:top w:val="none" w:sz="0" w:space="0" w:color="auto"/>
                <w:left w:val="none" w:sz="0" w:space="0" w:color="auto"/>
                <w:bottom w:val="none" w:sz="0" w:space="0" w:color="auto"/>
                <w:right w:val="none" w:sz="0" w:space="0" w:color="auto"/>
              </w:divBdr>
            </w:div>
            <w:div w:id="944187481">
              <w:marLeft w:val="0"/>
              <w:marRight w:val="0"/>
              <w:marTop w:val="0"/>
              <w:marBottom w:val="0"/>
              <w:divBdr>
                <w:top w:val="none" w:sz="0" w:space="0" w:color="auto"/>
                <w:left w:val="none" w:sz="0" w:space="0" w:color="auto"/>
                <w:bottom w:val="none" w:sz="0" w:space="0" w:color="auto"/>
                <w:right w:val="none" w:sz="0" w:space="0" w:color="auto"/>
              </w:divBdr>
            </w:div>
            <w:div w:id="44839908">
              <w:marLeft w:val="0"/>
              <w:marRight w:val="0"/>
              <w:marTop w:val="0"/>
              <w:marBottom w:val="0"/>
              <w:divBdr>
                <w:top w:val="none" w:sz="0" w:space="0" w:color="auto"/>
                <w:left w:val="none" w:sz="0" w:space="0" w:color="auto"/>
                <w:bottom w:val="none" w:sz="0" w:space="0" w:color="auto"/>
                <w:right w:val="none" w:sz="0" w:space="0" w:color="auto"/>
              </w:divBdr>
            </w:div>
            <w:div w:id="1193416687">
              <w:marLeft w:val="0"/>
              <w:marRight w:val="0"/>
              <w:marTop w:val="0"/>
              <w:marBottom w:val="0"/>
              <w:divBdr>
                <w:top w:val="none" w:sz="0" w:space="0" w:color="auto"/>
                <w:left w:val="none" w:sz="0" w:space="0" w:color="auto"/>
                <w:bottom w:val="none" w:sz="0" w:space="0" w:color="auto"/>
                <w:right w:val="none" w:sz="0" w:space="0" w:color="auto"/>
              </w:divBdr>
            </w:div>
            <w:div w:id="1184635498">
              <w:marLeft w:val="0"/>
              <w:marRight w:val="0"/>
              <w:marTop w:val="0"/>
              <w:marBottom w:val="0"/>
              <w:divBdr>
                <w:top w:val="none" w:sz="0" w:space="0" w:color="auto"/>
                <w:left w:val="none" w:sz="0" w:space="0" w:color="auto"/>
                <w:bottom w:val="none" w:sz="0" w:space="0" w:color="auto"/>
                <w:right w:val="none" w:sz="0" w:space="0" w:color="auto"/>
              </w:divBdr>
            </w:div>
            <w:div w:id="1977681289">
              <w:marLeft w:val="0"/>
              <w:marRight w:val="0"/>
              <w:marTop w:val="0"/>
              <w:marBottom w:val="0"/>
              <w:divBdr>
                <w:top w:val="none" w:sz="0" w:space="0" w:color="auto"/>
                <w:left w:val="none" w:sz="0" w:space="0" w:color="auto"/>
                <w:bottom w:val="none" w:sz="0" w:space="0" w:color="auto"/>
                <w:right w:val="none" w:sz="0" w:space="0" w:color="auto"/>
              </w:divBdr>
            </w:div>
            <w:div w:id="1839691704">
              <w:marLeft w:val="0"/>
              <w:marRight w:val="0"/>
              <w:marTop w:val="0"/>
              <w:marBottom w:val="0"/>
              <w:divBdr>
                <w:top w:val="none" w:sz="0" w:space="0" w:color="auto"/>
                <w:left w:val="none" w:sz="0" w:space="0" w:color="auto"/>
                <w:bottom w:val="none" w:sz="0" w:space="0" w:color="auto"/>
                <w:right w:val="none" w:sz="0" w:space="0" w:color="auto"/>
              </w:divBdr>
            </w:div>
            <w:div w:id="1737312769">
              <w:marLeft w:val="0"/>
              <w:marRight w:val="0"/>
              <w:marTop w:val="0"/>
              <w:marBottom w:val="0"/>
              <w:divBdr>
                <w:top w:val="none" w:sz="0" w:space="0" w:color="auto"/>
                <w:left w:val="none" w:sz="0" w:space="0" w:color="auto"/>
                <w:bottom w:val="none" w:sz="0" w:space="0" w:color="auto"/>
                <w:right w:val="none" w:sz="0" w:space="0" w:color="auto"/>
              </w:divBdr>
            </w:div>
            <w:div w:id="782656146">
              <w:marLeft w:val="0"/>
              <w:marRight w:val="0"/>
              <w:marTop w:val="0"/>
              <w:marBottom w:val="0"/>
              <w:divBdr>
                <w:top w:val="none" w:sz="0" w:space="0" w:color="auto"/>
                <w:left w:val="none" w:sz="0" w:space="0" w:color="auto"/>
                <w:bottom w:val="none" w:sz="0" w:space="0" w:color="auto"/>
                <w:right w:val="none" w:sz="0" w:space="0" w:color="auto"/>
              </w:divBdr>
            </w:div>
            <w:div w:id="409929305">
              <w:marLeft w:val="0"/>
              <w:marRight w:val="0"/>
              <w:marTop w:val="0"/>
              <w:marBottom w:val="0"/>
              <w:divBdr>
                <w:top w:val="none" w:sz="0" w:space="0" w:color="auto"/>
                <w:left w:val="none" w:sz="0" w:space="0" w:color="auto"/>
                <w:bottom w:val="none" w:sz="0" w:space="0" w:color="auto"/>
                <w:right w:val="none" w:sz="0" w:space="0" w:color="auto"/>
              </w:divBdr>
            </w:div>
            <w:div w:id="286544662">
              <w:marLeft w:val="0"/>
              <w:marRight w:val="0"/>
              <w:marTop w:val="0"/>
              <w:marBottom w:val="0"/>
              <w:divBdr>
                <w:top w:val="none" w:sz="0" w:space="0" w:color="auto"/>
                <w:left w:val="none" w:sz="0" w:space="0" w:color="auto"/>
                <w:bottom w:val="none" w:sz="0" w:space="0" w:color="auto"/>
                <w:right w:val="none" w:sz="0" w:space="0" w:color="auto"/>
              </w:divBdr>
            </w:div>
            <w:div w:id="108939441">
              <w:marLeft w:val="0"/>
              <w:marRight w:val="0"/>
              <w:marTop w:val="0"/>
              <w:marBottom w:val="0"/>
              <w:divBdr>
                <w:top w:val="none" w:sz="0" w:space="0" w:color="auto"/>
                <w:left w:val="none" w:sz="0" w:space="0" w:color="auto"/>
                <w:bottom w:val="none" w:sz="0" w:space="0" w:color="auto"/>
                <w:right w:val="none" w:sz="0" w:space="0" w:color="auto"/>
              </w:divBdr>
            </w:div>
            <w:div w:id="1547907110">
              <w:marLeft w:val="0"/>
              <w:marRight w:val="0"/>
              <w:marTop w:val="0"/>
              <w:marBottom w:val="0"/>
              <w:divBdr>
                <w:top w:val="none" w:sz="0" w:space="0" w:color="auto"/>
                <w:left w:val="none" w:sz="0" w:space="0" w:color="auto"/>
                <w:bottom w:val="none" w:sz="0" w:space="0" w:color="auto"/>
                <w:right w:val="none" w:sz="0" w:space="0" w:color="auto"/>
              </w:divBdr>
            </w:div>
            <w:div w:id="1220901889">
              <w:marLeft w:val="0"/>
              <w:marRight w:val="0"/>
              <w:marTop w:val="0"/>
              <w:marBottom w:val="0"/>
              <w:divBdr>
                <w:top w:val="none" w:sz="0" w:space="0" w:color="auto"/>
                <w:left w:val="none" w:sz="0" w:space="0" w:color="auto"/>
                <w:bottom w:val="none" w:sz="0" w:space="0" w:color="auto"/>
                <w:right w:val="none" w:sz="0" w:space="0" w:color="auto"/>
              </w:divBdr>
            </w:div>
            <w:div w:id="1549874571">
              <w:marLeft w:val="0"/>
              <w:marRight w:val="0"/>
              <w:marTop w:val="0"/>
              <w:marBottom w:val="0"/>
              <w:divBdr>
                <w:top w:val="none" w:sz="0" w:space="0" w:color="auto"/>
                <w:left w:val="none" w:sz="0" w:space="0" w:color="auto"/>
                <w:bottom w:val="none" w:sz="0" w:space="0" w:color="auto"/>
                <w:right w:val="none" w:sz="0" w:space="0" w:color="auto"/>
              </w:divBdr>
            </w:div>
            <w:div w:id="669218809">
              <w:marLeft w:val="0"/>
              <w:marRight w:val="0"/>
              <w:marTop w:val="0"/>
              <w:marBottom w:val="0"/>
              <w:divBdr>
                <w:top w:val="none" w:sz="0" w:space="0" w:color="auto"/>
                <w:left w:val="none" w:sz="0" w:space="0" w:color="auto"/>
                <w:bottom w:val="none" w:sz="0" w:space="0" w:color="auto"/>
                <w:right w:val="none" w:sz="0" w:space="0" w:color="auto"/>
              </w:divBdr>
            </w:div>
            <w:div w:id="1112164094">
              <w:marLeft w:val="0"/>
              <w:marRight w:val="0"/>
              <w:marTop w:val="0"/>
              <w:marBottom w:val="0"/>
              <w:divBdr>
                <w:top w:val="none" w:sz="0" w:space="0" w:color="auto"/>
                <w:left w:val="none" w:sz="0" w:space="0" w:color="auto"/>
                <w:bottom w:val="none" w:sz="0" w:space="0" w:color="auto"/>
                <w:right w:val="none" w:sz="0" w:space="0" w:color="auto"/>
              </w:divBdr>
            </w:div>
            <w:div w:id="741299146">
              <w:marLeft w:val="0"/>
              <w:marRight w:val="0"/>
              <w:marTop w:val="0"/>
              <w:marBottom w:val="0"/>
              <w:divBdr>
                <w:top w:val="none" w:sz="0" w:space="0" w:color="auto"/>
                <w:left w:val="none" w:sz="0" w:space="0" w:color="auto"/>
                <w:bottom w:val="none" w:sz="0" w:space="0" w:color="auto"/>
                <w:right w:val="none" w:sz="0" w:space="0" w:color="auto"/>
              </w:divBdr>
            </w:div>
            <w:div w:id="380833155">
              <w:marLeft w:val="0"/>
              <w:marRight w:val="0"/>
              <w:marTop w:val="0"/>
              <w:marBottom w:val="0"/>
              <w:divBdr>
                <w:top w:val="none" w:sz="0" w:space="0" w:color="auto"/>
                <w:left w:val="none" w:sz="0" w:space="0" w:color="auto"/>
                <w:bottom w:val="none" w:sz="0" w:space="0" w:color="auto"/>
                <w:right w:val="none" w:sz="0" w:space="0" w:color="auto"/>
              </w:divBdr>
            </w:div>
            <w:div w:id="1841040744">
              <w:marLeft w:val="0"/>
              <w:marRight w:val="0"/>
              <w:marTop w:val="0"/>
              <w:marBottom w:val="0"/>
              <w:divBdr>
                <w:top w:val="none" w:sz="0" w:space="0" w:color="auto"/>
                <w:left w:val="none" w:sz="0" w:space="0" w:color="auto"/>
                <w:bottom w:val="none" w:sz="0" w:space="0" w:color="auto"/>
                <w:right w:val="none" w:sz="0" w:space="0" w:color="auto"/>
              </w:divBdr>
            </w:div>
            <w:div w:id="1534272840">
              <w:marLeft w:val="0"/>
              <w:marRight w:val="0"/>
              <w:marTop w:val="0"/>
              <w:marBottom w:val="0"/>
              <w:divBdr>
                <w:top w:val="none" w:sz="0" w:space="0" w:color="auto"/>
                <w:left w:val="none" w:sz="0" w:space="0" w:color="auto"/>
                <w:bottom w:val="none" w:sz="0" w:space="0" w:color="auto"/>
                <w:right w:val="none" w:sz="0" w:space="0" w:color="auto"/>
              </w:divBdr>
            </w:div>
            <w:div w:id="1525288039">
              <w:marLeft w:val="0"/>
              <w:marRight w:val="0"/>
              <w:marTop w:val="0"/>
              <w:marBottom w:val="0"/>
              <w:divBdr>
                <w:top w:val="none" w:sz="0" w:space="0" w:color="auto"/>
                <w:left w:val="none" w:sz="0" w:space="0" w:color="auto"/>
                <w:bottom w:val="none" w:sz="0" w:space="0" w:color="auto"/>
                <w:right w:val="none" w:sz="0" w:space="0" w:color="auto"/>
              </w:divBdr>
            </w:div>
            <w:div w:id="1528256391">
              <w:marLeft w:val="0"/>
              <w:marRight w:val="0"/>
              <w:marTop w:val="0"/>
              <w:marBottom w:val="0"/>
              <w:divBdr>
                <w:top w:val="none" w:sz="0" w:space="0" w:color="auto"/>
                <w:left w:val="none" w:sz="0" w:space="0" w:color="auto"/>
                <w:bottom w:val="none" w:sz="0" w:space="0" w:color="auto"/>
                <w:right w:val="none" w:sz="0" w:space="0" w:color="auto"/>
              </w:divBdr>
            </w:div>
            <w:div w:id="89275178">
              <w:marLeft w:val="0"/>
              <w:marRight w:val="0"/>
              <w:marTop w:val="0"/>
              <w:marBottom w:val="0"/>
              <w:divBdr>
                <w:top w:val="none" w:sz="0" w:space="0" w:color="auto"/>
                <w:left w:val="none" w:sz="0" w:space="0" w:color="auto"/>
                <w:bottom w:val="none" w:sz="0" w:space="0" w:color="auto"/>
                <w:right w:val="none" w:sz="0" w:space="0" w:color="auto"/>
              </w:divBdr>
            </w:div>
            <w:div w:id="1218586545">
              <w:marLeft w:val="0"/>
              <w:marRight w:val="0"/>
              <w:marTop w:val="0"/>
              <w:marBottom w:val="0"/>
              <w:divBdr>
                <w:top w:val="none" w:sz="0" w:space="0" w:color="auto"/>
                <w:left w:val="none" w:sz="0" w:space="0" w:color="auto"/>
                <w:bottom w:val="none" w:sz="0" w:space="0" w:color="auto"/>
                <w:right w:val="none" w:sz="0" w:space="0" w:color="auto"/>
              </w:divBdr>
            </w:div>
            <w:div w:id="880289200">
              <w:marLeft w:val="0"/>
              <w:marRight w:val="0"/>
              <w:marTop w:val="0"/>
              <w:marBottom w:val="0"/>
              <w:divBdr>
                <w:top w:val="none" w:sz="0" w:space="0" w:color="auto"/>
                <w:left w:val="none" w:sz="0" w:space="0" w:color="auto"/>
                <w:bottom w:val="none" w:sz="0" w:space="0" w:color="auto"/>
                <w:right w:val="none" w:sz="0" w:space="0" w:color="auto"/>
              </w:divBdr>
            </w:div>
            <w:div w:id="1433091809">
              <w:marLeft w:val="0"/>
              <w:marRight w:val="0"/>
              <w:marTop w:val="0"/>
              <w:marBottom w:val="0"/>
              <w:divBdr>
                <w:top w:val="none" w:sz="0" w:space="0" w:color="auto"/>
                <w:left w:val="none" w:sz="0" w:space="0" w:color="auto"/>
                <w:bottom w:val="none" w:sz="0" w:space="0" w:color="auto"/>
                <w:right w:val="none" w:sz="0" w:space="0" w:color="auto"/>
              </w:divBdr>
            </w:div>
            <w:div w:id="1204056524">
              <w:marLeft w:val="0"/>
              <w:marRight w:val="0"/>
              <w:marTop w:val="0"/>
              <w:marBottom w:val="0"/>
              <w:divBdr>
                <w:top w:val="none" w:sz="0" w:space="0" w:color="auto"/>
                <w:left w:val="none" w:sz="0" w:space="0" w:color="auto"/>
                <w:bottom w:val="none" w:sz="0" w:space="0" w:color="auto"/>
                <w:right w:val="none" w:sz="0" w:space="0" w:color="auto"/>
              </w:divBdr>
            </w:div>
            <w:div w:id="973413286">
              <w:marLeft w:val="0"/>
              <w:marRight w:val="0"/>
              <w:marTop w:val="0"/>
              <w:marBottom w:val="0"/>
              <w:divBdr>
                <w:top w:val="none" w:sz="0" w:space="0" w:color="auto"/>
                <w:left w:val="none" w:sz="0" w:space="0" w:color="auto"/>
                <w:bottom w:val="none" w:sz="0" w:space="0" w:color="auto"/>
                <w:right w:val="none" w:sz="0" w:space="0" w:color="auto"/>
              </w:divBdr>
            </w:div>
            <w:div w:id="1179390976">
              <w:marLeft w:val="0"/>
              <w:marRight w:val="0"/>
              <w:marTop w:val="0"/>
              <w:marBottom w:val="0"/>
              <w:divBdr>
                <w:top w:val="none" w:sz="0" w:space="0" w:color="auto"/>
                <w:left w:val="none" w:sz="0" w:space="0" w:color="auto"/>
                <w:bottom w:val="none" w:sz="0" w:space="0" w:color="auto"/>
                <w:right w:val="none" w:sz="0" w:space="0" w:color="auto"/>
              </w:divBdr>
            </w:div>
            <w:div w:id="1290285619">
              <w:marLeft w:val="0"/>
              <w:marRight w:val="0"/>
              <w:marTop w:val="0"/>
              <w:marBottom w:val="0"/>
              <w:divBdr>
                <w:top w:val="none" w:sz="0" w:space="0" w:color="auto"/>
                <w:left w:val="none" w:sz="0" w:space="0" w:color="auto"/>
                <w:bottom w:val="none" w:sz="0" w:space="0" w:color="auto"/>
                <w:right w:val="none" w:sz="0" w:space="0" w:color="auto"/>
              </w:divBdr>
            </w:div>
            <w:div w:id="1460804854">
              <w:marLeft w:val="0"/>
              <w:marRight w:val="0"/>
              <w:marTop w:val="0"/>
              <w:marBottom w:val="0"/>
              <w:divBdr>
                <w:top w:val="none" w:sz="0" w:space="0" w:color="auto"/>
                <w:left w:val="none" w:sz="0" w:space="0" w:color="auto"/>
                <w:bottom w:val="none" w:sz="0" w:space="0" w:color="auto"/>
                <w:right w:val="none" w:sz="0" w:space="0" w:color="auto"/>
              </w:divBdr>
            </w:div>
            <w:div w:id="545021520">
              <w:marLeft w:val="0"/>
              <w:marRight w:val="0"/>
              <w:marTop w:val="0"/>
              <w:marBottom w:val="0"/>
              <w:divBdr>
                <w:top w:val="none" w:sz="0" w:space="0" w:color="auto"/>
                <w:left w:val="none" w:sz="0" w:space="0" w:color="auto"/>
                <w:bottom w:val="none" w:sz="0" w:space="0" w:color="auto"/>
                <w:right w:val="none" w:sz="0" w:space="0" w:color="auto"/>
              </w:divBdr>
            </w:div>
            <w:div w:id="1476799258">
              <w:marLeft w:val="0"/>
              <w:marRight w:val="0"/>
              <w:marTop w:val="0"/>
              <w:marBottom w:val="0"/>
              <w:divBdr>
                <w:top w:val="none" w:sz="0" w:space="0" w:color="auto"/>
                <w:left w:val="none" w:sz="0" w:space="0" w:color="auto"/>
                <w:bottom w:val="none" w:sz="0" w:space="0" w:color="auto"/>
                <w:right w:val="none" w:sz="0" w:space="0" w:color="auto"/>
              </w:divBdr>
            </w:div>
            <w:div w:id="668141920">
              <w:marLeft w:val="0"/>
              <w:marRight w:val="0"/>
              <w:marTop w:val="0"/>
              <w:marBottom w:val="0"/>
              <w:divBdr>
                <w:top w:val="none" w:sz="0" w:space="0" w:color="auto"/>
                <w:left w:val="none" w:sz="0" w:space="0" w:color="auto"/>
                <w:bottom w:val="none" w:sz="0" w:space="0" w:color="auto"/>
                <w:right w:val="none" w:sz="0" w:space="0" w:color="auto"/>
              </w:divBdr>
            </w:div>
            <w:div w:id="650445119">
              <w:marLeft w:val="0"/>
              <w:marRight w:val="0"/>
              <w:marTop w:val="0"/>
              <w:marBottom w:val="0"/>
              <w:divBdr>
                <w:top w:val="none" w:sz="0" w:space="0" w:color="auto"/>
                <w:left w:val="none" w:sz="0" w:space="0" w:color="auto"/>
                <w:bottom w:val="none" w:sz="0" w:space="0" w:color="auto"/>
                <w:right w:val="none" w:sz="0" w:space="0" w:color="auto"/>
              </w:divBdr>
            </w:div>
            <w:div w:id="1518539936">
              <w:marLeft w:val="0"/>
              <w:marRight w:val="0"/>
              <w:marTop w:val="0"/>
              <w:marBottom w:val="0"/>
              <w:divBdr>
                <w:top w:val="none" w:sz="0" w:space="0" w:color="auto"/>
                <w:left w:val="none" w:sz="0" w:space="0" w:color="auto"/>
                <w:bottom w:val="none" w:sz="0" w:space="0" w:color="auto"/>
                <w:right w:val="none" w:sz="0" w:space="0" w:color="auto"/>
              </w:divBdr>
            </w:div>
            <w:div w:id="1257715997">
              <w:marLeft w:val="0"/>
              <w:marRight w:val="0"/>
              <w:marTop w:val="0"/>
              <w:marBottom w:val="0"/>
              <w:divBdr>
                <w:top w:val="none" w:sz="0" w:space="0" w:color="auto"/>
                <w:left w:val="none" w:sz="0" w:space="0" w:color="auto"/>
                <w:bottom w:val="none" w:sz="0" w:space="0" w:color="auto"/>
                <w:right w:val="none" w:sz="0" w:space="0" w:color="auto"/>
              </w:divBdr>
            </w:div>
            <w:div w:id="358746450">
              <w:marLeft w:val="0"/>
              <w:marRight w:val="0"/>
              <w:marTop w:val="0"/>
              <w:marBottom w:val="0"/>
              <w:divBdr>
                <w:top w:val="none" w:sz="0" w:space="0" w:color="auto"/>
                <w:left w:val="none" w:sz="0" w:space="0" w:color="auto"/>
                <w:bottom w:val="none" w:sz="0" w:space="0" w:color="auto"/>
                <w:right w:val="none" w:sz="0" w:space="0" w:color="auto"/>
              </w:divBdr>
            </w:div>
            <w:div w:id="232857939">
              <w:marLeft w:val="0"/>
              <w:marRight w:val="0"/>
              <w:marTop w:val="0"/>
              <w:marBottom w:val="0"/>
              <w:divBdr>
                <w:top w:val="none" w:sz="0" w:space="0" w:color="auto"/>
                <w:left w:val="none" w:sz="0" w:space="0" w:color="auto"/>
                <w:bottom w:val="none" w:sz="0" w:space="0" w:color="auto"/>
                <w:right w:val="none" w:sz="0" w:space="0" w:color="auto"/>
              </w:divBdr>
            </w:div>
            <w:div w:id="181670815">
              <w:marLeft w:val="0"/>
              <w:marRight w:val="0"/>
              <w:marTop w:val="0"/>
              <w:marBottom w:val="0"/>
              <w:divBdr>
                <w:top w:val="none" w:sz="0" w:space="0" w:color="auto"/>
                <w:left w:val="none" w:sz="0" w:space="0" w:color="auto"/>
                <w:bottom w:val="none" w:sz="0" w:space="0" w:color="auto"/>
                <w:right w:val="none" w:sz="0" w:space="0" w:color="auto"/>
              </w:divBdr>
            </w:div>
            <w:div w:id="1088427256">
              <w:marLeft w:val="0"/>
              <w:marRight w:val="0"/>
              <w:marTop w:val="0"/>
              <w:marBottom w:val="0"/>
              <w:divBdr>
                <w:top w:val="none" w:sz="0" w:space="0" w:color="auto"/>
                <w:left w:val="none" w:sz="0" w:space="0" w:color="auto"/>
                <w:bottom w:val="none" w:sz="0" w:space="0" w:color="auto"/>
                <w:right w:val="none" w:sz="0" w:space="0" w:color="auto"/>
              </w:divBdr>
            </w:div>
            <w:div w:id="1897815829">
              <w:marLeft w:val="0"/>
              <w:marRight w:val="0"/>
              <w:marTop w:val="0"/>
              <w:marBottom w:val="0"/>
              <w:divBdr>
                <w:top w:val="none" w:sz="0" w:space="0" w:color="auto"/>
                <w:left w:val="none" w:sz="0" w:space="0" w:color="auto"/>
                <w:bottom w:val="none" w:sz="0" w:space="0" w:color="auto"/>
                <w:right w:val="none" w:sz="0" w:space="0" w:color="auto"/>
              </w:divBdr>
            </w:div>
            <w:div w:id="1575972502">
              <w:marLeft w:val="0"/>
              <w:marRight w:val="0"/>
              <w:marTop w:val="0"/>
              <w:marBottom w:val="0"/>
              <w:divBdr>
                <w:top w:val="none" w:sz="0" w:space="0" w:color="auto"/>
                <w:left w:val="none" w:sz="0" w:space="0" w:color="auto"/>
                <w:bottom w:val="none" w:sz="0" w:space="0" w:color="auto"/>
                <w:right w:val="none" w:sz="0" w:space="0" w:color="auto"/>
              </w:divBdr>
            </w:div>
            <w:div w:id="259220725">
              <w:marLeft w:val="0"/>
              <w:marRight w:val="0"/>
              <w:marTop w:val="0"/>
              <w:marBottom w:val="0"/>
              <w:divBdr>
                <w:top w:val="none" w:sz="0" w:space="0" w:color="auto"/>
                <w:left w:val="none" w:sz="0" w:space="0" w:color="auto"/>
                <w:bottom w:val="none" w:sz="0" w:space="0" w:color="auto"/>
                <w:right w:val="none" w:sz="0" w:space="0" w:color="auto"/>
              </w:divBdr>
            </w:div>
            <w:div w:id="1054934822">
              <w:marLeft w:val="0"/>
              <w:marRight w:val="0"/>
              <w:marTop w:val="0"/>
              <w:marBottom w:val="0"/>
              <w:divBdr>
                <w:top w:val="none" w:sz="0" w:space="0" w:color="auto"/>
                <w:left w:val="none" w:sz="0" w:space="0" w:color="auto"/>
                <w:bottom w:val="none" w:sz="0" w:space="0" w:color="auto"/>
                <w:right w:val="none" w:sz="0" w:space="0" w:color="auto"/>
              </w:divBdr>
            </w:div>
            <w:div w:id="960309521">
              <w:marLeft w:val="0"/>
              <w:marRight w:val="0"/>
              <w:marTop w:val="0"/>
              <w:marBottom w:val="0"/>
              <w:divBdr>
                <w:top w:val="none" w:sz="0" w:space="0" w:color="auto"/>
                <w:left w:val="none" w:sz="0" w:space="0" w:color="auto"/>
                <w:bottom w:val="none" w:sz="0" w:space="0" w:color="auto"/>
                <w:right w:val="none" w:sz="0" w:space="0" w:color="auto"/>
              </w:divBdr>
            </w:div>
            <w:div w:id="19211965">
              <w:marLeft w:val="0"/>
              <w:marRight w:val="0"/>
              <w:marTop w:val="0"/>
              <w:marBottom w:val="0"/>
              <w:divBdr>
                <w:top w:val="none" w:sz="0" w:space="0" w:color="auto"/>
                <w:left w:val="none" w:sz="0" w:space="0" w:color="auto"/>
                <w:bottom w:val="none" w:sz="0" w:space="0" w:color="auto"/>
                <w:right w:val="none" w:sz="0" w:space="0" w:color="auto"/>
              </w:divBdr>
            </w:div>
            <w:div w:id="712730579">
              <w:marLeft w:val="0"/>
              <w:marRight w:val="0"/>
              <w:marTop w:val="0"/>
              <w:marBottom w:val="0"/>
              <w:divBdr>
                <w:top w:val="none" w:sz="0" w:space="0" w:color="auto"/>
                <w:left w:val="none" w:sz="0" w:space="0" w:color="auto"/>
                <w:bottom w:val="none" w:sz="0" w:space="0" w:color="auto"/>
                <w:right w:val="none" w:sz="0" w:space="0" w:color="auto"/>
              </w:divBdr>
            </w:div>
            <w:div w:id="863061512">
              <w:marLeft w:val="0"/>
              <w:marRight w:val="0"/>
              <w:marTop w:val="0"/>
              <w:marBottom w:val="0"/>
              <w:divBdr>
                <w:top w:val="none" w:sz="0" w:space="0" w:color="auto"/>
                <w:left w:val="none" w:sz="0" w:space="0" w:color="auto"/>
                <w:bottom w:val="none" w:sz="0" w:space="0" w:color="auto"/>
                <w:right w:val="none" w:sz="0" w:space="0" w:color="auto"/>
              </w:divBdr>
            </w:div>
            <w:div w:id="1320234336">
              <w:marLeft w:val="0"/>
              <w:marRight w:val="0"/>
              <w:marTop w:val="0"/>
              <w:marBottom w:val="0"/>
              <w:divBdr>
                <w:top w:val="none" w:sz="0" w:space="0" w:color="auto"/>
                <w:left w:val="none" w:sz="0" w:space="0" w:color="auto"/>
                <w:bottom w:val="none" w:sz="0" w:space="0" w:color="auto"/>
                <w:right w:val="none" w:sz="0" w:space="0" w:color="auto"/>
              </w:divBdr>
            </w:div>
            <w:div w:id="1657029094">
              <w:marLeft w:val="0"/>
              <w:marRight w:val="0"/>
              <w:marTop w:val="0"/>
              <w:marBottom w:val="0"/>
              <w:divBdr>
                <w:top w:val="none" w:sz="0" w:space="0" w:color="auto"/>
                <w:left w:val="none" w:sz="0" w:space="0" w:color="auto"/>
                <w:bottom w:val="none" w:sz="0" w:space="0" w:color="auto"/>
                <w:right w:val="none" w:sz="0" w:space="0" w:color="auto"/>
              </w:divBdr>
            </w:div>
            <w:div w:id="681205551">
              <w:marLeft w:val="0"/>
              <w:marRight w:val="0"/>
              <w:marTop w:val="0"/>
              <w:marBottom w:val="0"/>
              <w:divBdr>
                <w:top w:val="none" w:sz="0" w:space="0" w:color="auto"/>
                <w:left w:val="none" w:sz="0" w:space="0" w:color="auto"/>
                <w:bottom w:val="none" w:sz="0" w:space="0" w:color="auto"/>
                <w:right w:val="none" w:sz="0" w:space="0" w:color="auto"/>
              </w:divBdr>
            </w:div>
            <w:div w:id="699205306">
              <w:marLeft w:val="0"/>
              <w:marRight w:val="0"/>
              <w:marTop w:val="0"/>
              <w:marBottom w:val="0"/>
              <w:divBdr>
                <w:top w:val="none" w:sz="0" w:space="0" w:color="auto"/>
                <w:left w:val="none" w:sz="0" w:space="0" w:color="auto"/>
                <w:bottom w:val="none" w:sz="0" w:space="0" w:color="auto"/>
                <w:right w:val="none" w:sz="0" w:space="0" w:color="auto"/>
              </w:divBdr>
            </w:div>
            <w:div w:id="253899767">
              <w:marLeft w:val="0"/>
              <w:marRight w:val="0"/>
              <w:marTop w:val="0"/>
              <w:marBottom w:val="0"/>
              <w:divBdr>
                <w:top w:val="none" w:sz="0" w:space="0" w:color="auto"/>
                <w:left w:val="none" w:sz="0" w:space="0" w:color="auto"/>
                <w:bottom w:val="none" w:sz="0" w:space="0" w:color="auto"/>
                <w:right w:val="none" w:sz="0" w:space="0" w:color="auto"/>
              </w:divBdr>
            </w:div>
            <w:div w:id="712458375">
              <w:marLeft w:val="0"/>
              <w:marRight w:val="0"/>
              <w:marTop w:val="0"/>
              <w:marBottom w:val="0"/>
              <w:divBdr>
                <w:top w:val="none" w:sz="0" w:space="0" w:color="auto"/>
                <w:left w:val="none" w:sz="0" w:space="0" w:color="auto"/>
                <w:bottom w:val="none" w:sz="0" w:space="0" w:color="auto"/>
                <w:right w:val="none" w:sz="0" w:space="0" w:color="auto"/>
              </w:divBdr>
            </w:div>
            <w:div w:id="533811305">
              <w:marLeft w:val="0"/>
              <w:marRight w:val="0"/>
              <w:marTop w:val="0"/>
              <w:marBottom w:val="0"/>
              <w:divBdr>
                <w:top w:val="none" w:sz="0" w:space="0" w:color="auto"/>
                <w:left w:val="none" w:sz="0" w:space="0" w:color="auto"/>
                <w:bottom w:val="none" w:sz="0" w:space="0" w:color="auto"/>
                <w:right w:val="none" w:sz="0" w:space="0" w:color="auto"/>
              </w:divBdr>
            </w:div>
            <w:div w:id="1506899892">
              <w:marLeft w:val="0"/>
              <w:marRight w:val="0"/>
              <w:marTop w:val="0"/>
              <w:marBottom w:val="0"/>
              <w:divBdr>
                <w:top w:val="none" w:sz="0" w:space="0" w:color="auto"/>
                <w:left w:val="none" w:sz="0" w:space="0" w:color="auto"/>
                <w:bottom w:val="none" w:sz="0" w:space="0" w:color="auto"/>
                <w:right w:val="none" w:sz="0" w:space="0" w:color="auto"/>
              </w:divBdr>
            </w:div>
            <w:div w:id="1319652219">
              <w:marLeft w:val="0"/>
              <w:marRight w:val="0"/>
              <w:marTop w:val="0"/>
              <w:marBottom w:val="0"/>
              <w:divBdr>
                <w:top w:val="none" w:sz="0" w:space="0" w:color="auto"/>
                <w:left w:val="none" w:sz="0" w:space="0" w:color="auto"/>
                <w:bottom w:val="none" w:sz="0" w:space="0" w:color="auto"/>
                <w:right w:val="none" w:sz="0" w:space="0" w:color="auto"/>
              </w:divBdr>
            </w:div>
            <w:div w:id="1539270098">
              <w:marLeft w:val="0"/>
              <w:marRight w:val="0"/>
              <w:marTop w:val="0"/>
              <w:marBottom w:val="0"/>
              <w:divBdr>
                <w:top w:val="none" w:sz="0" w:space="0" w:color="auto"/>
                <w:left w:val="none" w:sz="0" w:space="0" w:color="auto"/>
                <w:bottom w:val="none" w:sz="0" w:space="0" w:color="auto"/>
                <w:right w:val="none" w:sz="0" w:space="0" w:color="auto"/>
              </w:divBdr>
            </w:div>
            <w:div w:id="1173372527">
              <w:marLeft w:val="0"/>
              <w:marRight w:val="0"/>
              <w:marTop w:val="0"/>
              <w:marBottom w:val="0"/>
              <w:divBdr>
                <w:top w:val="none" w:sz="0" w:space="0" w:color="auto"/>
                <w:left w:val="none" w:sz="0" w:space="0" w:color="auto"/>
                <w:bottom w:val="none" w:sz="0" w:space="0" w:color="auto"/>
                <w:right w:val="none" w:sz="0" w:space="0" w:color="auto"/>
              </w:divBdr>
            </w:div>
            <w:div w:id="1344160582">
              <w:marLeft w:val="0"/>
              <w:marRight w:val="0"/>
              <w:marTop w:val="0"/>
              <w:marBottom w:val="0"/>
              <w:divBdr>
                <w:top w:val="none" w:sz="0" w:space="0" w:color="auto"/>
                <w:left w:val="none" w:sz="0" w:space="0" w:color="auto"/>
                <w:bottom w:val="none" w:sz="0" w:space="0" w:color="auto"/>
                <w:right w:val="none" w:sz="0" w:space="0" w:color="auto"/>
              </w:divBdr>
            </w:div>
            <w:div w:id="1807114976">
              <w:marLeft w:val="0"/>
              <w:marRight w:val="0"/>
              <w:marTop w:val="0"/>
              <w:marBottom w:val="0"/>
              <w:divBdr>
                <w:top w:val="none" w:sz="0" w:space="0" w:color="auto"/>
                <w:left w:val="none" w:sz="0" w:space="0" w:color="auto"/>
                <w:bottom w:val="none" w:sz="0" w:space="0" w:color="auto"/>
                <w:right w:val="none" w:sz="0" w:space="0" w:color="auto"/>
              </w:divBdr>
            </w:div>
            <w:div w:id="1189173437">
              <w:marLeft w:val="0"/>
              <w:marRight w:val="0"/>
              <w:marTop w:val="0"/>
              <w:marBottom w:val="0"/>
              <w:divBdr>
                <w:top w:val="none" w:sz="0" w:space="0" w:color="auto"/>
                <w:left w:val="none" w:sz="0" w:space="0" w:color="auto"/>
                <w:bottom w:val="none" w:sz="0" w:space="0" w:color="auto"/>
                <w:right w:val="none" w:sz="0" w:space="0" w:color="auto"/>
              </w:divBdr>
            </w:div>
            <w:div w:id="1912233108">
              <w:marLeft w:val="0"/>
              <w:marRight w:val="0"/>
              <w:marTop w:val="0"/>
              <w:marBottom w:val="0"/>
              <w:divBdr>
                <w:top w:val="none" w:sz="0" w:space="0" w:color="auto"/>
                <w:left w:val="none" w:sz="0" w:space="0" w:color="auto"/>
                <w:bottom w:val="none" w:sz="0" w:space="0" w:color="auto"/>
                <w:right w:val="none" w:sz="0" w:space="0" w:color="auto"/>
              </w:divBdr>
            </w:div>
            <w:div w:id="861237853">
              <w:marLeft w:val="0"/>
              <w:marRight w:val="0"/>
              <w:marTop w:val="0"/>
              <w:marBottom w:val="0"/>
              <w:divBdr>
                <w:top w:val="none" w:sz="0" w:space="0" w:color="auto"/>
                <w:left w:val="none" w:sz="0" w:space="0" w:color="auto"/>
                <w:bottom w:val="none" w:sz="0" w:space="0" w:color="auto"/>
                <w:right w:val="none" w:sz="0" w:space="0" w:color="auto"/>
              </w:divBdr>
            </w:div>
            <w:div w:id="2035230807">
              <w:marLeft w:val="0"/>
              <w:marRight w:val="0"/>
              <w:marTop w:val="0"/>
              <w:marBottom w:val="0"/>
              <w:divBdr>
                <w:top w:val="none" w:sz="0" w:space="0" w:color="auto"/>
                <w:left w:val="none" w:sz="0" w:space="0" w:color="auto"/>
                <w:bottom w:val="none" w:sz="0" w:space="0" w:color="auto"/>
                <w:right w:val="none" w:sz="0" w:space="0" w:color="auto"/>
              </w:divBdr>
            </w:div>
            <w:div w:id="522402519">
              <w:marLeft w:val="0"/>
              <w:marRight w:val="0"/>
              <w:marTop w:val="0"/>
              <w:marBottom w:val="0"/>
              <w:divBdr>
                <w:top w:val="none" w:sz="0" w:space="0" w:color="auto"/>
                <w:left w:val="none" w:sz="0" w:space="0" w:color="auto"/>
                <w:bottom w:val="none" w:sz="0" w:space="0" w:color="auto"/>
                <w:right w:val="none" w:sz="0" w:space="0" w:color="auto"/>
              </w:divBdr>
            </w:div>
            <w:div w:id="1812601200">
              <w:marLeft w:val="0"/>
              <w:marRight w:val="0"/>
              <w:marTop w:val="0"/>
              <w:marBottom w:val="0"/>
              <w:divBdr>
                <w:top w:val="none" w:sz="0" w:space="0" w:color="auto"/>
                <w:left w:val="none" w:sz="0" w:space="0" w:color="auto"/>
                <w:bottom w:val="none" w:sz="0" w:space="0" w:color="auto"/>
                <w:right w:val="none" w:sz="0" w:space="0" w:color="auto"/>
              </w:divBdr>
            </w:div>
            <w:div w:id="1643198455">
              <w:marLeft w:val="0"/>
              <w:marRight w:val="0"/>
              <w:marTop w:val="0"/>
              <w:marBottom w:val="0"/>
              <w:divBdr>
                <w:top w:val="none" w:sz="0" w:space="0" w:color="auto"/>
                <w:left w:val="none" w:sz="0" w:space="0" w:color="auto"/>
                <w:bottom w:val="none" w:sz="0" w:space="0" w:color="auto"/>
                <w:right w:val="none" w:sz="0" w:space="0" w:color="auto"/>
              </w:divBdr>
            </w:div>
            <w:div w:id="455564972">
              <w:marLeft w:val="0"/>
              <w:marRight w:val="0"/>
              <w:marTop w:val="0"/>
              <w:marBottom w:val="0"/>
              <w:divBdr>
                <w:top w:val="none" w:sz="0" w:space="0" w:color="auto"/>
                <w:left w:val="none" w:sz="0" w:space="0" w:color="auto"/>
                <w:bottom w:val="none" w:sz="0" w:space="0" w:color="auto"/>
                <w:right w:val="none" w:sz="0" w:space="0" w:color="auto"/>
              </w:divBdr>
            </w:div>
            <w:div w:id="2118332087">
              <w:marLeft w:val="0"/>
              <w:marRight w:val="0"/>
              <w:marTop w:val="0"/>
              <w:marBottom w:val="0"/>
              <w:divBdr>
                <w:top w:val="none" w:sz="0" w:space="0" w:color="auto"/>
                <w:left w:val="none" w:sz="0" w:space="0" w:color="auto"/>
                <w:bottom w:val="none" w:sz="0" w:space="0" w:color="auto"/>
                <w:right w:val="none" w:sz="0" w:space="0" w:color="auto"/>
              </w:divBdr>
            </w:div>
            <w:div w:id="1094588256">
              <w:marLeft w:val="0"/>
              <w:marRight w:val="0"/>
              <w:marTop w:val="0"/>
              <w:marBottom w:val="0"/>
              <w:divBdr>
                <w:top w:val="none" w:sz="0" w:space="0" w:color="auto"/>
                <w:left w:val="none" w:sz="0" w:space="0" w:color="auto"/>
                <w:bottom w:val="none" w:sz="0" w:space="0" w:color="auto"/>
                <w:right w:val="none" w:sz="0" w:space="0" w:color="auto"/>
              </w:divBdr>
            </w:div>
            <w:div w:id="1158226040">
              <w:marLeft w:val="0"/>
              <w:marRight w:val="0"/>
              <w:marTop w:val="0"/>
              <w:marBottom w:val="0"/>
              <w:divBdr>
                <w:top w:val="none" w:sz="0" w:space="0" w:color="auto"/>
                <w:left w:val="none" w:sz="0" w:space="0" w:color="auto"/>
                <w:bottom w:val="none" w:sz="0" w:space="0" w:color="auto"/>
                <w:right w:val="none" w:sz="0" w:space="0" w:color="auto"/>
              </w:divBdr>
            </w:div>
            <w:div w:id="536818915">
              <w:marLeft w:val="0"/>
              <w:marRight w:val="0"/>
              <w:marTop w:val="0"/>
              <w:marBottom w:val="0"/>
              <w:divBdr>
                <w:top w:val="none" w:sz="0" w:space="0" w:color="auto"/>
                <w:left w:val="none" w:sz="0" w:space="0" w:color="auto"/>
                <w:bottom w:val="none" w:sz="0" w:space="0" w:color="auto"/>
                <w:right w:val="none" w:sz="0" w:space="0" w:color="auto"/>
              </w:divBdr>
            </w:div>
            <w:div w:id="1875002253">
              <w:marLeft w:val="0"/>
              <w:marRight w:val="0"/>
              <w:marTop w:val="0"/>
              <w:marBottom w:val="0"/>
              <w:divBdr>
                <w:top w:val="none" w:sz="0" w:space="0" w:color="auto"/>
                <w:left w:val="none" w:sz="0" w:space="0" w:color="auto"/>
                <w:bottom w:val="none" w:sz="0" w:space="0" w:color="auto"/>
                <w:right w:val="none" w:sz="0" w:space="0" w:color="auto"/>
              </w:divBdr>
            </w:div>
            <w:div w:id="601183495">
              <w:marLeft w:val="0"/>
              <w:marRight w:val="0"/>
              <w:marTop w:val="0"/>
              <w:marBottom w:val="0"/>
              <w:divBdr>
                <w:top w:val="none" w:sz="0" w:space="0" w:color="auto"/>
                <w:left w:val="none" w:sz="0" w:space="0" w:color="auto"/>
                <w:bottom w:val="none" w:sz="0" w:space="0" w:color="auto"/>
                <w:right w:val="none" w:sz="0" w:space="0" w:color="auto"/>
              </w:divBdr>
            </w:div>
            <w:div w:id="502596329">
              <w:marLeft w:val="0"/>
              <w:marRight w:val="0"/>
              <w:marTop w:val="0"/>
              <w:marBottom w:val="0"/>
              <w:divBdr>
                <w:top w:val="none" w:sz="0" w:space="0" w:color="auto"/>
                <w:left w:val="none" w:sz="0" w:space="0" w:color="auto"/>
                <w:bottom w:val="none" w:sz="0" w:space="0" w:color="auto"/>
                <w:right w:val="none" w:sz="0" w:space="0" w:color="auto"/>
              </w:divBdr>
            </w:div>
            <w:div w:id="812063465">
              <w:marLeft w:val="0"/>
              <w:marRight w:val="0"/>
              <w:marTop w:val="0"/>
              <w:marBottom w:val="0"/>
              <w:divBdr>
                <w:top w:val="none" w:sz="0" w:space="0" w:color="auto"/>
                <w:left w:val="none" w:sz="0" w:space="0" w:color="auto"/>
                <w:bottom w:val="none" w:sz="0" w:space="0" w:color="auto"/>
                <w:right w:val="none" w:sz="0" w:space="0" w:color="auto"/>
              </w:divBdr>
            </w:div>
            <w:div w:id="1638099175">
              <w:marLeft w:val="0"/>
              <w:marRight w:val="0"/>
              <w:marTop w:val="0"/>
              <w:marBottom w:val="0"/>
              <w:divBdr>
                <w:top w:val="none" w:sz="0" w:space="0" w:color="auto"/>
                <w:left w:val="none" w:sz="0" w:space="0" w:color="auto"/>
                <w:bottom w:val="none" w:sz="0" w:space="0" w:color="auto"/>
                <w:right w:val="none" w:sz="0" w:space="0" w:color="auto"/>
              </w:divBdr>
            </w:div>
            <w:div w:id="67775048">
              <w:marLeft w:val="0"/>
              <w:marRight w:val="0"/>
              <w:marTop w:val="0"/>
              <w:marBottom w:val="0"/>
              <w:divBdr>
                <w:top w:val="none" w:sz="0" w:space="0" w:color="auto"/>
                <w:left w:val="none" w:sz="0" w:space="0" w:color="auto"/>
                <w:bottom w:val="none" w:sz="0" w:space="0" w:color="auto"/>
                <w:right w:val="none" w:sz="0" w:space="0" w:color="auto"/>
              </w:divBdr>
            </w:div>
            <w:div w:id="570195888">
              <w:marLeft w:val="0"/>
              <w:marRight w:val="0"/>
              <w:marTop w:val="0"/>
              <w:marBottom w:val="0"/>
              <w:divBdr>
                <w:top w:val="none" w:sz="0" w:space="0" w:color="auto"/>
                <w:left w:val="none" w:sz="0" w:space="0" w:color="auto"/>
                <w:bottom w:val="none" w:sz="0" w:space="0" w:color="auto"/>
                <w:right w:val="none" w:sz="0" w:space="0" w:color="auto"/>
              </w:divBdr>
            </w:div>
            <w:div w:id="837622761">
              <w:marLeft w:val="0"/>
              <w:marRight w:val="0"/>
              <w:marTop w:val="0"/>
              <w:marBottom w:val="0"/>
              <w:divBdr>
                <w:top w:val="none" w:sz="0" w:space="0" w:color="auto"/>
                <w:left w:val="none" w:sz="0" w:space="0" w:color="auto"/>
                <w:bottom w:val="none" w:sz="0" w:space="0" w:color="auto"/>
                <w:right w:val="none" w:sz="0" w:space="0" w:color="auto"/>
              </w:divBdr>
            </w:div>
            <w:div w:id="1169637505">
              <w:marLeft w:val="0"/>
              <w:marRight w:val="0"/>
              <w:marTop w:val="0"/>
              <w:marBottom w:val="0"/>
              <w:divBdr>
                <w:top w:val="none" w:sz="0" w:space="0" w:color="auto"/>
                <w:left w:val="none" w:sz="0" w:space="0" w:color="auto"/>
                <w:bottom w:val="none" w:sz="0" w:space="0" w:color="auto"/>
                <w:right w:val="none" w:sz="0" w:space="0" w:color="auto"/>
              </w:divBdr>
            </w:div>
            <w:div w:id="888490554">
              <w:marLeft w:val="0"/>
              <w:marRight w:val="0"/>
              <w:marTop w:val="0"/>
              <w:marBottom w:val="0"/>
              <w:divBdr>
                <w:top w:val="none" w:sz="0" w:space="0" w:color="auto"/>
                <w:left w:val="none" w:sz="0" w:space="0" w:color="auto"/>
                <w:bottom w:val="none" w:sz="0" w:space="0" w:color="auto"/>
                <w:right w:val="none" w:sz="0" w:space="0" w:color="auto"/>
              </w:divBdr>
            </w:div>
            <w:div w:id="979921400">
              <w:marLeft w:val="0"/>
              <w:marRight w:val="0"/>
              <w:marTop w:val="0"/>
              <w:marBottom w:val="0"/>
              <w:divBdr>
                <w:top w:val="none" w:sz="0" w:space="0" w:color="auto"/>
                <w:left w:val="none" w:sz="0" w:space="0" w:color="auto"/>
                <w:bottom w:val="none" w:sz="0" w:space="0" w:color="auto"/>
                <w:right w:val="none" w:sz="0" w:space="0" w:color="auto"/>
              </w:divBdr>
            </w:div>
            <w:div w:id="1923486889">
              <w:marLeft w:val="0"/>
              <w:marRight w:val="0"/>
              <w:marTop w:val="0"/>
              <w:marBottom w:val="0"/>
              <w:divBdr>
                <w:top w:val="none" w:sz="0" w:space="0" w:color="auto"/>
                <w:left w:val="none" w:sz="0" w:space="0" w:color="auto"/>
                <w:bottom w:val="none" w:sz="0" w:space="0" w:color="auto"/>
                <w:right w:val="none" w:sz="0" w:space="0" w:color="auto"/>
              </w:divBdr>
            </w:div>
            <w:div w:id="439491224">
              <w:marLeft w:val="0"/>
              <w:marRight w:val="0"/>
              <w:marTop w:val="0"/>
              <w:marBottom w:val="0"/>
              <w:divBdr>
                <w:top w:val="none" w:sz="0" w:space="0" w:color="auto"/>
                <w:left w:val="none" w:sz="0" w:space="0" w:color="auto"/>
                <w:bottom w:val="none" w:sz="0" w:space="0" w:color="auto"/>
                <w:right w:val="none" w:sz="0" w:space="0" w:color="auto"/>
              </w:divBdr>
            </w:div>
            <w:div w:id="1349332332">
              <w:marLeft w:val="0"/>
              <w:marRight w:val="0"/>
              <w:marTop w:val="0"/>
              <w:marBottom w:val="0"/>
              <w:divBdr>
                <w:top w:val="none" w:sz="0" w:space="0" w:color="auto"/>
                <w:left w:val="none" w:sz="0" w:space="0" w:color="auto"/>
                <w:bottom w:val="none" w:sz="0" w:space="0" w:color="auto"/>
                <w:right w:val="none" w:sz="0" w:space="0" w:color="auto"/>
              </w:divBdr>
            </w:div>
            <w:div w:id="416832432">
              <w:marLeft w:val="0"/>
              <w:marRight w:val="0"/>
              <w:marTop w:val="0"/>
              <w:marBottom w:val="0"/>
              <w:divBdr>
                <w:top w:val="none" w:sz="0" w:space="0" w:color="auto"/>
                <w:left w:val="none" w:sz="0" w:space="0" w:color="auto"/>
                <w:bottom w:val="none" w:sz="0" w:space="0" w:color="auto"/>
                <w:right w:val="none" w:sz="0" w:space="0" w:color="auto"/>
              </w:divBdr>
            </w:div>
            <w:div w:id="39600988">
              <w:marLeft w:val="0"/>
              <w:marRight w:val="0"/>
              <w:marTop w:val="0"/>
              <w:marBottom w:val="0"/>
              <w:divBdr>
                <w:top w:val="none" w:sz="0" w:space="0" w:color="auto"/>
                <w:left w:val="none" w:sz="0" w:space="0" w:color="auto"/>
                <w:bottom w:val="none" w:sz="0" w:space="0" w:color="auto"/>
                <w:right w:val="none" w:sz="0" w:space="0" w:color="auto"/>
              </w:divBdr>
            </w:div>
            <w:div w:id="1044210560">
              <w:marLeft w:val="0"/>
              <w:marRight w:val="0"/>
              <w:marTop w:val="0"/>
              <w:marBottom w:val="0"/>
              <w:divBdr>
                <w:top w:val="none" w:sz="0" w:space="0" w:color="auto"/>
                <w:left w:val="none" w:sz="0" w:space="0" w:color="auto"/>
                <w:bottom w:val="none" w:sz="0" w:space="0" w:color="auto"/>
                <w:right w:val="none" w:sz="0" w:space="0" w:color="auto"/>
              </w:divBdr>
            </w:div>
            <w:div w:id="1298756443">
              <w:marLeft w:val="0"/>
              <w:marRight w:val="0"/>
              <w:marTop w:val="0"/>
              <w:marBottom w:val="0"/>
              <w:divBdr>
                <w:top w:val="none" w:sz="0" w:space="0" w:color="auto"/>
                <w:left w:val="none" w:sz="0" w:space="0" w:color="auto"/>
                <w:bottom w:val="none" w:sz="0" w:space="0" w:color="auto"/>
                <w:right w:val="none" w:sz="0" w:space="0" w:color="auto"/>
              </w:divBdr>
            </w:div>
            <w:div w:id="40322667">
              <w:marLeft w:val="0"/>
              <w:marRight w:val="0"/>
              <w:marTop w:val="0"/>
              <w:marBottom w:val="0"/>
              <w:divBdr>
                <w:top w:val="none" w:sz="0" w:space="0" w:color="auto"/>
                <w:left w:val="none" w:sz="0" w:space="0" w:color="auto"/>
                <w:bottom w:val="none" w:sz="0" w:space="0" w:color="auto"/>
                <w:right w:val="none" w:sz="0" w:space="0" w:color="auto"/>
              </w:divBdr>
            </w:div>
            <w:div w:id="471556493">
              <w:marLeft w:val="0"/>
              <w:marRight w:val="0"/>
              <w:marTop w:val="0"/>
              <w:marBottom w:val="0"/>
              <w:divBdr>
                <w:top w:val="none" w:sz="0" w:space="0" w:color="auto"/>
                <w:left w:val="none" w:sz="0" w:space="0" w:color="auto"/>
                <w:bottom w:val="none" w:sz="0" w:space="0" w:color="auto"/>
                <w:right w:val="none" w:sz="0" w:space="0" w:color="auto"/>
              </w:divBdr>
            </w:div>
            <w:div w:id="206987392">
              <w:marLeft w:val="0"/>
              <w:marRight w:val="0"/>
              <w:marTop w:val="0"/>
              <w:marBottom w:val="0"/>
              <w:divBdr>
                <w:top w:val="none" w:sz="0" w:space="0" w:color="auto"/>
                <w:left w:val="none" w:sz="0" w:space="0" w:color="auto"/>
                <w:bottom w:val="none" w:sz="0" w:space="0" w:color="auto"/>
                <w:right w:val="none" w:sz="0" w:space="0" w:color="auto"/>
              </w:divBdr>
            </w:div>
            <w:div w:id="1003702206">
              <w:marLeft w:val="0"/>
              <w:marRight w:val="0"/>
              <w:marTop w:val="0"/>
              <w:marBottom w:val="0"/>
              <w:divBdr>
                <w:top w:val="none" w:sz="0" w:space="0" w:color="auto"/>
                <w:left w:val="none" w:sz="0" w:space="0" w:color="auto"/>
                <w:bottom w:val="none" w:sz="0" w:space="0" w:color="auto"/>
                <w:right w:val="none" w:sz="0" w:space="0" w:color="auto"/>
              </w:divBdr>
            </w:div>
            <w:div w:id="1440762994">
              <w:marLeft w:val="0"/>
              <w:marRight w:val="0"/>
              <w:marTop w:val="0"/>
              <w:marBottom w:val="0"/>
              <w:divBdr>
                <w:top w:val="none" w:sz="0" w:space="0" w:color="auto"/>
                <w:left w:val="none" w:sz="0" w:space="0" w:color="auto"/>
                <w:bottom w:val="none" w:sz="0" w:space="0" w:color="auto"/>
                <w:right w:val="none" w:sz="0" w:space="0" w:color="auto"/>
              </w:divBdr>
            </w:div>
            <w:div w:id="1280605685">
              <w:marLeft w:val="0"/>
              <w:marRight w:val="0"/>
              <w:marTop w:val="0"/>
              <w:marBottom w:val="0"/>
              <w:divBdr>
                <w:top w:val="none" w:sz="0" w:space="0" w:color="auto"/>
                <w:left w:val="none" w:sz="0" w:space="0" w:color="auto"/>
                <w:bottom w:val="none" w:sz="0" w:space="0" w:color="auto"/>
                <w:right w:val="none" w:sz="0" w:space="0" w:color="auto"/>
              </w:divBdr>
            </w:div>
            <w:div w:id="1052266106">
              <w:marLeft w:val="0"/>
              <w:marRight w:val="0"/>
              <w:marTop w:val="0"/>
              <w:marBottom w:val="0"/>
              <w:divBdr>
                <w:top w:val="none" w:sz="0" w:space="0" w:color="auto"/>
                <w:left w:val="none" w:sz="0" w:space="0" w:color="auto"/>
                <w:bottom w:val="none" w:sz="0" w:space="0" w:color="auto"/>
                <w:right w:val="none" w:sz="0" w:space="0" w:color="auto"/>
              </w:divBdr>
            </w:div>
            <w:div w:id="1241522721">
              <w:marLeft w:val="0"/>
              <w:marRight w:val="0"/>
              <w:marTop w:val="0"/>
              <w:marBottom w:val="0"/>
              <w:divBdr>
                <w:top w:val="none" w:sz="0" w:space="0" w:color="auto"/>
                <w:left w:val="none" w:sz="0" w:space="0" w:color="auto"/>
                <w:bottom w:val="none" w:sz="0" w:space="0" w:color="auto"/>
                <w:right w:val="none" w:sz="0" w:space="0" w:color="auto"/>
              </w:divBdr>
            </w:div>
            <w:div w:id="1411779813">
              <w:marLeft w:val="0"/>
              <w:marRight w:val="0"/>
              <w:marTop w:val="0"/>
              <w:marBottom w:val="0"/>
              <w:divBdr>
                <w:top w:val="none" w:sz="0" w:space="0" w:color="auto"/>
                <w:left w:val="none" w:sz="0" w:space="0" w:color="auto"/>
                <w:bottom w:val="none" w:sz="0" w:space="0" w:color="auto"/>
                <w:right w:val="none" w:sz="0" w:space="0" w:color="auto"/>
              </w:divBdr>
            </w:div>
            <w:div w:id="1018964402">
              <w:marLeft w:val="0"/>
              <w:marRight w:val="0"/>
              <w:marTop w:val="0"/>
              <w:marBottom w:val="0"/>
              <w:divBdr>
                <w:top w:val="none" w:sz="0" w:space="0" w:color="auto"/>
                <w:left w:val="none" w:sz="0" w:space="0" w:color="auto"/>
                <w:bottom w:val="none" w:sz="0" w:space="0" w:color="auto"/>
                <w:right w:val="none" w:sz="0" w:space="0" w:color="auto"/>
              </w:divBdr>
            </w:div>
            <w:div w:id="759567543">
              <w:marLeft w:val="0"/>
              <w:marRight w:val="0"/>
              <w:marTop w:val="0"/>
              <w:marBottom w:val="0"/>
              <w:divBdr>
                <w:top w:val="none" w:sz="0" w:space="0" w:color="auto"/>
                <w:left w:val="none" w:sz="0" w:space="0" w:color="auto"/>
                <w:bottom w:val="none" w:sz="0" w:space="0" w:color="auto"/>
                <w:right w:val="none" w:sz="0" w:space="0" w:color="auto"/>
              </w:divBdr>
            </w:div>
            <w:div w:id="1000280482">
              <w:marLeft w:val="0"/>
              <w:marRight w:val="0"/>
              <w:marTop w:val="0"/>
              <w:marBottom w:val="0"/>
              <w:divBdr>
                <w:top w:val="none" w:sz="0" w:space="0" w:color="auto"/>
                <w:left w:val="none" w:sz="0" w:space="0" w:color="auto"/>
                <w:bottom w:val="none" w:sz="0" w:space="0" w:color="auto"/>
                <w:right w:val="none" w:sz="0" w:space="0" w:color="auto"/>
              </w:divBdr>
            </w:div>
            <w:div w:id="2001889169">
              <w:marLeft w:val="0"/>
              <w:marRight w:val="0"/>
              <w:marTop w:val="0"/>
              <w:marBottom w:val="0"/>
              <w:divBdr>
                <w:top w:val="none" w:sz="0" w:space="0" w:color="auto"/>
                <w:left w:val="none" w:sz="0" w:space="0" w:color="auto"/>
                <w:bottom w:val="none" w:sz="0" w:space="0" w:color="auto"/>
                <w:right w:val="none" w:sz="0" w:space="0" w:color="auto"/>
              </w:divBdr>
            </w:div>
            <w:div w:id="1146775429">
              <w:marLeft w:val="0"/>
              <w:marRight w:val="0"/>
              <w:marTop w:val="0"/>
              <w:marBottom w:val="0"/>
              <w:divBdr>
                <w:top w:val="none" w:sz="0" w:space="0" w:color="auto"/>
                <w:left w:val="none" w:sz="0" w:space="0" w:color="auto"/>
                <w:bottom w:val="none" w:sz="0" w:space="0" w:color="auto"/>
                <w:right w:val="none" w:sz="0" w:space="0" w:color="auto"/>
              </w:divBdr>
            </w:div>
            <w:div w:id="2042127095">
              <w:marLeft w:val="0"/>
              <w:marRight w:val="0"/>
              <w:marTop w:val="0"/>
              <w:marBottom w:val="0"/>
              <w:divBdr>
                <w:top w:val="none" w:sz="0" w:space="0" w:color="auto"/>
                <w:left w:val="none" w:sz="0" w:space="0" w:color="auto"/>
                <w:bottom w:val="none" w:sz="0" w:space="0" w:color="auto"/>
                <w:right w:val="none" w:sz="0" w:space="0" w:color="auto"/>
              </w:divBdr>
            </w:div>
            <w:div w:id="1188565235">
              <w:marLeft w:val="0"/>
              <w:marRight w:val="0"/>
              <w:marTop w:val="0"/>
              <w:marBottom w:val="0"/>
              <w:divBdr>
                <w:top w:val="none" w:sz="0" w:space="0" w:color="auto"/>
                <w:left w:val="none" w:sz="0" w:space="0" w:color="auto"/>
                <w:bottom w:val="none" w:sz="0" w:space="0" w:color="auto"/>
                <w:right w:val="none" w:sz="0" w:space="0" w:color="auto"/>
              </w:divBdr>
            </w:div>
            <w:div w:id="894701607">
              <w:marLeft w:val="0"/>
              <w:marRight w:val="0"/>
              <w:marTop w:val="0"/>
              <w:marBottom w:val="0"/>
              <w:divBdr>
                <w:top w:val="none" w:sz="0" w:space="0" w:color="auto"/>
                <w:left w:val="none" w:sz="0" w:space="0" w:color="auto"/>
                <w:bottom w:val="none" w:sz="0" w:space="0" w:color="auto"/>
                <w:right w:val="none" w:sz="0" w:space="0" w:color="auto"/>
              </w:divBdr>
            </w:div>
            <w:div w:id="732234189">
              <w:marLeft w:val="0"/>
              <w:marRight w:val="0"/>
              <w:marTop w:val="0"/>
              <w:marBottom w:val="0"/>
              <w:divBdr>
                <w:top w:val="none" w:sz="0" w:space="0" w:color="auto"/>
                <w:left w:val="none" w:sz="0" w:space="0" w:color="auto"/>
                <w:bottom w:val="none" w:sz="0" w:space="0" w:color="auto"/>
                <w:right w:val="none" w:sz="0" w:space="0" w:color="auto"/>
              </w:divBdr>
            </w:div>
            <w:div w:id="732580200">
              <w:marLeft w:val="0"/>
              <w:marRight w:val="0"/>
              <w:marTop w:val="0"/>
              <w:marBottom w:val="0"/>
              <w:divBdr>
                <w:top w:val="none" w:sz="0" w:space="0" w:color="auto"/>
                <w:left w:val="none" w:sz="0" w:space="0" w:color="auto"/>
                <w:bottom w:val="none" w:sz="0" w:space="0" w:color="auto"/>
                <w:right w:val="none" w:sz="0" w:space="0" w:color="auto"/>
              </w:divBdr>
            </w:div>
            <w:div w:id="922026803">
              <w:marLeft w:val="0"/>
              <w:marRight w:val="0"/>
              <w:marTop w:val="0"/>
              <w:marBottom w:val="0"/>
              <w:divBdr>
                <w:top w:val="none" w:sz="0" w:space="0" w:color="auto"/>
                <w:left w:val="none" w:sz="0" w:space="0" w:color="auto"/>
                <w:bottom w:val="none" w:sz="0" w:space="0" w:color="auto"/>
                <w:right w:val="none" w:sz="0" w:space="0" w:color="auto"/>
              </w:divBdr>
            </w:div>
            <w:div w:id="995567174">
              <w:marLeft w:val="0"/>
              <w:marRight w:val="0"/>
              <w:marTop w:val="0"/>
              <w:marBottom w:val="0"/>
              <w:divBdr>
                <w:top w:val="none" w:sz="0" w:space="0" w:color="auto"/>
                <w:left w:val="none" w:sz="0" w:space="0" w:color="auto"/>
                <w:bottom w:val="none" w:sz="0" w:space="0" w:color="auto"/>
                <w:right w:val="none" w:sz="0" w:space="0" w:color="auto"/>
              </w:divBdr>
            </w:div>
            <w:div w:id="1407606235">
              <w:marLeft w:val="0"/>
              <w:marRight w:val="0"/>
              <w:marTop w:val="0"/>
              <w:marBottom w:val="0"/>
              <w:divBdr>
                <w:top w:val="none" w:sz="0" w:space="0" w:color="auto"/>
                <w:left w:val="none" w:sz="0" w:space="0" w:color="auto"/>
                <w:bottom w:val="none" w:sz="0" w:space="0" w:color="auto"/>
                <w:right w:val="none" w:sz="0" w:space="0" w:color="auto"/>
              </w:divBdr>
            </w:div>
            <w:div w:id="1087076012">
              <w:marLeft w:val="0"/>
              <w:marRight w:val="0"/>
              <w:marTop w:val="0"/>
              <w:marBottom w:val="0"/>
              <w:divBdr>
                <w:top w:val="none" w:sz="0" w:space="0" w:color="auto"/>
                <w:left w:val="none" w:sz="0" w:space="0" w:color="auto"/>
                <w:bottom w:val="none" w:sz="0" w:space="0" w:color="auto"/>
                <w:right w:val="none" w:sz="0" w:space="0" w:color="auto"/>
              </w:divBdr>
            </w:div>
            <w:div w:id="1345400958">
              <w:marLeft w:val="0"/>
              <w:marRight w:val="0"/>
              <w:marTop w:val="0"/>
              <w:marBottom w:val="0"/>
              <w:divBdr>
                <w:top w:val="none" w:sz="0" w:space="0" w:color="auto"/>
                <w:left w:val="none" w:sz="0" w:space="0" w:color="auto"/>
                <w:bottom w:val="none" w:sz="0" w:space="0" w:color="auto"/>
                <w:right w:val="none" w:sz="0" w:space="0" w:color="auto"/>
              </w:divBdr>
            </w:div>
            <w:div w:id="1932352453">
              <w:marLeft w:val="0"/>
              <w:marRight w:val="0"/>
              <w:marTop w:val="0"/>
              <w:marBottom w:val="0"/>
              <w:divBdr>
                <w:top w:val="none" w:sz="0" w:space="0" w:color="auto"/>
                <w:left w:val="none" w:sz="0" w:space="0" w:color="auto"/>
                <w:bottom w:val="none" w:sz="0" w:space="0" w:color="auto"/>
                <w:right w:val="none" w:sz="0" w:space="0" w:color="auto"/>
              </w:divBdr>
            </w:div>
            <w:div w:id="701249396">
              <w:marLeft w:val="0"/>
              <w:marRight w:val="0"/>
              <w:marTop w:val="0"/>
              <w:marBottom w:val="0"/>
              <w:divBdr>
                <w:top w:val="none" w:sz="0" w:space="0" w:color="auto"/>
                <w:left w:val="none" w:sz="0" w:space="0" w:color="auto"/>
                <w:bottom w:val="none" w:sz="0" w:space="0" w:color="auto"/>
                <w:right w:val="none" w:sz="0" w:space="0" w:color="auto"/>
              </w:divBdr>
            </w:div>
            <w:div w:id="1802772145">
              <w:marLeft w:val="0"/>
              <w:marRight w:val="0"/>
              <w:marTop w:val="0"/>
              <w:marBottom w:val="0"/>
              <w:divBdr>
                <w:top w:val="none" w:sz="0" w:space="0" w:color="auto"/>
                <w:left w:val="none" w:sz="0" w:space="0" w:color="auto"/>
                <w:bottom w:val="none" w:sz="0" w:space="0" w:color="auto"/>
                <w:right w:val="none" w:sz="0" w:space="0" w:color="auto"/>
              </w:divBdr>
            </w:div>
            <w:div w:id="21446403">
              <w:marLeft w:val="0"/>
              <w:marRight w:val="0"/>
              <w:marTop w:val="0"/>
              <w:marBottom w:val="0"/>
              <w:divBdr>
                <w:top w:val="none" w:sz="0" w:space="0" w:color="auto"/>
                <w:left w:val="none" w:sz="0" w:space="0" w:color="auto"/>
                <w:bottom w:val="none" w:sz="0" w:space="0" w:color="auto"/>
                <w:right w:val="none" w:sz="0" w:space="0" w:color="auto"/>
              </w:divBdr>
            </w:div>
            <w:div w:id="42413962">
              <w:marLeft w:val="0"/>
              <w:marRight w:val="0"/>
              <w:marTop w:val="0"/>
              <w:marBottom w:val="0"/>
              <w:divBdr>
                <w:top w:val="none" w:sz="0" w:space="0" w:color="auto"/>
                <w:left w:val="none" w:sz="0" w:space="0" w:color="auto"/>
                <w:bottom w:val="none" w:sz="0" w:space="0" w:color="auto"/>
                <w:right w:val="none" w:sz="0" w:space="0" w:color="auto"/>
              </w:divBdr>
            </w:div>
            <w:div w:id="1603026258">
              <w:marLeft w:val="0"/>
              <w:marRight w:val="0"/>
              <w:marTop w:val="0"/>
              <w:marBottom w:val="0"/>
              <w:divBdr>
                <w:top w:val="none" w:sz="0" w:space="0" w:color="auto"/>
                <w:left w:val="none" w:sz="0" w:space="0" w:color="auto"/>
                <w:bottom w:val="none" w:sz="0" w:space="0" w:color="auto"/>
                <w:right w:val="none" w:sz="0" w:space="0" w:color="auto"/>
              </w:divBdr>
            </w:div>
            <w:div w:id="462314634">
              <w:marLeft w:val="0"/>
              <w:marRight w:val="0"/>
              <w:marTop w:val="0"/>
              <w:marBottom w:val="0"/>
              <w:divBdr>
                <w:top w:val="none" w:sz="0" w:space="0" w:color="auto"/>
                <w:left w:val="none" w:sz="0" w:space="0" w:color="auto"/>
                <w:bottom w:val="none" w:sz="0" w:space="0" w:color="auto"/>
                <w:right w:val="none" w:sz="0" w:space="0" w:color="auto"/>
              </w:divBdr>
            </w:div>
            <w:div w:id="868492674">
              <w:marLeft w:val="0"/>
              <w:marRight w:val="0"/>
              <w:marTop w:val="0"/>
              <w:marBottom w:val="0"/>
              <w:divBdr>
                <w:top w:val="none" w:sz="0" w:space="0" w:color="auto"/>
                <w:left w:val="none" w:sz="0" w:space="0" w:color="auto"/>
                <w:bottom w:val="none" w:sz="0" w:space="0" w:color="auto"/>
                <w:right w:val="none" w:sz="0" w:space="0" w:color="auto"/>
              </w:divBdr>
            </w:div>
            <w:div w:id="1959407335">
              <w:marLeft w:val="0"/>
              <w:marRight w:val="0"/>
              <w:marTop w:val="0"/>
              <w:marBottom w:val="0"/>
              <w:divBdr>
                <w:top w:val="none" w:sz="0" w:space="0" w:color="auto"/>
                <w:left w:val="none" w:sz="0" w:space="0" w:color="auto"/>
                <w:bottom w:val="none" w:sz="0" w:space="0" w:color="auto"/>
                <w:right w:val="none" w:sz="0" w:space="0" w:color="auto"/>
              </w:divBdr>
            </w:div>
            <w:div w:id="1596523344">
              <w:marLeft w:val="0"/>
              <w:marRight w:val="0"/>
              <w:marTop w:val="0"/>
              <w:marBottom w:val="0"/>
              <w:divBdr>
                <w:top w:val="none" w:sz="0" w:space="0" w:color="auto"/>
                <w:left w:val="none" w:sz="0" w:space="0" w:color="auto"/>
                <w:bottom w:val="none" w:sz="0" w:space="0" w:color="auto"/>
                <w:right w:val="none" w:sz="0" w:space="0" w:color="auto"/>
              </w:divBdr>
            </w:div>
            <w:div w:id="352808305">
              <w:marLeft w:val="0"/>
              <w:marRight w:val="0"/>
              <w:marTop w:val="0"/>
              <w:marBottom w:val="0"/>
              <w:divBdr>
                <w:top w:val="none" w:sz="0" w:space="0" w:color="auto"/>
                <w:left w:val="none" w:sz="0" w:space="0" w:color="auto"/>
                <w:bottom w:val="none" w:sz="0" w:space="0" w:color="auto"/>
                <w:right w:val="none" w:sz="0" w:space="0" w:color="auto"/>
              </w:divBdr>
            </w:div>
            <w:div w:id="847477895">
              <w:marLeft w:val="0"/>
              <w:marRight w:val="0"/>
              <w:marTop w:val="0"/>
              <w:marBottom w:val="0"/>
              <w:divBdr>
                <w:top w:val="none" w:sz="0" w:space="0" w:color="auto"/>
                <w:left w:val="none" w:sz="0" w:space="0" w:color="auto"/>
                <w:bottom w:val="none" w:sz="0" w:space="0" w:color="auto"/>
                <w:right w:val="none" w:sz="0" w:space="0" w:color="auto"/>
              </w:divBdr>
            </w:div>
            <w:div w:id="1775856566">
              <w:marLeft w:val="0"/>
              <w:marRight w:val="0"/>
              <w:marTop w:val="0"/>
              <w:marBottom w:val="0"/>
              <w:divBdr>
                <w:top w:val="none" w:sz="0" w:space="0" w:color="auto"/>
                <w:left w:val="none" w:sz="0" w:space="0" w:color="auto"/>
                <w:bottom w:val="none" w:sz="0" w:space="0" w:color="auto"/>
                <w:right w:val="none" w:sz="0" w:space="0" w:color="auto"/>
              </w:divBdr>
            </w:div>
            <w:div w:id="1006253793">
              <w:marLeft w:val="0"/>
              <w:marRight w:val="0"/>
              <w:marTop w:val="0"/>
              <w:marBottom w:val="0"/>
              <w:divBdr>
                <w:top w:val="none" w:sz="0" w:space="0" w:color="auto"/>
                <w:left w:val="none" w:sz="0" w:space="0" w:color="auto"/>
                <w:bottom w:val="none" w:sz="0" w:space="0" w:color="auto"/>
                <w:right w:val="none" w:sz="0" w:space="0" w:color="auto"/>
              </w:divBdr>
            </w:div>
            <w:div w:id="1764564680">
              <w:marLeft w:val="0"/>
              <w:marRight w:val="0"/>
              <w:marTop w:val="0"/>
              <w:marBottom w:val="0"/>
              <w:divBdr>
                <w:top w:val="none" w:sz="0" w:space="0" w:color="auto"/>
                <w:left w:val="none" w:sz="0" w:space="0" w:color="auto"/>
                <w:bottom w:val="none" w:sz="0" w:space="0" w:color="auto"/>
                <w:right w:val="none" w:sz="0" w:space="0" w:color="auto"/>
              </w:divBdr>
            </w:div>
            <w:div w:id="1556509385">
              <w:marLeft w:val="0"/>
              <w:marRight w:val="0"/>
              <w:marTop w:val="0"/>
              <w:marBottom w:val="0"/>
              <w:divBdr>
                <w:top w:val="none" w:sz="0" w:space="0" w:color="auto"/>
                <w:left w:val="none" w:sz="0" w:space="0" w:color="auto"/>
                <w:bottom w:val="none" w:sz="0" w:space="0" w:color="auto"/>
                <w:right w:val="none" w:sz="0" w:space="0" w:color="auto"/>
              </w:divBdr>
            </w:div>
            <w:div w:id="646670211">
              <w:marLeft w:val="0"/>
              <w:marRight w:val="0"/>
              <w:marTop w:val="0"/>
              <w:marBottom w:val="0"/>
              <w:divBdr>
                <w:top w:val="none" w:sz="0" w:space="0" w:color="auto"/>
                <w:left w:val="none" w:sz="0" w:space="0" w:color="auto"/>
                <w:bottom w:val="none" w:sz="0" w:space="0" w:color="auto"/>
                <w:right w:val="none" w:sz="0" w:space="0" w:color="auto"/>
              </w:divBdr>
            </w:div>
            <w:div w:id="1176848678">
              <w:marLeft w:val="0"/>
              <w:marRight w:val="0"/>
              <w:marTop w:val="0"/>
              <w:marBottom w:val="0"/>
              <w:divBdr>
                <w:top w:val="none" w:sz="0" w:space="0" w:color="auto"/>
                <w:left w:val="none" w:sz="0" w:space="0" w:color="auto"/>
                <w:bottom w:val="none" w:sz="0" w:space="0" w:color="auto"/>
                <w:right w:val="none" w:sz="0" w:space="0" w:color="auto"/>
              </w:divBdr>
            </w:div>
            <w:div w:id="1419211431">
              <w:marLeft w:val="0"/>
              <w:marRight w:val="0"/>
              <w:marTop w:val="0"/>
              <w:marBottom w:val="0"/>
              <w:divBdr>
                <w:top w:val="none" w:sz="0" w:space="0" w:color="auto"/>
                <w:left w:val="none" w:sz="0" w:space="0" w:color="auto"/>
                <w:bottom w:val="none" w:sz="0" w:space="0" w:color="auto"/>
                <w:right w:val="none" w:sz="0" w:space="0" w:color="auto"/>
              </w:divBdr>
            </w:div>
            <w:div w:id="201788168">
              <w:marLeft w:val="0"/>
              <w:marRight w:val="0"/>
              <w:marTop w:val="0"/>
              <w:marBottom w:val="0"/>
              <w:divBdr>
                <w:top w:val="none" w:sz="0" w:space="0" w:color="auto"/>
                <w:left w:val="none" w:sz="0" w:space="0" w:color="auto"/>
                <w:bottom w:val="none" w:sz="0" w:space="0" w:color="auto"/>
                <w:right w:val="none" w:sz="0" w:space="0" w:color="auto"/>
              </w:divBdr>
            </w:div>
            <w:div w:id="10016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1133">
      <w:marLeft w:val="0"/>
      <w:marRight w:val="0"/>
      <w:marTop w:val="0"/>
      <w:marBottom w:val="0"/>
      <w:divBdr>
        <w:top w:val="none" w:sz="0" w:space="0" w:color="auto"/>
        <w:left w:val="none" w:sz="0" w:space="0" w:color="auto"/>
        <w:bottom w:val="none" w:sz="0" w:space="0" w:color="auto"/>
        <w:right w:val="none" w:sz="0" w:space="0" w:color="auto"/>
      </w:divBdr>
      <w:divsChild>
        <w:div w:id="362681804">
          <w:marLeft w:val="0"/>
          <w:marRight w:val="0"/>
          <w:marTop w:val="0"/>
          <w:marBottom w:val="0"/>
          <w:divBdr>
            <w:top w:val="none" w:sz="0" w:space="0" w:color="auto"/>
            <w:left w:val="none" w:sz="0" w:space="0" w:color="auto"/>
            <w:bottom w:val="none" w:sz="0" w:space="0" w:color="auto"/>
            <w:right w:val="none" w:sz="0" w:space="0" w:color="auto"/>
          </w:divBdr>
        </w:div>
      </w:divsChild>
    </w:div>
    <w:div w:id="1201867387">
      <w:bodyDiv w:val="1"/>
      <w:marLeft w:val="0"/>
      <w:marRight w:val="0"/>
      <w:marTop w:val="0"/>
      <w:marBottom w:val="0"/>
      <w:divBdr>
        <w:top w:val="none" w:sz="0" w:space="0" w:color="auto"/>
        <w:left w:val="none" w:sz="0" w:space="0" w:color="auto"/>
        <w:bottom w:val="none" w:sz="0" w:space="0" w:color="auto"/>
        <w:right w:val="none" w:sz="0" w:space="0" w:color="auto"/>
      </w:divBdr>
      <w:divsChild>
        <w:div w:id="856310363">
          <w:marLeft w:val="0"/>
          <w:marRight w:val="0"/>
          <w:marTop w:val="0"/>
          <w:marBottom w:val="0"/>
          <w:divBdr>
            <w:top w:val="none" w:sz="0" w:space="0" w:color="auto"/>
            <w:left w:val="none" w:sz="0" w:space="0" w:color="auto"/>
            <w:bottom w:val="none" w:sz="0" w:space="0" w:color="auto"/>
            <w:right w:val="none" w:sz="0" w:space="0" w:color="auto"/>
          </w:divBdr>
          <w:divsChild>
            <w:div w:id="603465689">
              <w:marLeft w:val="0"/>
              <w:marRight w:val="0"/>
              <w:marTop w:val="0"/>
              <w:marBottom w:val="0"/>
              <w:divBdr>
                <w:top w:val="none" w:sz="0" w:space="0" w:color="auto"/>
                <w:left w:val="none" w:sz="0" w:space="0" w:color="auto"/>
                <w:bottom w:val="none" w:sz="0" w:space="0" w:color="auto"/>
                <w:right w:val="none" w:sz="0" w:space="0" w:color="auto"/>
              </w:divBdr>
            </w:div>
            <w:div w:id="906840100">
              <w:marLeft w:val="0"/>
              <w:marRight w:val="0"/>
              <w:marTop w:val="0"/>
              <w:marBottom w:val="0"/>
              <w:divBdr>
                <w:top w:val="none" w:sz="0" w:space="0" w:color="auto"/>
                <w:left w:val="none" w:sz="0" w:space="0" w:color="auto"/>
                <w:bottom w:val="none" w:sz="0" w:space="0" w:color="auto"/>
                <w:right w:val="none" w:sz="0" w:space="0" w:color="auto"/>
              </w:divBdr>
            </w:div>
            <w:div w:id="557134929">
              <w:marLeft w:val="0"/>
              <w:marRight w:val="0"/>
              <w:marTop w:val="0"/>
              <w:marBottom w:val="0"/>
              <w:divBdr>
                <w:top w:val="none" w:sz="0" w:space="0" w:color="auto"/>
                <w:left w:val="none" w:sz="0" w:space="0" w:color="auto"/>
                <w:bottom w:val="none" w:sz="0" w:space="0" w:color="auto"/>
                <w:right w:val="none" w:sz="0" w:space="0" w:color="auto"/>
              </w:divBdr>
            </w:div>
            <w:div w:id="347678837">
              <w:marLeft w:val="0"/>
              <w:marRight w:val="0"/>
              <w:marTop w:val="0"/>
              <w:marBottom w:val="0"/>
              <w:divBdr>
                <w:top w:val="none" w:sz="0" w:space="0" w:color="auto"/>
                <w:left w:val="none" w:sz="0" w:space="0" w:color="auto"/>
                <w:bottom w:val="none" w:sz="0" w:space="0" w:color="auto"/>
                <w:right w:val="none" w:sz="0" w:space="0" w:color="auto"/>
              </w:divBdr>
            </w:div>
            <w:div w:id="321128711">
              <w:marLeft w:val="0"/>
              <w:marRight w:val="0"/>
              <w:marTop w:val="0"/>
              <w:marBottom w:val="0"/>
              <w:divBdr>
                <w:top w:val="none" w:sz="0" w:space="0" w:color="auto"/>
                <w:left w:val="none" w:sz="0" w:space="0" w:color="auto"/>
                <w:bottom w:val="none" w:sz="0" w:space="0" w:color="auto"/>
                <w:right w:val="none" w:sz="0" w:space="0" w:color="auto"/>
              </w:divBdr>
            </w:div>
            <w:div w:id="1537766975">
              <w:marLeft w:val="0"/>
              <w:marRight w:val="0"/>
              <w:marTop w:val="0"/>
              <w:marBottom w:val="0"/>
              <w:divBdr>
                <w:top w:val="none" w:sz="0" w:space="0" w:color="auto"/>
                <w:left w:val="none" w:sz="0" w:space="0" w:color="auto"/>
                <w:bottom w:val="none" w:sz="0" w:space="0" w:color="auto"/>
                <w:right w:val="none" w:sz="0" w:space="0" w:color="auto"/>
              </w:divBdr>
            </w:div>
            <w:div w:id="193885243">
              <w:marLeft w:val="0"/>
              <w:marRight w:val="0"/>
              <w:marTop w:val="0"/>
              <w:marBottom w:val="0"/>
              <w:divBdr>
                <w:top w:val="none" w:sz="0" w:space="0" w:color="auto"/>
                <w:left w:val="none" w:sz="0" w:space="0" w:color="auto"/>
                <w:bottom w:val="none" w:sz="0" w:space="0" w:color="auto"/>
                <w:right w:val="none" w:sz="0" w:space="0" w:color="auto"/>
              </w:divBdr>
            </w:div>
            <w:div w:id="609439551">
              <w:marLeft w:val="0"/>
              <w:marRight w:val="0"/>
              <w:marTop w:val="0"/>
              <w:marBottom w:val="0"/>
              <w:divBdr>
                <w:top w:val="none" w:sz="0" w:space="0" w:color="auto"/>
                <w:left w:val="none" w:sz="0" w:space="0" w:color="auto"/>
                <w:bottom w:val="none" w:sz="0" w:space="0" w:color="auto"/>
                <w:right w:val="none" w:sz="0" w:space="0" w:color="auto"/>
              </w:divBdr>
            </w:div>
            <w:div w:id="975766592">
              <w:marLeft w:val="0"/>
              <w:marRight w:val="0"/>
              <w:marTop w:val="0"/>
              <w:marBottom w:val="0"/>
              <w:divBdr>
                <w:top w:val="none" w:sz="0" w:space="0" w:color="auto"/>
                <w:left w:val="none" w:sz="0" w:space="0" w:color="auto"/>
                <w:bottom w:val="none" w:sz="0" w:space="0" w:color="auto"/>
                <w:right w:val="none" w:sz="0" w:space="0" w:color="auto"/>
              </w:divBdr>
            </w:div>
            <w:div w:id="235168013">
              <w:marLeft w:val="0"/>
              <w:marRight w:val="0"/>
              <w:marTop w:val="0"/>
              <w:marBottom w:val="0"/>
              <w:divBdr>
                <w:top w:val="none" w:sz="0" w:space="0" w:color="auto"/>
                <w:left w:val="none" w:sz="0" w:space="0" w:color="auto"/>
                <w:bottom w:val="none" w:sz="0" w:space="0" w:color="auto"/>
                <w:right w:val="none" w:sz="0" w:space="0" w:color="auto"/>
              </w:divBdr>
            </w:div>
            <w:div w:id="1245649829">
              <w:marLeft w:val="0"/>
              <w:marRight w:val="0"/>
              <w:marTop w:val="0"/>
              <w:marBottom w:val="0"/>
              <w:divBdr>
                <w:top w:val="none" w:sz="0" w:space="0" w:color="auto"/>
                <w:left w:val="none" w:sz="0" w:space="0" w:color="auto"/>
                <w:bottom w:val="none" w:sz="0" w:space="0" w:color="auto"/>
                <w:right w:val="none" w:sz="0" w:space="0" w:color="auto"/>
              </w:divBdr>
            </w:div>
            <w:div w:id="726613335">
              <w:marLeft w:val="0"/>
              <w:marRight w:val="0"/>
              <w:marTop w:val="0"/>
              <w:marBottom w:val="0"/>
              <w:divBdr>
                <w:top w:val="none" w:sz="0" w:space="0" w:color="auto"/>
                <w:left w:val="none" w:sz="0" w:space="0" w:color="auto"/>
                <w:bottom w:val="none" w:sz="0" w:space="0" w:color="auto"/>
                <w:right w:val="none" w:sz="0" w:space="0" w:color="auto"/>
              </w:divBdr>
            </w:div>
            <w:div w:id="1426657423">
              <w:marLeft w:val="0"/>
              <w:marRight w:val="0"/>
              <w:marTop w:val="0"/>
              <w:marBottom w:val="0"/>
              <w:divBdr>
                <w:top w:val="none" w:sz="0" w:space="0" w:color="auto"/>
                <w:left w:val="none" w:sz="0" w:space="0" w:color="auto"/>
                <w:bottom w:val="none" w:sz="0" w:space="0" w:color="auto"/>
                <w:right w:val="none" w:sz="0" w:space="0" w:color="auto"/>
              </w:divBdr>
            </w:div>
            <w:div w:id="1279214456">
              <w:marLeft w:val="0"/>
              <w:marRight w:val="0"/>
              <w:marTop w:val="0"/>
              <w:marBottom w:val="0"/>
              <w:divBdr>
                <w:top w:val="none" w:sz="0" w:space="0" w:color="auto"/>
                <w:left w:val="none" w:sz="0" w:space="0" w:color="auto"/>
                <w:bottom w:val="none" w:sz="0" w:space="0" w:color="auto"/>
                <w:right w:val="none" w:sz="0" w:space="0" w:color="auto"/>
              </w:divBdr>
            </w:div>
            <w:div w:id="1597445002">
              <w:marLeft w:val="0"/>
              <w:marRight w:val="0"/>
              <w:marTop w:val="0"/>
              <w:marBottom w:val="0"/>
              <w:divBdr>
                <w:top w:val="none" w:sz="0" w:space="0" w:color="auto"/>
                <w:left w:val="none" w:sz="0" w:space="0" w:color="auto"/>
                <w:bottom w:val="none" w:sz="0" w:space="0" w:color="auto"/>
                <w:right w:val="none" w:sz="0" w:space="0" w:color="auto"/>
              </w:divBdr>
            </w:div>
            <w:div w:id="529878440">
              <w:marLeft w:val="0"/>
              <w:marRight w:val="0"/>
              <w:marTop w:val="0"/>
              <w:marBottom w:val="0"/>
              <w:divBdr>
                <w:top w:val="none" w:sz="0" w:space="0" w:color="auto"/>
                <w:left w:val="none" w:sz="0" w:space="0" w:color="auto"/>
                <w:bottom w:val="none" w:sz="0" w:space="0" w:color="auto"/>
                <w:right w:val="none" w:sz="0" w:space="0" w:color="auto"/>
              </w:divBdr>
            </w:div>
            <w:div w:id="1241019105">
              <w:marLeft w:val="0"/>
              <w:marRight w:val="0"/>
              <w:marTop w:val="0"/>
              <w:marBottom w:val="0"/>
              <w:divBdr>
                <w:top w:val="none" w:sz="0" w:space="0" w:color="auto"/>
                <w:left w:val="none" w:sz="0" w:space="0" w:color="auto"/>
                <w:bottom w:val="none" w:sz="0" w:space="0" w:color="auto"/>
                <w:right w:val="none" w:sz="0" w:space="0" w:color="auto"/>
              </w:divBdr>
            </w:div>
            <w:div w:id="1190946920">
              <w:marLeft w:val="0"/>
              <w:marRight w:val="0"/>
              <w:marTop w:val="0"/>
              <w:marBottom w:val="0"/>
              <w:divBdr>
                <w:top w:val="none" w:sz="0" w:space="0" w:color="auto"/>
                <w:left w:val="none" w:sz="0" w:space="0" w:color="auto"/>
                <w:bottom w:val="none" w:sz="0" w:space="0" w:color="auto"/>
                <w:right w:val="none" w:sz="0" w:space="0" w:color="auto"/>
              </w:divBdr>
            </w:div>
            <w:div w:id="130023959">
              <w:marLeft w:val="0"/>
              <w:marRight w:val="0"/>
              <w:marTop w:val="0"/>
              <w:marBottom w:val="0"/>
              <w:divBdr>
                <w:top w:val="none" w:sz="0" w:space="0" w:color="auto"/>
                <w:left w:val="none" w:sz="0" w:space="0" w:color="auto"/>
                <w:bottom w:val="none" w:sz="0" w:space="0" w:color="auto"/>
                <w:right w:val="none" w:sz="0" w:space="0" w:color="auto"/>
              </w:divBdr>
            </w:div>
            <w:div w:id="978464102">
              <w:marLeft w:val="0"/>
              <w:marRight w:val="0"/>
              <w:marTop w:val="0"/>
              <w:marBottom w:val="0"/>
              <w:divBdr>
                <w:top w:val="none" w:sz="0" w:space="0" w:color="auto"/>
                <w:left w:val="none" w:sz="0" w:space="0" w:color="auto"/>
                <w:bottom w:val="none" w:sz="0" w:space="0" w:color="auto"/>
                <w:right w:val="none" w:sz="0" w:space="0" w:color="auto"/>
              </w:divBdr>
            </w:div>
            <w:div w:id="779031903">
              <w:marLeft w:val="0"/>
              <w:marRight w:val="0"/>
              <w:marTop w:val="0"/>
              <w:marBottom w:val="0"/>
              <w:divBdr>
                <w:top w:val="none" w:sz="0" w:space="0" w:color="auto"/>
                <w:left w:val="none" w:sz="0" w:space="0" w:color="auto"/>
                <w:bottom w:val="none" w:sz="0" w:space="0" w:color="auto"/>
                <w:right w:val="none" w:sz="0" w:space="0" w:color="auto"/>
              </w:divBdr>
            </w:div>
            <w:div w:id="1811436245">
              <w:marLeft w:val="0"/>
              <w:marRight w:val="0"/>
              <w:marTop w:val="0"/>
              <w:marBottom w:val="0"/>
              <w:divBdr>
                <w:top w:val="none" w:sz="0" w:space="0" w:color="auto"/>
                <w:left w:val="none" w:sz="0" w:space="0" w:color="auto"/>
                <w:bottom w:val="none" w:sz="0" w:space="0" w:color="auto"/>
                <w:right w:val="none" w:sz="0" w:space="0" w:color="auto"/>
              </w:divBdr>
            </w:div>
            <w:div w:id="1749114088">
              <w:marLeft w:val="0"/>
              <w:marRight w:val="0"/>
              <w:marTop w:val="0"/>
              <w:marBottom w:val="0"/>
              <w:divBdr>
                <w:top w:val="none" w:sz="0" w:space="0" w:color="auto"/>
                <w:left w:val="none" w:sz="0" w:space="0" w:color="auto"/>
                <w:bottom w:val="none" w:sz="0" w:space="0" w:color="auto"/>
                <w:right w:val="none" w:sz="0" w:space="0" w:color="auto"/>
              </w:divBdr>
            </w:div>
            <w:div w:id="1300570772">
              <w:marLeft w:val="0"/>
              <w:marRight w:val="0"/>
              <w:marTop w:val="0"/>
              <w:marBottom w:val="0"/>
              <w:divBdr>
                <w:top w:val="none" w:sz="0" w:space="0" w:color="auto"/>
                <w:left w:val="none" w:sz="0" w:space="0" w:color="auto"/>
                <w:bottom w:val="none" w:sz="0" w:space="0" w:color="auto"/>
                <w:right w:val="none" w:sz="0" w:space="0" w:color="auto"/>
              </w:divBdr>
            </w:div>
            <w:div w:id="169876849">
              <w:marLeft w:val="0"/>
              <w:marRight w:val="0"/>
              <w:marTop w:val="0"/>
              <w:marBottom w:val="0"/>
              <w:divBdr>
                <w:top w:val="none" w:sz="0" w:space="0" w:color="auto"/>
                <w:left w:val="none" w:sz="0" w:space="0" w:color="auto"/>
                <w:bottom w:val="none" w:sz="0" w:space="0" w:color="auto"/>
                <w:right w:val="none" w:sz="0" w:space="0" w:color="auto"/>
              </w:divBdr>
            </w:div>
            <w:div w:id="445931922">
              <w:marLeft w:val="0"/>
              <w:marRight w:val="0"/>
              <w:marTop w:val="0"/>
              <w:marBottom w:val="0"/>
              <w:divBdr>
                <w:top w:val="none" w:sz="0" w:space="0" w:color="auto"/>
                <w:left w:val="none" w:sz="0" w:space="0" w:color="auto"/>
                <w:bottom w:val="none" w:sz="0" w:space="0" w:color="auto"/>
                <w:right w:val="none" w:sz="0" w:space="0" w:color="auto"/>
              </w:divBdr>
            </w:div>
            <w:div w:id="1320884754">
              <w:marLeft w:val="0"/>
              <w:marRight w:val="0"/>
              <w:marTop w:val="0"/>
              <w:marBottom w:val="0"/>
              <w:divBdr>
                <w:top w:val="none" w:sz="0" w:space="0" w:color="auto"/>
                <w:left w:val="none" w:sz="0" w:space="0" w:color="auto"/>
                <w:bottom w:val="none" w:sz="0" w:space="0" w:color="auto"/>
                <w:right w:val="none" w:sz="0" w:space="0" w:color="auto"/>
              </w:divBdr>
            </w:div>
            <w:div w:id="1079868724">
              <w:marLeft w:val="0"/>
              <w:marRight w:val="0"/>
              <w:marTop w:val="0"/>
              <w:marBottom w:val="0"/>
              <w:divBdr>
                <w:top w:val="none" w:sz="0" w:space="0" w:color="auto"/>
                <w:left w:val="none" w:sz="0" w:space="0" w:color="auto"/>
                <w:bottom w:val="none" w:sz="0" w:space="0" w:color="auto"/>
                <w:right w:val="none" w:sz="0" w:space="0" w:color="auto"/>
              </w:divBdr>
            </w:div>
            <w:div w:id="1549416827">
              <w:marLeft w:val="0"/>
              <w:marRight w:val="0"/>
              <w:marTop w:val="0"/>
              <w:marBottom w:val="0"/>
              <w:divBdr>
                <w:top w:val="none" w:sz="0" w:space="0" w:color="auto"/>
                <w:left w:val="none" w:sz="0" w:space="0" w:color="auto"/>
                <w:bottom w:val="none" w:sz="0" w:space="0" w:color="auto"/>
                <w:right w:val="none" w:sz="0" w:space="0" w:color="auto"/>
              </w:divBdr>
            </w:div>
            <w:div w:id="1280067869">
              <w:marLeft w:val="0"/>
              <w:marRight w:val="0"/>
              <w:marTop w:val="0"/>
              <w:marBottom w:val="0"/>
              <w:divBdr>
                <w:top w:val="none" w:sz="0" w:space="0" w:color="auto"/>
                <w:left w:val="none" w:sz="0" w:space="0" w:color="auto"/>
                <w:bottom w:val="none" w:sz="0" w:space="0" w:color="auto"/>
                <w:right w:val="none" w:sz="0" w:space="0" w:color="auto"/>
              </w:divBdr>
            </w:div>
            <w:div w:id="19231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21191">
      <w:marLeft w:val="0"/>
      <w:marRight w:val="0"/>
      <w:marTop w:val="0"/>
      <w:marBottom w:val="0"/>
      <w:divBdr>
        <w:top w:val="none" w:sz="0" w:space="0" w:color="auto"/>
        <w:left w:val="none" w:sz="0" w:space="0" w:color="auto"/>
        <w:bottom w:val="none" w:sz="0" w:space="0" w:color="auto"/>
        <w:right w:val="none" w:sz="0" w:space="0" w:color="auto"/>
      </w:divBdr>
      <w:divsChild>
        <w:div w:id="1684673546">
          <w:marLeft w:val="0"/>
          <w:marRight w:val="0"/>
          <w:marTop w:val="0"/>
          <w:marBottom w:val="0"/>
          <w:divBdr>
            <w:top w:val="none" w:sz="0" w:space="0" w:color="auto"/>
            <w:left w:val="none" w:sz="0" w:space="0" w:color="auto"/>
            <w:bottom w:val="none" w:sz="0" w:space="0" w:color="auto"/>
            <w:right w:val="none" w:sz="0" w:space="0" w:color="auto"/>
          </w:divBdr>
        </w:div>
      </w:divsChild>
    </w:div>
    <w:div w:id="1204902605">
      <w:marLeft w:val="0"/>
      <w:marRight w:val="0"/>
      <w:marTop w:val="0"/>
      <w:marBottom w:val="0"/>
      <w:divBdr>
        <w:top w:val="none" w:sz="0" w:space="0" w:color="auto"/>
        <w:left w:val="none" w:sz="0" w:space="0" w:color="auto"/>
        <w:bottom w:val="none" w:sz="0" w:space="0" w:color="auto"/>
        <w:right w:val="none" w:sz="0" w:space="0" w:color="auto"/>
      </w:divBdr>
      <w:divsChild>
        <w:div w:id="253780297">
          <w:marLeft w:val="0"/>
          <w:marRight w:val="0"/>
          <w:marTop w:val="0"/>
          <w:marBottom w:val="0"/>
          <w:divBdr>
            <w:top w:val="none" w:sz="0" w:space="0" w:color="auto"/>
            <w:left w:val="none" w:sz="0" w:space="0" w:color="auto"/>
            <w:bottom w:val="none" w:sz="0" w:space="0" w:color="auto"/>
            <w:right w:val="none" w:sz="0" w:space="0" w:color="auto"/>
          </w:divBdr>
        </w:div>
      </w:divsChild>
    </w:div>
    <w:div w:id="1206286396">
      <w:marLeft w:val="0"/>
      <w:marRight w:val="0"/>
      <w:marTop w:val="0"/>
      <w:marBottom w:val="0"/>
      <w:divBdr>
        <w:top w:val="none" w:sz="0" w:space="0" w:color="auto"/>
        <w:left w:val="none" w:sz="0" w:space="0" w:color="auto"/>
        <w:bottom w:val="none" w:sz="0" w:space="0" w:color="auto"/>
        <w:right w:val="none" w:sz="0" w:space="0" w:color="auto"/>
      </w:divBdr>
      <w:divsChild>
        <w:div w:id="2094010030">
          <w:marLeft w:val="0"/>
          <w:marRight w:val="0"/>
          <w:marTop w:val="0"/>
          <w:marBottom w:val="0"/>
          <w:divBdr>
            <w:top w:val="none" w:sz="0" w:space="0" w:color="auto"/>
            <w:left w:val="none" w:sz="0" w:space="0" w:color="auto"/>
            <w:bottom w:val="none" w:sz="0" w:space="0" w:color="auto"/>
            <w:right w:val="none" w:sz="0" w:space="0" w:color="auto"/>
          </w:divBdr>
        </w:div>
      </w:divsChild>
    </w:div>
    <w:div w:id="1206521287">
      <w:marLeft w:val="0"/>
      <w:marRight w:val="0"/>
      <w:marTop w:val="0"/>
      <w:marBottom w:val="0"/>
      <w:divBdr>
        <w:top w:val="none" w:sz="0" w:space="0" w:color="auto"/>
        <w:left w:val="none" w:sz="0" w:space="0" w:color="auto"/>
        <w:bottom w:val="none" w:sz="0" w:space="0" w:color="auto"/>
        <w:right w:val="none" w:sz="0" w:space="0" w:color="auto"/>
      </w:divBdr>
      <w:divsChild>
        <w:div w:id="583800645">
          <w:marLeft w:val="0"/>
          <w:marRight w:val="0"/>
          <w:marTop w:val="0"/>
          <w:marBottom w:val="0"/>
          <w:divBdr>
            <w:top w:val="none" w:sz="0" w:space="0" w:color="auto"/>
            <w:left w:val="none" w:sz="0" w:space="0" w:color="auto"/>
            <w:bottom w:val="none" w:sz="0" w:space="0" w:color="auto"/>
            <w:right w:val="none" w:sz="0" w:space="0" w:color="auto"/>
          </w:divBdr>
        </w:div>
      </w:divsChild>
    </w:div>
    <w:div w:id="1207253532">
      <w:marLeft w:val="0"/>
      <w:marRight w:val="0"/>
      <w:marTop w:val="0"/>
      <w:marBottom w:val="0"/>
      <w:divBdr>
        <w:top w:val="none" w:sz="0" w:space="0" w:color="auto"/>
        <w:left w:val="none" w:sz="0" w:space="0" w:color="auto"/>
        <w:bottom w:val="none" w:sz="0" w:space="0" w:color="auto"/>
        <w:right w:val="none" w:sz="0" w:space="0" w:color="auto"/>
      </w:divBdr>
      <w:divsChild>
        <w:div w:id="613946214">
          <w:marLeft w:val="0"/>
          <w:marRight w:val="0"/>
          <w:marTop w:val="0"/>
          <w:marBottom w:val="0"/>
          <w:divBdr>
            <w:top w:val="none" w:sz="0" w:space="0" w:color="auto"/>
            <w:left w:val="none" w:sz="0" w:space="0" w:color="auto"/>
            <w:bottom w:val="none" w:sz="0" w:space="0" w:color="auto"/>
            <w:right w:val="none" w:sz="0" w:space="0" w:color="auto"/>
          </w:divBdr>
        </w:div>
      </w:divsChild>
    </w:div>
    <w:div w:id="1211965266">
      <w:bodyDiv w:val="1"/>
      <w:marLeft w:val="0"/>
      <w:marRight w:val="0"/>
      <w:marTop w:val="0"/>
      <w:marBottom w:val="0"/>
      <w:divBdr>
        <w:top w:val="none" w:sz="0" w:space="0" w:color="auto"/>
        <w:left w:val="none" w:sz="0" w:space="0" w:color="auto"/>
        <w:bottom w:val="none" w:sz="0" w:space="0" w:color="auto"/>
        <w:right w:val="none" w:sz="0" w:space="0" w:color="auto"/>
      </w:divBdr>
    </w:div>
    <w:div w:id="1215508191">
      <w:marLeft w:val="0"/>
      <w:marRight w:val="0"/>
      <w:marTop w:val="0"/>
      <w:marBottom w:val="0"/>
      <w:divBdr>
        <w:top w:val="none" w:sz="0" w:space="0" w:color="auto"/>
        <w:left w:val="none" w:sz="0" w:space="0" w:color="auto"/>
        <w:bottom w:val="none" w:sz="0" w:space="0" w:color="auto"/>
        <w:right w:val="none" w:sz="0" w:space="0" w:color="auto"/>
      </w:divBdr>
      <w:divsChild>
        <w:div w:id="791559935">
          <w:marLeft w:val="0"/>
          <w:marRight w:val="0"/>
          <w:marTop w:val="0"/>
          <w:marBottom w:val="0"/>
          <w:divBdr>
            <w:top w:val="none" w:sz="0" w:space="0" w:color="auto"/>
            <w:left w:val="none" w:sz="0" w:space="0" w:color="auto"/>
            <w:bottom w:val="none" w:sz="0" w:space="0" w:color="auto"/>
            <w:right w:val="none" w:sz="0" w:space="0" w:color="auto"/>
          </w:divBdr>
        </w:div>
      </w:divsChild>
    </w:div>
    <w:div w:id="1217010699">
      <w:bodyDiv w:val="1"/>
      <w:marLeft w:val="0"/>
      <w:marRight w:val="0"/>
      <w:marTop w:val="0"/>
      <w:marBottom w:val="0"/>
      <w:divBdr>
        <w:top w:val="none" w:sz="0" w:space="0" w:color="auto"/>
        <w:left w:val="none" w:sz="0" w:space="0" w:color="auto"/>
        <w:bottom w:val="none" w:sz="0" w:space="0" w:color="auto"/>
        <w:right w:val="none" w:sz="0" w:space="0" w:color="auto"/>
      </w:divBdr>
      <w:divsChild>
        <w:div w:id="1858152887">
          <w:marLeft w:val="0"/>
          <w:marRight w:val="0"/>
          <w:marTop w:val="0"/>
          <w:marBottom w:val="0"/>
          <w:divBdr>
            <w:top w:val="none" w:sz="0" w:space="0" w:color="auto"/>
            <w:left w:val="none" w:sz="0" w:space="0" w:color="auto"/>
            <w:bottom w:val="none" w:sz="0" w:space="0" w:color="auto"/>
            <w:right w:val="none" w:sz="0" w:space="0" w:color="auto"/>
          </w:divBdr>
        </w:div>
        <w:div w:id="1400859714">
          <w:marLeft w:val="0"/>
          <w:marRight w:val="0"/>
          <w:marTop w:val="0"/>
          <w:marBottom w:val="0"/>
          <w:divBdr>
            <w:top w:val="none" w:sz="0" w:space="0" w:color="auto"/>
            <w:left w:val="none" w:sz="0" w:space="0" w:color="auto"/>
            <w:bottom w:val="none" w:sz="0" w:space="0" w:color="auto"/>
            <w:right w:val="none" w:sz="0" w:space="0" w:color="auto"/>
          </w:divBdr>
        </w:div>
        <w:div w:id="979965110">
          <w:marLeft w:val="0"/>
          <w:marRight w:val="0"/>
          <w:marTop w:val="0"/>
          <w:marBottom w:val="0"/>
          <w:divBdr>
            <w:top w:val="none" w:sz="0" w:space="0" w:color="auto"/>
            <w:left w:val="none" w:sz="0" w:space="0" w:color="auto"/>
            <w:bottom w:val="none" w:sz="0" w:space="0" w:color="auto"/>
            <w:right w:val="none" w:sz="0" w:space="0" w:color="auto"/>
          </w:divBdr>
        </w:div>
        <w:div w:id="696008334">
          <w:marLeft w:val="0"/>
          <w:marRight w:val="0"/>
          <w:marTop w:val="0"/>
          <w:marBottom w:val="0"/>
          <w:divBdr>
            <w:top w:val="none" w:sz="0" w:space="0" w:color="auto"/>
            <w:left w:val="none" w:sz="0" w:space="0" w:color="auto"/>
            <w:bottom w:val="none" w:sz="0" w:space="0" w:color="auto"/>
            <w:right w:val="none" w:sz="0" w:space="0" w:color="auto"/>
          </w:divBdr>
        </w:div>
        <w:div w:id="2011515706">
          <w:marLeft w:val="0"/>
          <w:marRight w:val="0"/>
          <w:marTop w:val="0"/>
          <w:marBottom w:val="0"/>
          <w:divBdr>
            <w:top w:val="none" w:sz="0" w:space="0" w:color="auto"/>
            <w:left w:val="none" w:sz="0" w:space="0" w:color="auto"/>
            <w:bottom w:val="none" w:sz="0" w:space="0" w:color="auto"/>
            <w:right w:val="none" w:sz="0" w:space="0" w:color="auto"/>
          </w:divBdr>
        </w:div>
        <w:div w:id="110131248">
          <w:marLeft w:val="0"/>
          <w:marRight w:val="0"/>
          <w:marTop w:val="0"/>
          <w:marBottom w:val="0"/>
          <w:divBdr>
            <w:top w:val="none" w:sz="0" w:space="0" w:color="auto"/>
            <w:left w:val="none" w:sz="0" w:space="0" w:color="auto"/>
            <w:bottom w:val="none" w:sz="0" w:space="0" w:color="auto"/>
            <w:right w:val="none" w:sz="0" w:space="0" w:color="auto"/>
          </w:divBdr>
        </w:div>
        <w:div w:id="112793315">
          <w:marLeft w:val="0"/>
          <w:marRight w:val="0"/>
          <w:marTop w:val="0"/>
          <w:marBottom w:val="0"/>
          <w:divBdr>
            <w:top w:val="none" w:sz="0" w:space="0" w:color="auto"/>
            <w:left w:val="none" w:sz="0" w:space="0" w:color="auto"/>
            <w:bottom w:val="none" w:sz="0" w:space="0" w:color="auto"/>
            <w:right w:val="none" w:sz="0" w:space="0" w:color="auto"/>
          </w:divBdr>
        </w:div>
        <w:div w:id="535123595">
          <w:marLeft w:val="0"/>
          <w:marRight w:val="0"/>
          <w:marTop w:val="0"/>
          <w:marBottom w:val="0"/>
          <w:divBdr>
            <w:top w:val="none" w:sz="0" w:space="0" w:color="auto"/>
            <w:left w:val="none" w:sz="0" w:space="0" w:color="auto"/>
            <w:bottom w:val="none" w:sz="0" w:space="0" w:color="auto"/>
            <w:right w:val="none" w:sz="0" w:space="0" w:color="auto"/>
          </w:divBdr>
        </w:div>
        <w:div w:id="660235615">
          <w:marLeft w:val="0"/>
          <w:marRight w:val="0"/>
          <w:marTop w:val="0"/>
          <w:marBottom w:val="0"/>
          <w:divBdr>
            <w:top w:val="none" w:sz="0" w:space="0" w:color="auto"/>
            <w:left w:val="none" w:sz="0" w:space="0" w:color="auto"/>
            <w:bottom w:val="none" w:sz="0" w:space="0" w:color="auto"/>
            <w:right w:val="none" w:sz="0" w:space="0" w:color="auto"/>
          </w:divBdr>
        </w:div>
        <w:div w:id="374430226">
          <w:marLeft w:val="0"/>
          <w:marRight w:val="0"/>
          <w:marTop w:val="0"/>
          <w:marBottom w:val="0"/>
          <w:divBdr>
            <w:top w:val="none" w:sz="0" w:space="0" w:color="auto"/>
            <w:left w:val="none" w:sz="0" w:space="0" w:color="auto"/>
            <w:bottom w:val="none" w:sz="0" w:space="0" w:color="auto"/>
            <w:right w:val="none" w:sz="0" w:space="0" w:color="auto"/>
          </w:divBdr>
        </w:div>
        <w:div w:id="428702135">
          <w:marLeft w:val="0"/>
          <w:marRight w:val="0"/>
          <w:marTop w:val="0"/>
          <w:marBottom w:val="0"/>
          <w:divBdr>
            <w:top w:val="none" w:sz="0" w:space="0" w:color="auto"/>
            <w:left w:val="none" w:sz="0" w:space="0" w:color="auto"/>
            <w:bottom w:val="none" w:sz="0" w:space="0" w:color="auto"/>
            <w:right w:val="none" w:sz="0" w:space="0" w:color="auto"/>
          </w:divBdr>
        </w:div>
        <w:div w:id="72746678">
          <w:marLeft w:val="0"/>
          <w:marRight w:val="0"/>
          <w:marTop w:val="0"/>
          <w:marBottom w:val="0"/>
          <w:divBdr>
            <w:top w:val="none" w:sz="0" w:space="0" w:color="auto"/>
            <w:left w:val="none" w:sz="0" w:space="0" w:color="auto"/>
            <w:bottom w:val="none" w:sz="0" w:space="0" w:color="auto"/>
            <w:right w:val="none" w:sz="0" w:space="0" w:color="auto"/>
          </w:divBdr>
        </w:div>
        <w:div w:id="1939362442">
          <w:marLeft w:val="0"/>
          <w:marRight w:val="0"/>
          <w:marTop w:val="0"/>
          <w:marBottom w:val="0"/>
          <w:divBdr>
            <w:top w:val="none" w:sz="0" w:space="0" w:color="auto"/>
            <w:left w:val="none" w:sz="0" w:space="0" w:color="auto"/>
            <w:bottom w:val="none" w:sz="0" w:space="0" w:color="auto"/>
            <w:right w:val="none" w:sz="0" w:space="0" w:color="auto"/>
          </w:divBdr>
        </w:div>
        <w:div w:id="438991656">
          <w:marLeft w:val="0"/>
          <w:marRight w:val="0"/>
          <w:marTop w:val="0"/>
          <w:marBottom w:val="0"/>
          <w:divBdr>
            <w:top w:val="none" w:sz="0" w:space="0" w:color="auto"/>
            <w:left w:val="none" w:sz="0" w:space="0" w:color="auto"/>
            <w:bottom w:val="none" w:sz="0" w:space="0" w:color="auto"/>
            <w:right w:val="none" w:sz="0" w:space="0" w:color="auto"/>
          </w:divBdr>
        </w:div>
        <w:div w:id="1823500106">
          <w:marLeft w:val="0"/>
          <w:marRight w:val="0"/>
          <w:marTop w:val="0"/>
          <w:marBottom w:val="0"/>
          <w:divBdr>
            <w:top w:val="none" w:sz="0" w:space="0" w:color="auto"/>
            <w:left w:val="none" w:sz="0" w:space="0" w:color="auto"/>
            <w:bottom w:val="none" w:sz="0" w:space="0" w:color="auto"/>
            <w:right w:val="none" w:sz="0" w:space="0" w:color="auto"/>
          </w:divBdr>
        </w:div>
        <w:div w:id="527454136">
          <w:marLeft w:val="0"/>
          <w:marRight w:val="0"/>
          <w:marTop w:val="0"/>
          <w:marBottom w:val="0"/>
          <w:divBdr>
            <w:top w:val="none" w:sz="0" w:space="0" w:color="auto"/>
            <w:left w:val="none" w:sz="0" w:space="0" w:color="auto"/>
            <w:bottom w:val="none" w:sz="0" w:space="0" w:color="auto"/>
            <w:right w:val="none" w:sz="0" w:space="0" w:color="auto"/>
          </w:divBdr>
        </w:div>
        <w:div w:id="1886941597">
          <w:marLeft w:val="0"/>
          <w:marRight w:val="0"/>
          <w:marTop w:val="0"/>
          <w:marBottom w:val="0"/>
          <w:divBdr>
            <w:top w:val="none" w:sz="0" w:space="0" w:color="auto"/>
            <w:left w:val="none" w:sz="0" w:space="0" w:color="auto"/>
            <w:bottom w:val="none" w:sz="0" w:space="0" w:color="auto"/>
            <w:right w:val="none" w:sz="0" w:space="0" w:color="auto"/>
          </w:divBdr>
        </w:div>
        <w:div w:id="1360281917">
          <w:marLeft w:val="0"/>
          <w:marRight w:val="0"/>
          <w:marTop w:val="0"/>
          <w:marBottom w:val="0"/>
          <w:divBdr>
            <w:top w:val="none" w:sz="0" w:space="0" w:color="auto"/>
            <w:left w:val="none" w:sz="0" w:space="0" w:color="auto"/>
            <w:bottom w:val="none" w:sz="0" w:space="0" w:color="auto"/>
            <w:right w:val="none" w:sz="0" w:space="0" w:color="auto"/>
          </w:divBdr>
        </w:div>
        <w:div w:id="1480070028">
          <w:marLeft w:val="0"/>
          <w:marRight w:val="0"/>
          <w:marTop w:val="0"/>
          <w:marBottom w:val="0"/>
          <w:divBdr>
            <w:top w:val="none" w:sz="0" w:space="0" w:color="auto"/>
            <w:left w:val="none" w:sz="0" w:space="0" w:color="auto"/>
            <w:bottom w:val="none" w:sz="0" w:space="0" w:color="auto"/>
            <w:right w:val="none" w:sz="0" w:space="0" w:color="auto"/>
          </w:divBdr>
        </w:div>
        <w:div w:id="2056001214">
          <w:marLeft w:val="0"/>
          <w:marRight w:val="0"/>
          <w:marTop w:val="0"/>
          <w:marBottom w:val="0"/>
          <w:divBdr>
            <w:top w:val="none" w:sz="0" w:space="0" w:color="auto"/>
            <w:left w:val="none" w:sz="0" w:space="0" w:color="auto"/>
            <w:bottom w:val="none" w:sz="0" w:space="0" w:color="auto"/>
            <w:right w:val="none" w:sz="0" w:space="0" w:color="auto"/>
          </w:divBdr>
        </w:div>
        <w:div w:id="372735027">
          <w:marLeft w:val="0"/>
          <w:marRight w:val="0"/>
          <w:marTop w:val="0"/>
          <w:marBottom w:val="0"/>
          <w:divBdr>
            <w:top w:val="none" w:sz="0" w:space="0" w:color="auto"/>
            <w:left w:val="none" w:sz="0" w:space="0" w:color="auto"/>
            <w:bottom w:val="none" w:sz="0" w:space="0" w:color="auto"/>
            <w:right w:val="none" w:sz="0" w:space="0" w:color="auto"/>
          </w:divBdr>
        </w:div>
        <w:div w:id="1516142358">
          <w:marLeft w:val="0"/>
          <w:marRight w:val="0"/>
          <w:marTop w:val="0"/>
          <w:marBottom w:val="0"/>
          <w:divBdr>
            <w:top w:val="none" w:sz="0" w:space="0" w:color="auto"/>
            <w:left w:val="none" w:sz="0" w:space="0" w:color="auto"/>
            <w:bottom w:val="none" w:sz="0" w:space="0" w:color="auto"/>
            <w:right w:val="none" w:sz="0" w:space="0" w:color="auto"/>
          </w:divBdr>
        </w:div>
        <w:div w:id="483938588">
          <w:marLeft w:val="0"/>
          <w:marRight w:val="0"/>
          <w:marTop w:val="0"/>
          <w:marBottom w:val="0"/>
          <w:divBdr>
            <w:top w:val="none" w:sz="0" w:space="0" w:color="auto"/>
            <w:left w:val="none" w:sz="0" w:space="0" w:color="auto"/>
            <w:bottom w:val="none" w:sz="0" w:space="0" w:color="auto"/>
            <w:right w:val="none" w:sz="0" w:space="0" w:color="auto"/>
          </w:divBdr>
        </w:div>
        <w:div w:id="1177110673">
          <w:marLeft w:val="0"/>
          <w:marRight w:val="0"/>
          <w:marTop w:val="0"/>
          <w:marBottom w:val="0"/>
          <w:divBdr>
            <w:top w:val="none" w:sz="0" w:space="0" w:color="auto"/>
            <w:left w:val="none" w:sz="0" w:space="0" w:color="auto"/>
            <w:bottom w:val="none" w:sz="0" w:space="0" w:color="auto"/>
            <w:right w:val="none" w:sz="0" w:space="0" w:color="auto"/>
          </w:divBdr>
        </w:div>
        <w:div w:id="218253260">
          <w:marLeft w:val="0"/>
          <w:marRight w:val="0"/>
          <w:marTop w:val="0"/>
          <w:marBottom w:val="0"/>
          <w:divBdr>
            <w:top w:val="none" w:sz="0" w:space="0" w:color="auto"/>
            <w:left w:val="none" w:sz="0" w:space="0" w:color="auto"/>
            <w:bottom w:val="none" w:sz="0" w:space="0" w:color="auto"/>
            <w:right w:val="none" w:sz="0" w:space="0" w:color="auto"/>
          </w:divBdr>
        </w:div>
        <w:div w:id="2105110308">
          <w:marLeft w:val="0"/>
          <w:marRight w:val="0"/>
          <w:marTop w:val="0"/>
          <w:marBottom w:val="0"/>
          <w:divBdr>
            <w:top w:val="none" w:sz="0" w:space="0" w:color="auto"/>
            <w:left w:val="none" w:sz="0" w:space="0" w:color="auto"/>
            <w:bottom w:val="none" w:sz="0" w:space="0" w:color="auto"/>
            <w:right w:val="none" w:sz="0" w:space="0" w:color="auto"/>
          </w:divBdr>
        </w:div>
        <w:div w:id="1455060645">
          <w:marLeft w:val="0"/>
          <w:marRight w:val="0"/>
          <w:marTop w:val="0"/>
          <w:marBottom w:val="0"/>
          <w:divBdr>
            <w:top w:val="none" w:sz="0" w:space="0" w:color="auto"/>
            <w:left w:val="none" w:sz="0" w:space="0" w:color="auto"/>
            <w:bottom w:val="none" w:sz="0" w:space="0" w:color="auto"/>
            <w:right w:val="none" w:sz="0" w:space="0" w:color="auto"/>
          </w:divBdr>
        </w:div>
        <w:div w:id="811094815">
          <w:marLeft w:val="0"/>
          <w:marRight w:val="0"/>
          <w:marTop w:val="0"/>
          <w:marBottom w:val="0"/>
          <w:divBdr>
            <w:top w:val="none" w:sz="0" w:space="0" w:color="auto"/>
            <w:left w:val="none" w:sz="0" w:space="0" w:color="auto"/>
            <w:bottom w:val="none" w:sz="0" w:space="0" w:color="auto"/>
            <w:right w:val="none" w:sz="0" w:space="0" w:color="auto"/>
          </w:divBdr>
        </w:div>
        <w:div w:id="2137597397">
          <w:marLeft w:val="0"/>
          <w:marRight w:val="0"/>
          <w:marTop w:val="0"/>
          <w:marBottom w:val="0"/>
          <w:divBdr>
            <w:top w:val="none" w:sz="0" w:space="0" w:color="auto"/>
            <w:left w:val="none" w:sz="0" w:space="0" w:color="auto"/>
            <w:bottom w:val="none" w:sz="0" w:space="0" w:color="auto"/>
            <w:right w:val="none" w:sz="0" w:space="0" w:color="auto"/>
          </w:divBdr>
        </w:div>
        <w:div w:id="1752384260">
          <w:marLeft w:val="0"/>
          <w:marRight w:val="0"/>
          <w:marTop w:val="0"/>
          <w:marBottom w:val="0"/>
          <w:divBdr>
            <w:top w:val="none" w:sz="0" w:space="0" w:color="auto"/>
            <w:left w:val="none" w:sz="0" w:space="0" w:color="auto"/>
            <w:bottom w:val="none" w:sz="0" w:space="0" w:color="auto"/>
            <w:right w:val="none" w:sz="0" w:space="0" w:color="auto"/>
          </w:divBdr>
        </w:div>
        <w:div w:id="467599473">
          <w:marLeft w:val="0"/>
          <w:marRight w:val="0"/>
          <w:marTop w:val="0"/>
          <w:marBottom w:val="0"/>
          <w:divBdr>
            <w:top w:val="none" w:sz="0" w:space="0" w:color="auto"/>
            <w:left w:val="none" w:sz="0" w:space="0" w:color="auto"/>
            <w:bottom w:val="none" w:sz="0" w:space="0" w:color="auto"/>
            <w:right w:val="none" w:sz="0" w:space="0" w:color="auto"/>
          </w:divBdr>
        </w:div>
        <w:div w:id="2708326">
          <w:marLeft w:val="0"/>
          <w:marRight w:val="0"/>
          <w:marTop w:val="0"/>
          <w:marBottom w:val="0"/>
          <w:divBdr>
            <w:top w:val="none" w:sz="0" w:space="0" w:color="auto"/>
            <w:left w:val="none" w:sz="0" w:space="0" w:color="auto"/>
            <w:bottom w:val="none" w:sz="0" w:space="0" w:color="auto"/>
            <w:right w:val="none" w:sz="0" w:space="0" w:color="auto"/>
          </w:divBdr>
        </w:div>
        <w:div w:id="280110123">
          <w:marLeft w:val="0"/>
          <w:marRight w:val="0"/>
          <w:marTop w:val="0"/>
          <w:marBottom w:val="0"/>
          <w:divBdr>
            <w:top w:val="none" w:sz="0" w:space="0" w:color="auto"/>
            <w:left w:val="none" w:sz="0" w:space="0" w:color="auto"/>
            <w:bottom w:val="none" w:sz="0" w:space="0" w:color="auto"/>
            <w:right w:val="none" w:sz="0" w:space="0" w:color="auto"/>
          </w:divBdr>
        </w:div>
        <w:div w:id="475532657">
          <w:marLeft w:val="0"/>
          <w:marRight w:val="0"/>
          <w:marTop w:val="0"/>
          <w:marBottom w:val="0"/>
          <w:divBdr>
            <w:top w:val="none" w:sz="0" w:space="0" w:color="auto"/>
            <w:left w:val="none" w:sz="0" w:space="0" w:color="auto"/>
            <w:bottom w:val="none" w:sz="0" w:space="0" w:color="auto"/>
            <w:right w:val="none" w:sz="0" w:space="0" w:color="auto"/>
          </w:divBdr>
        </w:div>
        <w:div w:id="1049762111">
          <w:marLeft w:val="0"/>
          <w:marRight w:val="0"/>
          <w:marTop w:val="0"/>
          <w:marBottom w:val="0"/>
          <w:divBdr>
            <w:top w:val="none" w:sz="0" w:space="0" w:color="auto"/>
            <w:left w:val="none" w:sz="0" w:space="0" w:color="auto"/>
            <w:bottom w:val="none" w:sz="0" w:space="0" w:color="auto"/>
            <w:right w:val="none" w:sz="0" w:space="0" w:color="auto"/>
          </w:divBdr>
        </w:div>
        <w:div w:id="134688164">
          <w:marLeft w:val="0"/>
          <w:marRight w:val="0"/>
          <w:marTop w:val="0"/>
          <w:marBottom w:val="0"/>
          <w:divBdr>
            <w:top w:val="none" w:sz="0" w:space="0" w:color="auto"/>
            <w:left w:val="none" w:sz="0" w:space="0" w:color="auto"/>
            <w:bottom w:val="none" w:sz="0" w:space="0" w:color="auto"/>
            <w:right w:val="none" w:sz="0" w:space="0" w:color="auto"/>
          </w:divBdr>
        </w:div>
        <w:div w:id="326321782">
          <w:marLeft w:val="0"/>
          <w:marRight w:val="0"/>
          <w:marTop w:val="0"/>
          <w:marBottom w:val="0"/>
          <w:divBdr>
            <w:top w:val="none" w:sz="0" w:space="0" w:color="auto"/>
            <w:left w:val="none" w:sz="0" w:space="0" w:color="auto"/>
            <w:bottom w:val="none" w:sz="0" w:space="0" w:color="auto"/>
            <w:right w:val="none" w:sz="0" w:space="0" w:color="auto"/>
          </w:divBdr>
        </w:div>
        <w:div w:id="1251894974">
          <w:marLeft w:val="0"/>
          <w:marRight w:val="0"/>
          <w:marTop w:val="0"/>
          <w:marBottom w:val="0"/>
          <w:divBdr>
            <w:top w:val="none" w:sz="0" w:space="0" w:color="auto"/>
            <w:left w:val="none" w:sz="0" w:space="0" w:color="auto"/>
            <w:bottom w:val="none" w:sz="0" w:space="0" w:color="auto"/>
            <w:right w:val="none" w:sz="0" w:space="0" w:color="auto"/>
          </w:divBdr>
        </w:div>
        <w:div w:id="851994829">
          <w:marLeft w:val="0"/>
          <w:marRight w:val="0"/>
          <w:marTop w:val="0"/>
          <w:marBottom w:val="0"/>
          <w:divBdr>
            <w:top w:val="none" w:sz="0" w:space="0" w:color="auto"/>
            <w:left w:val="none" w:sz="0" w:space="0" w:color="auto"/>
            <w:bottom w:val="none" w:sz="0" w:space="0" w:color="auto"/>
            <w:right w:val="none" w:sz="0" w:space="0" w:color="auto"/>
          </w:divBdr>
        </w:div>
        <w:div w:id="601454048">
          <w:marLeft w:val="0"/>
          <w:marRight w:val="0"/>
          <w:marTop w:val="0"/>
          <w:marBottom w:val="0"/>
          <w:divBdr>
            <w:top w:val="none" w:sz="0" w:space="0" w:color="auto"/>
            <w:left w:val="none" w:sz="0" w:space="0" w:color="auto"/>
            <w:bottom w:val="none" w:sz="0" w:space="0" w:color="auto"/>
            <w:right w:val="none" w:sz="0" w:space="0" w:color="auto"/>
          </w:divBdr>
        </w:div>
        <w:div w:id="1082220093">
          <w:marLeft w:val="0"/>
          <w:marRight w:val="0"/>
          <w:marTop w:val="0"/>
          <w:marBottom w:val="0"/>
          <w:divBdr>
            <w:top w:val="none" w:sz="0" w:space="0" w:color="auto"/>
            <w:left w:val="none" w:sz="0" w:space="0" w:color="auto"/>
            <w:bottom w:val="none" w:sz="0" w:space="0" w:color="auto"/>
            <w:right w:val="none" w:sz="0" w:space="0" w:color="auto"/>
          </w:divBdr>
        </w:div>
        <w:div w:id="1629239546">
          <w:marLeft w:val="0"/>
          <w:marRight w:val="0"/>
          <w:marTop w:val="0"/>
          <w:marBottom w:val="0"/>
          <w:divBdr>
            <w:top w:val="none" w:sz="0" w:space="0" w:color="auto"/>
            <w:left w:val="none" w:sz="0" w:space="0" w:color="auto"/>
            <w:bottom w:val="none" w:sz="0" w:space="0" w:color="auto"/>
            <w:right w:val="none" w:sz="0" w:space="0" w:color="auto"/>
          </w:divBdr>
        </w:div>
        <w:div w:id="2052531218">
          <w:marLeft w:val="0"/>
          <w:marRight w:val="0"/>
          <w:marTop w:val="0"/>
          <w:marBottom w:val="0"/>
          <w:divBdr>
            <w:top w:val="none" w:sz="0" w:space="0" w:color="auto"/>
            <w:left w:val="none" w:sz="0" w:space="0" w:color="auto"/>
            <w:bottom w:val="none" w:sz="0" w:space="0" w:color="auto"/>
            <w:right w:val="none" w:sz="0" w:space="0" w:color="auto"/>
          </w:divBdr>
        </w:div>
        <w:div w:id="1732731114">
          <w:marLeft w:val="0"/>
          <w:marRight w:val="0"/>
          <w:marTop w:val="0"/>
          <w:marBottom w:val="0"/>
          <w:divBdr>
            <w:top w:val="none" w:sz="0" w:space="0" w:color="auto"/>
            <w:left w:val="none" w:sz="0" w:space="0" w:color="auto"/>
            <w:bottom w:val="none" w:sz="0" w:space="0" w:color="auto"/>
            <w:right w:val="none" w:sz="0" w:space="0" w:color="auto"/>
          </w:divBdr>
        </w:div>
        <w:div w:id="257644482">
          <w:marLeft w:val="0"/>
          <w:marRight w:val="0"/>
          <w:marTop w:val="0"/>
          <w:marBottom w:val="0"/>
          <w:divBdr>
            <w:top w:val="none" w:sz="0" w:space="0" w:color="auto"/>
            <w:left w:val="none" w:sz="0" w:space="0" w:color="auto"/>
            <w:bottom w:val="none" w:sz="0" w:space="0" w:color="auto"/>
            <w:right w:val="none" w:sz="0" w:space="0" w:color="auto"/>
          </w:divBdr>
        </w:div>
        <w:div w:id="1142117791">
          <w:marLeft w:val="0"/>
          <w:marRight w:val="0"/>
          <w:marTop w:val="0"/>
          <w:marBottom w:val="0"/>
          <w:divBdr>
            <w:top w:val="none" w:sz="0" w:space="0" w:color="auto"/>
            <w:left w:val="none" w:sz="0" w:space="0" w:color="auto"/>
            <w:bottom w:val="none" w:sz="0" w:space="0" w:color="auto"/>
            <w:right w:val="none" w:sz="0" w:space="0" w:color="auto"/>
          </w:divBdr>
        </w:div>
        <w:div w:id="1141381926">
          <w:marLeft w:val="0"/>
          <w:marRight w:val="0"/>
          <w:marTop w:val="0"/>
          <w:marBottom w:val="0"/>
          <w:divBdr>
            <w:top w:val="none" w:sz="0" w:space="0" w:color="auto"/>
            <w:left w:val="none" w:sz="0" w:space="0" w:color="auto"/>
            <w:bottom w:val="none" w:sz="0" w:space="0" w:color="auto"/>
            <w:right w:val="none" w:sz="0" w:space="0" w:color="auto"/>
          </w:divBdr>
        </w:div>
        <w:div w:id="37052692">
          <w:marLeft w:val="0"/>
          <w:marRight w:val="0"/>
          <w:marTop w:val="0"/>
          <w:marBottom w:val="0"/>
          <w:divBdr>
            <w:top w:val="none" w:sz="0" w:space="0" w:color="auto"/>
            <w:left w:val="none" w:sz="0" w:space="0" w:color="auto"/>
            <w:bottom w:val="none" w:sz="0" w:space="0" w:color="auto"/>
            <w:right w:val="none" w:sz="0" w:space="0" w:color="auto"/>
          </w:divBdr>
        </w:div>
        <w:div w:id="1653758358">
          <w:marLeft w:val="0"/>
          <w:marRight w:val="0"/>
          <w:marTop w:val="0"/>
          <w:marBottom w:val="0"/>
          <w:divBdr>
            <w:top w:val="none" w:sz="0" w:space="0" w:color="auto"/>
            <w:left w:val="none" w:sz="0" w:space="0" w:color="auto"/>
            <w:bottom w:val="none" w:sz="0" w:space="0" w:color="auto"/>
            <w:right w:val="none" w:sz="0" w:space="0" w:color="auto"/>
          </w:divBdr>
        </w:div>
        <w:div w:id="1673875207">
          <w:marLeft w:val="0"/>
          <w:marRight w:val="0"/>
          <w:marTop w:val="0"/>
          <w:marBottom w:val="0"/>
          <w:divBdr>
            <w:top w:val="none" w:sz="0" w:space="0" w:color="auto"/>
            <w:left w:val="none" w:sz="0" w:space="0" w:color="auto"/>
            <w:bottom w:val="none" w:sz="0" w:space="0" w:color="auto"/>
            <w:right w:val="none" w:sz="0" w:space="0" w:color="auto"/>
          </w:divBdr>
        </w:div>
        <w:div w:id="1275863320">
          <w:marLeft w:val="0"/>
          <w:marRight w:val="0"/>
          <w:marTop w:val="0"/>
          <w:marBottom w:val="0"/>
          <w:divBdr>
            <w:top w:val="none" w:sz="0" w:space="0" w:color="auto"/>
            <w:left w:val="none" w:sz="0" w:space="0" w:color="auto"/>
            <w:bottom w:val="none" w:sz="0" w:space="0" w:color="auto"/>
            <w:right w:val="none" w:sz="0" w:space="0" w:color="auto"/>
          </w:divBdr>
        </w:div>
        <w:div w:id="341320767">
          <w:marLeft w:val="0"/>
          <w:marRight w:val="0"/>
          <w:marTop w:val="0"/>
          <w:marBottom w:val="0"/>
          <w:divBdr>
            <w:top w:val="none" w:sz="0" w:space="0" w:color="auto"/>
            <w:left w:val="none" w:sz="0" w:space="0" w:color="auto"/>
            <w:bottom w:val="none" w:sz="0" w:space="0" w:color="auto"/>
            <w:right w:val="none" w:sz="0" w:space="0" w:color="auto"/>
          </w:divBdr>
        </w:div>
        <w:div w:id="439766375">
          <w:marLeft w:val="0"/>
          <w:marRight w:val="0"/>
          <w:marTop w:val="0"/>
          <w:marBottom w:val="0"/>
          <w:divBdr>
            <w:top w:val="none" w:sz="0" w:space="0" w:color="auto"/>
            <w:left w:val="none" w:sz="0" w:space="0" w:color="auto"/>
            <w:bottom w:val="none" w:sz="0" w:space="0" w:color="auto"/>
            <w:right w:val="none" w:sz="0" w:space="0" w:color="auto"/>
          </w:divBdr>
        </w:div>
        <w:div w:id="35207760">
          <w:marLeft w:val="0"/>
          <w:marRight w:val="0"/>
          <w:marTop w:val="0"/>
          <w:marBottom w:val="0"/>
          <w:divBdr>
            <w:top w:val="none" w:sz="0" w:space="0" w:color="auto"/>
            <w:left w:val="none" w:sz="0" w:space="0" w:color="auto"/>
            <w:bottom w:val="none" w:sz="0" w:space="0" w:color="auto"/>
            <w:right w:val="none" w:sz="0" w:space="0" w:color="auto"/>
          </w:divBdr>
        </w:div>
        <w:div w:id="928196698">
          <w:marLeft w:val="0"/>
          <w:marRight w:val="0"/>
          <w:marTop w:val="0"/>
          <w:marBottom w:val="0"/>
          <w:divBdr>
            <w:top w:val="none" w:sz="0" w:space="0" w:color="auto"/>
            <w:left w:val="none" w:sz="0" w:space="0" w:color="auto"/>
            <w:bottom w:val="none" w:sz="0" w:space="0" w:color="auto"/>
            <w:right w:val="none" w:sz="0" w:space="0" w:color="auto"/>
          </w:divBdr>
        </w:div>
        <w:div w:id="677539183">
          <w:marLeft w:val="0"/>
          <w:marRight w:val="0"/>
          <w:marTop w:val="0"/>
          <w:marBottom w:val="0"/>
          <w:divBdr>
            <w:top w:val="none" w:sz="0" w:space="0" w:color="auto"/>
            <w:left w:val="none" w:sz="0" w:space="0" w:color="auto"/>
            <w:bottom w:val="none" w:sz="0" w:space="0" w:color="auto"/>
            <w:right w:val="none" w:sz="0" w:space="0" w:color="auto"/>
          </w:divBdr>
        </w:div>
        <w:div w:id="1759477071">
          <w:marLeft w:val="0"/>
          <w:marRight w:val="0"/>
          <w:marTop w:val="0"/>
          <w:marBottom w:val="0"/>
          <w:divBdr>
            <w:top w:val="none" w:sz="0" w:space="0" w:color="auto"/>
            <w:left w:val="none" w:sz="0" w:space="0" w:color="auto"/>
            <w:bottom w:val="none" w:sz="0" w:space="0" w:color="auto"/>
            <w:right w:val="none" w:sz="0" w:space="0" w:color="auto"/>
          </w:divBdr>
        </w:div>
        <w:div w:id="2101412057">
          <w:marLeft w:val="0"/>
          <w:marRight w:val="0"/>
          <w:marTop w:val="0"/>
          <w:marBottom w:val="0"/>
          <w:divBdr>
            <w:top w:val="none" w:sz="0" w:space="0" w:color="auto"/>
            <w:left w:val="none" w:sz="0" w:space="0" w:color="auto"/>
            <w:bottom w:val="none" w:sz="0" w:space="0" w:color="auto"/>
            <w:right w:val="none" w:sz="0" w:space="0" w:color="auto"/>
          </w:divBdr>
        </w:div>
        <w:div w:id="6710843">
          <w:marLeft w:val="0"/>
          <w:marRight w:val="0"/>
          <w:marTop w:val="0"/>
          <w:marBottom w:val="0"/>
          <w:divBdr>
            <w:top w:val="none" w:sz="0" w:space="0" w:color="auto"/>
            <w:left w:val="none" w:sz="0" w:space="0" w:color="auto"/>
            <w:bottom w:val="none" w:sz="0" w:space="0" w:color="auto"/>
            <w:right w:val="none" w:sz="0" w:space="0" w:color="auto"/>
          </w:divBdr>
        </w:div>
        <w:div w:id="355278162">
          <w:marLeft w:val="0"/>
          <w:marRight w:val="0"/>
          <w:marTop w:val="0"/>
          <w:marBottom w:val="0"/>
          <w:divBdr>
            <w:top w:val="none" w:sz="0" w:space="0" w:color="auto"/>
            <w:left w:val="none" w:sz="0" w:space="0" w:color="auto"/>
            <w:bottom w:val="none" w:sz="0" w:space="0" w:color="auto"/>
            <w:right w:val="none" w:sz="0" w:space="0" w:color="auto"/>
          </w:divBdr>
        </w:div>
      </w:divsChild>
    </w:div>
    <w:div w:id="1219559542">
      <w:marLeft w:val="0"/>
      <w:marRight w:val="0"/>
      <w:marTop w:val="0"/>
      <w:marBottom w:val="0"/>
      <w:divBdr>
        <w:top w:val="none" w:sz="0" w:space="0" w:color="auto"/>
        <w:left w:val="none" w:sz="0" w:space="0" w:color="auto"/>
        <w:bottom w:val="none" w:sz="0" w:space="0" w:color="auto"/>
        <w:right w:val="none" w:sz="0" w:space="0" w:color="auto"/>
      </w:divBdr>
      <w:divsChild>
        <w:div w:id="800656213">
          <w:marLeft w:val="0"/>
          <w:marRight w:val="0"/>
          <w:marTop w:val="0"/>
          <w:marBottom w:val="0"/>
          <w:divBdr>
            <w:top w:val="none" w:sz="0" w:space="0" w:color="auto"/>
            <w:left w:val="none" w:sz="0" w:space="0" w:color="auto"/>
            <w:bottom w:val="none" w:sz="0" w:space="0" w:color="auto"/>
            <w:right w:val="none" w:sz="0" w:space="0" w:color="auto"/>
          </w:divBdr>
        </w:div>
      </w:divsChild>
    </w:div>
    <w:div w:id="1219584939">
      <w:marLeft w:val="0"/>
      <w:marRight w:val="0"/>
      <w:marTop w:val="0"/>
      <w:marBottom w:val="0"/>
      <w:divBdr>
        <w:top w:val="none" w:sz="0" w:space="0" w:color="auto"/>
        <w:left w:val="none" w:sz="0" w:space="0" w:color="auto"/>
        <w:bottom w:val="none" w:sz="0" w:space="0" w:color="auto"/>
        <w:right w:val="none" w:sz="0" w:space="0" w:color="auto"/>
      </w:divBdr>
      <w:divsChild>
        <w:div w:id="1392537656">
          <w:marLeft w:val="0"/>
          <w:marRight w:val="0"/>
          <w:marTop w:val="0"/>
          <w:marBottom w:val="0"/>
          <w:divBdr>
            <w:top w:val="none" w:sz="0" w:space="0" w:color="auto"/>
            <w:left w:val="none" w:sz="0" w:space="0" w:color="auto"/>
            <w:bottom w:val="none" w:sz="0" w:space="0" w:color="auto"/>
            <w:right w:val="none" w:sz="0" w:space="0" w:color="auto"/>
          </w:divBdr>
        </w:div>
      </w:divsChild>
    </w:div>
    <w:div w:id="1225487428">
      <w:marLeft w:val="0"/>
      <w:marRight w:val="0"/>
      <w:marTop w:val="0"/>
      <w:marBottom w:val="0"/>
      <w:divBdr>
        <w:top w:val="none" w:sz="0" w:space="0" w:color="auto"/>
        <w:left w:val="none" w:sz="0" w:space="0" w:color="auto"/>
        <w:bottom w:val="none" w:sz="0" w:space="0" w:color="auto"/>
        <w:right w:val="none" w:sz="0" w:space="0" w:color="auto"/>
      </w:divBdr>
      <w:divsChild>
        <w:div w:id="2028632862">
          <w:marLeft w:val="0"/>
          <w:marRight w:val="0"/>
          <w:marTop w:val="0"/>
          <w:marBottom w:val="0"/>
          <w:divBdr>
            <w:top w:val="none" w:sz="0" w:space="0" w:color="auto"/>
            <w:left w:val="none" w:sz="0" w:space="0" w:color="auto"/>
            <w:bottom w:val="none" w:sz="0" w:space="0" w:color="auto"/>
            <w:right w:val="none" w:sz="0" w:space="0" w:color="auto"/>
          </w:divBdr>
        </w:div>
      </w:divsChild>
    </w:div>
    <w:div w:id="1226067076">
      <w:bodyDiv w:val="1"/>
      <w:marLeft w:val="0"/>
      <w:marRight w:val="0"/>
      <w:marTop w:val="0"/>
      <w:marBottom w:val="0"/>
      <w:divBdr>
        <w:top w:val="none" w:sz="0" w:space="0" w:color="auto"/>
        <w:left w:val="none" w:sz="0" w:space="0" w:color="auto"/>
        <w:bottom w:val="none" w:sz="0" w:space="0" w:color="auto"/>
        <w:right w:val="none" w:sz="0" w:space="0" w:color="auto"/>
      </w:divBdr>
    </w:div>
    <w:div w:id="1230263956">
      <w:marLeft w:val="0"/>
      <w:marRight w:val="0"/>
      <w:marTop w:val="0"/>
      <w:marBottom w:val="0"/>
      <w:divBdr>
        <w:top w:val="none" w:sz="0" w:space="0" w:color="auto"/>
        <w:left w:val="none" w:sz="0" w:space="0" w:color="auto"/>
        <w:bottom w:val="none" w:sz="0" w:space="0" w:color="auto"/>
        <w:right w:val="none" w:sz="0" w:space="0" w:color="auto"/>
      </w:divBdr>
      <w:divsChild>
        <w:div w:id="910382154">
          <w:marLeft w:val="0"/>
          <w:marRight w:val="0"/>
          <w:marTop w:val="0"/>
          <w:marBottom w:val="0"/>
          <w:divBdr>
            <w:top w:val="none" w:sz="0" w:space="0" w:color="auto"/>
            <w:left w:val="none" w:sz="0" w:space="0" w:color="auto"/>
            <w:bottom w:val="none" w:sz="0" w:space="0" w:color="auto"/>
            <w:right w:val="none" w:sz="0" w:space="0" w:color="auto"/>
          </w:divBdr>
        </w:div>
      </w:divsChild>
    </w:div>
    <w:div w:id="1230919303">
      <w:bodyDiv w:val="1"/>
      <w:marLeft w:val="0"/>
      <w:marRight w:val="0"/>
      <w:marTop w:val="0"/>
      <w:marBottom w:val="0"/>
      <w:divBdr>
        <w:top w:val="none" w:sz="0" w:space="0" w:color="auto"/>
        <w:left w:val="none" w:sz="0" w:space="0" w:color="auto"/>
        <w:bottom w:val="none" w:sz="0" w:space="0" w:color="auto"/>
        <w:right w:val="none" w:sz="0" w:space="0" w:color="auto"/>
      </w:divBdr>
    </w:div>
    <w:div w:id="1231503434">
      <w:marLeft w:val="0"/>
      <w:marRight w:val="0"/>
      <w:marTop w:val="0"/>
      <w:marBottom w:val="0"/>
      <w:divBdr>
        <w:top w:val="none" w:sz="0" w:space="0" w:color="auto"/>
        <w:left w:val="none" w:sz="0" w:space="0" w:color="auto"/>
        <w:bottom w:val="none" w:sz="0" w:space="0" w:color="auto"/>
        <w:right w:val="none" w:sz="0" w:space="0" w:color="auto"/>
      </w:divBdr>
      <w:divsChild>
        <w:div w:id="278146130">
          <w:marLeft w:val="0"/>
          <w:marRight w:val="0"/>
          <w:marTop w:val="0"/>
          <w:marBottom w:val="0"/>
          <w:divBdr>
            <w:top w:val="none" w:sz="0" w:space="0" w:color="auto"/>
            <w:left w:val="none" w:sz="0" w:space="0" w:color="auto"/>
            <w:bottom w:val="none" w:sz="0" w:space="0" w:color="auto"/>
            <w:right w:val="none" w:sz="0" w:space="0" w:color="auto"/>
          </w:divBdr>
        </w:div>
      </w:divsChild>
    </w:div>
    <w:div w:id="1234850155">
      <w:marLeft w:val="0"/>
      <w:marRight w:val="0"/>
      <w:marTop w:val="0"/>
      <w:marBottom w:val="0"/>
      <w:divBdr>
        <w:top w:val="none" w:sz="0" w:space="0" w:color="auto"/>
        <w:left w:val="none" w:sz="0" w:space="0" w:color="auto"/>
        <w:bottom w:val="none" w:sz="0" w:space="0" w:color="auto"/>
        <w:right w:val="none" w:sz="0" w:space="0" w:color="auto"/>
      </w:divBdr>
      <w:divsChild>
        <w:div w:id="1832330371">
          <w:marLeft w:val="0"/>
          <w:marRight w:val="0"/>
          <w:marTop w:val="0"/>
          <w:marBottom w:val="0"/>
          <w:divBdr>
            <w:top w:val="none" w:sz="0" w:space="0" w:color="auto"/>
            <w:left w:val="none" w:sz="0" w:space="0" w:color="auto"/>
            <w:bottom w:val="none" w:sz="0" w:space="0" w:color="auto"/>
            <w:right w:val="none" w:sz="0" w:space="0" w:color="auto"/>
          </w:divBdr>
        </w:div>
      </w:divsChild>
    </w:div>
    <w:div w:id="1235047855">
      <w:bodyDiv w:val="1"/>
      <w:marLeft w:val="0"/>
      <w:marRight w:val="0"/>
      <w:marTop w:val="0"/>
      <w:marBottom w:val="0"/>
      <w:divBdr>
        <w:top w:val="none" w:sz="0" w:space="0" w:color="auto"/>
        <w:left w:val="none" w:sz="0" w:space="0" w:color="auto"/>
        <w:bottom w:val="none" w:sz="0" w:space="0" w:color="auto"/>
        <w:right w:val="none" w:sz="0" w:space="0" w:color="auto"/>
      </w:divBdr>
    </w:div>
    <w:div w:id="1236816707">
      <w:marLeft w:val="0"/>
      <w:marRight w:val="0"/>
      <w:marTop w:val="0"/>
      <w:marBottom w:val="0"/>
      <w:divBdr>
        <w:top w:val="none" w:sz="0" w:space="0" w:color="auto"/>
        <w:left w:val="none" w:sz="0" w:space="0" w:color="auto"/>
        <w:bottom w:val="none" w:sz="0" w:space="0" w:color="auto"/>
        <w:right w:val="none" w:sz="0" w:space="0" w:color="auto"/>
      </w:divBdr>
      <w:divsChild>
        <w:div w:id="1280260242">
          <w:marLeft w:val="0"/>
          <w:marRight w:val="0"/>
          <w:marTop w:val="0"/>
          <w:marBottom w:val="0"/>
          <w:divBdr>
            <w:top w:val="none" w:sz="0" w:space="0" w:color="auto"/>
            <w:left w:val="none" w:sz="0" w:space="0" w:color="auto"/>
            <w:bottom w:val="none" w:sz="0" w:space="0" w:color="auto"/>
            <w:right w:val="none" w:sz="0" w:space="0" w:color="auto"/>
          </w:divBdr>
        </w:div>
      </w:divsChild>
    </w:div>
    <w:div w:id="1236936636">
      <w:bodyDiv w:val="1"/>
      <w:marLeft w:val="0"/>
      <w:marRight w:val="0"/>
      <w:marTop w:val="0"/>
      <w:marBottom w:val="0"/>
      <w:divBdr>
        <w:top w:val="none" w:sz="0" w:space="0" w:color="auto"/>
        <w:left w:val="none" w:sz="0" w:space="0" w:color="auto"/>
        <w:bottom w:val="none" w:sz="0" w:space="0" w:color="auto"/>
        <w:right w:val="none" w:sz="0" w:space="0" w:color="auto"/>
      </w:divBdr>
      <w:divsChild>
        <w:div w:id="258831484">
          <w:marLeft w:val="0"/>
          <w:marRight w:val="0"/>
          <w:marTop w:val="0"/>
          <w:marBottom w:val="0"/>
          <w:divBdr>
            <w:top w:val="none" w:sz="0" w:space="0" w:color="auto"/>
            <w:left w:val="none" w:sz="0" w:space="0" w:color="auto"/>
            <w:bottom w:val="none" w:sz="0" w:space="0" w:color="auto"/>
            <w:right w:val="none" w:sz="0" w:space="0" w:color="auto"/>
          </w:divBdr>
          <w:divsChild>
            <w:div w:id="1542521126">
              <w:marLeft w:val="0"/>
              <w:marRight w:val="0"/>
              <w:marTop w:val="0"/>
              <w:marBottom w:val="0"/>
              <w:divBdr>
                <w:top w:val="none" w:sz="0" w:space="0" w:color="auto"/>
                <w:left w:val="none" w:sz="0" w:space="0" w:color="auto"/>
                <w:bottom w:val="none" w:sz="0" w:space="0" w:color="auto"/>
                <w:right w:val="none" w:sz="0" w:space="0" w:color="auto"/>
              </w:divBdr>
              <w:divsChild>
                <w:div w:id="992299186">
                  <w:marLeft w:val="0"/>
                  <w:marRight w:val="0"/>
                  <w:marTop w:val="0"/>
                  <w:marBottom w:val="0"/>
                  <w:divBdr>
                    <w:top w:val="none" w:sz="0" w:space="0" w:color="auto"/>
                    <w:left w:val="none" w:sz="0" w:space="0" w:color="auto"/>
                    <w:bottom w:val="none" w:sz="0" w:space="0" w:color="auto"/>
                    <w:right w:val="none" w:sz="0" w:space="0" w:color="auto"/>
                  </w:divBdr>
                </w:div>
                <w:div w:id="2088260910">
                  <w:marLeft w:val="0"/>
                  <w:marRight w:val="0"/>
                  <w:marTop w:val="0"/>
                  <w:marBottom w:val="0"/>
                  <w:divBdr>
                    <w:top w:val="none" w:sz="0" w:space="0" w:color="auto"/>
                    <w:left w:val="none" w:sz="0" w:space="0" w:color="auto"/>
                    <w:bottom w:val="none" w:sz="0" w:space="0" w:color="auto"/>
                    <w:right w:val="none" w:sz="0" w:space="0" w:color="auto"/>
                  </w:divBdr>
                </w:div>
                <w:div w:id="1439642194">
                  <w:marLeft w:val="0"/>
                  <w:marRight w:val="0"/>
                  <w:marTop w:val="0"/>
                  <w:marBottom w:val="0"/>
                  <w:divBdr>
                    <w:top w:val="none" w:sz="0" w:space="0" w:color="auto"/>
                    <w:left w:val="none" w:sz="0" w:space="0" w:color="auto"/>
                    <w:bottom w:val="none" w:sz="0" w:space="0" w:color="auto"/>
                    <w:right w:val="none" w:sz="0" w:space="0" w:color="auto"/>
                  </w:divBdr>
                </w:div>
                <w:div w:id="2136408194">
                  <w:marLeft w:val="0"/>
                  <w:marRight w:val="0"/>
                  <w:marTop w:val="0"/>
                  <w:marBottom w:val="0"/>
                  <w:divBdr>
                    <w:top w:val="none" w:sz="0" w:space="0" w:color="auto"/>
                    <w:left w:val="none" w:sz="0" w:space="0" w:color="auto"/>
                    <w:bottom w:val="none" w:sz="0" w:space="0" w:color="auto"/>
                    <w:right w:val="none" w:sz="0" w:space="0" w:color="auto"/>
                  </w:divBdr>
                </w:div>
                <w:div w:id="1912764291">
                  <w:marLeft w:val="0"/>
                  <w:marRight w:val="0"/>
                  <w:marTop w:val="0"/>
                  <w:marBottom w:val="0"/>
                  <w:divBdr>
                    <w:top w:val="none" w:sz="0" w:space="0" w:color="auto"/>
                    <w:left w:val="none" w:sz="0" w:space="0" w:color="auto"/>
                    <w:bottom w:val="none" w:sz="0" w:space="0" w:color="auto"/>
                    <w:right w:val="none" w:sz="0" w:space="0" w:color="auto"/>
                  </w:divBdr>
                </w:div>
                <w:div w:id="362753854">
                  <w:marLeft w:val="0"/>
                  <w:marRight w:val="0"/>
                  <w:marTop w:val="0"/>
                  <w:marBottom w:val="0"/>
                  <w:divBdr>
                    <w:top w:val="none" w:sz="0" w:space="0" w:color="auto"/>
                    <w:left w:val="none" w:sz="0" w:space="0" w:color="auto"/>
                    <w:bottom w:val="none" w:sz="0" w:space="0" w:color="auto"/>
                    <w:right w:val="none" w:sz="0" w:space="0" w:color="auto"/>
                  </w:divBdr>
                </w:div>
                <w:div w:id="1820153712">
                  <w:marLeft w:val="0"/>
                  <w:marRight w:val="0"/>
                  <w:marTop w:val="0"/>
                  <w:marBottom w:val="0"/>
                  <w:divBdr>
                    <w:top w:val="none" w:sz="0" w:space="0" w:color="auto"/>
                    <w:left w:val="none" w:sz="0" w:space="0" w:color="auto"/>
                    <w:bottom w:val="none" w:sz="0" w:space="0" w:color="auto"/>
                    <w:right w:val="none" w:sz="0" w:space="0" w:color="auto"/>
                  </w:divBdr>
                </w:div>
                <w:div w:id="213152933">
                  <w:marLeft w:val="0"/>
                  <w:marRight w:val="0"/>
                  <w:marTop w:val="0"/>
                  <w:marBottom w:val="0"/>
                  <w:divBdr>
                    <w:top w:val="none" w:sz="0" w:space="0" w:color="auto"/>
                    <w:left w:val="none" w:sz="0" w:space="0" w:color="auto"/>
                    <w:bottom w:val="none" w:sz="0" w:space="0" w:color="auto"/>
                    <w:right w:val="none" w:sz="0" w:space="0" w:color="auto"/>
                  </w:divBdr>
                </w:div>
                <w:div w:id="3717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81119">
          <w:marLeft w:val="0"/>
          <w:marRight w:val="0"/>
          <w:marTop w:val="0"/>
          <w:marBottom w:val="0"/>
          <w:divBdr>
            <w:top w:val="none" w:sz="0" w:space="0" w:color="auto"/>
            <w:left w:val="none" w:sz="0" w:space="0" w:color="auto"/>
            <w:bottom w:val="none" w:sz="0" w:space="0" w:color="auto"/>
            <w:right w:val="none" w:sz="0" w:space="0" w:color="auto"/>
          </w:divBdr>
        </w:div>
        <w:div w:id="720515210">
          <w:marLeft w:val="0"/>
          <w:marRight w:val="0"/>
          <w:marTop w:val="0"/>
          <w:marBottom w:val="0"/>
          <w:divBdr>
            <w:top w:val="none" w:sz="0" w:space="0" w:color="auto"/>
            <w:left w:val="none" w:sz="0" w:space="0" w:color="auto"/>
            <w:bottom w:val="none" w:sz="0" w:space="0" w:color="auto"/>
            <w:right w:val="none" w:sz="0" w:space="0" w:color="auto"/>
          </w:divBdr>
        </w:div>
        <w:div w:id="771517020">
          <w:marLeft w:val="0"/>
          <w:marRight w:val="0"/>
          <w:marTop w:val="0"/>
          <w:marBottom w:val="0"/>
          <w:divBdr>
            <w:top w:val="none" w:sz="0" w:space="0" w:color="auto"/>
            <w:left w:val="none" w:sz="0" w:space="0" w:color="auto"/>
            <w:bottom w:val="none" w:sz="0" w:space="0" w:color="auto"/>
            <w:right w:val="none" w:sz="0" w:space="0" w:color="auto"/>
          </w:divBdr>
        </w:div>
        <w:div w:id="1804500493">
          <w:marLeft w:val="0"/>
          <w:marRight w:val="0"/>
          <w:marTop w:val="0"/>
          <w:marBottom w:val="0"/>
          <w:divBdr>
            <w:top w:val="none" w:sz="0" w:space="0" w:color="auto"/>
            <w:left w:val="none" w:sz="0" w:space="0" w:color="auto"/>
            <w:bottom w:val="none" w:sz="0" w:space="0" w:color="auto"/>
            <w:right w:val="none" w:sz="0" w:space="0" w:color="auto"/>
          </w:divBdr>
        </w:div>
        <w:div w:id="1727072769">
          <w:marLeft w:val="0"/>
          <w:marRight w:val="0"/>
          <w:marTop w:val="0"/>
          <w:marBottom w:val="0"/>
          <w:divBdr>
            <w:top w:val="none" w:sz="0" w:space="0" w:color="auto"/>
            <w:left w:val="none" w:sz="0" w:space="0" w:color="auto"/>
            <w:bottom w:val="none" w:sz="0" w:space="0" w:color="auto"/>
            <w:right w:val="none" w:sz="0" w:space="0" w:color="auto"/>
          </w:divBdr>
        </w:div>
        <w:div w:id="1585259564">
          <w:marLeft w:val="0"/>
          <w:marRight w:val="0"/>
          <w:marTop w:val="0"/>
          <w:marBottom w:val="0"/>
          <w:divBdr>
            <w:top w:val="none" w:sz="0" w:space="0" w:color="auto"/>
            <w:left w:val="none" w:sz="0" w:space="0" w:color="auto"/>
            <w:bottom w:val="none" w:sz="0" w:space="0" w:color="auto"/>
            <w:right w:val="none" w:sz="0" w:space="0" w:color="auto"/>
          </w:divBdr>
        </w:div>
        <w:div w:id="1308433885">
          <w:marLeft w:val="0"/>
          <w:marRight w:val="0"/>
          <w:marTop w:val="0"/>
          <w:marBottom w:val="0"/>
          <w:divBdr>
            <w:top w:val="none" w:sz="0" w:space="0" w:color="auto"/>
            <w:left w:val="none" w:sz="0" w:space="0" w:color="auto"/>
            <w:bottom w:val="none" w:sz="0" w:space="0" w:color="auto"/>
            <w:right w:val="none" w:sz="0" w:space="0" w:color="auto"/>
          </w:divBdr>
        </w:div>
        <w:div w:id="811022801">
          <w:marLeft w:val="0"/>
          <w:marRight w:val="0"/>
          <w:marTop w:val="0"/>
          <w:marBottom w:val="0"/>
          <w:divBdr>
            <w:top w:val="none" w:sz="0" w:space="0" w:color="auto"/>
            <w:left w:val="none" w:sz="0" w:space="0" w:color="auto"/>
            <w:bottom w:val="none" w:sz="0" w:space="0" w:color="auto"/>
            <w:right w:val="none" w:sz="0" w:space="0" w:color="auto"/>
          </w:divBdr>
        </w:div>
        <w:div w:id="554854336">
          <w:marLeft w:val="0"/>
          <w:marRight w:val="0"/>
          <w:marTop w:val="0"/>
          <w:marBottom w:val="0"/>
          <w:divBdr>
            <w:top w:val="none" w:sz="0" w:space="0" w:color="auto"/>
            <w:left w:val="none" w:sz="0" w:space="0" w:color="auto"/>
            <w:bottom w:val="none" w:sz="0" w:space="0" w:color="auto"/>
            <w:right w:val="none" w:sz="0" w:space="0" w:color="auto"/>
          </w:divBdr>
        </w:div>
        <w:div w:id="1179612425">
          <w:marLeft w:val="0"/>
          <w:marRight w:val="0"/>
          <w:marTop w:val="0"/>
          <w:marBottom w:val="0"/>
          <w:divBdr>
            <w:top w:val="none" w:sz="0" w:space="0" w:color="auto"/>
            <w:left w:val="none" w:sz="0" w:space="0" w:color="auto"/>
            <w:bottom w:val="none" w:sz="0" w:space="0" w:color="auto"/>
            <w:right w:val="none" w:sz="0" w:space="0" w:color="auto"/>
          </w:divBdr>
        </w:div>
        <w:div w:id="814690">
          <w:marLeft w:val="0"/>
          <w:marRight w:val="0"/>
          <w:marTop w:val="0"/>
          <w:marBottom w:val="0"/>
          <w:divBdr>
            <w:top w:val="none" w:sz="0" w:space="0" w:color="auto"/>
            <w:left w:val="none" w:sz="0" w:space="0" w:color="auto"/>
            <w:bottom w:val="none" w:sz="0" w:space="0" w:color="auto"/>
            <w:right w:val="none" w:sz="0" w:space="0" w:color="auto"/>
          </w:divBdr>
        </w:div>
        <w:div w:id="1304500228">
          <w:marLeft w:val="0"/>
          <w:marRight w:val="0"/>
          <w:marTop w:val="0"/>
          <w:marBottom w:val="0"/>
          <w:divBdr>
            <w:top w:val="none" w:sz="0" w:space="0" w:color="auto"/>
            <w:left w:val="none" w:sz="0" w:space="0" w:color="auto"/>
            <w:bottom w:val="none" w:sz="0" w:space="0" w:color="auto"/>
            <w:right w:val="none" w:sz="0" w:space="0" w:color="auto"/>
          </w:divBdr>
        </w:div>
        <w:div w:id="1646815570">
          <w:marLeft w:val="0"/>
          <w:marRight w:val="0"/>
          <w:marTop w:val="0"/>
          <w:marBottom w:val="0"/>
          <w:divBdr>
            <w:top w:val="none" w:sz="0" w:space="0" w:color="auto"/>
            <w:left w:val="none" w:sz="0" w:space="0" w:color="auto"/>
            <w:bottom w:val="none" w:sz="0" w:space="0" w:color="auto"/>
            <w:right w:val="none" w:sz="0" w:space="0" w:color="auto"/>
          </w:divBdr>
        </w:div>
        <w:div w:id="314187597">
          <w:marLeft w:val="0"/>
          <w:marRight w:val="0"/>
          <w:marTop w:val="0"/>
          <w:marBottom w:val="0"/>
          <w:divBdr>
            <w:top w:val="none" w:sz="0" w:space="0" w:color="auto"/>
            <w:left w:val="none" w:sz="0" w:space="0" w:color="auto"/>
            <w:bottom w:val="none" w:sz="0" w:space="0" w:color="auto"/>
            <w:right w:val="none" w:sz="0" w:space="0" w:color="auto"/>
          </w:divBdr>
        </w:div>
        <w:div w:id="1357923066">
          <w:marLeft w:val="0"/>
          <w:marRight w:val="0"/>
          <w:marTop w:val="0"/>
          <w:marBottom w:val="0"/>
          <w:divBdr>
            <w:top w:val="none" w:sz="0" w:space="0" w:color="auto"/>
            <w:left w:val="none" w:sz="0" w:space="0" w:color="auto"/>
            <w:bottom w:val="none" w:sz="0" w:space="0" w:color="auto"/>
            <w:right w:val="none" w:sz="0" w:space="0" w:color="auto"/>
          </w:divBdr>
        </w:div>
        <w:div w:id="293945745">
          <w:marLeft w:val="0"/>
          <w:marRight w:val="0"/>
          <w:marTop w:val="0"/>
          <w:marBottom w:val="0"/>
          <w:divBdr>
            <w:top w:val="none" w:sz="0" w:space="0" w:color="auto"/>
            <w:left w:val="none" w:sz="0" w:space="0" w:color="auto"/>
            <w:bottom w:val="none" w:sz="0" w:space="0" w:color="auto"/>
            <w:right w:val="none" w:sz="0" w:space="0" w:color="auto"/>
          </w:divBdr>
        </w:div>
        <w:div w:id="63531686">
          <w:marLeft w:val="0"/>
          <w:marRight w:val="0"/>
          <w:marTop w:val="0"/>
          <w:marBottom w:val="0"/>
          <w:divBdr>
            <w:top w:val="none" w:sz="0" w:space="0" w:color="auto"/>
            <w:left w:val="none" w:sz="0" w:space="0" w:color="auto"/>
            <w:bottom w:val="none" w:sz="0" w:space="0" w:color="auto"/>
            <w:right w:val="none" w:sz="0" w:space="0" w:color="auto"/>
          </w:divBdr>
        </w:div>
        <w:div w:id="2048682418">
          <w:marLeft w:val="0"/>
          <w:marRight w:val="0"/>
          <w:marTop w:val="0"/>
          <w:marBottom w:val="0"/>
          <w:divBdr>
            <w:top w:val="none" w:sz="0" w:space="0" w:color="auto"/>
            <w:left w:val="none" w:sz="0" w:space="0" w:color="auto"/>
            <w:bottom w:val="none" w:sz="0" w:space="0" w:color="auto"/>
            <w:right w:val="none" w:sz="0" w:space="0" w:color="auto"/>
          </w:divBdr>
        </w:div>
        <w:div w:id="1945795779">
          <w:marLeft w:val="0"/>
          <w:marRight w:val="0"/>
          <w:marTop w:val="0"/>
          <w:marBottom w:val="0"/>
          <w:divBdr>
            <w:top w:val="none" w:sz="0" w:space="0" w:color="auto"/>
            <w:left w:val="none" w:sz="0" w:space="0" w:color="auto"/>
            <w:bottom w:val="none" w:sz="0" w:space="0" w:color="auto"/>
            <w:right w:val="none" w:sz="0" w:space="0" w:color="auto"/>
          </w:divBdr>
        </w:div>
        <w:div w:id="2009550203">
          <w:marLeft w:val="0"/>
          <w:marRight w:val="0"/>
          <w:marTop w:val="0"/>
          <w:marBottom w:val="0"/>
          <w:divBdr>
            <w:top w:val="none" w:sz="0" w:space="0" w:color="auto"/>
            <w:left w:val="none" w:sz="0" w:space="0" w:color="auto"/>
            <w:bottom w:val="none" w:sz="0" w:space="0" w:color="auto"/>
            <w:right w:val="none" w:sz="0" w:space="0" w:color="auto"/>
          </w:divBdr>
        </w:div>
        <w:div w:id="355422348">
          <w:marLeft w:val="0"/>
          <w:marRight w:val="0"/>
          <w:marTop w:val="0"/>
          <w:marBottom w:val="0"/>
          <w:divBdr>
            <w:top w:val="none" w:sz="0" w:space="0" w:color="auto"/>
            <w:left w:val="none" w:sz="0" w:space="0" w:color="auto"/>
            <w:bottom w:val="none" w:sz="0" w:space="0" w:color="auto"/>
            <w:right w:val="none" w:sz="0" w:space="0" w:color="auto"/>
          </w:divBdr>
        </w:div>
        <w:div w:id="837498450">
          <w:marLeft w:val="0"/>
          <w:marRight w:val="0"/>
          <w:marTop w:val="0"/>
          <w:marBottom w:val="0"/>
          <w:divBdr>
            <w:top w:val="none" w:sz="0" w:space="0" w:color="auto"/>
            <w:left w:val="none" w:sz="0" w:space="0" w:color="auto"/>
            <w:bottom w:val="none" w:sz="0" w:space="0" w:color="auto"/>
            <w:right w:val="none" w:sz="0" w:space="0" w:color="auto"/>
          </w:divBdr>
        </w:div>
        <w:div w:id="1952475403">
          <w:marLeft w:val="0"/>
          <w:marRight w:val="0"/>
          <w:marTop w:val="0"/>
          <w:marBottom w:val="0"/>
          <w:divBdr>
            <w:top w:val="none" w:sz="0" w:space="0" w:color="auto"/>
            <w:left w:val="none" w:sz="0" w:space="0" w:color="auto"/>
            <w:bottom w:val="none" w:sz="0" w:space="0" w:color="auto"/>
            <w:right w:val="none" w:sz="0" w:space="0" w:color="auto"/>
          </w:divBdr>
        </w:div>
        <w:div w:id="1888225990">
          <w:marLeft w:val="0"/>
          <w:marRight w:val="0"/>
          <w:marTop w:val="0"/>
          <w:marBottom w:val="0"/>
          <w:divBdr>
            <w:top w:val="none" w:sz="0" w:space="0" w:color="auto"/>
            <w:left w:val="none" w:sz="0" w:space="0" w:color="auto"/>
            <w:bottom w:val="none" w:sz="0" w:space="0" w:color="auto"/>
            <w:right w:val="none" w:sz="0" w:space="0" w:color="auto"/>
          </w:divBdr>
        </w:div>
      </w:divsChild>
    </w:div>
    <w:div w:id="1241141906">
      <w:marLeft w:val="0"/>
      <w:marRight w:val="0"/>
      <w:marTop w:val="0"/>
      <w:marBottom w:val="0"/>
      <w:divBdr>
        <w:top w:val="none" w:sz="0" w:space="0" w:color="auto"/>
        <w:left w:val="none" w:sz="0" w:space="0" w:color="auto"/>
        <w:bottom w:val="none" w:sz="0" w:space="0" w:color="auto"/>
        <w:right w:val="none" w:sz="0" w:space="0" w:color="auto"/>
      </w:divBdr>
      <w:divsChild>
        <w:div w:id="914164305">
          <w:marLeft w:val="0"/>
          <w:marRight w:val="0"/>
          <w:marTop w:val="0"/>
          <w:marBottom w:val="0"/>
          <w:divBdr>
            <w:top w:val="none" w:sz="0" w:space="0" w:color="auto"/>
            <w:left w:val="none" w:sz="0" w:space="0" w:color="auto"/>
            <w:bottom w:val="none" w:sz="0" w:space="0" w:color="auto"/>
            <w:right w:val="none" w:sz="0" w:space="0" w:color="auto"/>
          </w:divBdr>
        </w:div>
      </w:divsChild>
    </w:div>
    <w:div w:id="1246374463">
      <w:marLeft w:val="0"/>
      <w:marRight w:val="0"/>
      <w:marTop w:val="0"/>
      <w:marBottom w:val="0"/>
      <w:divBdr>
        <w:top w:val="none" w:sz="0" w:space="0" w:color="auto"/>
        <w:left w:val="none" w:sz="0" w:space="0" w:color="auto"/>
        <w:bottom w:val="none" w:sz="0" w:space="0" w:color="auto"/>
        <w:right w:val="none" w:sz="0" w:space="0" w:color="auto"/>
      </w:divBdr>
      <w:divsChild>
        <w:div w:id="507601445">
          <w:marLeft w:val="0"/>
          <w:marRight w:val="0"/>
          <w:marTop w:val="0"/>
          <w:marBottom w:val="0"/>
          <w:divBdr>
            <w:top w:val="none" w:sz="0" w:space="0" w:color="auto"/>
            <w:left w:val="none" w:sz="0" w:space="0" w:color="auto"/>
            <w:bottom w:val="none" w:sz="0" w:space="0" w:color="auto"/>
            <w:right w:val="none" w:sz="0" w:space="0" w:color="auto"/>
          </w:divBdr>
        </w:div>
      </w:divsChild>
    </w:div>
    <w:div w:id="1247956026">
      <w:bodyDiv w:val="1"/>
      <w:marLeft w:val="0"/>
      <w:marRight w:val="0"/>
      <w:marTop w:val="0"/>
      <w:marBottom w:val="0"/>
      <w:divBdr>
        <w:top w:val="none" w:sz="0" w:space="0" w:color="auto"/>
        <w:left w:val="none" w:sz="0" w:space="0" w:color="auto"/>
        <w:bottom w:val="none" w:sz="0" w:space="0" w:color="auto"/>
        <w:right w:val="none" w:sz="0" w:space="0" w:color="auto"/>
      </w:divBdr>
    </w:div>
    <w:div w:id="1249920641">
      <w:bodyDiv w:val="1"/>
      <w:marLeft w:val="0"/>
      <w:marRight w:val="0"/>
      <w:marTop w:val="0"/>
      <w:marBottom w:val="0"/>
      <w:divBdr>
        <w:top w:val="none" w:sz="0" w:space="0" w:color="auto"/>
        <w:left w:val="none" w:sz="0" w:space="0" w:color="auto"/>
        <w:bottom w:val="none" w:sz="0" w:space="0" w:color="auto"/>
        <w:right w:val="none" w:sz="0" w:space="0" w:color="auto"/>
      </w:divBdr>
    </w:div>
    <w:div w:id="1256207414">
      <w:marLeft w:val="0"/>
      <w:marRight w:val="0"/>
      <w:marTop w:val="0"/>
      <w:marBottom w:val="0"/>
      <w:divBdr>
        <w:top w:val="none" w:sz="0" w:space="0" w:color="auto"/>
        <w:left w:val="none" w:sz="0" w:space="0" w:color="auto"/>
        <w:bottom w:val="none" w:sz="0" w:space="0" w:color="auto"/>
        <w:right w:val="none" w:sz="0" w:space="0" w:color="auto"/>
      </w:divBdr>
      <w:divsChild>
        <w:div w:id="1893493966">
          <w:marLeft w:val="0"/>
          <w:marRight w:val="0"/>
          <w:marTop w:val="0"/>
          <w:marBottom w:val="0"/>
          <w:divBdr>
            <w:top w:val="none" w:sz="0" w:space="0" w:color="auto"/>
            <w:left w:val="none" w:sz="0" w:space="0" w:color="auto"/>
            <w:bottom w:val="none" w:sz="0" w:space="0" w:color="auto"/>
            <w:right w:val="none" w:sz="0" w:space="0" w:color="auto"/>
          </w:divBdr>
        </w:div>
      </w:divsChild>
    </w:div>
    <w:div w:id="1256590094">
      <w:marLeft w:val="0"/>
      <w:marRight w:val="0"/>
      <w:marTop w:val="0"/>
      <w:marBottom w:val="0"/>
      <w:divBdr>
        <w:top w:val="none" w:sz="0" w:space="0" w:color="auto"/>
        <w:left w:val="none" w:sz="0" w:space="0" w:color="auto"/>
        <w:bottom w:val="none" w:sz="0" w:space="0" w:color="auto"/>
        <w:right w:val="none" w:sz="0" w:space="0" w:color="auto"/>
      </w:divBdr>
      <w:divsChild>
        <w:div w:id="1634480170">
          <w:marLeft w:val="0"/>
          <w:marRight w:val="0"/>
          <w:marTop w:val="0"/>
          <w:marBottom w:val="0"/>
          <w:divBdr>
            <w:top w:val="none" w:sz="0" w:space="0" w:color="auto"/>
            <w:left w:val="none" w:sz="0" w:space="0" w:color="auto"/>
            <w:bottom w:val="none" w:sz="0" w:space="0" w:color="auto"/>
            <w:right w:val="none" w:sz="0" w:space="0" w:color="auto"/>
          </w:divBdr>
        </w:div>
      </w:divsChild>
    </w:div>
    <w:div w:id="1256599138">
      <w:marLeft w:val="0"/>
      <w:marRight w:val="0"/>
      <w:marTop w:val="0"/>
      <w:marBottom w:val="0"/>
      <w:divBdr>
        <w:top w:val="none" w:sz="0" w:space="0" w:color="auto"/>
        <w:left w:val="none" w:sz="0" w:space="0" w:color="auto"/>
        <w:bottom w:val="none" w:sz="0" w:space="0" w:color="auto"/>
        <w:right w:val="none" w:sz="0" w:space="0" w:color="auto"/>
      </w:divBdr>
      <w:divsChild>
        <w:div w:id="992946151">
          <w:marLeft w:val="0"/>
          <w:marRight w:val="0"/>
          <w:marTop w:val="0"/>
          <w:marBottom w:val="0"/>
          <w:divBdr>
            <w:top w:val="none" w:sz="0" w:space="0" w:color="auto"/>
            <w:left w:val="none" w:sz="0" w:space="0" w:color="auto"/>
            <w:bottom w:val="none" w:sz="0" w:space="0" w:color="auto"/>
            <w:right w:val="none" w:sz="0" w:space="0" w:color="auto"/>
          </w:divBdr>
        </w:div>
      </w:divsChild>
    </w:div>
    <w:div w:id="1260215477">
      <w:marLeft w:val="0"/>
      <w:marRight w:val="0"/>
      <w:marTop w:val="0"/>
      <w:marBottom w:val="0"/>
      <w:divBdr>
        <w:top w:val="none" w:sz="0" w:space="0" w:color="auto"/>
        <w:left w:val="none" w:sz="0" w:space="0" w:color="auto"/>
        <w:bottom w:val="none" w:sz="0" w:space="0" w:color="auto"/>
        <w:right w:val="none" w:sz="0" w:space="0" w:color="auto"/>
      </w:divBdr>
      <w:divsChild>
        <w:div w:id="435566161">
          <w:marLeft w:val="0"/>
          <w:marRight w:val="0"/>
          <w:marTop w:val="0"/>
          <w:marBottom w:val="0"/>
          <w:divBdr>
            <w:top w:val="none" w:sz="0" w:space="0" w:color="auto"/>
            <w:left w:val="none" w:sz="0" w:space="0" w:color="auto"/>
            <w:bottom w:val="none" w:sz="0" w:space="0" w:color="auto"/>
            <w:right w:val="none" w:sz="0" w:space="0" w:color="auto"/>
          </w:divBdr>
        </w:div>
      </w:divsChild>
    </w:div>
    <w:div w:id="1263343094">
      <w:marLeft w:val="0"/>
      <w:marRight w:val="0"/>
      <w:marTop w:val="0"/>
      <w:marBottom w:val="0"/>
      <w:divBdr>
        <w:top w:val="none" w:sz="0" w:space="0" w:color="auto"/>
        <w:left w:val="none" w:sz="0" w:space="0" w:color="auto"/>
        <w:bottom w:val="none" w:sz="0" w:space="0" w:color="auto"/>
        <w:right w:val="none" w:sz="0" w:space="0" w:color="auto"/>
      </w:divBdr>
      <w:divsChild>
        <w:div w:id="1559128997">
          <w:marLeft w:val="0"/>
          <w:marRight w:val="0"/>
          <w:marTop w:val="0"/>
          <w:marBottom w:val="0"/>
          <w:divBdr>
            <w:top w:val="none" w:sz="0" w:space="0" w:color="auto"/>
            <w:left w:val="none" w:sz="0" w:space="0" w:color="auto"/>
            <w:bottom w:val="none" w:sz="0" w:space="0" w:color="auto"/>
            <w:right w:val="none" w:sz="0" w:space="0" w:color="auto"/>
          </w:divBdr>
        </w:div>
      </w:divsChild>
    </w:div>
    <w:div w:id="1268461405">
      <w:bodyDiv w:val="1"/>
      <w:marLeft w:val="0"/>
      <w:marRight w:val="0"/>
      <w:marTop w:val="0"/>
      <w:marBottom w:val="0"/>
      <w:divBdr>
        <w:top w:val="none" w:sz="0" w:space="0" w:color="auto"/>
        <w:left w:val="none" w:sz="0" w:space="0" w:color="auto"/>
        <w:bottom w:val="none" w:sz="0" w:space="0" w:color="auto"/>
        <w:right w:val="none" w:sz="0" w:space="0" w:color="auto"/>
      </w:divBdr>
    </w:div>
    <w:div w:id="1273051891">
      <w:marLeft w:val="0"/>
      <w:marRight w:val="0"/>
      <w:marTop w:val="0"/>
      <w:marBottom w:val="0"/>
      <w:divBdr>
        <w:top w:val="none" w:sz="0" w:space="0" w:color="auto"/>
        <w:left w:val="none" w:sz="0" w:space="0" w:color="auto"/>
        <w:bottom w:val="none" w:sz="0" w:space="0" w:color="auto"/>
        <w:right w:val="none" w:sz="0" w:space="0" w:color="auto"/>
      </w:divBdr>
      <w:divsChild>
        <w:div w:id="1007900770">
          <w:marLeft w:val="0"/>
          <w:marRight w:val="0"/>
          <w:marTop w:val="0"/>
          <w:marBottom w:val="0"/>
          <w:divBdr>
            <w:top w:val="none" w:sz="0" w:space="0" w:color="auto"/>
            <w:left w:val="none" w:sz="0" w:space="0" w:color="auto"/>
            <w:bottom w:val="none" w:sz="0" w:space="0" w:color="auto"/>
            <w:right w:val="none" w:sz="0" w:space="0" w:color="auto"/>
          </w:divBdr>
        </w:div>
      </w:divsChild>
    </w:div>
    <w:div w:id="1274827227">
      <w:marLeft w:val="0"/>
      <w:marRight w:val="0"/>
      <w:marTop w:val="0"/>
      <w:marBottom w:val="0"/>
      <w:divBdr>
        <w:top w:val="none" w:sz="0" w:space="0" w:color="auto"/>
        <w:left w:val="none" w:sz="0" w:space="0" w:color="auto"/>
        <w:bottom w:val="none" w:sz="0" w:space="0" w:color="auto"/>
        <w:right w:val="none" w:sz="0" w:space="0" w:color="auto"/>
      </w:divBdr>
      <w:divsChild>
        <w:div w:id="2113864055">
          <w:marLeft w:val="0"/>
          <w:marRight w:val="0"/>
          <w:marTop w:val="0"/>
          <w:marBottom w:val="0"/>
          <w:divBdr>
            <w:top w:val="none" w:sz="0" w:space="0" w:color="auto"/>
            <w:left w:val="none" w:sz="0" w:space="0" w:color="auto"/>
            <w:bottom w:val="none" w:sz="0" w:space="0" w:color="auto"/>
            <w:right w:val="none" w:sz="0" w:space="0" w:color="auto"/>
          </w:divBdr>
        </w:div>
      </w:divsChild>
    </w:div>
    <w:div w:id="1276717704">
      <w:bodyDiv w:val="1"/>
      <w:marLeft w:val="0"/>
      <w:marRight w:val="0"/>
      <w:marTop w:val="0"/>
      <w:marBottom w:val="0"/>
      <w:divBdr>
        <w:top w:val="none" w:sz="0" w:space="0" w:color="auto"/>
        <w:left w:val="none" w:sz="0" w:space="0" w:color="auto"/>
        <w:bottom w:val="none" w:sz="0" w:space="0" w:color="auto"/>
        <w:right w:val="none" w:sz="0" w:space="0" w:color="auto"/>
      </w:divBdr>
    </w:div>
    <w:div w:id="1277636362">
      <w:bodyDiv w:val="1"/>
      <w:marLeft w:val="0"/>
      <w:marRight w:val="0"/>
      <w:marTop w:val="0"/>
      <w:marBottom w:val="0"/>
      <w:divBdr>
        <w:top w:val="none" w:sz="0" w:space="0" w:color="auto"/>
        <w:left w:val="none" w:sz="0" w:space="0" w:color="auto"/>
        <w:bottom w:val="none" w:sz="0" w:space="0" w:color="auto"/>
        <w:right w:val="none" w:sz="0" w:space="0" w:color="auto"/>
      </w:divBdr>
    </w:div>
    <w:div w:id="1278948740">
      <w:bodyDiv w:val="1"/>
      <w:marLeft w:val="0"/>
      <w:marRight w:val="0"/>
      <w:marTop w:val="0"/>
      <w:marBottom w:val="0"/>
      <w:divBdr>
        <w:top w:val="none" w:sz="0" w:space="0" w:color="auto"/>
        <w:left w:val="none" w:sz="0" w:space="0" w:color="auto"/>
        <w:bottom w:val="none" w:sz="0" w:space="0" w:color="auto"/>
        <w:right w:val="none" w:sz="0" w:space="0" w:color="auto"/>
      </w:divBdr>
      <w:divsChild>
        <w:div w:id="1323968110">
          <w:marLeft w:val="0"/>
          <w:marRight w:val="0"/>
          <w:marTop w:val="0"/>
          <w:marBottom w:val="0"/>
          <w:divBdr>
            <w:top w:val="none" w:sz="0" w:space="0" w:color="auto"/>
            <w:left w:val="none" w:sz="0" w:space="0" w:color="auto"/>
            <w:bottom w:val="none" w:sz="0" w:space="0" w:color="auto"/>
            <w:right w:val="none" w:sz="0" w:space="0" w:color="auto"/>
          </w:divBdr>
          <w:divsChild>
            <w:div w:id="812253293">
              <w:marLeft w:val="0"/>
              <w:marRight w:val="0"/>
              <w:marTop w:val="0"/>
              <w:marBottom w:val="0"/>
              <w:divBdr>
                <w:top w:val="none" w:sz="0" w:space="0" w:color="auto"/>
                <w:left w:val="none" w:sz="0" w:space="0" w:color="auto"/>
                <w:bottom w:val="none" w:sz="0" w:space="0" w:color="auto"/>
                <w:right w:val="none" w:sz="0" w:space="0" w:color="auto"/>
              </w:divBdr>
              <w:divsChild>
                <w:div w:id="1158040406">
                  <w:marLeft w:val="0"/>
                  <w:marRight w:val="150"/>
                  <w:marTop w:val="0"/>
                  <w:marBottom w:val="0"/>
                  <w:divBdr>
                    <w:top w:val="none" w:sz="0" w:space="0" w:color="auto"/>
                    <w:left w:val="none" w:sz="0" w:space="0" w:color="auto"/>
                    <w:bottom w:val="none" w:sz="0" w:space="0" w:color="auto"/>
                    <w:right w:val="none" w:sz="0" w:space="0" w:color="auto"/>
                  </w:divBdr>
                  <w:divsChild>
                    <w:div w:id="129243976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2994378">
          <w:marLeft w:val="0"/>
          <w:marRight w:val="150"/>
          <w:marTop w:val="0"/>
          <w:marBottom w:val="0"/>
          <w:divBdr>
            <w:top w:val="none" w:sz="0" w:space="0" w:color="auto"/>
            <w:left w:val="none" w:sz="0" w:space="0" w:color="auto"/>
            <w:bottom w:val="none" w:sz="0" w:space="0" w:color="auto"/>
            <w:right w:val="none" w:sz="0" w:space="0" w:color="auto"/>
          </w:divBdr>
          <w:divsChild>
            <w:div w:id="180535071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79487709">
      <w:marLeft w:val="0"/>
      <w:marRight w:val="0"/>
      <w:marTop w:val="0"/>
      <w:marBottom w:val="0"/>
      <w:divBdr>
        <w:top w:val="none" w:sz="0" w:space="0" w:color="auto"/>
        <w:left w:val="none" w:sz="0" w:space="0" w:color="auto"/>
        <w:bottom w:val="none" w:sz="0" w:space="0" w:color="auto"/>
        <w:right w:val="none" w:sz="0" w:space="0" w:color="auto"/>
      </w:divBdr>
      <w:divsChild>
        <w:div w:id="780760624">
          <w:marLeft w:val="0"/>
          <w:marRight w:val="0"/>
          <w:marTop w:val="0"/>
          <w:marBottom w:val="0"/>
          <w:divBdr>
            <w:top w:val="none" w:sz="0" w:space="0" w:color="auto"/>
            <w:left w:val="none" w:sz="0" w:space="0" w:color="auto"/>
            <w:bottom w:val="none" w:sz="0" w:space="0" w:color="auto"/>
            <w:right w:val="none" w:sz="0" w:space="0" w:color="auto"/>
          </w:divBdr>
        </w:div>
      </w:divsChild>
    </w:div>
    <w:div w:id="1287663241">
      <w:marLeft w:val="0"/>
      <w:marRight w:val="0"/>
      <w:marTop w:val="0"/>
      <w:marBottom w:val="0"/>
      <w:divBdr>
        <w:top w:val="none" w:sz="0" w:space="0" w:color="auto"/>
        <w:left w:val="none" w:sz="0" w:space="0" w:color="auto"/>
        <w:bottom w:val="none" w:sz="0" w:space="0" w:color="auto"/>
        <w:right w:val="none" w:sz="0" w:space="0" w:color="auto"/>
      </w:divBdr>
      <w:divsChild>
        <w:div w:id="764886956">
          <w:marLeft w:val="0"/>
          <w:marRight w:val="0"/>
          <w:marTop w:val="0"/>
          <w:marBottom w:val="0"/>
          <w:divBdr>
            <w:top w:val="none" w:sz="0" w:space="0" w:color="auto"/>
            <w:left w:val="none" w:sz="0" w:space="0" w:color="auto"/>
            <w:bottom w:val="none" w:sz="0" w:space="0" w:color="auto"/>
            <w:right w:val="none" w:sz="0" w:space="0" w:color="auto"/>
          </w:divBdr>
        </w:div>
      </w:divsChild>
    </w:div>
    <w:div w:id="1288589869">
      <w:marLeft w:val="0"/>
      <w:marRight w:val="0"/>
      <w:marTop w:val="0"/>
      <w:marBottom w:val="0"/>
      <w:divBdr>
        <w:top w:val="none" w:sz="0" w:space="0" w:color="auto"/>
        <w:left w:val="none" w:sz="0" w:space="0" w:color="auto"/>
        <w:bottom w:val="none" w:sz="0" w:space="0" w:color="auto"/>
        <w:right w:val="none" w:sz="0" w:space="0" w:color="auto"/>
      </w:divBdr>
      <w:divsChild>
        <w:div w:id="178470815">
          <w:marLeft w:val="0"/>
          <w:marRight w:val="0"/>
          <w:marTop w:val="0"/>
          <w:marBottom w:val="0"/>
          <w:divBdr>
            <w:top w:val="none" w:sz="0" w:space="0" w:color="auto"/>
            <w:left w:val="none" w:sz="0" w:space="0" w:color="auto"/>
            <w:bottom w:val="none" w:sz="0" w:space="0" w:color="auto"/>
            <w:right w:val="none" w:sz="0" w:space="0" w:color="auto"/>
          </w:divBdr>
        </w:div>
      </w:divsChild>
    </w:div>
    <w:div w:id="1291089451">
      <w:marLeft w:val="0"/>
      <w:marRight w:val="0"/>
      <w:marTop w:val="0"/>
      <w:marBottom w:val="0"/>
      <w:divBdr>
        <w:top w:val="none" w:sz="0" w:space="0" w:color="auto"/>
        <w:left w:val="none" w:sz="0" w:space="0" w:color="auto"/>
        <w:bottom w:val="none" w:sz="0" w:space="0" w:color="auto"/>
        <w:right w:val="none" w:sz="0" w:space="0" w:color="auto"/>
      </w:divBdr>
      <w:divsChild>
        <w:div w:id="747001797">
          <w:marLeft w:val="0"/>
          <w:marRight w:val="0"/>
          <w:marTop w:val="0"/>
          <w:marBottom w:val="0"/>
          <w:divBdr>
            <w:top w:val="none" w:sz="0" w:space="0" w:color="auto"/>
            <w:left w:val="none" w:sz="0" w:space="0" w:color="auto"/>
            <w:bottom w:val="none" w:sz="0" w:space="0" w:color="auto"/>
            <w:right w:val="none" w:sz="0" w:space="0" w:color="auto"/>
          </w:divBdr>
        </w:div>
      </w:divsChild>
    </w:div>
    <w:div w:id="1295864941">
      <w:bodyDiv w:val="1"/>
      <w:marLeft w:val="0"/>
      <w:marRight w:val="0"/>
      <w:marTop w:val="0"/>
      <w:marBottom w:val="0"/>
      <w:divBdr>
        <w:top w:val="none" w:sz="0" w:space="0" w:color="auto"/>
        <w:left w:val="none" w:sz="0" w:space="0" w:color="auto"/>
        <w:bottom w:val="none" w:sz="0" w:space="0" w:color="auto"/>
        <w:right w:val="none" w:sz="0" w:space="0" w:color="auto"/>
      </w:divBdr>
      <w:divsChild>
        <w:div w:id="111945472">
          <w:marLeft w:val="0"/>
          <w:marRight w:val="0"/>
          <w:marTop w:val="0"/>
          <w:marBottom w:val="0"/>
          <w:divBdr>
            <w:top w:val="none" w:sz="0" w:space="0" w:color="auto"/>
            <w:left w:val="none" w:sz="0" w:space="0" w:color="auto"/>
            <w:bottom w:val="none" w:sz="0" w:space="0" w:color="auto"/>
            <w:right w:val="none" w:sz="0" w:space="0" w:color="auto"/>
          </w:divBdr>
          <w:divsChild>
            <w:div w:id="965280544">
              <w:marLeft w:val="0"/>
              <w:marRight w:val="0"/>
              <w:marTop w:val="0"/>
              <w:marBottom w:val="0"/>
              <w:divBdr>
                <w:top w:val="none" w:sz="0" w:space="0" w:color="auto"/>
                <w:left w:val="none" w:sz="0" w:space="0" w:color="auto"/>
                <w:bottom w:val="none" w:sz="0" w:space="0" w:color="auto"/>
                <w:right w:val="none" w:sz="0" w:space="0" w:color="auto"/>
              </w:divBdr>
            </w:div>
            <w:div w:id="1954168010">
              <w:marLeft w:val="0"/>
              <w:marRight w:val="0"/>
              <w:marTop w:val="0"/>
              <w:marBottom w:val="0"/>
              <w:divBdr>
                <w:top w:val="none" w:sz="0" w:space="0" w:color="auto"/>
                <w:left w:val="none" w:sz="0" w:space="0" w:color="auto"/>
                <w:bottom w:val="none" w:sz="0" w:space="0" w:color="auto"/>
                <w:right w:val="none" w:sz="0" w:space="0" w:color="auto"/>
              </w:divBdr>
            </w:div>
            <w:div w:id="940795529">
              <w:marLeft w:val="0"/>
              <w:marRight w:val="0"/>
              <w:marTop w:val="0"/>
              <w:marBottom w:val="0"/>
              <w:divBdr>
                <w:top w:val="none" w:sz="0" w:space="0" w:color="auto"/>
                <w:left w:val="none" w:sz="0" w:space="0" w:color="auto"/>
                <w:bottom w:val="none" w:sz="0" w:space="0" w:color="auto"/>
                <w:right w:val="none" w:sz="0" w:space="0" w:color="auto"/>
              </w:divBdr>
            </w:div>
            <w:div w:id="1270047239">
              <w:marLeft w:val="0"/>
              <w:marRight w:val="0"/>
              <w:marTop w:val="0"/>
              <w:marBottom w:val="0"/>
              <w:divBdr>
                <w:top w:val="none" w:sz="0" w:space="0" w:color="auto"/>
                <w:left w:val="none" w:sz="0" w:space="0" w:color="auto"/>
                <w:bottom w:val="none" w:sz="0" w:space="0" w:color="auto"/>
                <w:right w:val="none" w:sz="0" w:space="0" w:color="auto"/>
              </w:divBdr>
            </w:div>
            <w:div w:id="1201429956">
              <w:marLeft w:val="0"/>
              <w:marRight w:val="0"/>
              <w:marTop w:val="0"/>
              <w:marBottom w:val="0"/>
              <w:divBdr>
                <w:top w:val="none" w:sz="0" w:space="0" w:color="auto"/>
                <w:left w:val="none" w:sz="0" w:space="0" w:color="auto"/>
                <w:bottom w:val="none" w:sz="0" w:space="0" w:color="auto"/>
                <w:right w:val="none" w:sz="0" w:space="0" w:color="auto"/>
              </w:divBdr>
            </w:div>
            <w:div w:id="995305515">
              <w:marLeft w:val="0"/>
              <w:marRight w:val="0"/>
              <w:marTop w:val="0"/>
              <w:marBottom w:val="0"/>
              <w:divBdr>
                <w:top w:val="none" w:sz="0" w:space="0" w:color="auto"/>
                <w:left w:val="none" w:sz="0" w:space="0" w:color="auto"/>
                <w:bottom w:val="none" w:sz="0" w:space="0" w:color="auto"/>
                <w:right w:val="none" w:sz="0" w:space="0" w:color="auto"/>
              </w:divBdr>
            </w:div>
            <w:div w:id="2053652853">
              <w:marLeft w:val="0"/>
              <w:marRight w:val="0"/>
              <w:marTop w:val="0"/>
              <w:marBottom w:val="0"/>
              <w:divBdr>
                <w:top w:val="none" w:sz="0" w:space="0" w:color="auto"/>
                <w:left w:val="none" w:sz="0" w:space="0" w:color="auto"/>
                <w:bottom w:val="none" w:sz="0" w:space="0" w:color="auto"/>
                <w:right w:val="none" w:sz="0" w:space="0" w:color="auto"/>
              </w:divBdr>
            </w:div>
            <w:div w:id="1171749608">
              <w:marLeft w:val="0"/>
              <w:marRight w:val="0"/>
              <w:marTop w:val="0"/>
              <w:marBottom w:val="0"/>
              <w:divBdr>
                <w:top w:val="none" w:sz="0" w:space="0" w:color="auto"/>
                <w:left w:val="none" w:sz="0" w:space="0" w:color="auto"/>
                <w:bottom w:val="none" w:sz="0" w:space="0" w:color="auto"/>
                <w:right w:val="none" w:sz="0" w:space="0" w:color="auto"/>
              </w:divBdr>
            </w:div>
            <w:div w:id="1353800884">
              <w:marLeft w:val="0"/>
              <w:marRight w:val="0"/>
              <w:marTop w:val="0"/>
              <w:marBottom w:val="0"/>
              <w:divBdr>
                <w:top w:val="none" w:sz="0" w:space="0" w:color="auto"/>
                <w:left w:val="none" w:sz="0" w:space="0" w:color="auto"/>
                <w:bottom w:val="none" w:sz="0" w:space="0" w:color="auto"/>
                <w:right w:val="none" w:sz="0" w:space="0" w:color="auto"/>
              </w:divBdr>
            </w:div>
            <w:div w:id="407918467">
              <w:marLeft w:val="0"/>
              <w:marRight w:val="0"/>
              <w:marTop w:val="0"/>
              <w:marBottom w:val="0"/>
              <w:divBdr>
                <w:top w:val="none" w:sz="0" w:space="0" w:color="auto"/>
                <w:left w:val="none" w:sz="0" w:space="0" w:color="auto"/>
                <w:bottom w:val="none" w:sz="0" w:space="0" w:color="auto"/>
                <w:right w:val="none" w:sz="0" w:space="0" w:color="auto"/>
              </w:divBdr>
            </w:div>
            <w:div w:id="1533181064">
              <w:marLeft w:val="0"/>
              <w:marRight w:val="0"/>
              <w:marTop w:val="0"/>
              <w:marBottom w:val="0"/>
              <w:divBdr>
                <w:top w:val="none" w:sz="0" w:space="0" w:color="auto"/>
                <w:left w:val="none" w:sz="0" w:space="0" w:color="auto"/>
                <w:bottom w:val="none" w:sz="0" w:space="0" w:color="auto"/>
                <w:right w:val="none" w:sz="0" w:space="0" w:color="auto"/>
              </w:divBdr>
            </w:div>
            <w:div w:id="569920963">
              <w:marLeft w:val="0"/>
              <w:marRight w:val="0"/>
              <w:marTop w:val="0"/>
              <w:marBottom w:val="0"/>
              <w:divBdr>
                <w:top w:val="none" w:sz="0" w:space="0" w:color="auto"/>
                <w:left w:val="none" w:sz="0" w:space="0" w:color="auto"/>
                <w:bottom w:val="none" w:sz="0" w:space="0" w:color="auto"/>
                <w:right w:val="none" w:sz="0" w:space="0" w:color="auto"/>
              </w:divBdr>
            </w:div>
            <w:div w:id="1605116960">
              <w:marLeft w:val="0"/>
              <w:marRight w:val="0"/>
              <w:marTop w:val="0"/>
              <w:marBottom w:val="0"/>
              <w:divBdr>
                <w:top w:val="none" w:sz="0" w:space="0" w:color="auto"/>
                <w:left w:val="none" w:sz="0" w:space="0" w:color="auto"/>
                <w:bottom w:val="none" w:sz="0" w:space="0" w:color="auto"/>
                <w:right w:val="none" w:sz="0" w:space="0" w:color="auto"/>
              </w:divBdr>
            </w:div>
            <w:div w:id="1923906380">
              <w:marLeft w:val="0"/>
              <w:marRight w:val="0"/>
              <w:marTop w:val="0"/>
              <w:marBottom w:val="0"/>
              <w:divBdr>
                <w:top w:val="none" w:sz="0" w:space="0" w:color="auto"/>
                <w:left w:val="none" w:sz="0" w:space="0" w:color="auto"/>
                <w:bottom w:val="none" w:sz="0" w:space="0" w:color="auto"/>
                <w:right w:val="none" w:sz="0" w:space="0" w:color="auto"/>
              </w:divBdr>
            </w:div>
            <w:div w:id="1025668656">
              <w:marLeft w:val="0"/>
              <w:marRight w:val="0"/>
              <w:marTop w:val="0"/>
              <w:marBottom w:val="0"/>
              <w:divBdr>
                <w:top w:val="none" w:sz="0" w:space="0" w:color="auto"/>
                <w:left w:val="none" w:sz="0" w:space="0" w:color="auto"/>
                <w:bottom w:val="none" w:sz="0" w:space="0" w:color="auto"/>
                <w:right w:val="none" w:sz="0" w:space="0" w:color="auto"/>
              </w:divBdr>
            </w:div>
            <w:div w:id="1218324618">
              <w:marLeft w:val="0"/>
              <w:marRight w:val="0"/>
              <w:marTop w:val="0"/>
              <w:marBottom w:val="0"/>
              <w:divBdr>
                <w:top w:val="none" w:sz="0" w:space="0" w:color="auto"/>
                <w:left w:val="none" w:sz="0" w:space="0" w:color="auto"/>
                <w:bottom w:val="none" w:sz="0" w:space="0" w:color="auto"/>
                <w:right w:val="none" w:sz="0" w:space="0" w:color="auto"/>
              </w:divBdr>
            </w:div>
            <w:div w:id="1113012747">
              <w:marLeft w:val="0"/>
              <w:marRight w:val="0"/>
              <w:marTop w:val="0"/>
              <w:marBottom w:val="0"/>
              <w:divBdr>
                <w:top w:val="none" w:sz="0" w:space="0" w:color="auto"/>
                <w:left w:val="none" w:sz="0" w:space="0" w:color="auto"/>
                <w:bottom w:val="none" w:sz="0" w:space="0" w:color="auto"/>
                <w:right w:val="none" w:sz="0" w:space="0" w:color="auto"/>
              </w:divBdr>
            </w:div>
            <w:div w:id="1256785268">
              <w:marLeft w:val="0"/>
              <w:marRight w:val="0"/>
              <w:marTop w:val="0"/>
              <w:marBottom w:val="0"/>
              <w:divBdr>
                <w:top w:val="none" w:sz="0" w:space="0" w:color="auto"/>
                <w:left w:val="none" w:sz="0" w:space="0" w:color="auto"/>
                <w:bottom w:val="none" w:sz="0" w:space="0" w:color="auto"/>
                <w:right w:val="none" w:sz="0" w:space="0" w:color="auto"/>
              </w:divBdr>
            </w:div>
            <w:div w:id="1245719945">
              <w:marLeft w:val="0"/>
              <w:marRight w:val="0"/>
              <w:marTop w:val="0"/>
              <w:marBottom w:val="0"/>
              <w:divBdr>
                <w:top w:val="none" w:sz="0" w:space="0" w:color="auto"/>
                <w:left w:val="none" w:sz="0" w:space="0" w:color="auto"/>
                <w:bottom w:val="none" w:sz="0" w:space="0" w:color="auto"/>
                <w:right w:val="none" w:sz="0" w:space="0" w:color="auto"/>
              </w:divBdr>
            </w:div>
            <w:div w:id="14698367">
              <w:marLeft w:val="0"/>
              <w:marRight w:val="0"/>
              <w:marTop w:val="0"/>
              <w:marBottom w:val="0"/>
              <w:divBdr>
                <w:top w:val="none" w:sz="0" w:space="0" w:color="auto"/>
                <w:left w:val="none" w:sz="0" w:space="0" w:color="auto"/>
                <w:bottom w:val="none" w:sz="0" w:space="0" w:color="auto"/>
                <w:right w:val="none" w:sz="0" w:space="0" w:color="auto"/>
              </w:divBdr>
            </w:div>
            <w:div w:id="1740446732">
              <w:marLeft w:val="0"/>
              <w:marRight w:val="0"/>
              <w:marTop w:val="0"/>
              <w:marBottom w:val="0"/>
              <w:divBdr>
                <w:top w:val="none" w:sz="0" w:space="0" w:color="auto"/>
                <w:left w:val="none" w:sz="0" w:space="0" w:color="auto"/>
                <w:bottom w:val="none" w:sz="0" w:space="0" w:color="auto"/>
                <w:right w:val="none" w:sz="0" w:space="0" w:color="auto"/>
              </w:divBdr>
            </w:div>
            <w:div w:id="242882109">
              <w:marLeft w:val="0"/>
              <w:marRight w:val="0"/>
              <w:marTop w:val="0"/>
              <w:marBottom w:val="0"/>
              <w:divBdr>
                <w:top w:val="none" w:sz="0" w:space="0" w:color="auto"/>
                <w:left w:val="none" w:sz="0" w:space="0" w:color="auto"/>
                <w:bottom w:val="none" w:sz="0" w:space="0" w:color="auto"/>
                <w:right w:val="none" w:sz="0" w:space="0" w:color="auto"/>
              </w:divBdr>
            </w:div>
            <w:div w:id="1024478200">
              <w:marLeft w:val="0"/>
              <w:marRight w:val="0"/>
              <w:marTop w:val="0"/>
              <w:marBottom w:val="0"/>
              <w:divBdr>
                <w:top w:val="none" w:sz="0" w:space="0" w:color="auto"/>
                <w:left w:val="none" w:sz="0" w:space="0" w:color="auto"/>
                <w:bottom w:val="none" w:sz="0" w:space="0" w:color="auto"/>
                <w:right w:val="none" w:sz="0" w:space="0" w:color="auto"/>
              </w:divBdr>
            </w:div>
            <w:div w:id="176507268">
              <w:marLeft w:val="0"/>
              <w:marRight w:val="0"/>
              <w:marTop w:val="0"/>
              <w:marBottom w:val="0"/>
              <w:divBdr>
                <w:top w:val="none" w:sz="0" w:space="0" w:color="auto"/>
                <w:left w:val="none" w:sz="0" w:space="0" w:color="auto"/>
                <w:bottom w:val="none" w:sz="0" w:space="0" w:color="auto"/>
                <w:right w:val="none" w:sz="0" w:space="0" w:color="auto"/>
              </w:divBdr>
            </w:div>
            <w:div w:id="1540312606">
              <w:marLeft w:val="0"/>
              <w:marRight w:val="0"/>
              <w:marTop w:val="0"/>
              <w:marBottom w:val="0"/>
              <w:divBdr>
                <w:top w:val="none" w:sz="0" w:space="0" w:color="auto"/>
                <w:left w:val="none" w:sz="0" w:space="0" w:color="auto"/>
                <w:bottom w:val="none" w:sz="0" w:space="0" w:color="auto"/>
                <w:right w:val="none" w:sz="0" w:space="0" w:color="auto"/>
              </w:divBdr>
            </w:div>
            <w:div w:id="1737514858">
              <w:marLeft w:val="0"/>
              <w:marRight w:val="0"/>
              <w:marTop w:val="0"/>
              <w:marBottom w:val="0"/>
              <w:divBdr>
                <w:top w:val="none" w:sz="0" w:space="0" w:color="auto"/>
                <w:left w:val="none" w:sz="0" w:space="0" w:color="auto"/>
                <w:bottom w:val="none" w:sz="0" w:space="0" w:color="auto"/>
                <w:right w:val="none" w:sz="0" w:space="0" w:color="auto"/>
              </w:divBdr>
            </w:div>
            <w:div w:id="2136291639">
              <w:marLeft w:val="0"/>
              <w:marRight w:val="0"/>
              <w:marTop w:val="0"/>
              <w:marBottom w:val="0"/>
              <w:divBdr>
                <w:top w:val="none" w:sz="0" w:space="0" w:color="auto"/>
                <w:left w:val="none" w:sz="0" w:space="0" w:color="auto"/>
                <w:bottom w:val="none" w:sz="0" w:space="0" w:color="auto"/>
                <w:right w:val="none" w:sz="0" w:space="0" w:color="auto"/>
              </w:divBdr>
            </w:div>
            <w:div w:id="411195572">
              <w:marLeft w:val="0"/>
              <w:marRight w:val="0"/>
              <w:marTop w:val="0"/>
              <w:marBottom w:val="0"/>
              <w:divBdr>
                <w:top w:val="none" w:sz="0" w:space="0" w:color="auto"/>
                <w:left w:val="none" w:sz="0" w:space="0" w:color="auto"/>
                <w:bottom w:val="none" w:sz="0" w:space="0" w:color="auto"/>
                <w:right w:val="none" w:sz="0" w:space="0" w:color="auto"/>
              </w:divBdr>
            </w:div>
            <w:div w:id="224414376">
              <w:marLeft w:val="0"/>
              <w:marRight w:val="0"/>
              <w:marTop w:val="0"/>
              <w:marBottom w:val="0"/>
              <w:divBdr>
                <w:top w:val="none" w:sz="0" w:space="0" w:color="auto"/>
                <w:left w:val="none" w:sz="0" w:space="0" w:color="auto"/>
                <w:bottom w:val="none" w:sz="0" w:space="0" w:color="auto"/>
                <w:right w:val="none" w:sz="0" w:space="0" w:color="auto"/>
              </w:divBdr>
            </w:div>
            <w:div w:id="681710133">
              <w:marLeft w:val="0"/>
              <w:marRight w:val="0"/>
              <w:marTop w:val="0"/>
              <w:marBottom w:val="0"/>
              <w:divBdr>
                <w:top w:val="none" w:sz="0" w:space="0" w:color="auto"/>
                <w:left w:val="none" w:sz="0" w:space="0" w:color="auto"/>
                <w:bottom w:val="none" w:sz="0" w:space="0" w:color="auto"/>
                <w:right w:val="none" w:sz="0" w:space="0" w:color="auto"/>
              </w:divBdr>
            </w:div>
            <w:div w:id="144976659">
              <w:marLeft w:val="0"/>
              <w:marRight w:val="0"/>
              <w:marTop w:val="0"/>
              <w:marBottom w:val="0"/>
              <w:divBdr>
                <w:top w:val="none" w:sz="0" w:space="0" w:color="auto"/>
                <w:left w:val="none" w:sz="0" w:space="0" w:color="auto"/>
                <w:bottom w:val="none" w:sz="0" w:space="0" w:color="auto"/>
                <w:right w:val="none" w:sz="0" w:space="0" w:color="auto"/>
              </w:divBdr>
            </w:div>
            <w:div w:id="2127310348">
              <w:marLeft w:val="0"/>
              <w:marRight w:val="0"/>
              <w:marTop w:val="0"/>
              <w:marBottom w:val="0"/>
              <w:divBdr>
                <w:top w:val="none" w:sz="0" w:space="0" w:color="auto"/>
                <w:left w:val="none" w:sz="0" w:space="0" w:color="auto"/>
                <w:bottom w:val="none" w:sz="0" w:space="0" w:color="auto"/>
                <w:right w:val="none" w:sz="0" w:space="0" w:color="auto"/>
              </w:divBdr>
            </w:div>
            <w:div w:id="557323974">
              <w:marLeft w:val="0"/>
              <w:marRight w:val="0"/>
              <w:marTop w:val="0"/>
              <w:marBottom w:val="0"/>
              <w:divBdr>
                <w:top w:val="none" w:sz="0" w:space="0" w:color="auto"/>
                <w:left w:val="none" w:sz="0" w:space="0" w:color="auto"/>
                <w:bottom w:val="none" w:sz="0" w:space="0" w:color="auto"/>
                <w:right w:val="none" w:sz="0" w:space="0" w:color="auto"/>
              </w:divBdr>
            </w:div>
            <w:div w:id="1209145888">
              <w:marLeft w:val="0"/>
              <w:marRight w:val="0"/>
              <w:marTop w:val="0"/>
              <w:marBottom w:val="0"/>
              <w:divBdr>
                <w:top w:val="none" w:sz="0" w:space="0" w:color="auto"/>
                <w:left w:val="none" w:sz="0" w:space="0" w:color="auto"/>
                <w:bottom w:val="none" w:sz="0" w:space="0" w:color="auto"/>
                <w:right w:val="none" w:sz="0" w:space="0" w:color="auto"/>
              </w:divBdr>
            </w:div>
            <w:div w:id="1459880565">
              <w:marLeft w:val="0"/>
              <w:marRight w:val="0"/>
              <w:marTop w:val="0"/>
              <w:marBottom w:val="0"/>
              <w:divBdr>
                <w:top w:val="none" w:sz="0" w:space="0" w:color="auto"/>
                <w:left w:val="none" w:sz="0" w:space="0" w:color="auto"/>
                <w:bottom w:val="none" w:sz="0" w:space="0" w:color="auto"/>
                <w:right w:val="none" w:sz="0" w:space="0" w:color="auto"/>
              </w:divBdr>
            </w:div>
            <w:div w:id="1484858523">
              <w:marLeft w:val="0"/>
              <w:marRight w:val="0"/>
              <w:marTop w:val="0"/>
              <w:marBottom w:val="0"/>
              <w:divBdr>
                <w:top w:val="none" w:sz="0" w:space="0" w:color="auto"/>
                <w:left w:val="none" w:sz="0" w:space="0" w:color="auto"/>
                <w:bottom w:val="none" w:sz="0" w:space="0" w:color="auto"/>
                <w:right w:val="none" w:sz="0" w:space="0" w:color="auto"/>
              </w:divBdr>
            </w:div>
            <w:div w:id="1345596524">
              <w:marLeft w:val="0"/>
              <w:marRight w:val="0"/>
              <w:marTop w:val="0"/>
              <w:marBottom w:val="0"/>
              <w:divBdr>
                <w:top w:val="none" w:sz="0" w:space="0" w:color="auto"/>
                <w:left w:val="none" w:sz="0" w:space="0" w:color="auto"/>
                <w:bottom w:val="none" w:sz="0" w:space="0" w:color="auto"/>
                <w:right w:val="none" w:sz="0" w:space="0" w:color="auto"/>
              </w:divBdr>
            </w:div>
            <w:div w:id="983894698">
              <w:marLeft w:val="0"/>
              <w:marRight w:val="0"/>
              <w:marTop w:val="0"/>
              <w:marBottom w:val="0"/>
              <w:divBdr>
                <w:top w:val="none" w:sz="0" w:space="0" w:color="auto"/>
                <w:left w:val="none" w:sz="0" w:space="0" w:color="auto"/>
                <w:bottom w:val="none" w:sz="0" w:space="0" w:color="auto"/>
                <w:right w:val="none" w:sz="0" w:space="0" w:color="auto"/>
              </w:divBdr>
            </w:div>
            <w:div w:id="500587040">
              <w:marLeft w:val="0"/>
              <w:marRight w:val="0"/>
              <w:marTop w:val="0"/>
              <w:marBottom w:val="0"/>
              <w:divBdr>
                <w:top w:val="none" w:sz="0" w:space="0" w:color="auto"/>
                <w:left w:val="none" w:sz="0" w:space="0" w:color="auto"/>
                <w:bottom w:val="none" w:sz="0" w:space="0" w:color="auto"/>
                <w:right w:val="none" w:sz="0" w:space="0" w:color="auto"/>
              </w:divBdr>
            </w:div>
            <w:div w:id="344022242">
              <w:marLeft w:val="0"/>
              <w:marRight w:val="0"/>
              <w:marTop w:val="0"/>
              <w:marBottom w:val="0"/>
              <w:divBdr>
                <w:top w:val="none" w:sz="0" w:space="0" w:color="auto"/>
                <w:left w:val="none" w:sz="0" w:space="0" w:color="auto"/>
                <w:bottom w:val="none" w:sz="0" w:space="0" w:color="auto"/>
                <w:right w:val="none" w:sz="0" w:space="0" w:color="auto"/>
              </w:divBdr>
            </w:div>
            <w:div w:id="2023697689">
              <w:marLeft w:val="0"/>
              <w:marRight w:val="0"/>
              <w:marTop w:val="0"/>
              <w:marBottom w:val="0"/>
              <w:divBdr>
                <w:top w:val="none" w:sz="0" w:space="0" w:color="auto"/>
                <w:left w:val="none" w:sz="0" w:space="0" w:color="auto"/>
                <w:bottom w:val="none" w:sz="0" w:space="0" w:color="auto"/>
                <w:right w:val="none" w:sz="0" w:space="0" w:color="auto"/>
              </w:divBdr>
            </w:div>
            <w:div w:id="635647506">
              <w:marLeft w:val="0"/>
              <w:marRight w:val="0"/>
              <w:marTop w:val="0"/>
              <w:marBottom w:val="0"/>
              <w:divBdr>
                <w:top w:val="none" w:sz="0" w:space="0" w:color="auto"/>
                <w:left w:val="none" w:sz="0" w:space="0" w:color="auto"/>
                <w:bottom w:val="none" w:sz="0" w:space="0" w:color="auto"/>
                <w:right w:val="none" w:sz="0" w:space="0" w:color="auto"/>
              </w:divBdr>
            </w:div>
            <w:div w:id="1498303042">
              <w:marLeft w:val="0"/>
              <w:marRight w:val="0"/>
              <w:marTop w:val="0"/>
              <w:marBottom w:val="0"/>
              <w:divBdr>
                <w:top w:val="none" w:sz="0" w:space="0" w:color="auto"/>
                <w:left w:val="none" w:sz="0" w:space="0" w:color="auto"/>
                <w:bottom w:val="none" w:sz="0" w:space="0" w:color="auto"/>
                <w:right w:val="none" w:sz="0" w:space="0" w:color="auto"/>
              </w:divBdr>
            </w:div>
            <w:div w:id="1378822195">
              <w:marLeft w:val="0"/>
              <w:marRight w:val="0"/>
              <w:marTop w:val="0"/>
              <w:marBottom w:val="0"/>
              <w:divBdr>
                <w:top w:val="none" w:sz="0" w:space="0" w:color="auto"/>
                <w:left w:val="none" w:sz="0" w:space="0" w:color="auto"/>
                <w:bottom w:val="none" w:sz="0" w:space="0" w:color="auto"/>
                <w:right w:val="none" w:sz="0" w:space="0" w:color="auto"/>
              </w:divBdr>
            </w:div>
            <w:div w:id="1279557456">
              <w:marLeft w:val="0"/>
              <w:marRight w:val="0"/>
              <w:marTop w:val="0"/>
              <w:marBottom w:val="0"/>
              <w:divBdr>
                <w:top w:val="none" w:sz="0" w:space="0" w:color="auto"/>
                <w:left w:val="none" w:sz="0" w:space="0" w:color="auto"/>
                <w:bottom w:val="none" w:sz="0" w:space="0" w:color="auto"/>
                <w:right w:val="none" w:sz="0" w:space="0" w:color="auto"/>
              </w:divBdr>
            </w:div>
            <w:div w:id="1222446367">
              <w:marLeft w:val="0"/>
              <w:marRight w:val="0"/>
              <w:marTop w:val="0"/>
              <w:marBottom w:val="0"/>
              <w:divBdr>
                <w:top w:val="none" w:sz="0" w:space="0" w:color="auto"/>
                <w:left w:val="none" w:sz="0" w:space="0" w:color="auto"/>
                <w:bottom w:val="none" w:sz="0" w:space="0" w:color="auto"/>
                <w:right w:val="none" w:sz="0" w:space="0" w:color="auto"/>
              </w:divBdr>
            </w:div>
            <w:div w:id="1964265456">
              <w:marLeft w:val="0"/>
              <w:marRight w:val="0"/>
              <w:marTop w:val="0"/>
              <w:marBottom w:val="0"/>
              <w:divBdr>
                <w:top w:val="none" w:sz="0" w:space="0" w:color="auto"/>
                <w:left w:val="none" w:sz="0" w:space="0" w:color="auto"/>
                <w:bottom w:val="none" w:sz="0" w:space="0" w:color="auto"/>
                <w:right w:val="none" w:sz="0" w:space="0" w:color="auto"/>
              </w:divBdr>
            </w:div>
            <w:div w:id="1225458138">
              <w:marLeft w:val="0"/>
              <w:marRight w:val="0"/>
              <w:marTop w:val="0"/>
              <w:marBottom w:val="0"/>
              <w:divBdr>
                <w:top w:val="none" w:sz="0" w:space="0" w:color="auto"/>
                <w:left w:val="none" w:sz="0" w:space="0" w:color="auto"/>
                <w:bottom w:val="none" w:sz="0" w:space="0" w:color="auto"/>
                <w:right w:val="none" w:sz="0" w:space="0" w:color="auto"/>
              </w:divBdr>
            </w:div>
            <w:div w:id="142628378">
              <w:marLeft w:val="0"/>
              <w:marRight w:val="0"/>
              <w:marTop w:val="0"/>
              <w:marBottom w:val="0"/>
              <w:divBdr>
                <w:top w:val="none" w:sz="0" w:space="0" w:color="auto"/>
                <w:left w:val="none" w:sz="0" w:space="0" w:color="auto"/>
                <w:bottom w:val="none" w:sz="0" w:space="0" w:color="auto"/>
                <w:right w:val="none" w:sz="0" w:space="0" w:color="auto"/>
              </w:divBdr>
            </w:div>
            <w:div w:id="1118184808">
              <w:marLeft w:val="0"/>
              <w:marRight w:val="0"/>
              <w:marTop w:val="0"/>
              <w:marBottom w:val="0"/>
              <w:divBdr>
                <w:top w:val="none" w:sz="0" w:space="0" w:color="auto"/>
                <w:left w:val="none" w:sz="0" w:space="0" w:color="auto"/>
                <w:bottom w:val="none" w:sz="0" w:space="0" w:color="auto"/>
                <w:right w:val="none" w:sz="0" w:space="0" w:color="auto"/>
              </w:divBdr>
            </w:div>
            <w:div w:id="557010125">
              <w:marLeft w:val="0"/>
              <w:marRight w:val="0"/>
              <w:marTop w:val="0"/>
              <w:marBottom w:val="0"/>
              <w:divBdr>
                <w:top w:val="none" w:sz="0" w:space="0" w:color="auto"/>
                <w:left w:val="none" w:sz="0" w:space="0" w:color="auto"/>
                <w:bottom w:val="none" w:sz="0" w:space="0" w:color="auto"/>
                <w:right w:val="none" w:sz="0" w:space="0" w:color="auto"/>
              </w:divBdr>
            </w:div>
            <w:div w:id="2108580047">
              <w:marLeft w:val="0"/>
              <w:marRight w:val="0"/>
              <w:marTop w:val="0"/>
              <w:marBottom w:val="0"/>
              <w:divBdr>
                <w:top w:val="none" w:sz="0" w:space="0" w:color="auto"/>
                <w:left w:val="none" w:sz="0" w:space="0" w:color="auto"/>
                <w:bottom w:val="none" w:sz="0" w:space="0" w:color="auto"/>
                <w:right w:val="none" w:sz="0" w:space="0" w:color="auto"/>
              </w:divBdr>
            </w:div>
            <w:div w:id="2101367613">
              <w:marLeft w:val="0"/>
              <w:marRight w:val="0"/>
              <w:marTop w:val="0"/>
              <w:marBottom w:val="0"/>
              <w:divBdr>
                <w:top w:val="none" w:sz="0" w:space="0" w:color="auto"/>
                <w:left w:val="none" w:sz="0" w:space="0" w:color="auto"/>
                <w:bottom w:val="none" w:sz="0" w:space="0" w:color="auto"/>
                <w:right w:val="none" w:sz="0" w:space="0" w:color="auto"/>
              </w:divBdr>
            </w:div>
            <w:div w:id="1657224355">
              <w:marLeft w:val="0"/>
              <w:marRight w:val="0"/>
              <w:marTop w:val="0"/>
              <w:marBottom w:val="0"/>
              <w:divBdr>
                <w:top w:val="none" w:sz="0" w:space="0" w:color="auto"/>
                <w:left w:val="none" w:sz="0" w:space="0" w:color="auto"/>
                <w:bottom w:val="none" w:sz="0" w:space="0" w:color="auto"/>
                <w:right w:val="none" w:sz="0" w:space="0" w:color="auto"/>
              </w:divBdr>
            </w:div>
            <w:div w:id="1648625282">
              <w:marLeft w:val="0"/>
              <w:marRight w:val="0"/>
              <w:marTop w:val="0"/>
              <w:marBottom w:val="0"/>
              <w:divBdr>
                <w:top w:val="none" w:sz="0" w:space="0" w:color="auto"/>
                <w:left w:val="none" w:sz="0" w:space="0" w:color="auto"/>
                <w:bottom w:val="none" w:sz="0" w:space="0" w:color="auto"/>
                <w:right w:val="none" w:sz="0" w:space="0" w:color="auto"/>
              </w:divBdr>
            </w:div>
            <w:div w:id="1095319954">
              <w:marLeft w:val="0"/>
              <w:marRight w:val="0"/>
              <w:marTop w:val="0"/>
              <w:marBottom w:val="0"/>
              <w:divBdr>
                <w:top w:val="none" w:sz="0" w:space="0" w:color="auto"/>
                <w:left w:val="none" w:sz="0" w:space="0" w:color="auto"/>
                <w:bottom w:val="none" w:sz="0" w:space="0" w:color="auto"/>
                <w:right w:val="none" w:sz="0" w:space="0" w:color="auto"/>
              </w:divBdr>
            </w:div>
            <w:div w:id="485560940">
              <w:marLeft w:val="0"/>
              <w:marRight w:val="0"/>
              <w:marTop w:val="0"/>
              <w:marBottom w:val="0"/>
              <w:divBdr>
                <w:top w:val="none" w:sz="0" w:space="0" w:color="auto"/>
                <w:left w:val="none" w:sz="0" w:space="0" w:color="auto"/>
                <w:bottom w:val="none" w:sz="0" w:space="0" w:color="auto"/>
                <w:right w:val="none" w:sz="0" w:space="0" w:color="auto"/>
              </w:divBdr>
            </w:div>
            <w:div w:id="1394700794">
              <w:marLeft w:val="0"/>
              <w:marRight w:val="0"/>
              <w:marTop w:val="0"/>
              <w:marBottom w:val="0"/>
              <w:divBdr>
                <w:top w:val="none" w:sz="0" w:space="0" w:color="auto"/>
                <w:left w:val="none" w:sz="0" w:space="0" w:color="auto"/>
                <w:bottom w:val="none" w:sz="0" w:space="0" w:color="auto"/>
                <w:right w:val="none" w:sz="0" w:space="0" w:color="auto"/>
              </w:divBdr>
            </w:div>
            <w:div w:id="981807834">
              <w:marLeft w:val="0"/>
              <w:marRight w:val="0"/>
              <w:marTop w:val="0"/>
              <w:marBottom w:val="0"/>
              <w:divBdr>
                <w:top w:val="none" w:sz="0" w:space="0" w:color="auto"/>
                <w:left w:val="none" w:sz="0" w:space="0" w:color="auto"/>
                <w:bottom w:val="none" w:sz="0" w:space="0" w:color="auto"/>
                <w:right w:val="none" w:sz="0" w:space="0" w:color="auto"/>
              </w:divBdr>
            </w:div>
            <w:div w:id="1697585009">
              <w:marLeft w:val="0"/>
              <w:marRight w:val="0"/>
              <w:marTop w:val="0"/>
              <w:marBottom w:val="0"/>
              <w:divBdr>
                <w:top w:val="none" w:sz="0" w:space="0" w:color="auto"/>
                <w:left w:val="none" w:sz="0" w:space="0" w:color="auto"/>
                <w:bottom w:val="none" w:sz="0" w:space="0" w:color="auto"/>
                <w:right w:val="none" w:sz="0" w:space="0" w:color="auto"/>
              </w:divBdr>
            </w:div>
            <w:div w:id="1447113760">
              <w:marLeft w:val="0"/>
              <w:marRight w:val="0"/>
              <w:marTop w:val="0"/>
              <w:marBottom w:val="0"/>
              <w:divBdr>
                <w:top w:val="none" w:sz="0" w:space="0" w:color="auto"/>
                <w:left w:val="none" w:sz="0" w:space="0" w:color="auto"/>
                <w:bottom w:val="none" w:sz="0" w:space="0" w:color="auto"/>
                <w:right w:val="none" w:sz="0" w:space="0" w:color="auto"/>
              </w:divBdr>
            </w:div>
            <w:div w:id="879975830">
              <w:marLeft w:val="0"/>
              <w:marRight w:val="0"/>
              <w:marTop w:val="0"/>
              <w:marBottom w:val="0"/>
              <w:divBdr>
                <w:top w:val="none" w:sz="0" w:space="0" w:color="auto"/>
                <w:left w:val="none" w:sz="0" w:space="0" w:color="auto"/>
                <w:bottom w:val="none" w:sz="0" w:space="0" w:color="auto"/>
                <w:right w:val="none" w:sz="0" w:space="0" w:color="auto"/>
              </w:divBdr>
            </w:div>
            <w:div w:id="1803233036">
              <w:marLeft w:val="0"/>
              <w:marRight w:val="0"/>
              <w:marTop w:val="0"/>
              <w:marBottom w:val="0"/>
              <w:divBdr>
                <w:top w:val="none" w:sz="0" w:space="0" w:color="auto"/>
                <w:left w:val="none" w:sz="0" w:space="0" w:color="auto"/>
                <w:bottom w:val="none" w:sz="0" w:space="0" w:color="auto"/>
                <w:right w:val="none" w:sz="0" w:space="0" w:color="auto"/>
              </w:divBdr>
            </w:div>
            <w:div w:id="2094549217">
              <w:marLeft w:val="0"/>
              <w:marRight w:val="0"/>
              <w:marTop w:val="0"/>
              <w:marBottom w:val="0"/>
              <w:divBdr>
                <w:top w:val="none" w:sz="0" w:space="0" w:color="auto"/>
                <w:left w:val="none" w:sz="0" w:space="0" w:color="auto"/>
                <w:bottom w:val="none" w:sz="0" w:space="0" w:color="auto"/>
                <w:right w:val="none" w:sz="0" w:space="0" w:color="auto"/>
              </w:divBdr>
            </w:div>
            <w:div w:id="268053026">
              <w:marLeft w:val="0"/>
              <w:marRight w:val="0"/>
              <w:marTop w:val="0"/>
              <w:marBottom w:val="0"/>
              <w:divBdr>
                <w:top w:val="none" w:sz="0" w:space="0" w:color="auto"/>
                <w:left w:val="none" w:sz="0" w:space="0" w:color="auto"/>
                <w:bottom w:val="none" w:sz="0" w:space="0" w:color="auto"/>
                <w:right w:val="none" w:sz="0" w:space="0" w:color="auto"/>
              </w:divBdr>
            </w:div>
            <w:div w:id="1736583995">
              <w:marLeft w:val="0"/>
              <w:marRight w:val="0"/>
              <w:marTop w:val="0"/>
              <w:marBottom w:val="0"/>
              <w:divBdr>
                <w:top w:val="none" w:sz="0" w:space="0" w:color="auto"/>
                <w:left w:val="none" w:sz="0" w:space="0" w:color="auto"/>
                <w:bottom w:val="none" w:sz="0" w:space="0" w:color="auto"/>
                <w:right w:val="none" w:sz="0" w:space="0" w:color="auto"/>
              </w:divBdr>
            </w:div>
            <w:div w:id="2016494064">
              <w:marLeft w:val="0"/>
              <w:marRight w:val="0"/>
              <w:marTop w:val="0"/>
              <w:marBottom w:val="0"/>
              <w:divBdr>
                <w:top w:val="none" w:sz="0" w:space="0" w:color="auto"/>
                <w:left w:val="none" w:sz="0" w:space="0" w:color="auto"/>
                <w:bottom w:val="none" w:sz="0" w:space="0" w:color="auto"/>
                <w:right w:val="none" w:sz="0" w:space="0" w:color="auto"/>
              </w:divBdr>
            </w:div>
            <w:div w:id="762998644">
              <w:marLeft w:val="0"/>
              <w:marRight w:val="0"/>
              <w:marTop w:val="0"/>
              <w:marBottom w:val="0"/>
              <w:divBdr>
                <w:top w:val="none" w:sz="0" w:space="0" w:color="auto"/>
                <w:left w:val="none" w:sz="0" w:space="0" w:color="auto"/>
                <w:bottom w:val="none" w:sz="0" w:space="0" w:color="auto"/>
                <w:right w:val="none" w:sz="0" w:space="0" w:color="auto"/>
              </w:divBdr>
            </w:div>
            <w:div w:id="1498811464">
              <w:marLeft w:val="0"/>
              <w:marRight w:val="0"/>
              <w:marTop w:val="0"/>
              <w:marBottom w:val="0"/>
              <w:divBdr>
                <w:top w:val="none" w:sz="0" w:space="0" w:color="auto"/>
                <w:left w:val="none" w:sz="0" w:space="0" w:color="auto"/>
                <w:bottom w:val="none" w:sz="0" w:space="0" w:color="auto"/>
                <w:right w:val="none" w:sz="0" w:space="0" w:color="auto"/>
              </w:divBdr>
            </w:div>
            <w:div w:id="929317546">
              <w:marLeft w:val="0"/>
              <w:marRight w:val="0"/>
              <w:marTop w:val="0"/>
              <w:marBottom w:val="0"/>
              <w:divBdr>
                <w:top w:val="none" w:sz="0" w:space="0" w:color="auto"/>
                <w:left w:val="none" w:sz="0" w:space="0" w:color="auto"/>
                <w:bottom w:val="none" w:sz="0" w:space="0" w:color="auto"/>
                <w:right w:val="none" w:sz="0" w:space="0" w:color="auto"/>
              </w:divBdr>
            </w:div>
            <w:div w:id="403991533">
              <w:marLeft w:val="0"/>
              <w:marRight w:val="0"/>
              <w:marTop w:val="0"/>
              <w:marBottom w:val="0"/>
              <w:divBdr>
                <w:top w:val="none" w:sz="0" w:space="0" w:color="auto"/>
                <w:left w:val="none" w:sz="0" w:space="0" w:color="auto"/>
                <w:bottom w:val="none" w:sz="0" w:space="0" w:color="auto"/>
                <w:right w:val="none" w:sz="0" w:space="0" w:color="auto"/>
              </w:divBdr>
            </w:div>
            <w:div w:id="482936583">
              <w:marLeft w:val="0"/>
              <w:marRight w:val="0"/>
              <w:marTop w:val="0"/>
              <w:marBottom w:val="0"/>
              <w:divBdr>
                <w:top w:val="none" w:sz="0" w:space="0" w:color="auto"/>
                <w:left w:val="none" w:sz="0" w:space="0" w:color="auto"/>
                <w:bottom w:val="none" w:sz="0" w:space="0" w:color="auto"/>
                <w:right w:val="none" w:sz="0" w:space="0" w:color="auto"/>
              </w:divBdr>
            </w:div>
            <w:div w:id="86410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14814">
      <w:bodyDiv w:val="1"/>
      <w:marLeft w:val="0"/>
      <w:marRight w:val="0"/>
      <w:marTop w:val="0"/>
      <w:marBottom w:val="0"/>
      <w:divBdr>
        <w:top w:val="none" w:sz="0" w:space="0" w:color="auto"/>
        <w:left w:val="none" w:sz="0" w:space="0" w:color="auto"/>
        <w:bottom w:val="none" w:sz="0" w:space="0" w:color="auto"/>
        <w:right w:val="none" w:sz="0" w:space="0" w:color="auto"/>
      </w:divBdr>
    </w:div>
    <w:div w:id="1297487355">
      <w:bodyDiv w:val="1"/>
      <w:marLeft w:val="0"/>
      <w:marRight w:val="0"/>
      <w:marTop w:val="0"/>
      <w:marBottom w:val="0"/>
      <w:divBdr>
        <w:top w:val="none" w:sz="0" w:space="0" w:color="auto"/>
        <w:left w:val="none" w:sz="0" w:space="0" w:color="auto"/>
        <w:bottom w:val="none" w:sz="0" w:space="0" w:color="auto"/>
        <w:right w:val="none" w:sz="0" w:space="0" w:color="auto"/>
      </w:divBdr>
    </w:div>
    <w:div w:id="1302536212">
      <w:bodyDiv w:val="1"/>
      <w:marLeft w:val="0"/>
      <w:marRight w:val="0"/>
      <w:marTop w:val="0"/>
      <w:marBottom w:val="0"/>
      <w:divBdr>
        <w:top w:val="none" w:sz="0" w:space="0" w:color="auto"/>
        <w:left w:val="none" w:sz="0" w:space="0" w:color="auto"/>
        <w:bottom w:val="none" w:sz="0" w:space="0" w:color="auto"/>
        <w:right w:val="none" w:sz="0" w:space="0" w:color="auto"/>
      </w:divBdr>
    </w:div>
    <w:div w:id="1311515880">
      <w:bodyDiv w:val="1"/>
      <w:marLeft w:val="0"/>
      <w:marRight w:val="0"/>
      <w:marTop w:val="0"/>
      <w:marBottom w:val="0"/>
      <w:divBdr>
        <w:top w:val="none" w:sz="0" w:space="0" w:color="auto"/>
        <w:left w:val="none" w:sz="0" w:space="0" w:color="auto"/>
        <w:bottom w:val="none" w:sz="0" w:space="0" w:color="auto"/>
        <w:right w:val="none" w:sz="0" w:space="0" w:color="auto"/>
      </w:divBdr>
    </w:div>
    <w:div w:id="1311518477">
      <w:bodyDiv w:val="1"/>
      <w:marLeft w:val="0"/>
      <w:marRight w:val="0"/>
      <w:marTop w:val="0"/>
      <w:marBottom w:val="0"/>
      <w:divBdr>
        <w:top w:val="none" w:sz="0" w:space="0" w:color="auto"/>
        <w:left w:val="none" w:sz="0" w:space="0" w:color="auto"/>
        <w:bottom w:val="none" w:sz="0" w:space="0" w:color="auto"/>
        <w:right w:val="none" w:sz="0" w:space="0" w:color="auto"/>
      </w:divBdr>
    </w:div>
    <w:div w:id="1313873649">
      <w:marLeft w:val="0"/>
      <w:marRight w:val="0"/>
      <w:marTop w:val="0"/>
      <w:marBottom w:val="0"/>
      <w:divBdr>
        <w:top w:val="none" w:sz="0" w:space="0" w:color="auto"/>
        <w:left w:val="none" w:sz="0" w:space="0" w:color="auto"/>
        <w:bottom w:val="none" w:sz="0" w:space="0" w:color="auto"/>
        <w:right w:val="none" w:sz="0" w:space="0" w:color="auto"/>
      </w:divBdr>
      <w:divsChild>
        <w:div w:id="675695987">
          <w:marLeft w:val="0"/>
          <w:marRight w:val="0"/>
          <w:marTop w:val="0"/>
          <w:marBottom w:val="0"/>
          <w:divBdr>
            <w:top w:val="none" w:sz="0" w:space="0" w:color="auto"/>
            <w:left w:val="none" w:sz="0" w:space="0" w:color="auto"/>
            <w:bottom w:val="none" w:sz="0" w:space="0" w:color="auto"/>
            <w:right w:val="none" w:sz="0" w:space="0" w:color="auto"/>
          </w:divBdr>
        </w:div>
      </w:divsChild>
    </w:div>
    <w:div w:id="1314798571">
      <w:marLeft w:val="0"/>
      <w:marRight w:val="0"/>
      <w:marTop w:val="0"/>
      <w:marBottom w:val="0"/>
      <w:divBdr>
        <w:top w:val="none" w:sz="0" w:space="0" w:color="auto"/>
        <w:left w:val="none" w:sz="0" w:space="0" w:color="auto"/>
        <w:bottom w:val="none" w:sz="0" w:space="0" w:color="auto"/>
        <w:right w:val="none" w:sz="0" w:space="0" w:color="auto"/>
      </w:divBdr>
      <w:divsChild>
        <w:div w:id="1444762268">
          <w:marLeft w:val="0"/>
          <w:marRight w:val="0"/>
          <w:marTop w:val="0"/>
          <w:marBottom w:val="0"/>
          <w:divBdr>
            <w:top w:val="none" w:sz="0" w:space="0" w:color="auto"/>
            <w:left w:val="none" w:sz="0" w:space="0" w:color="auto"/>
            <w:bottom w:val="none" w:sz="0" w:space="0" w:color="auto"/>
            <w:right w:val="none" w:sz="0" w:space="0" w:color="auto"/>
          </w:divBdr>
        </w:div>
      </w:divsChild>
    </w:div>
    <w:div w:id="1321537348">
      <w:marLeft w:val="0"/>
      <w:marRight w:val="0"/>
      <w:marTop w:val="0"/>
      <w:marBottom w:val="0"/>
      <w:divBdr>
        <w:top w:val="none" w:sz="0" w:space="0" w:color="auto"/>
        <w:left w:val="none" w:sz="0" w:space="0" w:color="auto"/>
        <w:bottom w:val="none" w:sz="0" w:space="0" w:color="auto"/>
        <w:right w:val="none" w:sz="0" w:space="0" w:color="auto"/>
      </w:divBdr>
      <w:divsChild>
        <w:div w:id="1090082230">
          <w:marLeft w:val="0"/>
          <w:marRight w:val="0"/>
          <w:marTop w:val="0"/>
          <w:marBottom w:val="0"/>
          <w:divBdr>
            <w:top w:val="none" w:sz="0" w:space="0" w:color="auto"/>
            <w:left w:val="none" w:sz="0" w:space="0" w:color="auto"/>
            <w:bottom w:val="none" w:sz="0" w:space="0" w:color="auto"/>
            <w:right w:val="none" w:sz="0" w:space="0" w:color="auto"/>
          </w:divBdr>
        </w:div>
      </w:divsChild>
    </w:div>
    <w:div w:id="1321731069">
      <w:bodyDiv w:val="1"/>
      <w:marLeft w:val="0"/>
      <w:marRight w:val="0"/>
      <w:marTop w:val="0"/>
      <w:marBottom w:val="0"/>
      <w:divBdr>
        <w:top w:val="none" w:sz="0" w:space="0" w:color="auto"/>
        <w:left w:val="none" w:sz="0" w:space="0" w:color="auto"/>
        <w:bottom w:val="none" w:sz="0" w:space="0" w:color="auto"/>
        <w:right w:val="none" w:sz="0" w:space="0" w:color="auto"/>
      </w:divBdr>
    </w:div>
    <w:div w:id="1322541602">
      <w:marLeft w:val="0"/>
      <w:marRight w:val="0"/>
      <w:marTop w:val="0"/>
      <w:marBottom w:val="0"/>
      <w:divBdr>
        <w:top w:val="none" w:sz="0" w:space="0" w:color="auto"/>
        <w:left w:val="none" w:sz="0" w:space="0" w:color="auto"/>
        <w:bottom w:val="none" w:sz="0" w:space="0" w:color="auto"/>
        <w:right w:val="none" w:sz="0" w:space="0" w:color="auto"/>
      </w:divBdr>
      <w:divsChild>
        <w:div w:id="397872404">
          <w:marLeft w:val="0"/>
          <w:marRight w:val="0"/>
          <w:marTop w:val="0"/>
          <w:marBottom w:val="0"/>
          <w:divBdr>
            <w:top w:val="none" w:sz="0" w:space="0" w:color="auto"/>
            <w:left w:val="none" w:sz="0" w:space="0" w:color="auto"/>
            <w:bottom w:val="none" w:sz="0" w:space="0" w:color="auto"/>
            <w:right w:val="none" w:sz="0" w:space="0" w:color="auto"/>
          </w:divBdr>
        </w:div>
      </w:divsChild>
    </w:div>
    <w:div w:id="1326937403">
      <w:bodyDiv w:val="1"/>
      <w:marLeft w:val="0"/>
      <w:marRight w:val="0"/>
      <w:marTop w:val="0"/>
      <w:marBottom w:val="0"/>
      <w:divBdr>
        <w:top w:val="none" w:sz="0" w:space="0" w:color="auto"/>
        <w:left w:val="none" w:sz="0" w:space="0" w:color="auto"/>
        <w:bottom w:val="none" w:sz="0" w:space="0" w:color="auto"/>
        <w:right w:val="none" w:sz="0" w:space="0" w:color="auto"/>
      </w:divBdr>
    </w:div>
    <w:div w:id="1328243814">
      <w:bodyDiv w:val="1"/>
      <w:marLeft w:val="0"/>
      <w:marRight w:val="0"/>
      <w:marTop w:val="0"/>
      <w:marBottom w:val="0"/>
      <w:divBdr>
        <w:top w:val="none" w:sz="0" w:space="0" w:color="auto"/>
        <w:left w:val="none" w:sz="0" w:space="0" w:color="auto"/>
        <w:bottom w:val="none" w:sz="0" w:space="0" w:color="auto"/>
        <w:right w:val="none" w:sz="0" w:space="0" w:color="auto"/>
      </w:divBdr>
    </w:div>
    <w:div w:id="1333681132">
      <w:marLeft w:val="0"/>
      <w:marRight w:val="0"/>
      <w:marTop w:val="0"/>
      <w:marBottom w:val="0"/>
      <w:divBdr>
        <w:top w:val="none" w:sz="0" w:space="0" w:color="auto"/>
        <w:left w:val="none" w:sz="0" w:space="0" w:color="auto"/>
        <w:bottom w:val="none" w:sz="0" w:space="0" w:color="auto"/>
        <w:right w:val="none" w:sz="0" w:space="0" w:color="auto"/>
      </w:divBdr>
      <w:divsChild>
        <w:div w:id="705788602">
          <w:marLeft w:val="0"/>
          <w:marRight w:val="0"/>
          <w:marTop w:val="0"/>
          <w:marBottom w:val="0"/>
          <w:divBdr>
            <w:top w:val="none" w:sz="0" w:space="0" w:color="auto"/>
            <w:left w:val="none" w:sz="0" w:space="0" w:color="auto"/>
            <w:bottom w:val="none" w:sz="0" w:space="0" w:color="auto"/>
            <w:right w:val="none" w:sz="0" w:space="0" w:color="auto"/>
          </w:divBdr>
        </w:div>
      </w:divsChild>
    </w:div>
    <w:div w:id="1337032573">
      <w:bodyDiv w:val="1"/>
      <w:marLeft w:val="0"/>
      <w:marRight w:val="0"/>
      <w:marTop w:val="0"/>
      <w:marBottom w:val="0"/>
      <w:divBdr>
        <w:top w:val="none" w:sz="0" w:space="0" w:color="auto"/>
        <w:left w:val="none" w:sz="0" w:space="0" w:color="auto"/>
        <w:bottom w:val="none" w:sz="0" w:space="0" w:color="auto"/>
        <w:right w:val="none" w:sz="0" w:space="0" w:color="auto"/>
      </w:divBdr>
    </w:div>
    <w:div w:id="1340356339">
      <w:marLeft w:val="0"/>
      <w:marRight w:val="0"/>
      <w:marTop w:val="0"/>
      <w:marBottom w:val="0"/>
      <w:divBdr>
        <w:top w:val="none" w:sz="0" w:space="0" w:color="auto"/>
        <w:left w:val="none" w:sz="0" w:space="0" w:color="auto"/>
        <w:bottom w:val="none" w:sz="0" w:space="0" w:color="auto"/>
        <w:right w:val="none" w:sz="0" w:space="0" w:color="auto"/>
      </w:divBdr>
      <w:divsChild>
        <w:div w:id="1388187277">
          <w:marLeft w:val="0"/>
          <w:marRight w:val="0"/>
          <w:marTop w:val="0"/>
          <w:marBottom w:val="0"/>
          <w:divBdr>
            <w:top w:val="none" w:sz="0" w:space="0" w:color="auto"/>
            <w:left w:val="none" w:sz="0" w:space="0" w:color="auto"/>
            <w:bottom w:val="none" w:sz="0" w:space="0" w:color="auto"/>
            <w:right w:val="none" w:sz="0" w:space="0" w:color="auto"/>
          </w:divBdr>
        </w:div>
      </w:divsChild>
    </w:div>
    <w:div w:id="1340809553">
      <w:marLeft w:val="0"/>
      <w:marRight w:val="0"/>
      <w:marTop w:val="0"/>
      <w:marBottom w:val="0"/>
      <w:divBdr>
        <w:top w:val="none" w:sz="0" w:space="0" w:color="auto"/>
        <w:left w:val="none" w:sz="0" w:space="0" w:color="auto"/>
        <w:bottom w:val="none" w:sz="0" w:space="0" w:color="auto"/>
        <w:right w:val="none" w:sz="0" w:space="0" w:color="auto"/>
      </w:divBdr>
      <w:divsChild>
        <w:div w:id="852453258">
          <w:marLeft w:val="0"/>
          <w:marRight w:val="0"/>
          <w:marTop w:val="0"/>
          <w:marBottom w:val="0"/>
          <w:divBdr>
            <w:top w:val="none" w:sz="0" w:space="0" w:color="auto"/>
            <w:left w:val="none" w:sz="0" w:space="0" w:color="auto"/>
            <w:bottom w:val="none" w:sz="0" w:space="0" w:color="auto"/>
            <w:right w:val="none" w:sz="0" w:space="0" w:color="auto"/>
          </w:divBdr>
        </w:div>
      </w:divsChild>
    </w:div>
    <w:div w:id="1343629848">
      <w:marLeft w:val="0"/>
      <w:marRight w:val="0"/>
      <w:marTop w:val="0"/>
      <w:marBottom w:val="0"/>
      <w:divBdr>
        <w:top w:val="none" w:sz="0" w:space="0" w:color="auto"/>
        <w:left w:val="none" w:sz="0" w:space="0" w:color="auto"/>
        <w:bottom w:val="none" w:sz="0" w:space="0" w:color="auto"/>
        <w:right w:val="none" w:sz="0" w:space="0" w:color="auto"/>
      </w:divBdr>
      <w:divsChild>
        <w:div w:id="1383795588">
          <w:marLeft w:val="0"/>
          <w:marRight w:val="0"/>
          <w:marTop w:val="0"/>
          <w:marBottom w:val="0"/>
          <w:divBdr>
            <w:top w:val="none" w:sz="0" w:space="0" w:color="auto"/>
            <w:left w:val="none" w:sz="0" w:space="0" w:color="auto"/>
            <w:bottom w:val="none" w:sz="0" w:space="0" w:color="auto"/>
            <w:right w:val="none" w:sz="0" w:space="0" w:color="auto"/>
          </w:divBdr>
        </w:div>
      </w:divsChild>
    </w:div>
    <w:div w:id="1357121456">
      <w:marLeft w:val="0"/>
      <w:marRight w:val="0"/>
      <w:marTop w:val="0"/>
      <w:marBottom w:val="0"/>
      <w:divBdr>
        <w:top w:val="none" w:sz="0" w:space="0" w:color="auto"/>
        <w:left w:val="none" w:sz="0" w:space="0" w:color="auto"/>
        <w:bottom w:val="none" w:sz="0" w:space="0" w:color="auto"/>
        <w:right w:val="none" w:sz="0" w:space="0" w:color="auto"/>
      </w:divBdr>
      <w:divsChild>
        <w:div w:id="729812581">
          <w:marLeft w:val="0"/>
          <w:marRight w:val="0"/>
          <w:marTop w:val="0"/>
          <w:marBottom w:val="0"/>
          <w:divBdr>
            <w:top w:val="none" w:sz="0" w:space="0" w:color="auto"/>
            <w:left w:val="none" w:sz="0" w:space="0" w:color="auto"/>
            <w:bottom w:val="none" w:sz="0" w:space="0" w:color="auto"/>
            <w:right w:val="none" w:sz="0" w:space="0" w:color="auto"/>
          </w:divBdr>
        </w:div>
      </w:divsChild>
    </w:div>
    <w:div w:id="1357191513">
      <w:bodyDiv w:val="1"/>
      <w:marLeft w:val="0"/>
      <w:marRight w:val="0"/>
      <w:marTop w:val="0"/>
      <w:marBottom w:val="0"/>
      <w:divBdr>
        <w:top w:val="none" w:sz="0" w:space="0" w:color="auto"/>
        <w:left w:val="none" w:sz="0" w:space="0" w:color="auto"/>
        <w:bottom w:val="none" w:sz="0" w:space="0" w:color="auto"/>
        <w:right w:val="none" w:sz="0" w:space="0" w:color="auto"/>
      </w:divBdr>
    </w:div>
    <w:div w:id="1357460643">
      <w:bodyDiv w:val="1"/>
      <w:marLeft w:val="0"/>
      <w:marRight w:val="0"/>
      <w:marTop w:val="0"/>
      <w:marBottom w:val="0"/>
      <w:divBdr>
        <w:top w:val="none" w:sz="0" w:space="0" w:color="auto"/>
        <w:left w:val="none" w:sz="0" w:space="0" w:color="auto"/>
        <w:bottom w:val="none" w:sz="0" w:space="0" w:color="auto"/>
        <w:right w:val="none" w:sz="0" w:space="0" w:color="auto"/>
      </w:divBdr>
      <w:divsChild>
        <w:div w:id="582492112">
          <w:marLeft w:val="0"/>
          <w:marRight w:val="0"/>
          <w:marTop w:val="0"/>
          <w:marBottom w:val="0"/>
          <w:divBdr>
            <w:top w:val="none" w:sz="0" w:space="0" w:color="auto"/>
            <w:left w:val="none" w:sz="0" w:space="0" w:color="auto"/>
            <w:bottom w:val="none" w:sz="0" w:space="0" w:color="auto"/>
            <w:right w:val="none" w:sz="0" w:space="0" w:color="auto"/>
          </w:divBdr>
          <w:divsChild>
            <w:div w:id="1474642225">
              <w:marLeft w:val="0"/>
              <w:marRight w:val="0"/>
              <w:marTop w:val="0"/>
              <w:marBottom w:val="0"/>
              <w:divBdr>
                <w:top w:val="none" w:sz="0" w:space="0" w:color="auto"/>
                <w:left w:val="none" w:sz="0" w:space="0" w:color="auto"/>
                <w:bottom w:val="none" w:sz="0" w:space="0" w:color="auto"/>
                <w:right w:val="none" w:sz="0" w:space="0" w:color="auto"/>
              </w:divBdr>
              <w:divsChild>
                <w:div w:id="688028993">
                  <w:marLeft w:val="0"/>
                  <w:marRight w:val="150"/>
                  <w:marTop w:val="0"/>
                  <w:marBottom w:val="0"/>
                  <w:divBdr>
                    <w:top w:val="none" w:sz="0" w:space="0" w:color="auto"/>
                    <w:left w:val="none" w:sz="0" w:space="0" w:color="auto"/>
                    <w:bottom w:val="none" w:sz="0" w:space="0" w:color="auto"/>
                    <w:right w:val="none" w:sz="0" w:space="0" w:color="auto"/>
                  </w:divBdr>
                  <w:divsChild>
                    <w:div w:id="8870078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57909232">
          <w:marLeft w:val="0"/>
          <w:marRight w:val="150"/>
          <w:marTop w:val="0"/>
          <w:marBottom w:val="0"/>
          <w:divBdr>
            <w:top w:val="none" w:sz="0" w:space="0" w:color="auto"/>
            <w:left w:val="none" w:sz="0" w:space="0" w:color="auto"/>
            <w:bottom w:val="none" w:sz="0" w:space="0" w:color="auto"/>
            <w:right w:val="none" w:sz="0" w:space="0" w:color="auto"/>
          </w:divBdr>
          <w:divsChild>
            <w:div w:id="205411622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58965981">
      <w:bodyDiv w:val="1"/>
      <w:marLeft w:val="0"/>
      <w:marRight w:val="0"/>
      <w:marTop w:val="0"/>
      <w:marBottom w:val="0"/>
      <w:divBdr>
        <w:top w:val="none" w:sz="0" w:space="0" w:color="auto"/>
        <w:left w:val="none" w:sz="0" w:space="0" w:color="auto"/>
        <w:bottom w:val="none" w:sz="0" w:space="0" w:color="auto"/>
        <w:right w:val="none" w:sz="0" w:space="0" w:color="auto"/>
      </w:divBdr>
    </w:div>
    <w:div w:id="1361858582">
      <w:marLeft w:val="0"/>
      <w:marRight w:val="0"/>
      <w:marTop w:val="0"/>
      <w:marBottom w:val="0"/>
      <w:divBdr>
        <w:top w:val="none" w:sz="0" w:space="0" w:color="auto"/>
        <w:left w:val="none" w:sz="0" w:space="0" w:color="auto"/>
        <w:bottom w:val="none" w:sz="0" w:space="0" w:color="auto"/>
        <w:right w:val="none" w:sz="0" w:space="0" w:color="auto"/>
      </w:divBdr>
      <w:divsChild>
        <w:div w:id="596980301">
          <w:marLeft w:val="0"/>
          <w:marRight w:val="0"/>
          <w:marTop w:val="0"/>
          <w:marBottom w:val="0"/>
          <w:divBdr>
            <w:top w:val="none" w:sz="0" w:space="0" w:color="auto"/>
            <w:left w:val="none" w:sz="0" w:space="0" w:color="auto"/>
            <w:bottom w:val="none" w:sz="0" w:space="0" w:color="auto"/>
            <w:right w:val="none" w:sz="0" w:space="0" w:color="auto"/>
          </w:divBdr>
        </w:div>
      </w:divsChild>
    </w:div>
    <w:div w:id="1364549424">
      <w:bodyDiv w:val="1"/>
      <w:marLeft w:val="0"/>
      <w:marRight w:val="0"/>
      <w:marTop w:val="0"/>
      <w:marBottom w:val="0"/>
      <w:divBdr>
        <w:top w:val="none" w:sz="0" w:space="0" w:color="auto"/>
        <w:left w:val="none" w:sz="0" w:space="0" w:color="auto"/>
        <w:bottom w:val="none" w:sz="0" w:space="0" w:color="auto"/>
        <w:right w:val="none" w:sz="0" w:space="0" w:color="auto"/>
      </w:divBdr>
    </w:div>
    <w:div w:id="1369916143">
      <w:bodyDiv w:val="1"/>
      <w:marLeft w:val="0"/>
      <w:marRight w:val="0"/>
      <w:marTop w:val="0"/>
      <w:marBottom w:val="0"/>
      <w:divBdr>
        <w:top w:val="none" w:sz="0" w:space="0" w:color="auto"/>
        <w:left w:val="none" w:sz="0" w:space="0" w:color="auto"/>
        <w:bottom w:val="none" w:sz="0" w:space="0" w:color="auto"/>
        <w:right w:val="none" w:sz="0" w:space="0" w:color="auto"/>
      </w:divBdr>
    </w:div>
    <w:div w:id="1372681973">
      <w:marLeft w:val="0"/>
      <w:marRight w:val="0"/>
      <w:marTop w:val="0"/>
      <w:marBottom w:val="0"/>
      <w:divBdr>
        <w:top w:val="none" w:sz="0" w:space="0" w:color="auto"/>
        <w:left w:val="none" w:sz="0" w:space="0" w:color="auto"/>
        <w:bottom w:val="none" w:sz="0" w:space="0" w:color="auto"/>
        <w:right w:val="none" w:sz="0" w:space="0" w:color="auto"/>
      </w:divBdr>
      <w:divsChild>
        <w:div w:id="917521001">
          <w:marLeft w:val="0"/>
          <w:marRight w:val="0"/>
          <w:marTop w:val="0"/>
          <w:marBottom w:val="0"/>
          <w:divBdr>
            <w:top w:val="none" w:sz="0" w:space="0" w:color="auto"/>
            <w:left w:val="none" w:sz="0" w:space="0" w:color="auto"/>
            <w:bottom w:val="none" w:sz="0" w:space="0" w:color="auto"/>
            <w:right w:val="none" w:sz="0" w:space="0" w:color="auto"/>
          </w:divBdr>
        </w:div>
      </w:divsChild>
    </w:div>
    <w:div w:id="1376465783">
      <w:bodyDiv w:val="1"/>
      <w:marLeft w:val="0"/>
      <w:marRight w:val="0"/>
      <w:marTop w:val="0"/>
      <w:marBottom w:val="0"/>
      <w:divBdr>
        <w:top w:val="none" w:sz="0" w:space="0" w:color="auto"/>
        <w:left w:val="none" w:sz="0" w:space="0" w:color="auto"/>
        <w:bottom w:val="none" w:sz="0" w:space="0" w:color="auto"/>
        <w:right w:val="none" w:sz="0" w:space="0" w:color="auto"/>
      </w:divBdr>
      <w:divsChild>
        <w:div w:id="259335683">
          <w:marLeft w:val="0"/>
          <w:marRight w:val="0"/>
          <w:marTop w:val="0"/>
          <w:marBottom w:val="0"/>
          <w:divBdr>
            <w:top w:val="none" w:sz="0" w:space="0" w:color="auto"/>
            <w:left w:val="none" w:sz="0" w:space="0" w:color="auto"/>
            <w:bottom w:val="none" w:sz="0" w:space="0" w:color="auto"/>
            <w:right w:val="none" w:sz="0" w:space="0" w:color="auto"/>
          </w:divBdr>
          <w:divsChild>
            <w:div w:id="1048191525">
              <w:marLeft w:val="0"/>
              <w:marRight w:val="0"/>
              <w:marTop w:val="0"/>
              <w:marBottom w:val="0"/>
              <w:divBdr>
                <w:top w:val="none" w:sz="0" w:space="0" w:color="auto"/>
                <w:left w:val="none" w:sz="0" w:space="0" w:color="auto"/>
                <w:bottom w:val="none" w:sz="0" w:space="0" w:color="auto"/>
                <w:right w:val="none" w:sz="0" w:space="0" w:color="auto"/>
              </w:divBdr>
            </w:div>
            <w:div w:id="2118980876">
              <w:marLeft w:val="0"/>
              <w:marRight w:val="0"/>
              <w:marTop w:val="0"/>
              <w:marBottom w:val="0"/>
              <w:divBdr>
                <w:top w:val="none" w:sz="0" w:space="0" w:color="auto"/>
                <w:left w:val="none" w:sz="0" w:space="0" w:color="auto"/>
                <w:bottom w:val="none" w:sz="0" w:space="0" w:color="auto"/>
                <w:right w:val="none" w:sz="0" w:space="0" w:color="auto"/>
              </w:divBdr>
            </w:div>
            <w:div w:id="2050764216">
              <w:marLeft w:val="0"/>
              <w:marRight w:val="0"/>
              <w:marTop w:val="0"/>
              <w:marBottom w:val="0"/>
              <w:divBdr>
                <w:top w:val="none" w:sz="0" w:space="0" w:color="auto"/>
                <w:left w:val="none" w:sz="0" w:space="0" w:color="auto"/>
                <w:bottom w:val="none" w:sz="0" w:space="0" w:color="auto"/>
                <w:right w:val="none" w:sz="0" w:space="0" w:color="auto"/>
              </w:divBdr>
            </w:div>
            <w:div w:id="1935741861">
              <w:marLeft w:val="0"/>
              <w:marRight w:val="0"/>
              <w:marTop w:val="0"/>
              <w:marBottom w:val="0"/>
              <w:divBdr>
                <w:top w:val="none" w:sz="0" w:space="0" w:color="auto"/>
                <w:left w:val="none" w:sz="0" w:space="0" w:color="auto"/>
                <w:bottom w:val="none" w:sz="0" w:space="0" w:color="auto"/>
                <w:right w:val="none" w:sz="0" w:space="0" w:color="auto"/>
              </w:divBdr>
            </w:div>
            <w:div w:id="922689007">
              <w:marLeft w:val="0"/>
              <w:marRight w:val="0"/>
              <w:marTop w:val="0"/>
              <w:marBottom w:val="0"/>
              <w:divBdr>
                <w:top w:val="none" w:sz="0" w:space="0" w:color="auto"/>
                <w:left w:val="none" w:sz="0" w:space="0" w:color="auto"/>
                <w:bottom w:val="none" w:sz="0" w:space="0" w:color="auto"/>
                <w:right w:val="none" w:sz="0" w:space="0" w:color="auto"/>
              </w:divBdr>
            </w:div>
            <w:div w:id="1690643064">
              <w:marLeft w:val="0"/>
              <w:marRight w:val="0"/>
              <w:marTop w:val="0"/>
              <w:marBottom w:val="0"/>
              <w:divBdr>
                <w:top w:val="none" w:sz="0" w:space="0" w:color="auto"/>
                <w:left w:val="none" w:sz="0" w:space="0" w:color="auto"/>
                <w:bottom w:val="none" w:sz="0" w:space="0" w:color="auto"/>
                <w:right w:val="none" w:sz="0" w:space="0" w:color="auto"/>
              </w:divBdr>
            </w:div>
            <w:div w:id="1306162438">
              <w:marLeft w:val="0"/>
              <w:marRight w:val="0"/>
              <w:marTop w:val="0"/>
              <w:marBottom w:val="0"/>
              <w:divBdr>
                <w:top w:val="none" w:sz="0" w:space="0" w:color="auto"/>
                <w:left w:val="none" w:sz="0" w:space="0" w:color="auto"/>
                <w:bottom w:val="none" w:sz="0" w:space="0" w:color="auto"/>
                <w:right w:val="none" w:sz="0" w:space="0" w:color="auto"/>
              </w:divBdr>
            </w:div>
            <w:div w:id="113671884">
              <w:marLeft w:val="0"/>
              <w:marRight w:val="0"/>
              <w:marTop w:val="0"/>
              <w:marBottom w:val="0"/>
              <w:divBdr>
                <w:top w:val="none" w:sz="0" w:space="0" w:color="auto"/>
                <w:left w:val="none" w:sz="0" w:space="0" w:color="auto"/>
                <w:bottom w:val="none" w:sz="0" w:space="0" w:color="auto"/>
                <w:right w:val="none" w:sz="0" w:space="0" w:color="auto"/>
              </w:divBdr>
            </w:div>
            <w:div w:id="163591660">
              <w:marLeft w:val="0"/>
              <w:marRight w:val="0"/>
              <w:marTop w:val="0"/>
              <w:marBottom w:val="0"/>
              <w:divBdr>
                <w:top w:val="none" w:sz="0" w:space="0" w:color="auto"/>
                <w:left w:val="none" w:sz="0" w:space="0" w:color="auto"/>
                <w:bottom w:val="none" w:sz="0" w:space="0" w:color="auto"/>
                <w:right w:val="none" w:sz="0" w:space="0" w:color="auto"/>
              </w:divBdr>
            </w:div>
            <w:div w:id="1182891730">
              <w:marLeft w:val="0"/>
              <w:marRight w:val="0"/>
              <w:marTop w:val="0"/>
              <w:marBottom w:val="0"/>
              <w:divBdr>
                <w:top w:val="none" w:sz="0" w:space="0" w:color="auto"/>
                <w:left w:val="none" w:sz="0" w:space="0" w:color="auto"/>
                <w:bottom w:val="none" w:sz="0" w:space="0" w:color="auto"/>
                <w:right w:val="none" w:sz="0" w:space="0" w:color="auto"/>
              </w:divBdr>
            </w:div>
            <w:div w:id="2088719722">
              <w:marLeft w:val="0"/>
              <w:marRight w:val="0"/>
              <w:marTop w:val="0"/>
              <w:marBottom w:val="0"/>
              <w:divBdr>
                <w:top w:val="none" w:sz="0" w:space="0" w:color="auto"/>
                <w:left w:val="none" w:sz="0" w:space="0" w:color="auto"/>
                <w:bottom w:val="none" w:sz="0" w:space="0" w:color="auto"/>
                <w:right w:val="none" w:sz="0" w:space="0" w:color="auto"/>
              </w:divBdr>
            </w:div>
            <w:div w:id="1785996565">
              <w:marLeft w:val="0"/>
              <w:marRight w:val="0"/>
              <w:marTop w:val="0"/>
              <w:marBottom w:val="0"/>
              <w:divBdr>
                <w:top w:val="none" w:sz="0" w:space="0" w:color="auto"/>
                <w:left w:val="none" w:sz="0" w:space="0" w:color="auto"/>
                <w:bottom w:val="none" w:sz="0" w:space="0" w:color="auto"/>
                <w:right w:val="none" w:sz="0" w:space="0" w:color="auto"/>
              </w:divBdr>
            </w:div>
            <w:div w:id="995912786">
              <w:marLeft w:val="0"/>
              <w:marRight w:val="0"/>
              <w:marTop w:val="0"/>
              <w:marBottom w:val="0"/>
              <w:divBdr>
                <w:top w:val="none" w:sz="0" w:space="0" w:color="auto"/>
                <w:left w:val="none" w:sz="0" w:space="0" w:color="auto"/>
                <w:bottom w:val="none" w:sz="0" w:space="0" w:color="auto"/>
                <w:right w:val="none" w:sz="0" w:space="0" w:color="auto"/>
              </w:divBdr>
            </w:div>
            <w:div w:id="698044152">
              <w:marLeft w:val="0"/>
              <w:marRight w:val="0"/>
              <w:marTop w:val="0"/>
              <w:marBottom w:val="0"/>
              <w:divBdr>
                <w:top w:val="none" w:sz="0" w:space="0" w:color="auto"/>
                <w:left w:val="none" w:sz="0" w:space="0" w:color="auto"/>
                <w:bottom w:val="none" w:sz="0" w:space="0" w:color="auto"/>
                <w:right w:val="none" w:sz="0" w:space="0" w:color="auto"/>
              </w:divBdr>
            </w:div>
            <w:div w:id="489105701">
              <w:marLeft w:val="0"/>
              <w:marRight w:val="0"/>
              <w:marTop w:val="0"/>
              <w:marBottom w:val="0"/>
              <w:divBdr>
                <w:top w:val="none" w:sz="0" w:space="0" w:color="auto"/>
                <w:left w:val="none" w:sz="0" w:space="0" w:color="auto"/>
                <w:bottom w:val="none" w:sz="0" w:space="0" w:color="auto"/>
                <w:right w:val="none" w:sz="0" w:space="0" w:color="auto"/>
              </w:divBdr>
            </w:div>
            <w:div w:id="228228825">
              <w:marLeft w:val="0"/>
              <w:marRight w:val="0"/>
              <w:marTop w:val="0"/>
              <w:marBottom w:val="0"/>
              <w:divBdr>
                <w:top w:val="none" w:sz="0" w:space="0" w:color="auto"/>
                <w:left w:val="none" w:sz="0" w:space="0" w:color="auto"/>
                <w:bottom w:val="none" w:sz="0" w:space="0" w:color="auto"/>
                <w:right w:val="none" w:sz="0" w:space="0" w:color="auto"/>
              </w:divBdr>
            </w:div>
            <w:div w:id="155342141">
              <w:marLeft w:val="0"/>
              <w:marRight w:val="0"/>
              <w:marTop w:val="0"/>
              <w:marBottom w:val="0"/>
              <w:divBdr>
                <w:top w:val="none" w:sz="0" w:space="0" w:color="auto"/>
                <w:left w:val="none" w:sz="0" w:space="0" w:color="auto"/>
                <w:bottom w:val="none" w:sz="0" w:space="0" w:color="auto"/>
                <w:right w:val="none" w:sz="0" w:space="0" w:color="auto"/>
              </w:divBdr>
            </w:div>
            <w:div w:id="765930378">
              <w:marLeft w:val="0"/>
              <w:marRight w:val="0"/>
              <w:marTop w:val="0"/>
              <w:marBottom w:val="0"/>
              <w:divBdr>
                <w:top w:val="none" w:sz="0" w:space="0" w:color="auto"/>
                <w:left w:val="none" w:sz="0" w:space="0" w:color="auto"/>
                <w:bottom w:val="none" w:sz="0" w:space="0" w:color="auto"/>
                <w:right w:val="none" w:sz="0" w:space="0" w:color="auto"/>
              </w:divBdr>
            </w:div>
            <w:div w:id="1678071694">
              <w:marLeft w:val="0"/>
              <w:marRight w:val="0"/>
              <w:marTop w:val="0"/>
              <w:marBottom w:val="0"/>
              <w:divBdr>
                <w:top w:val="none" w:sz="0" w:space="0" w:color="auto"/>
                <w:left w:val="none" w:sz="0" w:space="0" w:color="auto"/>
                <w:bottom w:val="none" w:sz="0" w:space="0" w:color="auto"/>
                <w:right w:val="none" w:sz="0" w:space="0" w:color="auto"/>
              </w:divBdr>
            </w:div>
            <w:div w:id="4325400">
              <w:marLeft w:val="0"/>
              <w:marRight w:val="0"/>
              <w:marTop w:val="0"/>
              <w:marBottom w:val="0"/>
              <w:divBdr>
                <w:top w:val="none" w:sz="0" w:space="0" w:color="auto"/>
                <w:left w:val="none" w:sz="0" w:space="0" w:color="auto"/>
                <w:bottom w:val="none" w:sz="0" w:space="0" w:color="auto"/>
                <w:right w:val="none" w:sz="0" w:space="0" w:color="auto"/>
              </w:divBdr>
            </w:div>
            <w:div w:id="577054956">
              <w:marLeft w:val="0"/>
              <w:marRight w:val="0"/>
              <w:marTop w:val="0"/>
              <w:marBottom w:val="0"/>
              <w:divBdr>
                <w:top w:val="none" w:sz="0" w:space="0" w:color="auto"/>
                <w:left w:val="none" w:sz="0" w:space="0" w:color="auto"/>
                <w:bottom w:val="none" w:sz="0" w:space="0" w:color="auto"/>
                <w:right w:val="none" w:sz="0" w:space="0" w:color="auto"/>
              </w:divBdr>
            </w:div>
            <w:div w:id="12072474">
              <w:marLeft w:val="0"/>
              <w:marRight w:val="0"/>
              <w:marTop w:val="0"/>
              <w:marBottom w:val="0"/>
              <w:divBdr>
                <w:top w:val="none" w:sz="0" w:space="0" w:color="auto"/>
                <w:left w:val="none" w:sz="0" w:space="0" w:color="auto"/>
                <w:bottom w:val="none" w:sz="0" w:space="0" w:color="auto"/>
                <w:right w:val="none" w:sz="0" w:space="0" w:color="auto"/>
              </w:divBdr>
            </w:div>
            <w:div w:id="405804535">
              <w:marLeft w:val="0"/>
              <w:marRight w:val="0"/>
              <w:marTop w:val="0"/>
              <w:marBottom w:val="0"/>
              <w:divBdr>
                <w:top w:val="none" w:sz="0" w:space="0" w:color="auto"/>
                <w:left w:val="none" w:sz="0" w:space="0" w:color="auto"/>
                <w:bottom w:val="none" w:sz="0" w:space="0" w:color="auto"/>
                <w:right w:val="none" w:sz="0" w:space="0" w:color="auto"/>
              </w:divBdr>
            </w:div>
            <w:div w:id="654189691">
              <w:marLeft w:val="0"/>
              <w:marRight w:val="0"/>
              <w:marTop w:val="0"/>
              <w:marBottom w:val="0"/>
              <w:divBdr>
                <w:top w:val="none" w:sz="0" w:space="0" w:color="auto"/>
                <w:left w:val="none" w:sz="0" w:space="0" w:color="auto"/>
                <w:bottom w:val="none" w:sz="0" w:space="0" w:color="auto"/>
                <w:right w:val="none" w:sz="0" w:space="0" w:color="auto"/>
              </w:divBdr>
            </w:div>
            <w:div w:id="474689459">
              <w:marLeft w:val="0"/>
              <w:marRight w:val="0"/>
              <w:marTop w:val="0"/>
              <w:marBottom w:val="0"/>
              <w:divBdr>
                <w:top w:val="none" w:sz="0" w:space="0" w:color="auto"/>
                <w:left w:val="none" w:sz="0" w:space="0" w:color="auto"/>
                <w:bottom w:val="none" w:sz="0" w:space="0" w:color="auto"/>
                <w:right w:val="none" w:sz="0" w:space="0" w:color="auto"/>
              </w:divBdr>
            </w:div>
            <w:div w:id="1797094276">
              <w:marLeft w:val="0"/>
              <w:marRight w:val="0"/>
              <w:marTop w:val="0"/>
              <w:marBottom w:val="0"/>
              <w:divBdr>
                <w:top w:val="none" w:sz="0" w:space="0" w:color="auto"/>
                <w:left w:val="none" w:sz="0" w:space="0" w:color="auto"/>
                <w:bottom w:val="none" w:sz="0" w:space="0" w:color="auto"/>
                <w:right w:val="none" w:sz="0" w:space="0" w:color="auto"/>
              </w:divBdr>
            </w:div>
            <w:div w:id="731931498">
              <w:marLeft w:val="0"/>
              <w:marRight w:val="0"/>
              <w:marTop w:val="0"/>
              <w:marBottom w:val="0"/>
              <w:divBdr>
                <w:top w:val="none" w:sz="0" w:space="0" w:color="auto"/>
                <w:left w:val="none" w:sz="0" w:space="0" w:color="auto"/>
                <w:bottom w:val="none" w:sz="0" w:space="0" w:color="auto"/>
                <w:right w:val="none" w:sz="0" w:space="0" w:color="auto"/>
              </w:divBdr>
            </w:div>
            <w:div w:id="1913419859">
              <w:marLeft w:val="0"/>
              <w:marRight w:val="0"/>
              <w:marTop w:val="0"/>
              <w:marBottom w:val="0"/>
              <w:divBdr>
                <w:top w:val="none" w:sz="0" w:space="0" w:color="auto"/>
                <w:left w:val="none" w:sz="0" w:space="0" w:color="auto"/>
                <w:bottom w:val="none" w:sz="0" w:space="0" w:color="auto"/>
                <w:right w:val="none" w:sz="0" w:space="0" w:color="auto"/>
              </w:divBdr>
            </w:div>
            <w:div w:id="624118225">
              <w:marLeft w:val="0"/>
              <w:marRight w:val="0"/>
              <w:marTop w:val="0"/>
              <w:marBottom w:val="0"/>
              <w:divBdr>
                <w:top w:val="none" w:sz="0" w:space="0" w:color="auto"/>
                <w:left w:val="none" w:sz="0" w:space="0" w:color="auto"/>
                <w:bottom w:val="none" w:sz="0" w:space="0" w:color="auto"/>
                <w:right w:val="none" w:sz="0" w:space="0" w:color="auto"/>
              </w:divBdr>
            </w:div>
            <w:div w:id="82651735">
              <w:marLeft w:val="0"/>
              <w:marRight w:val="0"/>
              <w:marTop w:val="0"/>
              <w:marBottom w:val="0"/>
              <w:divBdr>
                <w:top w:val="none" w:sz="0" w:space="0" w:color="auto"/>
                <w:left w:val="none" w:sz="0" w:space="0" w:color="auto"/>
                <w:bottom w:val="none" w:sz="0" w:space="0" w:color="auto"/>
                <w:right w:val="none" w:sz="0" w:space="0" w:color="auto"/>
              </w:divBdr>
            </w:div>
            <w:div w:id="1652245262">
              <w:marLeft w:val="0"/>
              <w:marRight w:val="0"/>
              <w:marTop w:val="0"/>
              <w:marBottom w:val="0"/>
              <w:divBdr>
                <w:top w:val="none" w:sz="0" w:space="0" w:color="auto"/>
                <w:left w:val="none" w:sz="0" w:space="0" w:color="auto"/>
                <w:bottom w:val="none" w:sz="0" w:space="0" w:color="auto"/>
                <w:right w:val="none" w:sz="0" w:space="0" w:color="auto"/>
              </w:divBdr>
            </w:div>
            <w:div w:id="294794324">
              <w:marLeft w:val="0"/>
              <w:marRight w:val="0"/>
              <w:marTop w:val="0"/>
              <w:marBottom w:val="0"/>
              <w:divBdr>
                <w:top w:val="none" w:sz="0" w:space="0" w:color="auto"/>
                <w:left w:val="none" w:sz="0" w:space="0" w:color="auto"/>
                <w:bottom w:val="none" w:sz="0" w:space="0" w:color="auto"/>
                <w:right w:val="none" w:sz="0" w:space="0" w:color="auto"/>
              </w:divBdr>
            </w:div>
            <w:div w:id="373387096">
              <w:marLeft w:val="0"/>
              <w:marRight w:val="0"/>
              <w:marTop w:val="0"/>
              <w:marBottom w:val="0"/>
              <w:divBdr>
                <w:top w:val="none" w:sz="0" w:space="0" w:color="auto"/>
                <w:left w:val="none" w:sz="0" w:space="0" w:color="auto"/>
                <w:bottom w:val="none" w:sz="0" w:space="0" w:color="auto"/>
                <w:right w:val="none" w:sz="0" w:space="0" w:color="auto"/>
              </w:divBdr>
            </w:div>
            <w:div w:id="569466808">
              <w:marLeft w:val="0"/>
              <w:marRight w:val="0"/>
              <w:marTop w:val="0"/>
              <w:marBottom w:val="0"/>
              <w:divBdr>
                <w:top w:val="none" w:sz="0" w:space="0" w:color="auto"/>
                <w:left w:val="none" w:sz="0" w:space="0" w:color="auto"/>
                <w:bottom w:val="none" w:sz="0" w:space="0" w:color="auto"/>
                <w:right w:val="none" w:sz="0" w:space="0" w:color="auto"/>
              </w:divBdr>
            </w:div>
            <w:div w:id="784426133">
              <w:marLeft w:val="0"/>
              <w:marRight w:val="0"/>
              <w:marTop w:val="0"/>
              <w:marBottom w:val="0"/>
              <w:divBdr>
                <w:top w:val="none" w:sz="0" w:space="0" w:color="auto"/>
                <w:left w:val="none" w:sz="0" w:space="0" w:color="auto"/>
                <w:bottom w:val="none" w:sz="0" w:space="0" w:color="auto"/>
                <w:right w:val="none" w:sz="0" w:space="0" w:color="auto"/>
              </w:divBdr>
            </w:div>
            <w:div w:id="1326469866">
              <w:marLeft w:val="0"/>
              <w:marRight w:val="0"/>
              <w:marTop w:val="0"/>
              <w:marBottom w:val="0"/>
              <w:divBdr>
                <w:top w:val="none" w:sz="0" w:space="0" w:color="auto"/>
                <w:left w:val="none" w:sz="0" w:space="0" w:color="auto"/>
                <w:bottom w:val="none" w:sz="0" w:space="0" w:color="auto"/>
                <w:right w:val="none" w:sz="0" w:space="0" w:color="auto"/>
              </w:divBdr>
            </w:div>
            <w:div w:id="2053453151">
              <w:marLeft w:val="0"/>
              <w:marRight w:val="0"/>
              <w:marTop w:val="0"/>
              <w:marBottom w:val="0"/>
              <w:divBdr>
                <w:top w:val="none" w:sz="0" w:space="0" w:color="auto"/>
                <w:left w:val="none" w:sz="0" w:space="0" w:color="auto"/>
                <w:bottom w:val="none" w:sz="0" w:space="0" w:color="auto"/>
                <w:right w:val="none" w:sz="0" w:space="0" w:color="auto"/>
              </w:divBdr>
            </w:div>
            <w:div w:id="534392950">
              <w:marLeft w:val="0"/>
              <w:marRight w:val="0"/>
              <w:marTop w:val="0"/>
              <w:marBottom w:val="0"/>
              <w:divBdr>
                <w:top w:val="none" w:sz="0" w:space="0" w:color="auto"/>
                <w:left w:val="none" w:sz="0" w:space="0" w:color="auto"/>
                <w:bottom w:val="none" w:sz="0" w:space="0" w:color="auto"/>
                <w:right w:val="none" w:sz="0" w:space="0" w:color="auto"/>
              </w:divBdr>
            </w:div>
            <w:div w:id="901717578">
              <w:marLeft w:val="0"/>
              <w:marRight w:val="0"/>
              <w:marTop w:val="0"/>
              <w:marBottom w:val="0"/>
              <w:divBdr>
                <w:top w:val="none" w:sz="0" w:space="0" w:color="auto"/>
                <w:left w:val="none" w:sz="0" w:space="0" w:color="auto"/>
                <w:bottom w:val="none" w:sz="0" w:space="0" w:color="auto"/>
                <w:right w:val="none" w:sz="0" w:space="0" w:color="auto"/>
              </w:divBdr>
            </w:div>
            <w:div w:id="342244824">
              <w:marLeft w:val="0"/>
              <w:marRight w:val="0"/>
              <w:marTop w:val="0"/>
              <w:marBottom w:val="0"/>
              <w:divBdr>
                <w:top w:val="none" w:sz="0" w:space="0" w:color="auto"/>
                <w:left w:val="none" w:sz="0" w:space="0" w:color="auto"/>
                <w:bottom w:val="none" w:sz="0" w:space="0" w:color="auto"/>
                <w:right w:val="none" w:sz="0" w:space="0" w:color="auto"/>
              </w:divBdr>
            </w:div>
            <w:div w:id="521626304">
              <w:marLeft w:val="0"/>
              <w:marRight w:val="0"/>
              <w:marTop w:val="0"/>
              <w:marBottom w:val="0"/>
              <w:divBdr>
                <w:top w:val="none" w:sz="0" w:space="0" w:color="auto"/>
                <w:left w:val="none" w:sz="0" w:space="0" w:color="auto"/>
                <w:bottom w:val="none" w:sz="0" w:space="0" w:color="auto"/>
                <w:right w:val="none" w:sz="0" w:space="0" w:color="auto"/>
              </w:divBdr>
            </w:div>
            <w:div w:id="48846508">
              <w:marLeft w:val="0"/>
              <w:marRight w:val="0"/>
              <w:marTop w:val="0"/>
              <w:marBottom w:val="0"/>
              <w:divBdr>
                <w:top w:val="none" w:sz="0" w:space="0" w:color="auto"/>
                <w:left w:val="none" w:sz="0" w:space="0" w:color="auto"/>
                <w:bottom w:val="none" w:sz="0" w:space="0" w:color="auto"/>
                <w:right w:val="none" w:sz="0" w:space="0" w:color="auto"/>
              </w:divBdr>
            </w:div>
            <w:div w:id="633869349">
              <w:marLeft w:val="0"/>
              <w:marRight w:val="0"/>
              <w:marTop w:val="0"/>
              <w:marBottom w:val="0"/>
              <w:divBdr>
                <w:top w:val="none" w:sz="0" w:space="0" w:color="auto"/>
                <w:left w:val="none" w:sz="0" w:space="0" w:color="auto"/>
                <w:bottom w:val="none" w:sz="0" w:space="0" w:color="auto"/>
                <w:right w:val="none" w:sz="0" w:space="0" w:color="auto"/>
              </w:divBdr>
            </w:div>
            <w:div w:id="1556039413">
              <w:marLeft w:val="0"/>
              <w:marRight w:val="0"/>
              <w:marTop w:val="0"/>
              <w:marBottom w:val="0"/>
              <w:divBdr>
                <w:top w:val="none" w:sz="0" w:space="0" w:color="auto"/>
                <w:left w:val="none" w:sz="0" w:space="0" w:color="auto"/>
                <w:bottom w:val="none" w:sz="0" w:space="0" w:color="auto"/>
                <w:right w:val="none" w:sz="0" w:space="0" w:color="auto"/>
              </w:divBdr>
            </w:div>
            <w:div w:id="1269191795">
              <w:marLeft w:val="0"/>
              <w:marRight w:val="0"/>
              <w:marTop w:val="0"/>
              <w:marBottom w:val="0"/>
              <w:divBdr>
                <w:top w:val="none" w:sz="0" w:space="0" w:color="auto"/>
                <w:left w:val="none" w:sz="0" w:space="0" w:color="auto"/>
                <w:bottom w:val="none" w:sz="0" w:space="0" w:color="auto"/>
                <w:right w:val="none" w:sz="0" w:space="0" w:color="auto"/>
              </w:divBdr>
            </w:div>
            <w:div w:id="1401370692">
              <w:marLeft w:val="0"/>
              <w:marRight w:val="0"/>
              <w:marTop w:val="0"/>
              <w:marBottom w:val="0"/>
              <w:divBdr>
                <w:top w:val="none" w:sz="0" w:space="0" w:color="auto"/>
                <w:left w:val="none" w:sz="0" w:space="0" w:color="auto"/>
                <w:bottom w:val="none" w:sz="0" w:space="0" w:color="auto"/>
                <w:right w:val="none" w:sz="0" w:space="0" w:color="auto"/>
              </w:divBdr>
            </w:div>
            <w:div w:id="413821182">
              <w:marLeft w:val="0"/>
              <w:marRight w:val="0"/>
              <w:marTop w:val="0"/>
              <w:marBottom w:val="0"/>
              <w:divBdr>
                <w:top w:val="none" w:sz="0" w:space="0" w:color="auto"/>
                <w:left w:val="none" w:sz="0" w:space="0" w:color="auto"/>
                <w:bottom w:val="none" w:sz="0" w:space="0" w:color="auto"/>
                <w:right w:val="none" w:sz="0" w:space="0" w:color="auto"/>
              </w:divBdr>
            </w:div>
            <w:div w:id="1980183309">
              <w:marLeft w:val="0"/>
              <w:marRight w:val="0"/>
              <w:marTop w:val="0"/>
              <w:marBottom w:val="0"/>
              <w:divBdr>
                <w:top w:val="none" w:sz="0" w:space="0" w:color="auto"/>
                <w:left w:val="none" w:sz="0" w:space="0" w:color="auto"/>
                <w:bottom w:val="none" w:sz="0" w:space="0" w:color="auto"/>
                <w:right w:val="none" w:sz="0" w:space="0" w:color="auto"/>
              </w:divBdr>
            </w:div>
            <w:div w:id="61488652">
              <w:marLeft w:val="0"/>
              <w:marRight w:val="0"/>
              <w:marTop w:val="0"/>
              <w:marBottom w:val="0"/>
              <w:divBdr>
                <w:top w:val="none" w:sz="0" w:space="0" w:color="auto"/>
                <w:left w:val="none" w:sz="0" w:space="0" w:color="auto"/>
                <w:bottom w:val="none" w:sz="0" w:space="0" w:color="auto"/>
                <w:right w:val="none" w:sz="0" w:space="0" w:color="auto"/>
              </w:divBdr>
            </w:div>
            <w:div w:id="1611471496">
              <w:marLeft w:val="0"/>
              <w:marRight w:val="0"/>
              <w:marTop w:val="0"/>
              <w:marBottom w:val="0"/>
              <w:divBdr>
                <w:top w:val="none" w:sz="0" w:space="0" w:color="auto"/>
                <w:left w:val="none" w:sz="0" w:space="0" w:color="auto"/>
                <w:bottom w:val="none" w:sz="0" w:space="0" w:color="auto"/>
                <w:right w:val="none" w:sz="0" w:space="0" w:color="auto"/>
              </w:divBdr>
            </w:div>
            <w:div w:id="1372531916">
              <w:marLeft w:val="0"/>
              <w:marRight w:val="0"/>
              <w:marTop w:val="0"/>
              <w:marBottom w:val="0"/>
              <w:divBdr>
                <w:top w:val="none" w:sz="0" w:space="0" w:color="auto"/>
                <w:left w:val="none" w:sz="0" w:space="0" w:color="auto"/>
                <w:bottom w:val="none" w:sz="0" w:space="0" w:color="auto"/>
                <w:right w:val="none" w:sz="0" w:space="0" w:color="auto"/>
              </w:divBdr>
            </w:div>
            <w:div w:id="782656830">
              <w:marLeft w:val="0"/>
              <w:marRight w:val="0"/>
              <w:marTop w:val="0"/>
              <w:marBottom w:val="0"/>
              <w:divBdr>
                <w:top w:val="none" w:sz="0" w:space="0" w:color="auto"/>
                <w:left w:val="none" w:sz="0" w:space="0" w:color="auto"/>
                <w:bottom w:val="none" w:sz="0" w:space="0" w:color="auto"/>
                <w:right w:val="none" w:sz="0" w:space="0" w:color="auto"/>
              </w:divBdr>
            </w:div>
            <w:div w:id="703679597">
              <w:marLeft w:val="0"/>
              <w:marRight w:val="0"/>
              <w:marTop w:val="0"/>
              <w:marBottom w:val="0"/>
              <w:divBdr>
                <w:top w:val="none" w:sz="0" w:space="0" w:color="auto"/>
                <w:left w:val="none" w:sz="0" w:space="0" w:color="auto"/>
                <w:bottom w:val="none" w:sz="0" w:space="0" w:color="auto"/>
                <w:right w:val="none" w:sz="0" w:space="0" w:color="auto"/>
              </w:divBdr>
            </w:div>
            <w:div w:id="225995342">
              <w:marLeft w:val="0"/>
              <w:marRight w:val="0"/>
              <w:marTop w:val="0"/>
              <w:marBottom w:val="0"/>
              <w:divBdr>
                <w:top w:val="none" w:sz="0" w:space="0" w:color="auto"/>
                <w:left w:val="none" w:sz="0" w:space="0" w:color="auto"/>
                <w:bottom w:val="none" w:sz="0" w:space="0" w:color="auto"/>
                <w:right w:val="none" w:sz="0" w:space="0" w:color="auto"/>
              </w:divBdr>
            </w:div>
            <w:div w:id="1751610173">
              <w:marLeft w:val="0"/>
              <w:marRight w:val="0"/>
              <w:marTop w:val="0"/>
              <w:marBottom w:val="0"/>
              <w:divBdr>
                <w:top w:val="none" w:sz="0" w:space="0" w:color="auto"/>
                <w:left w:val="none" w:sz="0" w:space="0" w:color="auto"/>
                <w:bottom w:val="none" w:sz="0" w:space="0" w:color="auto"/>
                <w:right w:val="none" w:sz="0" w:space="0" w:color="auto"/>
              </w:divBdr>
            </w:div>
            <w:div w:id="525607902">
              <w:marLeft w:val="0"/>
              <w:marRight w:val="0"/>
              <w:marTop w:val="0"/>
              <w:marBottom w:val="0"/>
              <w:divBdr>
                <w:top w:val="none" w:sz="0" w:space="0" w:color="auto"/>
                <w:left w:val="none" w:sz="0" w:space="0" w:color="auto"/>
                <w:bottom w:val="none" w:sz="0" w:space="0" w:color="auto"/>
                <w:right w:val="none" w:sz="0" w:space="0" w:color="auto"/>
              </w:divBdr>
            </w:div>
            <w:div w:id="113839741">
              <w:marLeft w:val="0"/>
              <w:marRight w:val="0"/>
              <w:marTop w:val="0"/>
              <w:marBottom w:val="0"/>
              <w:divBdr>
                <w:top w:val="none" w:sz="0" w:space="0" w:color="auto"/>
                <w:left w:val="none" w:sz="0" w:space="0" w:color="auto"/>
                <w:bottom w:val="none" w:sz="0" w:space="0" w:color="auto"/>
                <w:right w:val="none" w:sz="0" w:space="0" w:color="auto"/>
              </w:divBdr>
            </w:div>
            <w:div w:id="1796674348">
              <w:marLeft w:val="0"/>
              <w:marRight w:val="0"/>
              <w:marTop w:val="0"/>
              <w:marBottom w:val="0"/>
              <w:divBdr>
                <w:top w:val="none" w:sz="0" w:space="0" w:color="auto"/>
                <w:left w:val="none" w:sz="0" w:space="0" w:color="auto"/>
                <w:bottom w:val="none" w:sz="0" w:space="0" w:color="auto"/>
                <w:right w:val="none" w:sz="0" w:space="0" w:color="auto"/>
              </w:divBdr>
            </w:div>
            <w:div w:id="319770835">
              <w:marLeft w:val="0"/>
              <w:marRight w:val="0"/>
              <w:marTop w:val="0"/>
              <w:marBottom w:val="0"/>
              <w:divBdr>
                <w:top w:val="none" w:sz="0" w:space="0" w:color="auto"/>
                <w:left w:val="none" w:sz="0" w:space="0" w:color="auto"/>
                <w:bottom w:val="none" w:sz="0" w:space="0" w:color="auto"/>
                <w:right w:val="none" w:sz="0" w:space="0" w:color="auto"/>
              </w:divBdr>
            </w:div>
            <w:div w:id="1430200887">
              <w:marLeft w:val="0"/>
              <w:marRight w:val="0"/>
              <w:marTop w:val="0"/>
              <w:marBottom w:val="0"/>
              <w:divBdr>
                <w:top w:val="none" w:sz="0" w:space="0" w:color="auto"/>
                <w:left w:val="none" w:sz="0" w:space="0" w:color="auto"/>
                <w:bottom w:val="none" w:sz="0" w:space="0" w:color="auto"/>
                <w:right w:val="none" w:sz="0" w:space="0" w:color="auto"/>
              </w:divBdr>
            </w:div>
            <w:div w:id="469831897">
              <w:marLeft w:val="0"/>
              <w:marRight w:val="0"/>
              <w:marTop w:val="0"/>
              <w:marBottom w:val="0"/>
              <w:divBdr>
                <w:top w:val="none" w:sz="0" w:space="0" w:color="auto"/>
                <w:left w:val="none" w:sz="0" w:space="0" w:color="auto"/>
                <w:bottom w:val="none" w:sz="0" w:space="0" w:color="auto"/>
                <w:right w:val="none" w:sz="0" w:space="0" w:color="auto"/>
              </w:divBdr>
            </w:div>
            <w:div w:id="1884168299">
              <w:marLeft w:val="0"/>
              <w:marRight w:val="0"/>
              <w:marTop w:val="0"/>
              <w:marBottom w:val="0"/>
              <w:divBdr>
                <w:top w:val="none" w:sz="0" w:space="0" w:color="auto"/>
                <w:left w:val="none" w:sz="0" w:space="0" w:color="auto"/>
                <w:bottom w:val="none" w:sz="0" w:space="0" w:color="auto"/>
                <w:right w:val="none" w:sz="0" w:space="0" w:color="auto"/>
              </w:divBdr>
            </w:div>
            <w:div w:id="843084604">
              <w:marLeft w:val="0"/>
              <w:marRight w:val="0"/>
              <w:marTop w:val="0"/>
              <w:marBottom w:val="0"/>
              <w:divBdr>
                <w:top w:val="none" w:sz="0" w:space="0" w:color="auto"/>
                <w:left w:val="none" w:sz="0" w:space="0" w:color="auto"/>
                <w:bottom w:val="none" w:sz="0" w:space="0" w:color="auto"/>
                <w:right w:val="none" w:sz="0" w:space="0" w:color="auto"/>
              </w:divBdr>
            </w:div>
            <w:div w:id="1919365440">
              <w:marLeft w:val="0"/>
              <w:marRight w:val="0"/>
              <w:marTop w:val="0"/>
              <w:marBottom w:val="0"/>
              <w:divBdr>
                <w:top w:val="none" w:sz="0" w:space="0" w:color="auto"/>
                <w:left w:val="none" w:sz="0" w:space="0" w:color="auto"/>
                <w:bottom w:val="none" w:sz="0" w:space="0" w:color="auto"/>
                <w:right w:val="none" w:sz="0" w:space="0" w:color="auto"/>
              </w:divBdr>
            </w:div>
            <w:div w:id="19109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54875">
      <w:bodyDiv w:val="1"/>
      <w:marLeft w:val="0"/>
      <w:marRight w:val="0"/>
      <w:marTop w:val="0"/>
      <w:marBottom w:val="0"/>
      <w:divBdr>
        <w:top w:val="none" w:sz="0" w:space="0" w:color="auto"/>
        <w:left w:val="none" w:sz="0" w:space="0" w:color="auto"/>
        <w:bottom w:val="none" w:sz="0" w:space="0" w:color="auto"/>
        <w:right w:val="none" w:sz="0" w:space="0" w:color="auto"/>
      </w:divBdr>
    </w:div>
    <w:div w:id="1378627116">
      <w:marLeft w:val="0"/>
      <w:marRight w:val="0"/>
      <w:marTop w:val="0"/>
      <w:marBottom w:val="0"/>
      <w:divBdr>
        <w:top w:val="none" w:sz="0" w:space="0" w:color="auto"/>
        <w:left w:val="none" w:sz="0" w:space="0" w:color="auto"/>
        <w:bottom w:val="none" w:sz="0" w:space="0" w:color="auto"/>
        <w:right w:val="none" w:sz="0" w:space="0" w:color="auto"/>
      </w:divBdr>
      <w:divsChild>
        <w:div w:id="1581328472">
          <w:marLeft w:val="0"/>
          <w:marRight w:val="0"/>
          <w:marTop w:val="0"/>
          <w:marBottom w:val="0"/>
          <w:divBdr>
            <w:top w:val="none" w:sz="0" w:space="0" w:color="auto"/>
            <w:left w:val="none" w:sz="0" w:space="0" w:color="auto"/>
            <w:bottom w:val="none" w:sz="0" w:space="0" w:color="auto"/>
            <w:right w:val="none" w:sz="0" w:space="0" w:color="auto"/>
          </w:divBdr>
        </w:div>
      </w:divsChild>
    </w:div>
    <w:div w:id="1378892940">
      <w:marLeft w:val="0"/>
      <w:marRight w:val="150"/>
      <w:marTop w:val="0"/>
      <w:marBottom w:val="0"/>
      <w:divBdr>
        <w:top w:val="none" w:sz="0" w:space="0" w:color="auto"/>
        <w:left w:val="none" w:sz="0" w:space="0" w:color="auto"/>
        <w:bottom w:val="none" w:sz="0" w:space="0" w:color="auto"/>
        <w:right w:val="none" w:sz="0" w:space="0" w:color="auto"/>
      </w:divBdr>
      <w:divsChild>
        <w:div w:id="1671714277">
          <w:marLeft w:val="0"/>
          <w:marRight w:val="150"/>
          <w:marTop w:val="0"/>
          <w:marBottom w:val="0"/>
          <w:divBdr>
            <w:top w:val="none" w:sz="0" w:space="0" w:color="auto"/>
            <w:left w:val="none" w:sz="0" w:space="0" w:color="auto"/>
            <w:bottom w:val="none" w:sz="0" w:space="0" w:color="auto"/>
            <w:right w:val="none" w:sz="0" w:space="0" w:color="auto"/>
          </w:divBdr>
        </w:div>
      </w:divsChild>
    </w:div>
    <w:div w:id="1379360359">
      <w:bodyDiv w:val="1"/>
      <w:marLeft w:val="0"/>
      <w:marRight w:val="0"/>
      <w:marTop w:val="0"/>
      <w:marBottom w:val="0"/>
      <w:divBdr>
        <w:top w:val="none" w:sz="0" w:space="0" w:color="auto"/>
        <w:left w:val="none" w:sz="0" w:space="0" w:color="auto"/>
        <w:bottom w:val="none" w:sz="0" w:space="0" w:color="auto"/>
        <w:right w:val="none" w:sz="0" w:space="0" w:color="auto"/>
      </w:divBdr>
      <w:divsChild>
        <w:div w:id="75518422">
          <w:marLeft w:val="0"/>
          <w:marRight w:val="0"/>
          <w:marTop w:val="0"/>
          <w:marBottom w:val="0"/>
          <w:divBdr>
            <w:top w:val="none" w:sz="0" w:space="0" w:color="auto"/>
            <w:left w:val="none" w:sz="0" w:space="0" w:color="auto"/>
            <w:bottom w:val="none" w:sz="0" w:space="0" w:color="auto"/>
            <w:right w:val="none" w:sz="0" w:space="0" w:color="auto"/>
          </w:divBdr>
          <w:divsChild>
            <w:div w:id="1676348460">
              <w:marLeft w:val="0"/>
              <w:marRight w:val="0"/>
              <w:marTop w:val="0"/>
              <w:marBottom w:val="0"/>
              <w:divBdr>
                <w:top w:val="none" w:sz="0" w:space="0" w:color="auto"/>
                <w:left w:val="none" w:sz="0" w:space="0" w:color="auto"/>
                <w:bottom w:val="none" w:sz="0" w:space="0" w:color="auto"/>
                <w:right w:val="none" w:sz="0" w:space="0" w:color="auto"/>
              </w:divBdr>
              <w:divsChild>
                <w:div w:id="878204483">
                  <w:marLeft w:val="0"/>
                  <w:marRight w:val="150"/>
                  <w:marTop w:val="0"/>
                  <w:marBottom w:val="0"/>
                  <w:divBdr>
                    <w:top w:val="none" w:sz="0" w:space="0" w:color="auto"/>
                    <w:left w:val="none" w:sz="0" w:space="0" w:color="auto"/>
                    <w:bottom w:val="none" w:sz="0" w:space="0" w:color="auto"/>
                    <w:right w:val="none" w:sz="0" w:space="0" w:color="auto"/>
                  </w:divBdr>
                  <w:divsChild>
                    <w:div w:id="59837273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32718059">
          <w:marLeft w:val="0"/>
          <w:marRight w:val="150"/>
          <w:marTop w:val="0"/>
          <w:marBottom w:val="0"/>
          <w:divBdr>
            <w:top w:val="none" w:sz="0" w:space="0" w:color="auto"/>
            <w:left w:val="none" w:sz="0" w:space="0" w:color="auto"/>
            <w:bottom w:val="none" w:sz="0" w:space="0" w:color="auto"/>
            <w:right w:val="none" w:sz="0" w:space="0" w:color="auto"/>
          </w:divBdr>
          <w:divsChild>
            <w:div w:id="8089345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80939693">
      <w:marLeft w:val="0"/>
      <w:marRight w:val="0"/>
      <w:marTop w:val="0"/>
      <w:marBottom w:val="0"/>
      <w:divBdr>
        <w:top w:val="none" w:sz="0" w:space="0" w:color="auto"/>
        <w:left w:val="none" w:sz="0" w:space="0" w:color="auto"/>
        <w:bottom w:val="none" w:sz="0" w:space="0" w:color="auto"/>
        <w:right w:val="none" w:sz="0" w:space="0" w:color="auto"/>
      </w:divBdr>
      <w:divsChild>
        <w:div w:id="539436350">
          <w:marLeft w:val="0"/>
          <w:marRight w:val="0"/>
          <w:marTop w:val="0"/>
          <w:marBottom w:val="0"/>
          <w:divBdr>
            <w:top w:val="none" w:sz="0" w:space="0" w:color="auto"/>
            <w:left w:val="none" w:sz="0" w:space="0" w:color="auto"/>
            <w:bottom w:val="none" w:sz="0" w:space="0" w:color="auto"/>
            <w:right w:val="none" w:sz="0" w:space="0" w:color="auto"/>
          </w:divBdr>
        </w:div>
      </w:divsChild>
    </w:div>
    <w:div w:id="1385450249">
      <w:bodyDiv w:val="1"/>
      <w:marLeft w:val="0"/>
      <w:marRight w:val="0"/>
      <w:marTop w:val="0"/>
      <w:marBottom w:val="0"/>
      <w:divBdr>
        <w:top w:val="none" w:sz="0" w:space="0" w:color="auto"/>
        <w:left w:val="none" w:sz="0" w:space="0" w:color="auto"/>
        <w:bottom w:val="none" w:sz="0" w:space="0" w:color="auto"/>
        <w:right w:val="none" w:sz="0" w:space="0" w:color="auto"/>
      </w:divBdr>
    </w:div>
    <w:div w:id="1386878977">
      <w:marLeft w:val="0"/>
      <w:marRight w:val="0"/>
      <w:marTop w:val="0"/>
      <w:marBottom w:val="0"/>
      <w:divBdr>
        <w:top w:val="none" w:sz="0" w:space="0" w:color="auto"/>
        <w:left w:val="none" w:sz="0" w:space="0" w:color="auto"/>
        <w:bottom w:val="none" w:sz="0" w:space="0" w:color="auto"/>
        <w:right w:val="none" w:sz="0" w:space="0" w:color="auto"/>
      </w:divBdr>
      <w:divsChild>
        <w:div w:id="1098715740">
          <w:marLeft w:val="0"/>
          <w:marRight w:val="0"/>
          <w:marTop w:val="0"/>
          <w:marBottom w:val="0"/>
          <w:divBdr>
            <w:top w:val="none" w:sz="0" w:space="0" w:color="auto"/>
            <w:left w:val="none" w:sz="0" w:space="0" w:color="auto"/>
            <w:bottom w:val="none" w:sz="0" w:space="0" w:color="auto"/>
            <w:right w:val="none" w:sz="0" w:space="0" w:color="auto"/>
          </w:divBdr>
        </w:div>
      </w:divsChild>
    </w:div>
    <w:div w:id="1390298555">
      <w:marLeft w:val="0"/>
      <w:marRight w:val="0"/>
      <w:marTop w:val="0"/>
      <w:marBottom w:val="0"/>
      <w:divBdr>
        <w:top w:val="none" w:sz="0" w:space="0" w:color="auto"/>
        <w:left w:val="none" w:sz="0" w:space="0" w:color="auto"/>
        <w:bottom w:val="none" w:sz="0" w:space="0" w:color="auto"/>
        <w:right w:val="none" w:sz="0" w:space="0" w:color="auto"/>
      </w:divBdr>
      <w:divsChild>
        <w:div w:id="1086538051">
          <w:marLeft w:val="0"/>
          <w:marRight w:val="0"/>
          <w:marTop w:val="0"/>
          <w:marBottom w:val="0"/>
          <w:divBdr>
            <w:top w:val="none" w:sz="0" w:space="0" w:color="auto"/>
            <w:left w:val="none" w:sz="0" w:space="0" w:color="auto"/>
            <w:bottom w:val="none" w:sz="0" w:space="0" w:color="auto"/>
            <w:right w:val="none" w:sz="0" w:space="0" w:color="auto"/>
          </w:divBdr>
        </w:div>
      </w:divsChild>
    </w:div>
    <w:div w:id="1390881543">
      <w:bodyDiv w:val="1"/>
      <w:marLeft w:val="0"/>
      <w:marRight w:val="0"/>
      <w:marTop w:val="0"/>
      <w:marBottom w:val="0"/>
      <w:divBdr>
        <w:top w:val="none" w:sz="0" w:space="0" w:color="auto"/>
        <w:left w:val="none" w:sz="0" w:space="0" w:color="auto"/>
        <w:bottom w:val="none" w:sz="0" w:space="0" w:color="auto"/>
        <w:right w:val="none" w:sz="0" w:space="0" w:color="auto"/>
      </w:divBdr>
    </w:div>
    <w:div w:id="1392002698">
      <w:marLeft w:val="0"/>
      <w:marRight w:val="0"/>
      <w:marTop w:val="0"/>
      <w:marBottom w:val="0"/>
      <w:divBdr>
        <w:top w:val="none" w:sz="0" w:space="0" w:color="auto"/>
        <w:left w:val="none" w:sz="0" w:space="0" w:color="auto"/>
        <w:bottom w:val="none" w:sz="0" w:space="0" w:color="auto"/>
        <w:right w:val="none" w:sz="0" w:space="0" w:color="auto"/>
      </w:divBdr>
      <w:divsChild>
        <w:div w:id="1781756928">
          <w:marLeft w:val="0"/>
          <w:marRight w:val="0"/>
          <w:marTop w:val="0"/>
          <w:marBottom w:val="0"/>
          <w:divBdr>
            <w:top w:val="none" w:sz="0" w:space="0" w:color="auto"/>
            <w:left w:val="none" w:sz="0" w:space="0" w:color="auto"/>
            <w:bottom w:val="none" w:sz="0" w:space="0" w:color="auto"/>
            <w:right w:val="none" w:sz="0" w:space="0" w:color="auto"/>
          </w:divBdr>
        </w:div>
      </w:divsChild>
    </w:div>
    <w:div w:id="1393625081">
      <w:bodyDiv w:val="1"/>
      <w:marLeft w:val="0"/>
      <w:marRight w:val="0"/>
      <w:marTop w:val="0"/>
      <w:marBottom w:val="0"/>
      <w:divBdr>
        <w:top w:val="none" w:sz="0" w:space="0" w:color="auto"/>
        <w:left w:val="none" w:sz="0" w:space="0" w:color="auto"/>
        <w:bottom w:val="none" w:sz="0" w:space="0" w:color="auto"/>
        <w:right w:val="none" w:sz="0" w:space="0" w:color="auto"/>
      </w:divBdr>
    </w:div>
    <w:div w:id="1394692391">
      <w:marLeft w:val="0"/>
      <w:marRight w:val="0"/>
      <w:marTop w:val="0"/>
      <w:marBottom w:val="0"/>
      <w:divBdr>
        <w:top w:val="none" w:sz="0" w:space="0" w:color="auto"/>
        <w:left w:val="none" w:sz="0" w:space="0" w:color="auto"/>
        <w:bottom w:val="none" w:sz="0" w:space="0" w:color="auto"/>
        <w:right w:val="none" w:sz="0" w:space="0" w:color="auto"/>
      </w:divBdr>
      <w:divsChild>
        <w:div w:id="1385443500">
          <w:marLeft w:val="0"/>
          <w:marRight w:val="0"/>
          <w:marTop w:val="0"/>
          <w:marBottom w:val="0"/>
          <w:divBdr>
            <w:top w:val="none" w:sz="0" w:space="0" w:color="auto"/>
            <w:left w:val="none" w:sz="0" w:space="0" w:color="auto"/>
            <w:bottom w:val="none" w:sz="0" w:space="0" w:color="auto"/>
            <w:right w:val="none" w:sz="0" w:space="0" w:color="auto"/>
          </w:divBdr>
        </w:div>
      </w:divsChild>
    </w:div>
    <w:div w:id="1395395089">
      <w:marLeft w:val="0"/>
      <w:marRight w:val="0"/>
      <w:marTop w:val="0"/>
      <w:marBottom w:val="0"/>
      <w:divBdr>
        <w:top w:val="none" w:sz="0" w:space="0" w:color="auto"/>
        <w:left w:val="none" w:sz="0" w:space="0" w:color="auto"/>
        <w:bottom w:val="none" w:sz="0" w:space="0" w:color="auto"/>
        <w:right w:val="none" w:sz="0" w:space="0" w:color="auto"/>
      </w:divBdr>
      <w:divsChild>
        <w:div w:id="1655646219">
          <w:marLeft w:val="0"/>
          <w:marRight w:val="0"/>
          <w:marTop w:val="0"/>
          <w:marBottom w:val="0"/>
          <w:divBdr>
            <w:top w:val="none" w:sz="0" w:space="0" w:color="auto"/>
            <w:left w:val="none" w:sz="0" w:space="0" w:color="auto"/>
            <w:bottom w:val="none" w:sz="0" w:space="0" w:color="auto"/>
            <w:right w:val="none" w:sz="0" w:space="0" w:color="auto"/>
          </w:divBdr>
        </w:div>
      </w:divsChild>
    </w:div>
    <w:div w:id="1395423854">
      <w:marLeft w:val="0"/>
      <w:marRight w:val="0"/>
      <w:marTop w:val="0"/>
      <w:marBottom w:val="0"/>
      <w:divBdr>
        <w:top w:val="none" w:sz="0" w:space="0" w:color="auto"/>
        <w:left w:val="none" w:sz="0" w:space="0" w:color="auto"/>
        <w:bottom w:val="none" w:sz="0" w:space="0" w:color="auto"/>
        <w:right w:val="none" w:sz="0" w:space="0" w:color="auto"/>
      </w:divBdr>
      <w:divsChild>
        <w:div w:id="441076867">
          <w:marLeft w:val="0"/>
          <w:marRight w:val="0"/>
          <w:marTop w:val="0"/>
          <w:marBottom w:val="0"/>
          <w:divBdr>
            <w:top w:val="none" w:sz="0" w:space="0" w:color="auto"/>
            <w:left w:val="none" w:sz="0" w:space="0" w:color="auto"/>
            <w:bottom w:val="none" w:sz="0" w:space="0" w:color="auto"/>
            <w:right w:val="none" w:sz="0" w:space="0" w:color="auto"/>
          </w:divBdr>
        </w:div>
      </w:divsChild>
    </w:div>
    <w:div w:id="1395934295">
      <w:bodyDiv w:val="1"/>
      <w:marLeft w:val="0"/>
      <w:marRight w:val="0"/>
      <w:marTop w:val="0"/>
      <w:marBottom w:val="0"/>
      <w:divBdr>
        <w:top w:val="none" w:sz="0" w:space="0" w:color="auto"/>
        <w:left w:val="none" w:sz="0" w:space="0" w:color="auto"/>
        <w:bottom w:val="none" w:sz="0" w:space="0" w:color="auto"/>
        <w:right w:val="none" w:sz="0" w:space="0" w:color="auto"/>
      </w:divBdr>
    </w:div>
    <w:div w:id="1403944790">
      <w:marLeft w:val="0"/>
      <w:marRight w:val="0"/>
      <w:marTop w:val="0"/>
      <w:marBottom w:val="0"/>
      <w:divBdr>
        <w:top w:val="none" w:sz="0" w:space="0" w:color="auto"/>
        <w:left w:val="none" w:sz="0" w:space="0" w:color="auto"/>
        <w:bottom w:val="none" w:sz="0" w:space="0" w:color="auto"/>
        <w:right w:val="none" w:sz="0" w:space="0" w:color="auto"/>
      </w:divBdr>
      <w:divsChild>
        <w:div w:id="113913771">
          <w:marLeft w:val="0"/>
          <w:marRight w:val="0"/>
          <w:marTop w:val="0"/>
          <w:marBottom w:val="0"/>
          <w:divBdr>
            <w:top w:val="none" w:sz="0" w:space="0" w:color="auto"/>
            <w:left w:val="none" w:sz="0" w:space="0" w:color="auto"/>
            <w:bottom w:val="none" w:sz="0" w:space="0" w:color="auto"/>
            <w:right w:val="none" w:sz="0" w:space="0" w:color="auto"/>
          </w:divBdr>
        </w:div>
      </w:divsChild>
    </w:div>
    <w:div w:id="1404598932">
      <w:bodyDiv w:val="1"/>
      <w:marLeft w:val="0"/>
      <w:marRight w:val="0"/>
      <w:marTop w:val="0"/>
      <w:marBottom w:val="0"/>
      <w:divBdr>
        <w:top w:val="none" w:sz="0" w:space="0" w:color="auto"/>
        <w:left w:val="none" w:sz="0" w:space="0" w:color="auto"/>
        <w:bottom w:val="none" w:sz="0" w:space="0" w:color="auto"/>
        <w:right w:val="none" w:sz="0" w:space="0" w:color="auto"/>
      </w:divBdr>
    </w:div>
    <w:div w:id="1406803344">
      <w:marLeft w:val="0"/>
      <w:marRight w:val="0"/>
      <w:marTop w:val="0"/>
      <w:marBottom w:val="0"/>
      <w:divBdr>
        <w:top w:val="none" w:sz="0" w:space="0" w:color="auto"/>
        <w:left w:val="none" w:sz="0" w:space="0" w:color="auto"/>
        <w:bottom w:val="none" w:sz="0" w:space="0" w:color="auto"/>
        <w:right w:val="none" w:sz="0" w:space="0" w:color="auto"/>
      </w:divBdr>
      <w:divsChild>
        <w:div w:id="723873008">
          <w:marLeft w:val="0"/>
          <w:marRight w:val="0"/>
          <w:marTop w:val="0"/>
          <w:marBottom w:val="0"/>
          <w:divBdr>
            <w:top w:val="none" w:sz="0" w:space="0" w:color="auto"/>
            <w:left w:val="none" w:sz="0" w:space="0" w:color="auto"/>
            <w:bottom w:val="none" w:sz="0" w:space="0" w:color="auto"/>
            <w:right w:val="none" w:sz="0" w:space="0" w:color="auto"/>
          </w:divBdr>
        </w:div>
      </w:divsChild>
    </w:div>
    <w:div w:id="1411153221">
      <w:marLeft w:val="0"/>
      <w:marRight w:val="0"/>
      <w:marTop w:val="0"/>
      <w:marBottom w:val="0"/>
      <w:divBdr>
        <w:top w:val="none" w:sz="0" w:space="0" w:color="auto"/>
        <w:left w:val="none" w:sz="0" w:space="0" w:color="auto"/>
        <w:bottom w:val="none" w:sz="0" w:space="0" w:color="auto"/>
        <w:right w:val="none" w:sz="0" w:space="0" w:color="auto"/>
      </w:divBdr>
      <w:divsChild>
        <w:div w:id="862788142">
          <w:marLeft w:val="0"/>
          <w:marRight w:val="0"/>
          <w:marTop w:val="0"/>
          <w:marBottom w:val="0"/>
          <w:divBdr>
            <w:top w:val="none" w:sz="0" w:space="0" w:color="auto"/>
            <w:left w:val="none" w:sz="0" w:space="0" w:color="auto"/>
            <w:bottom w:val="none" w:sz="0" w:space="0" w:color="auto"/>
            <w:right w:val="none" w:sz="0" w:space="0" w:color="auto"/>
          </w:divBdr>
        </w:div>
      </w:divsChild>
    </w:div>
    <w:div w:id="1415275300">
      <w:bodyDiv w:val="1"/>
      <w:marLeft w:val="0"/>
      <w:marRight w:val="0"/>
      <w:marTop w:val="0"/>
      <w:marBottom w:val="0"/>
      <w:divBdr>
        <w:top w:val="none" w:sz="0" w:space="0" w:color="auto"/>
        <w:left w:val="none" w:sz="0" w:space="0" w:color="auto"/>
        <w:bottom w:val="none" w:sz="0" w:space="0" w:color="auto"/>
        <w:right w:val="none" w:sz="0" w:space="0" w:color="auto"/>
      </w:divBdr>
    </w:div>
    <w:div w:id="1416509906">
      <w:marLeft w:val="0"/>
      <w:marRight w:val="0"/>
      <w:marTop w:val="0"/>
      <w:marBottom w:val="0"/>
      <w:divBdr>
        <w:top w:val="none" w:sz="0" w:space="0" w:color="auto"/>
        <w:left w:val="none" w:sz="0" w:space="0" w:color="auto"/>
        <w:bottom w:val="none" w:sz="0" w:space="0" w:color="auto"/>
        <w:right w:val="none" w:sz="0" w:space="0" w:color="auto"/>
      </w:divBdr>
      <w:divsChild>
        <w:div w:id="2000691995">
          <w:marLeft w:val="0"/>
          <w:marRight w:val="0"/>
          <w:marTop w:val="0"/>
          <w:marBottom w:val="0"/>
          <w:divBdr>
            <w:top w:val="none" w:sz="0" w:space="0" w:color="auto"/>
            <w:left w:val="none" w:sz="0" w:space="0" w:color="auto"/>
            <w:bottom w:val="none" w:sz="0" w:space="0" w:color="auto"/>
            <w:right w:val="none" w:sz="0" w:space="0" w:color="auto"/>
          </w:divBdr>
        </w:div>
      </w:divsChild>
    </w:div>
    <w:div w:id="1419253023">
      <w:marLeft w:val="0"/>
      <w:marRight w:val="0"/>
      <w:marTop w:val="0"/>
      <w:marBottom w:val="0"/>
      <w:divBdr>
        <w:top w:val="none" w:sz="0" w:space="0" w:color="auto"/>
        <w:left w:val="none" w:sz="0" w:space="0" w:color="auto"/>
        <w:bottom w:val="none" w:sz="0" w:space="0" w:color="auto"/>
        <w:right w:val="none" w:sz="0" w:space="0" w:color="auto"/>
      </w:divBdr>
      <w:divsChild>
        <w:div w:id="664162592">
          <w:marLeft w:val="0"/>
          <w:marRight w:val="0"/>
          <w:marTop w:val="0"/>
          <w:marBottom w:val="0"/>
          <w:divBdr>
            <w:top w:val="none" w:sz="0" w:space="0" w:color="auto"/>
            <w:left w:val="none" w:sz="0" w:space="0" w:color="auto"/>
            <w:bottom w:val="none" w:sz="0" w:space="0" w:color="auto"/>
            <w:right w:val="none" w:sz="0" w:space="0" w:color="auto"/>
          </w:divBdr>
        </w:div>
      </w:divsChild>
    </w:div>
    <w:div w:id="1419710750">
      <w:bodyDiv w:val="1"/>
      <w:marLeft w:val="0"/>
      <w:marRight w:val="0"/>
      <w:marTop w:val="0"/>
      <w:marBottom w:val="0"/>
      <w:divBdr>
        <w:top w:val="none" w:sz="0" w:space="0" w:color="auto"/>
        <w:left w:val="none" w:sz="0" w:space="0" w:color="auto"/>
        <w:bottom w:val="none" w:sz="0" w:space="0" w:color="auto"/>
        <w:right w:val="none" w:sz="0" w:space="0" w:color="auto"/>
      </w:divBdr>
    </w:div>
    <w:div w:id="1421294179">
      <w:marLeft w:val="0"/>
      <w:marRight w:val="0"/>
      <w:marTop w:val="0"/>
      <w:marBottom w:val="0"/>
      <w:divBdr>
        <w:top w:val="none" w:sz="0" w:space="0" w:color="auto"/>
        <w:left w:val="none" w:sz="0" w:space="0" w:color="auto"/>
        <w:bottom w:val="none" w:sz="0" w:space="0" w:color="auto"/>
        <w:right w:val="none" w:sz="0" w:space="0" w:color="auto"/>
      </w:divBdr>
      <w:divsChild>
        <w:div w:id="1046956353">
          <w:marLeft w:val="0"/>
          <w:marRight w:val="0"/>
          <w:marTop w:val="0"/>
          <w:marBottom w:val="0"/>
          <w:divBdr>
            <w:top w:val="none" w:sz="0" w:space="0" w:color="auto"/>
            <w:left w:val="none" w:sz="0" w:space="0" w:color="auto"/>
            <w:bottom w:val="none" w:sz="0" w:space="0" w:color="auto"/>
            <w:right w:val="none" w:sz="0" w:space="0" w:color="auto"/>
          </w:divBdr>
        </w:div>
      </w:divsChild>
    </w:div>
    <w:div w:id="1428425458">
      <w:bodyDiv w:val="1"/>
      <w:marLeft w:val="0"/>
      <w:marRight w:val="0"/>
      <w:marTop w:val="0"/>
      <w:marBottom w:val="0"/>
      <w:divBdr>
        <w:top w:val="none" w:sz="0" w:space="0" w:color="auto"/>
        <w:left w:val="none" w:sz="0" w:space="0" w:color="auto"/>
        <w:bottom w:val="none" w:sz="0" w:space="0" w:color="auto"/>
        <w:right w:val="none" w:sz="0" w:space="0" w:color="auto"/>
      </w:divBdr>
    </w:div>
    <w:div w:id="1429888692">
      <w:marLeft w:val="0"/>
      <w:marRight w:val="0"/>
      <w:marTop w:val="0"/>
      <w:marBottom w:val="0"/>
      <w:divBdr>
        <w:top w:val="none" w:sz="0" w:space="0" w:color="auto"/>
        <w:left w:val="none" w:sz="0" w:space="0" w:color="auto"/>
        <w:bottom w:val="none" w:sz="0" w:space="0" w:color="auto"/>
        <w:right w:val="none" w:sz="0" w:space="0" w:color="auto"/>
      </w:divBdr>
      <w:divsChild>
        <w:div w:id="767896534">
          <w:marLeft w:val="0"/>
          <w:marRight w:val="0"/>
          <w:marTop w:val="0"/>
          <w:marBottom w:val="0"/>
          <w:divBdr>
            <w:top w:val="none" w:sz="0" w:space="0" w:color="auto"/>
            <w:left w:val="none" w:sz="0" w:space="0" w:color="auto"/>
            <w:bottom w:val="none" w:sz="0" w:space="0" w:color="auto"/>
            <w:right w:val="none" w:sz="0" w:space="0" w:color="auto"/>
          </w:divBdr>
        </w:div>
      </w:divsChild>
    </w:div>
    <w:div w:id="1434323258">
      <w:marLeft w:val="0"/>
      <w:marRight w:val="0"/>
      <w:marTop w:val="0"/>
      <w:marBottom w:val="0"/>
      <w:divBdr>
        <w:top w:val="none" w:sz="0" w:space="0" w:color="auto"/>
        <w:left w:val="none" w:sz="0" w:space="0" w:color="auto"/>
        <w:bottom w:val="none" w:sz="0" w:space="0" w:color="auto"/>
        <w:right w:val="none" w:sz="0" w:space="0" w:color="auto"/>
      </w:divBdr>
      <w:divsChild>
        <w:div w:id="2067098924">
          <w:marLeft w:val="0"/>
          <w:marRight w:val="0"/>
          <w:marTop w:val="0"/>
          <w:marBottom w:val="0"/>
          <w:divBdr>
            <w:top w:val="none" w:sz="0" w:space="0" w:color="auto"/>
            <w:left w:val="none" w:sz="0" w:space="0" w:color="auto"/>
            <w:bottom w:val="none" w:sz="0" w:space="0" w:color="auto"/>
            <w:right w:val="none" w:sz="0" w:space="0" w:color="auto"/>
          </w:divBdr>
        </w:div>
      </w:divsChild>
    </w:div>
    <w:div w:id="1436364279">
      <w:bodyDiv w:val="1"/>
      <w:marLeft w:val="0"/>
      <w:marRight w:val="0"/>
      <w:marTop w:val="0"/>
      <w:marBottom w:val="0"/>
      <w:divBdr>
        <w:top w:val="none" w:sz="0" w:space="0" w:color="auto"/>
        <w:left w:val="none" w:sz="0" w:space="0" w:color="auto"/>
        <w:bottom w:val="none" w:sz="0" w:space="0" w:color="auto"/>
        <w:right w:val="none" w:sz="0" w:space="0" w:color="auto"/>
      </w:divBdr>
      <w:divsChild>
        <w:div w:id="564606145">
          <w:marLeft w:val="0"/>
          <w:marRight w:val="0"/>
          <w:marTop w:val="0"/>
          <w:marBottom w:val="0"/>
          <w:divBdr>
            <w:top w:val="none" w:sz="0" w:space="0" w:color="auto"/>
            <w:left w:val="none" w:sz="0" w:space="0" w:color="auto"/>
            <w:bottom w:val="none" w:sz="0" w:space="0" w:color="auto"/>
            <w:right w:val="none" w:sz="0" w:space="0" w:color="auto"/>
          </w:divBdr>
          <w:divsChild>
            <w:div w:id="1949238869">
              <w:marLeft w:val="0"/>
              <w:marRight w:val="0"/>
              <w:marTop w:val="0"/>
              <w:marBottom w:val="0"/>
              <w:divBdr>
                <w:top w:val="none" w:sz="0" w:space="0" w:color="auto"/>
                <w:left w:val="none" w:sz="0" w:space="0" w:color="auto"/>
                <w:bottom w:val="none" w:sz="0" w:space="0" w:color="auto"/>
                <w:right w:val="none" w:sz="0" w:space="0" w:color="auto"/>
              </w:divBdr>
            </w:div>
            <w:div w:id="114063914">
              <w:marLeft w:val="0"/>
              <w:marRight w:val="0"/>
              <w:marTop w:val="0"/>
              <w:marBottom w:val="0"/>
              <w:divBdr>
                <w:top w:val="none" w:sz="0" w:space="0" w:color="auto"/>
                <w:left w:val="none" w:sz="0" w:space="0" w:color="auto"/>
                <w:bottom w:val="none" w:sz="0" w:space="0" w:color="auto"/>
                <w:right w:val="none" w:sz="0" w:space="0" w:color="auto"/>
              </w:divBdr>
            </w:div>
            <w:div w:id="1296646340">
              <w:marLeft w:val="0"/>
              <w:marRight w:val="0"/>
              <w:marTop w:val="0"/>
              <w:marBottom w:val="0"/>
              <w:divBdr>
                <w:top w:val="none" w:sz="0" w:space="0" w:color="auto"/>
                <w:left w:val="none" w:sz="0" w:space="0" w:color="auto"/>
                <w:bottom w:val="none" w:sz="0" w:space="0" w:color="auto"/>
                <w:right w:val="none" w:sz="0" w:space="0" w:color="auto"/>
              </w:divBdr>
            </w:div>
            <w:div w:id="694230473">
              <w:marLeft w:val="0"/>
              <w:marRight w:val="0"/>
              <w:marTop w:val="0"/>
              <w:marBottom w:val="0"/>
              <w:divBdr>
                <w:top w:val="none" w:sz="0" w:space="0" w:color="auto"/>
                <w:left w:val="none" w:sz="0" w:space="0" w:color="auto"/>
                <w:bottom w:val="none" w:sz="0" w:space="0" w:color="auto"/>
                <w:right w:val="none" w:sz="0" w:space="0" w:color="auto"/>
              </w:divBdr>
            </w:div>
            <w:div w:id="716899817">
              <w:marLeft w:val="0"/>
              <w:marRight w:val="0"/>
              <w:marTop w:val="0"/>
              <w:marBottom w:val="0"/>
              <w:divBdr>
                <w:top w:val="none" w:sz="0" w:space="0" w:color="auto"/>
                <w:left w:val="none" w:sz="0" w:space="0" w:color="auto"/>
                <w:bottom w:val="none" w:sz="0" w:space="0" w:color="auto"/>
                <w:right w:val="none" w:sz="0" w:space="0" w:color="auto"/>
              </w:divBdr>
            </w:div>
            <w:div w:id="1353648982">
              <w:marLeft w:val="0"/>
              <w:marRight w:val="0"/>
              <w:marTop w:val="0"/>
              <w:marBottom w:val="0"/>
              <w:divBdr>
                <w:top w:val="none" w:sz="0" w:space="0" w:color="auto"/>
                <w:left w:val="none" w:sz="0" w:space="0" w:color="auto"/>
                <w:bottom w:val="none" w:sz="0" w:space="0" w:color="auto"/>
                <w:right w:val="none" w:sz="0" w:space="0" w:color="auto"/>
              </w:divBdr>
            </w:div>
            <w:div w:id="2136101127">
              <w:marLeft w:val="0"/>
              <w:marRight w:val="0"/>
              <w:marTop w:val="0"/>
              <w:marBottom w:val="0"/>
              <w:divBdr>
                <w:top w:val="none" w:sz="0" w:space="0" w:color="auto"/>
                <w:left w:val="none" w:sz="0" w:space="0" w:color="auto"/>
                <w:bottom w:val="none" w:sz="0" w:space="0" w:color="auto"/>
                <w:right w:val="none" w:sz="0" w:space="0" w:color="auto"/>
              </w:divBdr>
            </w:div>
            <w:div w:id="444275800">
              <w:marLeft w:val="0"/>
              <w:marRight w:val="0"/>
              <w:marTop w:val="0"/>
              <w:marBottom w:val="0"/>
              <w:divBdr>
                <w:top w:val="none" w:sz="0" w:space="0" w:color="auto"/>
                <w:left w:val="none" w:sz="0" w:space="0" w:color="auto"/>
                <w:bottom w:val="none" w:sz="0" w:space="0" w:color="auto"/>
                <w:right w:val="none" w:sz="0" w:space="0" w:color="auto"/>
              </w:divBdr>
            </w:div>
            <w:div w:id="1559704346">
              <w:marLeft w:val="0"/>
              <w:marRight w:val="0"/>
              <w:marTop w:val="0"/>
              <w:marBottom w:val="0"/>
              <w:divBdr>
                <w:top w:val="none" w:sz="0" w:space="0" w:color="auto"/>
                <w:left w:val="none" w:sz="0" w:space="0" w:color="auto"/>
                <w:bottom w:val="none" w:sz="0" w:space="0" w:color="auto"/>
                <w:right w:val="none" w:sz="0" w:space="0" w:color="auto"/>
              </w:divBdr>
            </w:div>
            <w:div w:id="246496937">
              <w:marLeft w:val="0"/>
              <w:marRight w:val="0"/>
              <w:marTop w:val="0"/>
              <w:marBottom w:val="0"/>
              <w:divBdr>
                <w:top w:val="none" w:sz="0" w:space="0" w:color="auto"/>
                <w:left w:val="none" w:sz="0" w:space="0" w:color="auto"/>
                <w:bottom w:val="none" w:sz="0" w:space="0" w:color="auto"/>
                <w:right w:val="none" w:sz="0" w:space="0" w:color="auto"/>
              </w:divBdr>
            </w:div>
            <w:div w:id="1793162817">
              <w:marLeft w:val="0"/>
              <w:marRight w:val="0"/>
              <w:marTop w:val="0"/>
              <w:marBottom w:val="0"/>
              <w:divBdr>
                <w:top w:val="none" w:sz="0" w:space="0" w:color="auto"/>
                <w:left w:val="none" w:sz="0" w:space="0" w:color="auto"/>
                <w:bottom w:val="none" w:sz="0" w:space="0" w:color="auto"/>
                <w:right w:val="none" w:sz="0" w:space="0" w:color="auto"/>
              </w:divBdr>
            </w:div>
            <w:div w:id="649483027">
              <w:marLeft w:val="0"/>
              <w:marRight w:val="0"/>
              <w:marTop w:val="0"/>
              <w:marBottom w:val="0"/>
              <w:divBdr>
                <w:top w:val="none" w:sz="0" w:space="0" w:color="auto"/>
                <w:left w:val="none" w:sz="0" w:space="0" w:color="auto"/>
                <w:bottom w:val="none" w:sz="0" w:space="0" w:color="auto"/>
                <w:right w:val="none" w:sz="0" w:space="0" w:color="auto"/>
              </w:divBdr>
            </w:div>
            <w:div w:id="740060998">
              <w:marLeft w:val="0"/>
              <w:marRight w:val="0"/>
              <w:marTop w:val="0"/>
              <w:marBottom w:val="0"/>
              <w:divBdr>
                <w:top w:val="none" w:sz="0" w:space="0" w:color="auto"/>
                <w:left w:val="none" w:sz="0" w:space="0" w:color="auto"/>
                <w:bottom w:val="none" w:sz="0" w:space="0" w:color="auto"/>
                <w:right w:val="none" w:sz="0" w:space="0" w:color="auto"/>
              </w:divBdr>
            </w:div>
            <w:div w:id="2095660576">
              <w:marLeft w:val="0"/>
              <w:marRight w:val="0"/>
              <w:marTop w:val="0"/>
              <w:marBottom w:val="0"/>
              <w:divBdr>
                <w:top w:val="none" w:sz="0" w:space="0" w:color="auto"/>
                <w:left w:val="none" w:sz="0" w:space="0" w:color="auto"/>
                <w:bottom w:val="none" w:sz="0" w:space="0" w:color="auto"/>
                <w:right w:val="none" w:sz="0" w:space="0" w:color="auto"/>
              </w:divBdr>
            </w:div>
            <w:div w:id="1886209535">
              <w:marLeft w:val="0"/>
              <w:marRight w:val="0"/>
              <w:marTop w:val="0"/>
              <w:marBottom w:val="0"/>
              <w:divBdr>
                <w:top w:val="none" w:sz="0" w:space="0" w:color="auto"/>
                <w:left w:val="none" w:sz="0" w:space="0" w:color="auto"/>
                <w:bottom w:val="none" w:sz="0" w:space="0" w:color="auto"/>
                <w:right w:val="none" w:sz="0" w:space="0" w:color="auto"/>
              </w:divBdr>
            </w:div>
            <w:div w:id="1962613876">
              <w:marLeft w:val="0"/>
              <w:marRight w:val="0"/>
              <w:marTop w:val="0"/>
              <w:marBottom w:val="0"/>
              <w:divBdr>
                <w:top w:val="none" w:sz="0" w:space="0" w:color="auto"/>
                <w:left w:val="none" w:sz="0" w:space="0" w:color="auto"/>
                <w:bottom w:val="none" w:sz="0" w:space="0" w:color="auto"/>
                <w:right w:val="none" w:sz="0" w:space="0" w:color="auto"/>
              </w:divBdr>
            </w:div>
            <w:div w:id="618686836">
              <w:marLeft w:val="0"/>
              <w:marRight w:val="0"/>
              <w:marTop w:val="0"/>
              <w:marBottom w:val="0"/>
              <w:divBdr>
                <w:top w:val="none" w:sz="0" w:space="0" w:color="auto"/>
                <w:left w:val="none" w:sz="0" w:space="0" w:color="auto"/>
                <w:bottom w:val="none" w:sz="0" w:space="0" w:color="auto"/>
                <w:right w:val="none" w:sz="0" w:space="0" w:color="auto"/>
              </w:divBdr>
            </w:div>
            <w:div w:id="890114638">
              <w:marLeft w:val="0"/>
              <w:marRight w:val="0"/>
              <w:marTop w:val="0"/>
              <w:marBottom w:val="0"/>
              <w:divBdr>
                <w:top w:val="none" w:sz="0" w:space="0" w:color="auto"/>
                <w:left w:val="none" w:sz="0" w:space="0" w:color="auto"/>
                <w:bottom w:val="none" w:sz="0" w:space="0" w:color="auto"/>
                <w:right w:val="none" w:sz="0" w:space="0" w:color="auto"/>
              </w:divBdr>
            </w:div>
            <w:div w:id="1251813663">
              <w:marLeft w:val="0"/>
              <w:marRight w:val="0"/>
              <w:marTop w:val="0"/>
              <w:marBottom w:val="0"/>
              <w:divBdr>
                <w:top w:val="none" w:sz="0" w:space="0" w:color="auto"/>
                <w:left w:val="none" w:sz="0" w:space="0" w:color="auto"/>
                <w:bottom w:val="none" w:sz="0" w:space="0" w:color="auto"/>
                <w:right w:val="none" w:sz="0" w:space="0" w:color="auto"/>
              </w:divBdr>
            </w:div>
            <w:div w:id="781532791">
              <w:marLeft w:val="0"/>
              <w:marRight w:val="0"/>
              <w:marTop w:val="0"/>
              <w:marBottom w:val="0"/>
              <w:divBdr>
                <w:top w:val="none" w:sz="0" w:space="0" w:color="auto"/>
                <w:left w:val="none" w:sz="0" w:space="0" w:color="auto"/>
                <w:bottom w:val="none" w:sz="0" w:space="0" w:color="auto"/>
                <w:right w:val="none" w:sz="0" w:space="0" w:color="auto"/>
              </w:divBdr>
            </w:div>
            <w:div w:id="119037927">
              <w:marLeft w:val="0"/>
              <w:marRight w:val="0"/>
              <w:marTop w:val="0"/>
              <w:marBottom w:val="0"/>
              <w:divBdr>
                <w:top w:val="none" w:sz="0" w:space="0" w:color="auto"/>
                <w:left w:val="none" w:sz="0" w:space="0" w:color="auto"/>
                <w:bottom w:val="none" w:sz="0" w:space="0" w:color="auto"/>
                <w:right w:val="none" w:sz="0" w:space="0" w:color="auto"/>
              </w:divBdr>
            </w:div>
            <w:div w:id="966396037">
              <w:marLeft w:val="0"/>
              <w:marRight w:val="0"/>
              <w:marTop w:val="0"/>
              <w:marBottom w:val="0"/>
              <w:divBdr>
                <w:top w:val="none" w:sz="0" w:space="0" w:color="auto"/>
                <w:left w:val="none" w:sz="0" w:space="0" w:color="auto"/>
                <w:bottom w:val="none" w:sz="0" w:space="0" w:color="auto"/>
                <w:right w:val="none" w:sz="0" w:space="0" w:color="auto"/>
              </w:divBdr>
            </w:div>
            <w:div w:id="1369642554">
              <w:marLeft w:val="0"/>
              <w:marRight w:val="0"/>
              <w:marTop w:val="0"/>
              <w:marBottom w:val="0"/>
              <w:divBdr>
                <w:top w:val="none" w:sz="0" w:space="0" w:color="auto"/>
                <w:left w:val="none" w:sz="0" w:space="0" w:color="auto"/>
                <w:bottom w:val="none" w:sz="0" w:space="0" w:color="auto"/>
                <w:right w:val="none" w:sz="0" w:space="0" w:color="auto"/>
              </w:divBdr>
            </w:div>
            <w:div w:id="850879750">
              <w:marLeft w:val="0"/>
              <w:marRight w:val="0"/>
              <w:marTop w:val="0"/>
              <w:marBottom w:val="0"/>
              <w:divBdr>
                <w:top w:val="none" w:sz="0" w:space="0" w:color="auto"/>
                <w:left w:val="none" w:sz="0" w:space="0" w:color="auto"/>
                <w:bottom w:val="none" w:sz="0" w:space="0" w:color="auto"/>
                <w:right w:val="none" w:sz="0" w:space="0" w:color="auto"/>
              </w:divBdr>
            </w:div>
            <w:div w:id="97795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13406">
      <w:marLeft w:val="0"/>
      <w:marRight w:val="0"/>
      <w:marTop w:val="0"/>
      <w:marBottom w:val="0"/>
      <w:divBdr>
        <w:top w:val="none" w:sz="0" w:space="0" w:color="auto"/>
        <w:left w:val="none" w:sz="0" w:space="0" w:color="auto"/>
        <w:bottom w:val="none" w:sz="0" w:space="0" w:color="auto"/>
        <w:right w:val="none" w:sz="0" w:space="0" w:color="auto"/>
      </w:divBdr>
      <w:divsChild>
        <w:div w:id="463084588">
          <w:marLeft w:val="0"/>
          <w:marRight w:val="0"/>
          <w:marTop w:val="0"/>
          <w:marBottom w:val="0"/>
          <w:divBdr>
            <w:top w:val="none" w:sz="0" w:space="0" w:color="auto"/>
            <w:left w:val="none" w:sz="0" w:space="0" w:color="auto"/>
            <w:bottom w:val="none" w:sz="0" w:space="0" w:color="auto"/>
            <w:right w:val="none" w:sz="0" w:space="0" w:color="auto"/>
          </w:divBdr>
        </w:div>
      </w:divsChild>
    </w:div>
    <w:div w:id="1440417582">
      <w:marLeft w:val="0"/>
      <w:marRight w:val="0"/>
      <w:marTop w:val="0"/>
      <w:marBottom w:val="0"/>
      <w:divBdr>
        <w:top w:val="none" w:sz="0" w:space="0" w:color="auto"/>
        <w:left w:val="none" w:sz="0" w:space="0" w:color="auto"/>
        <w:bottom w:val="none" w:sz="0" w:space="0" w:color="auto"/>
        <w:right w:val="none" w:sz="0" w:space="0" w:color="auto"/>
      </w:divBdr>
      <w:divsChild>
        <w:div w:id="792409064">
          <w:marLeft w:val="0"/>
          <w:marRight w:val="0"/>
          <w:marTop w:val="0"/>
          <w:marBottom w:val="0"/>
          <w:divBdr>
            <w:top w:val="none" w:sz="0" w:space="0" w:color="auto"/>
            <w:left w:val="none" w:sz="0" w:space="0" w:color="auto"/>
            <w:bottom w:val="none" w:sz="0" w:space="0" w:color="auto"/>
            <w:right w:val="none" w:sz="0" w:space="0" w:color="auto"/>
          </w:divBdr>
        </w:div>
      </w:divsChild>
    </w:div>
    <w:div w:id="1440485795">
      <w:marLeft w:val="0"/>
      <w:marRight w:val="0"/>
      <w:marTop w:val="0"/>
      <w:marBottom w:val="0"/>
      <w:divBdr>
        <w:top w:val="none" w:sz="0" w:space="0" w:color="auto"/>
        <w:left w:val="none" w:sz="0" w:space="0" w:color="auto"/>
        <w:bottom w:val="none" w:sz="0" w:space="0" w:color="auto"/>
        <w:right w:val="none" w:sz="0" w:space="0" w:color="auto"/>
      </w:divBdr>
      <w:divsChild>
        <w:div w:id="1430733908">
          <w:marLeft w:val="0"/>
          <w:marRight w:val="0"/>
          <w:marTop w:val="0"/>
          <w:marBottom w:val="0"/>
          <w:divBdr>
            <w:top w:val="none" w:sz="0" w:space="0" w:color="auto"/>
            <w:left w:val="none" w:sz="0" w:space="0" w:color="auto"/>
            <w:bottom w:val="none" w:sz="0" w:space="0" w:color="auto"/>
            <w:right w:val="none" w:sz="0" w:space="0" w:color="auto"/>
          </w:divBdr>
        </w:div>
      </w:divsChild>
    </w:div>
    <w:div w:id="1440568482">
      <w:marLeft w:val="0"/>
      <w:marRight w:val="0"/>
      <w:marTop w:val="0"/>
      <w:marBottom w:val="0"/>
      <w:divBdr>
        <w:top w:val="none" w:sz="0" w:space="0" w:color="auto"/>
        <w:left w:val="none" w:sz="0" w:space="0" w:color="auto"/>
        <w:bottom w:val="none" w:sz="0" w:space="0" w:color="auto"/>
        <w:right w:val="none" w:sz="0" w:space="0" w:color="auto"/>
      </w:divBdr>
      <w:divsChild>
        <w:div w:id="234633272">
          <w:marLeft w:val="0"/>
          <w:marRight w:val="0"/>
          <w:marTop w:val="0"/>
          <w:marBottom w:val="0"/>
          <w:divBdr>
            <w:top w:val="none" w:sz="0" w:space="0" w:color="auto"/>
            <w:left w:val="none" w:sz="0" w:space="0" w:color="auto"/>
            <w:bottom w:val="none" w:sz="0" w:space="0" w:color="auto"/>
            <w:right w:val="none" w:sz="0" w:space="0" w:color="auto"/>
          </w:divBdr>
        </w:div>
      </w:divsChild>
    </w:div>
    <w:div w:id="1442723687">
      <w:marLeft w:val="0"/>
      <w:marRight w:val="0"/>
      <w:marTop w:val="0"/>
      <w:marBottom w:val="0"/>
      <w:divBdr>
        <w:top w:val="none" w:sz="0" w:space="0" w:color="auto"/>
        <w:left w:val="none" w:sz="0" w:space="0" w:color="auto"/>
        <w:bottom w:val="none" w:sz="0" w:space="0" w:color="auto"/>
        <w:right w:val="none" w:sz="0" w:space="0" w:color="auto"/>
      </w:divBdr>
      <w:divsChild>
        <w:div w:id="1384450881">
          <w:marLeft w:val="0"/>
          <w:marRight w:val="0"/>
          <w:marTop w:val="0"/>
          <w:marBottom w:val="0"/>
          <w:divBdr>
            <w:top w:val="none" w:sz="0" w:space="0" w:color="auto"/>
            <w:left w:val="none" w:sz="0" w:space="0" w:color="auto"/>
            <w:bottom w:val="none" w:sz="0" w:space="0" w:color="auto"/>
            <w:right w:val="none" w:sz="0" w:space="0" w:color="auto"/>
          </w:divBdr>
        </w:div>
      </w:divsChild>
    </w:div>
    <w:div w:id="1445343057">
      <w:bodyDiv w:val="1"/>
      <w:marLeft w:val="0"/>
      <w:marRight w:val="0"/>
      <w:marTop w:val="0"/>
      <w:marBottom w:val="0"/>
      <w:divBdr>
        <w:top w:val="none" w:sz="0" w:space="0" w:color="auto"/>
        <w:left w:val="none" w:sz="0" w:space="0" w:color="auto"/>
        <w:bottom w:val="none" w:sz="0" w:space="0" w:color="auto"/>
        <w:right w:val="none" w:sz="0" w:space="0" w:color="auto"/>
      </w:divBdr>
    </w:div>
    <w:div w:id="1445685103">
      <w:marLeft w:val="0"/>
      <w:marRight w:val="0"/>
      <w:marTop w:val="0"/>
      <w:marBottom w:val="0"/>
      <w:divBdr>
        <w:top w:val="none" w:sz="0" w:space="0" w:color="auto"/>
        <w:left w:val="none" w:sz="0" w:space="0" w:color="auto"/>
        <w:bottom w:val="none" w:sz="0" w:space="0" w:color="auto"/>
        <w:right w:val="none" w:sz="0" w:space="0" w:color="auto"/>
      </w:divBdr>
      <w:divsChild>
        <w:div w:id="2117752413">
          <w:marLeft w:val="0"/>
          <w:marRight w:val="0"/>
          <w:marTop w:val="0"/>
          <w:marBottom w:val="0"/>
          <w:divBdr>
            <w:top w:val="none" w:sz="0" w:space="0" w:color="auto"/>
            <w:left w:val="none" w:sz="0" w:space="0" w:color="auto"/>
            <w:bottom w:val="none" w:sz="0" w:space="0" w:color="auto"/>
            <w:right w:val="none" w:sz="0" w:space="0" w:color="auto"/>
          </w:divBdr>
        </w:div>
      </w:divsChild>
    </w:div>
    <w:div w:id="1447890453">
      <w:marLeft w:val="0"/>
      <w:marRight w:val="0"/>
      <w:marTop w:val="0"/>
      <w:marBottom w:val="0"/>
      <w:divBdr>
        <w:top w:val="none" w:sz="0" w:space="0" w:color="auto"/>
        <w:left w:val="none" w:sz="0" w:space="0" w:color="auto"/>
        <w:bottom w:val="none" w:sz="0" w:space="0" w:color="auto"/>
        <w:right w:val="none" w:sz="0" w:space="0" w:color="auto"/>
      </w:divBdr>
      <w:divsChild>
        <w:div w:id="346297895">
          <w:marLeft w:val="0"/>
          <w:marRight w:val="0"/>
          <w:marTop w:val="0"/>
          <w:marBottom w:val="0"/>
          <w:divBdr>
            <w:top w:val="none" w:sz="0" w:space="0" w:color="auto"/>
            <w:left w:val="none" w:sz="0" w:space="0" w:color="auto"/>
            <w:bottom w:val="none" w:sz="0" w:space="0" w:color="auto"/>
            <w:right w:val="none" w:sz="0" w:space="0" w:color="auto"/>
          </w:divBdr>
        </w:div>
      </w:divsChild>
    </w:div>
    <w:div w:id="1447963598">
      <w:bodyDiv w:val="1"/>
      <w:marLeft w:val="0"/>
      <w:marRight w:val="0"/>
      <w:marTop w:val="0"/>
      <w:marBottom w:val="0"/>
      <w:divBdr>
        <w:top w:val="none" w:sz="0" w:space="0" w:color="auto"/>
        <w:left w:val="none" w:sz="0" w:space="0" w:color="auto"/>
        <w:bottom w:val="none" w:sz="0" w:space="0" w:color="auto"/>
        <w:right w:val="none" w:sz="0" w:space="0" w:color="auto"/>
      </w:divBdr>
      <w:divsChild>
        <w:div w:id="439182859">
          <w:marLeft w:val="0"/>
          <w:marRight w:val="0"/>
          <w:marTop w:val="0"/>
          <w:marBottom w:val="0"/>
          <w:divBdr>
            <w:top w:val="none" w:sz="0" w:space="0" w:color="auto"/>
            <w:left w:val="none" w:sz="0" w:space="0" w:color="auto"/>
            <w:bottom w:val="none" w:sz="0" w:space="0" w:color="auto"/>
            <w:right w:val="none" w:sz="0" w:space="0" w:color="auto"/>
          </w:divBdr>
          <w:divsChild>
            <w:div w:id="973949813">
              <w:marLeft w:val="0"/>
              <w:marRight w:val="0"/>
              <w:marTop w:val="0"/>
              <w:marBottom w:val="0"/>
              <w:divBdr>
                <w:top w:val="none" w:sz="0" w:space="0" w:color="auto"/>
                <w:left w:val="none" w:sz="0" w:space="0" w:color="auto"/>
                <w:bottom w:val="none" w:sz="0" w:space="0" w:color="auto"/>
                <w:right w:val="none" w:sz="0" w:space="0" w:color="auto"/>
              </w:divBdr>
            </w:div>
            <w:div w:id="1544903580">
              <w:marLeft w:val="0"/>
              <w:marRight w:val="0"/>
              <w:marTop w:val="0"/>
              <w:marBottom w:val="0"/>
              <w:divBdr>
                <w:top w:val="none" w:sz="0" w:space="0" w:color="auto"/>
                <w:left w:val="none" w:sz="0" w:space="0" w:color="auto"/>
                <w:bottom w:val="none" w:sz="0" w:space="0" w:color="auto"/>
                <w:right w:val="none" w:sz="0" w:space="0" w:color="auto"/>
              </w:divBdr>
            </w:div>
            <w:div w:id="3366994">
              <w:marLeft w:val="0"/>
              <w:marRight w:val="0"/>
              <w:marTop w:val="0"/>
              <w:marBottom w:val="0"/>
              <w:divBdr>
                <w:top w:val="none" w:sz="0" w:space="0" w:color="auto"/>
                <w:left w:val="none" w:sz="0" w:space="0" w:color="auto"/>
                <w:bottom w:val="none" w:sz="0" w:space="0" w:color="auto"/>
                <w:right w:val="none" w:sz="0" w:space="0" w:color="auto"/>
              </w:divBdr>
            </w:div>
            <w:div w:id="1136336423">
              <w:marLeft w:val="0"/>
              <w:marRight w:val="0"/>
              <w:marTop w:val="0"/>
              <w:marBottom w:val="0"/>
              <w:divBdr>
                <w:top w:val="none" w:sz="0" w:space="0" w:color="auto"/>
                <w:left w:val="none" w:sz="0" w:space="0" w:color="auto"/>
                <w:bottom w:val="none" w:sz="0" w:space="0" w:color="auto"/>
                <w:right w:val="none" w:sz="0" w:space="0" w:color="auto"/>
              </w:divBdr>
            </w:div>
            <w:div w:id="1422489372">
              <w:marLeft w:val="0"/>
              <w:marRight w:val="0"/>
              <w:marTop w:val="0"/>
              <w:marBottom w:val="0"/>
              <w:divBdr>
                <w:top w:val="none" w:sz="0" w:space="0" w:color="auto"/>
                <w:left w:val="none" w:sz="0" w:space="0" w:color="auto"/>
                <w:bottom w:val="none" w:sz="0" w:space="0" w:color="auto"/>
                <w:right w:val="none" w:sz="0" w:space="0" w:color="auto"/>
              </w:divBdr>
            </w:div>
            <w:div w:id="492722431">
              <w:marLeft w:val="0"/>
              <w:marRight w:val="0"/>
              <w:marTop w:val="0"/>
              <w:marBottom w:val="0"/>
              <w:divBdr>
                <w:top w:val="none" w:sz="0" w:space="0" w:color="auto"/>
                <w:left w:val="none" w:sz="0" w:space="0" w:color="auto"/>
                <w:bottom w:val="none" w:sz="0" w:space="0" w:color="auto"/>
                <w:right w:val="none" w:sz="0" w:space="0" w:color="auto"/>
              </w:divBdr>
            </w:div>
            <w:div w:id="1664121809">
              <w:marLeft w:val="0"/>
              <w:marRight w:val="0"/>
              <w:marTop w:val="0"/>
              <w:marBottom w:val="0"/>
              <w:divBdr>
                <w:top w:val="none" w:sz="0" w:space="0" w:color="auto"/>
                <w:left w:val="none" w:sz="0" w:space="0" w:color="auto"/>
                <w:bottom w:val="none" w:sz="0" w:space="0" w:color="auto"/>
                <w:right w:val="none" w:sz="0" w:space="0" w:color="auto"/>
              </w:divBdr>
            </w:div>
            <w:div w:id="569852363">
              <w:marLeft w:val="0"/>
              <w:marRight w:val="0"/>
              <w:marTop w:val="0"/>
              <w:marBottom w:val="0"/>
              <w:divBdr>
                <w:top w:val="none" w:sz="0" w:space="0" w:color="auto"/>
                <w:left w:val="none" w:sz="0" w:space="0" w:color="auto"/>
                <w:bottom w:val="none" w:sz="0" w:space="0" w:color="auto"/>
                <w:right w:val="none" w:sz="0" w:space="0" w:color="auto"/>
              </w:divBdr>
            </w:div>
            <w:div w:id="650405802">
              <w:marLeft w:val="0"/>
              <w:marRight w:val="0"/>
              <w:marTop w:val="0"/>
              <w:marBottom w:val="0"/>
              <w:divBdr>
                <w:top w:val="none" w:sz="0" w:space="0" w:color="auto"/>
                <w:left w:val="none" w:sz="0" w:space="0" w:color="auto"/>
                <w:bottom w:val="none" w:sz="0" w:space="0" w:color="auto"/>
                <w:right w:val="none" w:sz="0" w:space="0" w:color="auto"/>
              </w:divBdr>
            </w:div>
            <w:div w:id="40713849">
              <w:marLeft w:val="0"/>
              <w:marRight w:val="0"/>
              <w:marTop w:val="0"/>
              <w:marBottom w:val="0"/>
              <w:divBdr>
                <w:top w:val="none" w:sz="0" w:space="0" w:color="auto"/>
                <w:left w:val="none" w:sz="0" w:space="0" w:color="auto"/>
                <w:bottom w:val="none" w:sz="0" w:space="0" w:color="auto"/>
                <w:right w:val="none" w:sz="0" w:space="0" w:color="auto"/>
              </w:divBdr>
            </w:div>
            <w:div w:id="917640525">
              <w:marLeft w:val="0"/>
              <w:marRight w:val="0"/>
              <w:marTop w:val="0"/>
              <w:marBottom w:val="0"/>
              <w:divBdr>
                <w:top w:val="none" w:sz="0" w:space="0" w:color="auto"/>
                <w:left w:val="none" w:sz="0" w:space="0" w:color="auto"/>
                <w:bottom w:val="none" w:sz="0" w:space="0" w:color="auto"/>
                <w:right w:val="none" w:sz="0" w:space="0" w:color="auto"/>
              </w:divBdr>
            </w:div>
            <w:div w:id="1190222646">
              <w:marLeft w:val="0"/>
              <w:marRight w:val="0"/>
              <w:marTop w:val="0"/>
              <w:marBottom w:val="0"/>
              <w:divBdr>
                <w:top w:val="none" w:sz="0" w:space="0" w:color="auto"/>
                <w:left w:val="none" w:sz="0" w:space="0" w:color="auto"/>
                <w:bottom w:val="none" w:sz="0" w:space="0" w:color="auto"/>
                <w:right w:val="none" w:sz="0" w:space="0" w:color="auto"/>
              </w:divBdr>
            </w:div>
            <w:div w:id="1511605025">
              <w:marLeft w:val="0"/>
              <w:marRight w:val="0"/>
              <w:marTop w:val="0"/>
              <w:marBottom w:val="0"/>
              <w:divBdr>
                <w:top w:val="none" w:sz="0" w:space="0" w:color="auto"/>
                <w:left w:val="none" w:sz="0" w:space="0" w:color="auto"/>
                <w:bottom w:val="none" w:sz="0" w:space="0" w:color="auto"/>
                <w:right w:val="none" w:sz="0" w:space="0" w:color="auto"/>
              </w:divBdr>
            </w:div>
            <w:div w:id="2008945825">
              <w:marLeft w:val="0"/>
              <w:marRight w:val="0"/>
              <w:marTop w:val="0"/>
              <w:marBottom w:val="0"/>
              <w:divBdr>
                <w:top w:val="none" w:sz="0" w:space="0" w:color="auto"/>
                <w:left w:val="none" w:sz="0" w:space="0" w:color="auto"/>
                <w:bottom w:val="none" w:sz="0" w:space="0" w:color="auto"/>
                <w:right w:val="none" w:sz="0" w:space="0" w:color="auto"/>
              </w:divBdr>
            </w:div>
            <w:div w:id="32926407">
              <w:marLeft w:val="0"/>
              <w:marRight w:val="0"/>
              <w:marTop w:val="0"/>
              <w:marBottom w:val="0"/>
              <w:divBdr>
                <w:top w:val="none" w:sz="0" w:space="0" w:color="auto"/>
                <w:left w:val="none" w:sz="0" w:space="0" w:color="auto"/>
                <w:bottom w:val="none" w:sz="0" w:space="0" w:color="auto"/>
                <w:right w:val="none" w:sz="0" w:space="0" w:color="auto"/>
              </w:divBdr>
            </w:div>
            <w:div w:id="64690580">
              <w:marLeft w:val="0"/>
              <w:marRight w:val="0"/>
              <w:marTop w:val="0"/>
              <w:marBottom w:val="0"/>
              <w:divBdr>
                <w:top w:val="none" w:sz="0" w:space="0" w:color="auto"/>
                <w:left w:val="none" w:sz="0" w:space="0" w:color="auto"/>
                <w:bottom w:val="none" w:sz="0" w:space="0" w:color="auto"/>
                <w:right w:val="none" w:sz="0" w:space="0" w:color="auto"/>
              </w:divBdr>
            </w:div>
            <w:div w:id="1099640469">
              <w:marLeft w:val="0"/>
              <w:marRight w:val="0"/>
              <w:marTop w:val="0"/>
              <w:marBottom w:val="0"/>
              <w:divBdr>
                <w:top w:val="none" w:sz="0" w:space="0" w:color="auto"/>
                <w:left w:val="none" w:sz="0" w:space="0" w:color="auto"/>
                <w:bottom w:val="none" w:sz="0" w:space="0" w:color="auto"/>
                <w:right w:val="none" w:sz="0" w:space="0" w:color="auto"/>
              </w:divBdr>
            </w:div>
            <w:div w:id="276719497">
              <w:marLeft w:val="0"/>
              <w:marRight w:val="0"/>
              <w:marTop w:val="0"/>
              <w:marBottom w:val="0"/>
              <w:divBdr>
                <w:top w:val="none" w:sz="0" w:space="0" w:color="auto"/>
                <w:left w:val="none" w:sz="0" w:space="0" w:color="auto"/>
                <w:bottom w:val="none" w:sz="0" w:space="0" w:color="auto"/>
                <w:right w:val="none" w:sz="0" w:space="0" w:color="auto"/>
              </w:divBdr>
            </w:div>
            <w:div w:id="654840023">
              <w:marLeft w:val="0"/>
              <w:marRight w:val="0"/>
              <w:marTop w:val="0"/>
              <w:marBottom w:val="0"/>
              <w:divBdr>
                <w:top w:val="none" w:sz="0" w:space="0" w:color="auto"/>
                <w:left w:val="none" w:sz="0" w:space="0" w:color="auto"/>
                <w:bottom w:val="none" w:sz="0" w:space="0" w:color="auto"/>
                <w:right w:val="none" w:sz="0" w:space="0" w:color="auto"/>
              </w:divBdr>
            </w:div>
            <w:div w:id="647442235">
              <w:marLeft w:val="0"/>
              <w:marRight w:val="0"/>
              <w:marTop w:val="0"/>
              <w:marBottom w:val="0"/>
              <w:divBdr>
                <w:top w:val="none" w:sz="0" w:space="0" w:color="auto"/>
                <w:left w:val="none" w:sz="0" w:space="0" w:color="auto"/>
                <w:bottom w:val="none" w:sz="0" w:space="0" w:color="auto"/>
                <w:right w:val="none" w:sz="0" w:space="0" w:color="auto"/>
              </w:divBdr>
            </w:div>
            <w:div w:id="201984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42335">
      <w:marLeft w:val="0"/>
      <w:marRight w:val="0"/>
      <w:marTop w:val="0"/>
      <w:marBottom w:val="0"/>
      <w:divBdr>
        <w:top w:val="none" w:sz="0" w:space="0" w:color="auto"/>
        <w:left w:val="none" w:sz="0" w:space="0" w:color="auto"/>
        <w:bottom w:val="none" w:sz="0" w:space="0" w:color="auto"/>
        <w:right w:val="none" w:sz="0" w:space="0" w:color="auto"/>
      </w:divBdr>
      <w:divsChild>
        <w:div w:id="1987977687">
          <w:marLeft w:val="0"/>
          <w:marRight w:val="0"/>
          <w:marTop w:val="0"/>
          <w:marBottom w:val="0"/>
          <w:divBdr>
            <w:top w:val="none" w:sz="0" w:space="0" w:color="auto"/>
            <w:left w:val="none" w:sz="0" w:space="0" w:color="auto"/>
            <w:bottom w:val="none" w:sz="0" w:space="0" w:color="auto"/>
            <w:right w:val="none" w:sz="0" w:space="0" w:color="auto"/>
          </w:divBdr>
        </w:div>
      </w:divsChild>
    </w:div>
    <w:div w:id="1455170512">
      <w:marLeft w:val="0"/>
      <w:marRight w:val="0"/>
      <w:marTop w:val="0"/>
      <w:marBottom w:val="0"/>
      <w:divBdr>
        <w:top w:val="none" w:sz="0" w:space="0" w:color="auto"/>
        <w:left w:val="none" w:sz="0" w:space="0" w:color="auto"/>
        <w:bottom w:val="none" w:sz="0" w:space="0" w:color="auto"/>
        <w:right w:val="none" w:sz="0" w:space="0" w:color="auto"/>
      </w:divBdr>
      <w:divsChild>
        <w:div w:id="229855343">
          <w:marLeft w:val="0"/>
          <w:marRight w:val="0"/>
          <w:marTop w:val="0"/>
          <w:marBottom w:val="0"/>
          <w:divBdr>
            <w:top w:val="none" w:sz="0" w:space="0" w:color="auto"/>
            <w:left w:val="none" w:sz="0" w:space="0" w:color="auto"/>
            <w:bottom w:val="none" w:sz="0" w:space="0" w:color="auto"/>
            <w:right w:val="none" w:sz="0" w:space="0" w:color="auto"/>
          </w:divBdr>
        </w:div>
      </w:divsChild>
    </w:div>
    <w:div w:id="1456217554">
      <w:bodyDiv w:val="1"/>
      <w:marLeft w:val="0"/>
      <w:marRight w:val="0"/>
      <w:marTop w:val="0"/>
      <w:marBottom w:val="0"/>
      <w:divBdr>
        <w:top w:val="none" w:sz="0" w:space="0" w:color="auto"/>
        <w:left w:val="none" w:sz="0" w:space="0" w:color="auto"/>
        <w:bottom w:val="none" w:sz="0" w:space="0" w:color="auto"/>
        <w:right w:val="none" w:sz="0" w:space="0" w:color="auto"/>
      </w:divBdr>
    </w:div>
    <w:div w:id="1457143410">
      <w:bodyDiv w:val="1"/>
      <w:marLeft w:val="0"/>
      <w:marRight w:val="0"/>
      <w:marTop w:val="0"/>
      <w:marBottom w:val="0"/>
      <w:divBdr>
        <w:top w:val="none" w:sz="0" w:space="0" w:color="auto"/>
        <w:left w:val="none" w:sz="0" w:space="0" w:color="auto"/>
        <w:bottom w:val="none" w:sz="0" w:space="0" w:color="auto"/>
        <w:right w:val="none" w:sz="0" w:space="0" w:color="auto"/>
      </w:divBdr>
    </w:div>
    <w:div w:id="1457599910">
      <w:marLeft w:val="0"/>
      <w:marRight w:val="0"/>
      <w:marTop w:val="0"/>
      <w:marBottom w:val="0"/>
      <w:divBdr>
        <w:top w:val="none" w:sz="0" w:space="0" w:color="auto"/>
        <w:left w:val="none" w:sz="0" w:space="0" w:color="auto"/>
        <w:bottom w:val="none" w:sz="0" w:space="0" w:color="auto"/>
        <w:right w:val="none" w:sz="0" w:space="0" w:color="auto"/>
      </w:divBdr>
      <w:divsChild>
        <w:div w:id="1604999810">
          <w:marLeft w:val="0"/>
          <w:marRight w:val="0"/>
          <w:marTop w:val="0"/>
          <w:marBottom w:val="0"/>
          <w:divBdr>
            <w:top w:val="none" w:sz="0" w:space="0" w:color="auto"/>
            <w:left w:val="none" w:sz="0" w:space="0" w:color="auto"/>
            <w:bottom w:val="none" w:sz="0" w:space="0" w:color="auto"/>
            <w:right w:val="none" w:sz="0" w:space="0" w:color="auto"/>
          </w:divBdr>
        </w:div>
      </w:divsChild>
    </w:div>
    <w:div w:id="1458530494">
      <w:marLeft w:val="0"/>
      <w:marRight w:val="0"/>
      <w:marTop w:val="0"/>
      <w:marBottom w:val="0"/>
      <w:divBdr>
        <w:top w:val="none" w:sz="0" w:space="0" w:color="auto"/>
        <w:left w:val="none" w:sz="0" w:space="0" w:color="auto"/>
        <w:bottom w:val="none" w:sz="0" w:space="0" w:color="auto"/>
        <w:right w:val="none" w:sz="0" w:space="0" w:color="auto"/>
      </w:divBdr>
      <w:divsChild>
        <w:div w:id="1943296806">
          <w:marLeft w:val="0"/>
          <w:marRight w:val="0"/>
          <w:marTop w:val="0"/>
          <w:marBottom w:val="0"/>
          <w:divBdr>
            <w:top w:val="none" w:sz="0" w:space="0" w:color="auto"/>
            <w:left w:val="none" w:sz="0" w:space="0" w:color="auto"/>
            <w:bottom w:val="none" w:sz="0" w:space="0" w:color="auto"/>
            <w:right w:val="none" w:sz="0" w:space="0" w:color="auto"/>
          </w:divBdr>
        </w:div>
      </w:divsChild>
    </w:div>
    <w:div w:id="1463502284">
      <w:marLeft w:val="0"/>
      <w:marRight w:val="0"/>
      <w:marTop w:val="0"/>
      <w:marBottom w:val="0"/>
      <w:divBdr>
        <w:top w:val="none" w:sz="0" w:space="0" w:color="auto"/>
        <w:left w:val="none" w:sz="0" w:space="0" w:color="auto"/>
        <w:bottom w:val="none" w:sz="0" w:space="0" w:color="auto"/>
        <w:right w:val="none" w:sz="0" w:space="0" w:color="auto"/>
      </w:divBdr>
      <w:divsChild>
        <w:div w:id="641539233">
          <w:marLeft w:val="0"/>
          <w:marRight w:val="0"/>
          <w:marTop w:val="0"/>
          <w:marBottom w:val="0"/>
          <w:divBdr>
            <w:top w:val="none" w:sz="0" w:space="0" w:color="auto"/>
            <w:left w:val="none" w:sz="0" w:space="0" w:color="auto"/>
            <w:bottom w:val="none" w:sz="0" w:space="0" w:color="auto"/>
            <w:right w:val="none" w:sz="0" w:space="0" w:color="auto"/>
          </w:divBdr>
        </w:div>
      </w:divsChild>
    </w:div>
    <w:div w:id="1468006851">
      <w:marLeft w:val="0"/>
      <w:marRight w:val="0"/>
      <w:marTop w:val="0"/>
      <w:marBottom w:val="0"/>
      <w:divBdr>
        <w:top w:val="none" w:sz="0" w:space="0" w:color="auto"/>
        <w:left w:val="none" w:sz="0" w:space="0" w:color="auto"/>
        <w:bottom w:val="none" w:sz="0" w:space="0" w:color="auto"/>
        <w:right w:val="none" w:sz="0" w:space="0" w:color="auto"/>
      </w:divBdr>
      <w:divsChild>
        <w:div w:id="1310745482">
          <w:marLeft w:val="0"/>
          <w:marRight w:val="0"/>
          <w:marTop w:val="0"/>
          <w:marBottom w:val="0"/>
          <w:divBdr>
            <w:top w:val="none" w:sz="0" w:space="0" w:color="auto"/>
            <w:left w:val="none" w:sz="0" w:space="0" w:color="auto"/>
            <w:bottom w:val="none" w:sz="0" w:space="0" w:color="auto"/>
            <w:right w:val="none" w:sz="0" w:space="0" w:color="auto"/>
          </w:divBdr>
        </w:div>
      </w:divsChild>
    </w:div>
    <w:div w:id="1468353575">
      <w:marLeft w:val="0"/>
      <w:marRight w:val="0"/>
      <w:marTop w:val="0"/>
      <w:marBottom w:val="0"/>
      <w:divBdr>
        <w:top w:val="none" w:sz="0" w:space="0" w:color="auto"/>
        <w:left w:val="none" w:sz="0" w:space="0" w:color="auto"/>
        <w:bottom w:val="none" w:sz="0" w:space="0" w:color="auto"/>
        <w:right w:val="none" w:sz="0" w:space="0" w:color="auto"/>
      </w:divBdr>
      <w:divsChild>
        <w:div w:id="139614617">
          <w:marLeft w:val="0"/>
          <w:marRight w:val="0"/>
          <w:marTop w:val="0"/>
          <w:marBottom w:val="0"/>
          <w:divBdr>
            <w:top w:val="none" w:sz="0" w:space="0" w:color="auto"/>
            <w:left w:val="none" w:sz="0" w:space="0" w:color="auto"/>
            <w:bottom w:val="none" w:sz="0" w:space="0" w:color="auto"/>
            <w:right w:val="none" w:sz="0" w:space="0" w:color="auto"/>
          </w:divBdr>
        </w:div>
      </w:divsChild>
    </w:div>
    <w:div w:id="1472139108">
      <w:bodyDiv w:val="1"/>
      <w:marLeft w:val="0"/>
      <w:marRight w:val="0"/>
      <w:marTop w:val="0"/>
      <w:marBottom w:val="0"/>
      <w:divBdr>
        <w:top w:val="none" w:sz="0" w:space="0" w:color="auto"/>
        <w:left w:val="none" w:sz="0" w:space="0" w:color="auto"/>
        <w:bottom w:val="none" w:sz="0" w:space="0" w:color="auto"/>
        <w:right w:val="none" w:sz="0" w:space="0" w:color="auto"/>
      </w:divBdr>
    </w:div>
    <w:div w:id="1473596389">
      <w:marLeft w:val="0"/>
      <w:marRight w:val="150"/>
      <w:marTop w:val="0"/>
      <w:marBottom w:val="0"/>
      <w:divBdr>
        <w:top w:val="none" w:sz="0" w:space="0" w:color="auto"/>
        <w:left w:val="none" w:sz="0" w:space="0" w:color="auto"/>
        <w:bottom w:val="none" w:sz="0" w:space="0" w:color="auto"/>
        <w:right w:val="none" w:sz="0" w:space="0" w:color="auto"/>
      </w:divBdr>
      <w:divsChild>
        <w:div w:id="434907318">
          <w:marLeft w:val="0"/>
          <w:marRight w:val="150"/>
          <w:marTop w:val="0"/>
          <w:marBottom w:val="0"/>
          <w:divBdr>
            <w:top w:val="none" w:sz="0" w:space="0" w:color="auto"/>
            <w:left w:val="none" w:sz="0" w:space="0" w:color="auto"/>
            <w:bottom w:val="none" w:sz="0" w:space="0" w:color="auto"/>
            <w:right w:val="none" w:sz="0" w:space="0" w:color="auto"/>
          </w:divBdr>
        </w:div>
      </w:divsChild>
    </w:div>
    <w:div w:id="1475951376">
      <w:marLeft w:val="0"/>
      <w:marRight w:val="0"/>
      <w:marTop w:val="0"/>
      <w:marBottom w:val="0"/>
      <w:divBdr>
        <w:top w:val="none" w:sz="0" w:space="0" w:color="auto"/>
        <w:left w:val="none" w:sz="0" w:space="0" w:color="auto"/>
        <w:bottom w:val="none" w:sz="0" w:space="0" w:color="auto"/>
        <w:right w:val="none" w:sz="0" w:space="0" w:color="auto"/>
      </w:divBdr>
      <w:divsChild>
        <w:div w:id="1891259994">
          <w:marLeft w:val="0"/>
          <w:marRight w:val="0"/>
          <w:marTop w:val="0"/>
          <w:marBottom w:val="0"/>
          <w:divBdr>
            <w:top w:val="none" w:sz="0" w:space="0" w:color="auto"/>
            <w:left w:val="none" w:sz="0" w:space="0" w:color="auto"/>
            <w:bottom w:val="none" w:sz="0" w:space="0" w:color="auto"/>
            <w:right w:val="none" w:sz="0" w:space="0" w:color="auto"/>
          </w:divBdr>
        </w:div>
      </w:divsChild>
    </w:div>
    <w:div w:id="1476486820">
      <w:marLeft w:val="0"/>
      <w:marRight w:val="0"/>
      <w:marTop w:val="0"/>
      <w:marBottom w:val="0"/>
      <w:divBdr>
        <w:top w:val="none" w:sz="0" w:space="0" w:color="auto"/>
        <w:left w:val="none" w:sz="0" w:space="0" w:color="auto"/>
        <w:bottom w:val="none" w:sz="0" w:space="0" w:color="auto"/>
        <w:right w:val="none" w:sz="0" w:space="0" w:color="auto"/>
      </w:divBdr>
      <w:divsChild>
        <w:div w:id="827943545">
          <w:marLeft w:val="0"/>
          <w:marRight w:val="0"/>
          <w:marTop w:val="0"/>
          <w:marBottom w:val="0"/>
          <w:divBdr>
            <w:top w:val="none" w:sz="0" w:space="0" w:color="auto"/>
            <w:left w:val="none" w:sz="0" w:space="0" w:color="auto"/>
            <w:bottom w:val="none" w:sz="0" w:space="0" w:color="auto"/>
            <w:right w:val="none" w:sz="0" w:space="0" w:color="auto"/>
          </w:divBdr>
        </w:div>
      </w:divsChild>
    </w:div>
    <w:div w:id="1486161914">
      <w:marLeft w:val="0"/>
      <w:marRight w:val="0"/>
      <w:marTop w:val="0"/>
      <w:marBottom w:val="0"/>
      <w:divBdr>
        <w:top w:val="none" w:sz="0" w:space="0" w:color="auto"/>
        <w:left w:val="none" w:sz="0" w:space="0" w:color="auto"/>
        <w:bottom w:val="none" w:sz="0" w:space="0" w:color="auto"/>
        <w:right w:val="none" w:sz="0" w:space="0" w:color="auto"/>
      </w:divBdr>
      <w:divsChild>
        <w:div w:id="1509758930">
          <w:marLeft w:val="0"/>
          <w:marRight w:val="0"/>
          <w:marTop w:val="0"/>
          <w:marBottom w:val="0"/>
          <w:divBdr>
            <w:top w:val="none" w:sz="0" w:space="0" w:color="auto"/>
            <w:left w:val="none" w:sz="0" w:space="0" w:color="auto"/>
            <w:bottom w:val="none" w:sz="0" w:space="0" w:color="auto"/>
            <w:right w:val="none" w:sz="0" w:space="0" w:color="auto"/>
          </w:divBdr>
        </w:div>
      </w:divsChild>
    </w:div>
    <w:div w:id="1486437870">
      <w:bodyDiv w:val="1"/>
      <w:marLeft w:val="0"/>
      <w:marRight w:val="0"/>
      <w:marTop w:val="0"/>
      <w:marBottom w:val="0"/>
      <w:divBdr>
        <w:top w:val="none" w:sz="0" w:space="0" w:color="auto"/>
        <w:left w:val="none" w:sz="0" w:space="0" w:color="auto"/>
        <w:bottom w:val="none" w:sz="0" w:space="0" w:color="auto"/>
        <w:right w:val="none" w:sz="0" w:space="0" w:color="auto"/>
      </w:divBdr>
    </w:div>
    <w:div w:id="1487938481">
      <w:bodyDiv w:val="1"/>
      <w:marLeft w:val="0"/>
      <w:marRight w:val="0"/>
      <w:marTop w:val="0"/>
      <w:marBottom w:val="0"/>
      <w:divBdr>
        <w:top w:val="none" w:sz="0" w:space="0" w:color="auto"/>
        <w:left w:val="none" w:sz="0" w:space="0" w:color="auto"/>
        <w:bottom w:val="none" w:sz="0" w:space="0" w:color="auto"/>
        <w:right w:val="none" w:sz="0" w:space="0" w:color="auto"/>
      </w:divBdr>
    </w:div>
    <w:div w:id="1492059272">
      <w:marLeft w:val="0"/>
      <w:marRight w:val="0"/>
      <w:marTop w:val="0"/>
      <w:marBottom w:val="0"/>
      <w:divBdr>
        <w:top w:val="none" w:sz="0" w:space="0" w:color="auto"/>
        <w:left w:val="none" w:sz="0" w:space="0" w:color="auto"/>
        <w:bottom w:val="none" w:sz="0" w:space="0" w:color="auto"/>
        <w:right w:val="none" w:sz="0" w:space="0" w:color="auto"/>
      </w:divBdr>
      <w:divsChild>
        <w:div w:id="1340429073">
          <w:marLeft w:val="0"/>
          <w:marRight w:val="0"/>
          <w:marTop w:val="0"/>
          <w:marBottom w:val="0"/>
          <w:divBdr>
            <w:top w:val="none" w:sz="0" w:space="0" w:color="auto"/>
            <w:left w:val="none" w:sz="0" w:space="0" w:color="auto"/>
            <w:bottom w:val="none" w:sz="0" w:space="0" w:color="auto"/>
            <w:right w:val="none" w:sz="0" w:space="0" w:color="auto"/>
          </w:divBdr>
        </w:div>
      </w:divsChild>
    </w:div>
    <w:div w:id="1492332409">
      <w:marLeft w:val="0"/>
      <w:marRight w:val="0"/>
      <w:marTop w:val="0"/>
      <w:marBottom w:val="0"/>
      <w:divBdr>
        <w:top w:val="none" w:sz="0" w:space="0" w:color="auto"/>
        <w:left w:val="none" w:sz="0" w:space="0" w:color="auto"/>
        <w:bottom w:val="none" w:sz="0" w:space="0" w:color="auto"/>
        <w:right w:val="none" w:sz="0" w:space="0" w:color="auto"/>
      </w:divBdr>
      <w:divsChild>
        <w:div w:id="309866702">
          <w:marLeft w:val="0"/>
          <w:marRight w:val="0"/>
          <w:marTop w:val="0"/>
          <w:marBottom w:val="0"/>
          <w:divBdr>
            <w:top w:val="none" w:sz="0" w:space="0" w:color="auto"/>
            <w:left w:val="none" w:sz="0" w:space="0" w:color="auto"/>
            <w:bottom w:val="none" w:sz="0" w:space="0" w:color="auto"/>
            <w:right w:val="none" w:sz="0" w:space="0" w:color="auto"/>
          </w:divBdr>
        </w:div>
      </w:divsChild>
    </w:div>
    <w:div w:id="1494831833">
      <w:marLeft w:val="0"/>
      <w:marRight w:val="0"/>
      <w:marTop w:val="0"/>
      <w:marBottom w:val="0"/>
      <w:divBdr>
        <w:top w:val="none" w:sz="0" w:space="0" w:color="auto"/>
        <w:left w:val="none" w:sz="0" w:space="0" w:color="auto"/>
        <w:bottom w:val="none" w:sz="0" w:space="0" w:color="auto"/>
        <w:right w:val="none" w:sz="0" w:space="0" w:color="auto"/>
      </w:divBdr>
      <w:divsChild>
        <w:div w:id="1806238666">
          <w:marLeft w:val="0"/>
          <w:marRight w:val="0"/>
          <w:marTop w:val="0"/>
          <w:marBottom w:val="0"/>
          <w:divBdr>
            <w:top w:val="none" w:sz="0" w:space="0" w:color="auto"/>
            <w:left w:val="none" w:sz="0" w:space="0" w:color="auto"/>
            <w:bottom w:val="none" w:sz="0" w:space="0" w:color="auto"/>
            <w:right w:val="none" w:sz="0" w:space="0" w:color="auto"/>
          </w:divBdr>
        </w:div>
      </w:divsChild>
    </w:div>
    <w:div w:id="1495563446">
      <w:marLeft w:val="0"/>
      <w:marRight w:val="0"/>
      <w:marTop w:val="0"/>
      <w:marBottom w:val="0"/>
      <w:divBdr>
        <w:top w:val="none" w:sz="0" w:space="0" w:color="auto"/>
        <w:left w:val="none" w:sz="0" w:space="0" w:color="auto"/>
        <w:bottom w:val="none" w:sz="0" w:space="0" w:color="auto"/>
        <w:right w:val="none" w:sz="0" w:space="0" w:color="auto"/>
      </w:divBdr>
      <w:divsChild>
        <w:div w:id="1156844340">
          <w:marLeft w:val="0"/>
          <w:marRight w:val="0"/>
          <w:marTop w:val="0"/>
          <w:marBottom w:val="0"/>
          <w:divBdr>
            <w:top w:val="none" w:sz="0" w:space="0" w:color="auto"/>
            <w:left w:val="none" w:sz="0" w:space="0" w:color="auto"/>
            <w:bottom w:val="none" w:sz="0" w:space="0" w:color="auto"/>
            <w:right w:val="none" w:sz="0" w:space="0" w:color="auto"/>
          </w:divBdr>
        </w:div>
      </w:divsChild>
    </w:div>
    <w:div w:id="1495683877">
      <w:bodyDiv w:val="1"/>
      <w:marLeft w:val="0"/>
      <w:marRight w:val="0"/>
      <w:marTop w:val="0"/>
      <w:marBottom w:val="0"/>
      <w:divBdr>
        <w:top w:val="none" w:sz="0" w:space="0" w:color="auto"/>
        <w:left w:val="none" w:sz="0" w:space="0" w:color="auto"/>
        <w:bottom w:val="none" w:sz="0" w:space="0" w:color="auto"/>
        <w:right w:val="none" w:sz="0" w:space="0" w:color="auto"/>
      </w:divBdr>
    </w:div>
    <w:div w:id="1498378708">
      <w:marLeft w:val="0"/>
      <w:marRight w:val="0"/>
      <w:marTop w:val="0"/>
      <w:marBottom w:val="0"/>
      <w:divBdr>
        <w:top w:val="none" w:sz="0" w:space="0" w:color="auto"/>
        <w:left w:val="none" w:sz="0" w:space="0" w:color="auto"/>
        <w:bottom w:val="none" w:sz="0" w:space="0" w:color="auto"/>
        <w:right w:val="none" w:sz="0" w:space="0" w:color="auto"/>
      </w:divBdr>
      <w:divsChild>
        <w:div w:id="1910266048">
          <w:marLeft w:val="0"/>
          <w:marRight w:val="0"/>
          <w:marTop w:val="0"/>
          <w:marBottom w:val="0"/>
          <w:divBdr>
            <w:top w:val="none" w:sz="0" w:space="0" w:color="auto"/>
            <w:left w:val="none" w:sz="0" w:space="0" w:color="auto"/>
            <w:bottom w:val="none" w:sz="0" w:space="0" w:color="auto"/>
            <w:right w:val="none" w:sz="0" w:space="0" w:color="auto"/>
          </w:divBdr>
        </w:div>
      </w:divsChild>
    </w:div>
    <w:div w:id="1504273621">
      <w:bodyDiv w:val="1"/>
      <w:marLeft w:val="0"/>
      <w:marRight w:val="0"/>
      <w:marTop w:val="0"/>
      <w:marBottom w:val="0"/>
      <w:divBdr>
        <w:top w:val="none" w:sz="0" w:space="0" w:color="auto"/>
        <w:left w:val="none" w:sz="0" w:space="0" w:color="auto"/>
        <w:bottom w:val="none" w:sz="0" w:space="0" w:color="auto"/>
        <w:right w:val="none" w:sz="0" w:space="0" w:color="auto"/>
      </w:divBdr>
      <w:divsChild>
        <w:div w:id="54596902">
          <w:marLeft w:val="0"/>
          <w:marRight w:val="0"/>
          <w:marTop w:val="0"/>
          <w:marBottom w:val="0"/>
          <w:divBdr>
            <w:top w:val="none" w:sz="0" w:space="0" w:color="auto"/>
            <w:left w:val="none" w:sz="0" w:space="0" w:color="auto"/>
            <w:bottom w:val="none" w:sz="0" w:space="0" w:color="auto"/>
            <w:right w:val="none" w:sz="0" w:space="0" w:color="auto"/>
          </w:divBdr>
          <w:divsChild>
            <w:div w:id="1800537897">
              <w:marLeft w:val="0"/>
              <w:marRight w:val="0"/>
              <w:marTop w:val="0"/>
              <w:marBottom w:val="0"/>
              <w:divBdr>
                <w:top w:val="none" w:sz="0" w:space="0" w:color="auto"/>
                <w:left w:val="none" w:sz="0" w:space="0" w:color="auto"/>
                <w:bottom w:val="none" w:sz="0" w:space="0" w:color="auto"/>
                <w:right w:val="none" w:sz="0" w:space="0" w:color="auto"/>
              </w:divBdr>
            </w:div>
            <w:div w:id="1188251923">
              <w:marLeft w:val="0"/>
              <w:marRight w:val="0"/>
              <w:marTop w:val="0"/>
              <w:marBottom w:val="0"/>
              <w:divBdr>
                <w:top w:val="none" w:sz="0" w:space="0" w:color="auto"/>
                <w:left w:val="none" w:sz="0" w:space="0" w:color="auto"/>
                <w:bottom w:val="none" w:sz="0" w:space="0" w:color="auto"/>
                <w:right w:val="none" w:sz="0" w:space="0" w:color="auto"/>
              </w:divBdr>
            </w:div>
            <w:div w:id="2052722685">
              <w:marLeft w:val="0"/>
              <w:marRight w:val="0"/>
              <w:marTop w:val="0"/>
              <w:marBottom w:val="0"/>
              <w:divBdr>
                <w:top w:val="none" w:sz="0" w:space="0" w:color="auto"/>
                <w:left w:val="none" w:sz="0" w:space="0" w:color="auto"/>
                <w:bottom w:val="none" w:sz="0" w:space="0" w:color="auto"/>
                <w:right w:val="none" w:sz="0" w:space="0" w:color="auto"/>
              </w:divBdr>
            </w:div>
            <w:div w:id="1842693081">
              <w:marLeft w:val="0"/>
              <w:marRight w:val="0"/>
              <w:marTop w:val="0"/>
              <w:marBottom w:val="0"/>
              <w:divBdr>
                <w:top w:val="none" w:sz="0" w:space="0" w:color="auto"/>
                <w:left w:val="none" w:sz="0" w:space="0" w:color="auto"/>
                <w:bottom w:val="none" w:sz="0" w:space="0" w:color="auto"/>
                <w:right w:val="none" w:sz="0" w:space="0" w:color="auto"/>
              </w:divBdr>
            </w:div>
            <w:div w:id="1981763810">
              <w:marLeft w:val="0"/>
              <w:marRight w:val="0"/>
              <w:marTop w:val="0"/>
              <w:marBottom w:val="0"/>
              <w:divBdr>
                <w:top w:val="none" w:sz="0" w:space="0" w:color="auto"/>
                <w:left w:val="none" w:sz="0" w:space="0" w:color="auto"/>
                <w:bottom w:val="none" w:sz="0" w:space="0" w:color="auto"/>
                <w:right w:val="none" w:sz="0" w:space="0" w:color="auto"/>
              </w:divBdr>
            </w:div>
            <w:div w:id="93523181">
              <w:marLeft w:val="0"/>
              <w:marRight w:val="0"/>
              <w:marTop w:val="0"/>
              <w:marBottom w:val="0"/>
              <w:divBdr>
                <w:top w:val="none" w:sz="0" w:space="0" w:color="auto"/>
                <w:left w:val="none" w:sz="0" w:space="0" w:color="auto"/>
                <w:bottom w:val="none" w:sz="0" w:space="0" w:color="auto"/>
                <w:right w:val="none" w:sz="0" w:space="0" w:color="auto"/>
              </w:divBdr>
            </w:div>
            <w:div w:id="2052223658">
              <w:marLeft w:val="0"/>
              <w:marRight w:val="0"/>
              <w:marTop w:val="0"/>
              <w:marBottom w:val="0"/>
              <w:divBdr>
                <w:top w:val="none" w:sz="0" w:space="0" w:color="auto"/>
                <w:left w:val="none" w:sz="0" w:space="0" w:color="auto"/>
                <w:bottom w:val="none" w:sz="0" w:space="0" w:color="auto"/>
                <w:right w:val="none" w:sz="0" w:space="0" w:color="auto"/>
              </w:divBdr>
            </w:div>
            <w:div w:id="32970673">
              <w:marLeft w:val="0"/>
              <w:marRight w:val="0"/>
              <w:marTop w:val="0"/>
              <w:marBottom w:val="0"/>
              <w:divBdr>
                <w:top w:val="none" w:sz="0" w:space="0" w:color="auto"/>
                <w:left w:val="none" w:sz="0" w:space="0" w:color="auto"/>
                <w:bottom w:val="none" w:sz="0" w:space="0" w:color="auto"/>
                <w:right w:val="none" w:sz="0" w:space="0" w:color="auto"/>
              </w:divBdr>
            </w:div>
            <w:div w:id="1927419164">
              <w:marLeft w:val="0"/>
              <w:marRight w:val="0"/>
              <w:marTop w:val="0"/>
              <w:marBottom w:val="0"/>
              <w:divBdr>
                <w:top w:val="none" w:sz="0" w:space="0" w:color="auto"/>
                <w:left w:val="none" w:sz="0" w:space="0" w:color="auto"/>
                <w:bottom w:val="none" w:sz="0" w:space="0" w:color="auto"/>
                <w:right w:val="none" w:sz="0" w:space="0" w:color="auto"/>
              </w:divBdr>
            </w:div>
            <w:div w:id="1458446720">
              <w:marLeft w:val="0"/>
              <w:marRight w:val="0"/>
              <w:marTop w:val="0"/>
              <w:marBottom w:val="0"/>
              <w:divBdr>
                <w:top w:val="none" w:sz="0" w:space="0" w:color="auto"/>
                <w:left w:val="none" w:sz="0" w:space="0" w:color="auto"/>
                <w:bottom w:val="none" w:sz="0" w:space="0" w:color="auto"/>
                <w:right w:val="none" w:sz="0" w:space="0" w:color="auto"/>
              </w:divBdr>
            </w:div>
            <w:div w:id="780610765">
              <w:marLeft w:val="0"/>
              <w:marRight w:val="0"/>
              <w:marTop w:val="0"/>
              <w:marBottom w:val="0"/>
              <w:divBdr>
                <w:top w:val="none" w:sz="0" w:space="0" w:color="auto"/>
                <w:left w:val="none" w:sz="0" w:space="0" w:color="auto"/>
                <w:bottom w:val="none" w:sz="0" w:space="0" w:color="auto"/>
                <w:right w:val="none" w:sz="0" w:space="0" w:color="auto"/>
              </w:divBdr>
            </w:div>
            <w:div w:id="1181352977">
              <w:marLeft w:val="0"/>
              <w:marRight w:val="0"/>
              <w:marTop w:val="0"/>
              <w:marBottom w:val="0"/>
              <w:divBdr>
                <w:top w:val="none" w:sz="0" w:space="0" w:color="auto"/>
                <w:left w:val="none" w:sz="0" w:space="0" w:color="auto"/>
                <w:bottom w:val="none" w:sz="0" w:space="0" w:color="auto"/>
                <w:right w:val="none" w:sz="0" w:space="0" w:color="auto"/>
              </w:divBdr>
            </w:div>
            <w:div w:id="476920557">
              <w:marLeft w:val="0"/>
              <w:marRight w:val="0"/>
              <w:marTop w:val="0"/>
              <w:marBottom w:val="0"/>
              <w:divBdr>
                <w:top w:val="none" w:sz="0" w:space="0" w:color="auto"/>
                <w:left w:val="none" w:sz="0" w:space="0" w:color="auto"/>
                <w:bottom w:val="none" w:sz="0" w:space="0" w:color="auto"/>
                <w:right w:val="none" w:sz="0" w:space="0" w:color="auto"/>
              </w:divBdr>
            </w:div>
            <w:div w:id="580067595">
              <w:marLeft w:val="0"/>
              <w:marRight w:val="0"/>
              <w:marTop w:val="0"/>
              <w:marBottom w:val="0"/>
              <w:divBdr>
                <w:top w:val="none" w:sz="0" w:space="0" w:color="auto"/>
                <w:left w:val="none" w:sz="0" w:space="0" w:color="auto"/>
                <w:bottom w:val="none" w:sz="0" w:space="0" w:color="auto"/>
                <w:right w:val="none" w:sz="0" w:space="0" w:color="auto"/>
              </w:divBdr>
            </w:div>
            <w:div w:id="819074053">
              <w:marLeft w:val="0"/>
              <w:marRight w:val="0"/>
              <w:marTop w:val="0"/>
              <w:marBottom w:val="0"/>
              <w:divBdr>
                <w:top w:val="none" w:sz="0" w:space="0" w:color="auto"/>
                <w:left w:val="none" w:sz="0" w:space="0" w:color="auto"/>
                <w:bottom w:val="none" w:sz="0" w:space="0" w:color="auto"/>
                <w:right w:val="none" w:sz="0" w:space="0" w:color="auto"/>
              </w:divBdr>
            </w:div>
            <w:div w:id="410153749">
              <w:marLeft w:val="0"/>
              <w:marRight w:val="0"/>
              <w:marTop w:val="0"/>
              <w:marBottom w:val="0"/>
              <w:divBdr>
                <w:top w:val="none" w:sz="0" w:space="0" w:color="auto"/>
                <w:left w:val="none" w:sz="0" w:space="0" w:color="auto"/>
                <w:bottom w:val="none" w:sz="0" w:space="0" w:color="auto"/>
                <w:right w:val="none" w:sz="0" w:space="0" w:color="auto"/>
              </w:divBdr>
            </w:div>
            <w:div w:id="239213616">
              <w:marLeft w:val="0"/>
              <w:marRight w:val="0"/>
              <w:marTop w:val="0"/>
              <w:marBottom w:val="0"/>
              <w:divBdr>
                <w:top w:val="none" w:sz="0" w:space="0" w:color="auto"/>
                <w:left w:val="none" w:sz="0" w:space="0" w:color="auto"/>
                <w:bottom w:val="none" w:sz="0" w:space="0" w:color="auto"/>
                <w:right w:val="none" w:sz="0" w:space="0" w:color="auto"/>
              </w:divBdr>
            </w:div>
            <w:div w:id="1998804220">
              <w:marLeft w:val="0"/>
              <w:marRight w:val="0"/>
              <w:marTop w:val="0"/>
              <w:marBottom w:val="0"/>
              <w:divBdr>
                <w:top w:val="none" w:sz="0" w:space="0" w:color="auto"/>
                <w:left w:val="none" w:sz="0" w:space="0" w:color="auto"/>
                <w:bottom w:val="none" w:sz="0" w:space="0" w:color="auto"/>
                <w:right w:val="none" w:sz="0" w:space="0" w:color="auto"/>
              </w:divBdr>
            </w:div>
            <w:div w:id="1842695980">
              <w:marLeft w:val="0"/>
              <w:marRight w:val="0"/>
              <w:marTop w:val="0"/>
              <w:marBottom w:val="0"/>
              <w:divBdr>
                <w:top w:val="none" w:sz="0" w:space="0" w:color="auto"/>
                <w:left w:val="none" w:sz="0" w:space="0" w:color="auto"/>
                <w:bottom w:val="none" w:sz="0" w:space="0" w:color="auto"/>
                <w:right w:val="none" w:sz="0" w:space="0" w:color="auto"/>
              </w:divBdr>
            </w:div>
            <w:div w:id="2035108412">
              <w:marLeft w:val="0"/>
              <w:marRight w:val="0"/>
              <w:marTop w:val="0"/>
              <w:marBottom w:val="0"/>
              <w:divBdr>
                <w:top w:val="none" w:sz="0" w:space="0" w:color="auto"/>
                <w:left w:val="none" w:sz="0" w:space="0" w:color="auto"/>
                <w:bottom w:val="none" w:sz="0" w:space="0" w:color="auto"/>
                <w:right w:val="none" w:sz="0" w:space="0" w:color="auto"/>
              </w:divBdr>
            </w:div>
            <w:div w:id="12906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390676">
      <w:bodyDiv w:val="1"/>
      <w:marLeft w:val="0"/>
      <w:marRight w:val="0"/>
      <w:marTop w:val="0"/>
      <w:marBottom w:val="0"/>
      <w:divBdr>
        <w:top w:val="none" w:sz="0" w:space="0" w:color="auto"/>
        <w:left w:val="none" w:sz="0" w:space="0" w:color="auto"/>
        <w:bottom w:val="none" w:sz="0" w:space="0" w:color="auto"/>
        <w:right w:val="none" w:sz="0" w:space="0" w:color="auto"/>
      </w:divBdr>
    </w:div>
    <w:div w:id="1506624628">
      <w:bodyDiv w:val="1"/>
      <w:marLeft w:val="0"/>
      <w:marRight w:val="0"/>
      <w:marTop w:val="0"/>
      <w:marBottom w:val="0"/>
      <w:divBdr>
        <w:top w:val="none" w:sz="0" w:space="0" w:color="auto"/>
        <w:left w:val="none" w:sz="0" w:space="0" w:color="auto"/>
        <w:bottom w:val="none" w:sz="0" w:space="0" w:color="auto"/>
        <w:right w:val="none" w:sz="0" w:space="0" w:color="auto"/>
      </w:divBdr>
    </w:div>
    <w:div w:id="1512720407">
      <w:marLeft w:val="0"/>
      <w:marRight w:val="0"/>
      <w:marTop w:val="0"/>
      <w:marBottom w:val="0"/>
      <w:divBdr>
        <w:top w:val="none" w:sz="0" w:space="0" w:color="auto"/>
        <w:left w:val="none" w:sz="0" w:space="0" w:color="auto"/>
        <w:bottom w:val="none" w:sz="0" w:space="0" w:color="auto"/>
        <w:right w:val="none" w:sz="0" w:space="0" w:color="auto"/>
      </w:divBdr>
      <w:divsChild>
        <w:div w:id="36053744">
          <w:marLeft w:val="0"/>
          <w:marRight w:val="0"/>
          <w:marTop w:val="0"/>
          <w:marBottom w:val="0"/>
          <w:divBdr>
            <w:top w:val="none" w:sz="0" w:space="0" w:color="auto"/>
            <w:left w:val="none" w:sz="0" w:space="0" w:color="auto"/>
            <w:bottom w:val="none" w:sz="0" w:space="0" w:color="auto"/>
            <w:right w:val="none" w:sz="0" w:space="0" w:color="auto"/>
          </w:divBdr>
        </w:div>
      </w:divsChild>
    </w:div>
    <w:div w:id="1513838349">
      <w:bodyDiv w:val="1"/>
      <w:marLeft w:val="0"/>
      <w:marRight w:val="0"/>
      <w:marTop w:val="0"/>
      <w:marBottom w:val="0"/>
      <w:divBdr>
        <w:top w:val="none" w:sz="0" w:space="0" w:color="auto"/>
        <w:left w:val="none" w:sz="0" w:space="0" w:color="auto"/>
        <w:bottom w:val="none" w:sz="0" w:space="0" w:color="auto"/>
        <w:right w:val="none" w:sz="0" w:space="0" w:color="auto"/>
      </w:divBdr>
    </w:div>
    <w:div w:id="1517571228">
      <w:marLeft w:val="0"/>
      <w:marRight w:val="0"/>
      <w:marTop w:val="0"/>
      <w:marBottom w:val="0"/>
      <w:divBdr>
        <w:top w:val="none" w:sz="0" w:space="0" w:color="auto"/>
        <w:left w:val="none" w:sz="0" w:space="0" w:color="auto"/>
        <w:bottom w:val="none" w:sz="0" w:space="0" w:color="auto"/>
        <w:right w:val="none" w:sz="0" w:space="0" w:color="auto"/>
      </w:divBdr>
      <w:divsChild>
        <w:div w:id="2107996508">
          <w:marLeft w:val="0"/>
          <w:marRight w:val="0"/>
          <w:marTop w:val="0"/>
          <w:marBottom w:val="0"/>
          <w:divBdr>
            <w:top w:val="none" w:sz="0" w:space="0" w:color="auto"/>
            <w:left w:val="none" w:sz="0" w:space="0" w:color="auto"/>
            <w:bottom w:val="none" w:sz="0" w:space="0" w:color="auto"/>
            <w:right w:val="none" w:sz="0" w:space="0" w:color="auto"/>
          </w:divBdr>
        </w:div>
      </w:divsChild>
    </w:div>
    <w:div w:id="1520048652">
      <w:bodyDiv w:val="1"/>
      <w:marLeft w:val="0"/>
      <w:marRight w:val="0"/>
      <w:marTop w:val="0"/>
      <w:marBottom w:val="0"/>
      <w:divBdr>
        <w:top w:val="none" w:sz="0" w:space="0" w:color="auto"/>
        <w:left w:val="none" w:sz="0" w:space="0" w:color="auto"/>
        <w:bottom w:val="none" w:sz="0" w:space="0" w:color="auto"/>
        <w:right w:val="none" w:sz="0" w:space="0" w:color="auto"/>
      </w:divBdr>
    </w:div>
    <w:div w:id="1524514585">
      <w:marLeft w:val="0"/>
      <w:marRight w:val="0"/>
      <w:marTop w:val="0"/>
      <w:marBottom w:val="0"/>
      <w:divBdr>
        <w:top w:val="none" w:sz="0" w:space="0" w:color="auto"/>
        <w:left w:val="none" w:sz="0" w:space="0" w:color="auto"/>
        <w:bottom w:val="none" w:sz="0" w:space="0" w:color="auto"/>
        <w:right w:val="none" w:sz="0" w:space="0" w:color="auto"/>
      </w:divBdr>
      <w:divsChild>
        <w:div w:id="1587958959">
          <w:marLeft w:val="0"/>
          <w:marRight w:val="0"/>
          <w:marTop w:val="0"/>
          <w:marBottom w:val="0"/>
          <w:divBdr>
            <w:top w:val="none" w:sz="0" w:space="0" w:color="auto"/>
            <w:left w:val="none" w:sz="0" w:space="0" w:color="auto"/>
            <w:bottom w:val="none" w:sz="0" w:space="0" w:color="auto"/>
            <w:right w:val="none" w:sz="0" w:space="0" w:color="auto"/>
          </w:divBdr>
        </w:div>
      </w:divsChild>
    </w:div>
    <w:div w:id="1526557563">
      <w:marLeft w:val="0"/>
      <w:marRight w:val="0"/>
      <w:marTop w:val="0"/>
      <w:marBottom w:val="0"/>
      <w:divBdr>
        <w:top w:val="none" w:sz="0" w:space="0" w:color="auto"/>
        <w:left w:val="none" w:sz="0" w:space="0" w:color="auto"/>
        <w:bottom w:val="none" w:sz="0" w:space="0" w:color="auto"/>
        <w:right w:val="none" w:sz="0" w:space="0" w:color="auto"/>
      </w:divBdr>
      <w:divsChild>
        <w:div w:id="1655598150">
          <w:marLeft w:val="0"/>
          <w:marRight w:val="0"/>
          <w:marTop w:val="0"/>
          <w:marBottom w:val="0"/>
          <w:divBdr>
            <w:top w:val="none" w:sz="0" w:space="0" w:color="auto"/>
            <w:left w:val="none" w:sz="0" w:space="0" w:color="auto"/>
            <w:bottom w:val="none" w:sz="0" w:space="0" w:color="auto"/>
            <w:right w:val="none" w:sz="0" w:space="0" w:color="auto"/>
          </w:divBdr>
        </w:div>
      </w:divsChild>
    </w:div>
    <w:div w:id="1527791934">
      <w:marLeft w:val="0"/>
      <w:marRight w:val="0"/>
      <w:marTop w:val="0"/>
      <w:marBottom w:val="0"/>
      <w:divBdr>
        <w:top w:val="none" w:sz="0" w:space="0" w:color="auto"/>
        <w:left w:val="none" w:sz="0" w:space="0" w:color="auto"/>
        <w:bottom w:val="none" w:sz="0" w:space="0" w:color="auto"/>
        <w:right w:val="none" w:sz="0" w:space="0" w:color="auto"/>
      </w:divBdr>
      <w:divsChild>
        <w:div w:id="1498500684">
          <w:marLeft w:val="0"/>
          <w:marRight w:val="0"/>
          <w:marTop w:val="0"/>
          <w:marBottom w:val="0"/>
          <w:divBdr>
            <w:top w:val="none" w:sz="0" w:space="0" w:color="auto"/>
            <w:left w:val="none" w:sz="0" w:space="0" w:color="auto"/>
            <w:bottom w:val="none" w:sz="0" w:space="0" w:color="auto"/>
            <w:right w:val="none" w:sz="0" w:space="0" w:color="auto"/>
          </w:divBdr>
        </w:div>
      </w:divsChild>
    </w:div>
    <w:div w:id="1529369807">
      <w:bodyDiv w:val="1"/>
      <w:marLeft w:val="0"/>
      <w:marRight w:val="0"/>
      <w:marTop w:val="0"/>
      <w:marBottom w:val="0"/>
      <w:divBdr>
        <w:top w:val="none" w:sz="0" w:space="0" w:color="auto"/>
        <w:left w:val="none" w:sz="0" w:space="0" w:color="auto"/>
        <w:bottom w:val="none" w:sz="0" w:space="0" w:color="auto"/>
        <w:right w:val="none" w:sz="0" w:space="0" w:color="auto"/>
      </w:divBdr>
    </w:div>
    <w:div w:id="1530875841">
      <w:marLeft w:val="0"/>
      <w:marRight w:val="0"/>
      <w:marTop w:val="0"/>
      <w:marBottom w:val="0"/>
      <w:divBdr>
        <w:top w:val="none" w:sz="0" w:space="0" w:color="auto"/>
        <w:left w:val="none" w:sz="0" w:space="0" w:color="auto"/>
        <w:bottom w:val="none" w:sz="0" w:space="0" w:color="auto"/>
        <w:right w:val="none" w:sz="0" w:space="0" w:color="auto"/>
      </w:divBdr>
      <w:divsChild>
        <w:div w:id="1524630704">
          <w:marLeft w:val="0"/>
          <w:marRight w:val="0"/>
          <w:marTop w:val="0"/>
          <w:marBottom w:val="0"/>
          <w:divBdr>
            <w:top w:val="none" w:sz="0" w:space="0" w:color="auto"/>
            <w:left w:val="none" w:sz="0" w:space="0" w:color="auto"/>
            <w:bottom w:val="none" w:sz="0" w:space="0" w:color="auto"/>
            <w:right w:val="none" w:sz="0" w:space="0" w:color="auto"/>
          </w:divBdr>
        </w:div>
      </w:divsChild>
    </w:div>
    <w:div w:id="1531798352">
      <w:marLeft w:val="0"/>
      <w:marRight w:val="0"/>
      <w:marTop w:val="0"/>
      <w:marBottom w:val="0"/>
      <w:divBdr>
        <w:top w:val="none" w:sz="0" w:space="0" w:color="auto"/>
        <w:left w:val="none" w:sz="0" w:space="0" w:color="auto"/>
        <w:bottom w:val="none" w:sz="0" w:space="0" w:color="auto"/>
        <w:right w:val="none" w:sz="0" w:space="0" w:color="auto"/>
      </w:divBdr>
      <w:divsChild>
        <w:div w:id="2024866225">
          <w:marLeft w:val="0"/>
          <w:marRight w:val="0"/>
          <w:marTop w:val="0"/>
          <w:marBottom w:val="0"/>
          <w:divBdr>
            <w:top w:val="none" w:sz="0" w:space="0" w:color="auto"/>
            <w:left w:val="none" w:sz="0" w:space="0" w:color="auto"/>
            <w:bottom w:val="none" w:sz="0" w:space="0" w:color="auto"/>
            <w:right w:val="none" w:sz="0" w:space="0" w:color="auto"/>
          </w:divBdr>
        </w:div>
      </w:divsChild>
    </w:div>
    <w:div w:id="1531993574">
      <w:bodyDiv w:val="1"/>
      <w:marLeft w:val="0"/>
      <w:marRight w:val="0"/>
      <w:marTop w:val="0"/>
      <w:marBottom w:val="0"/>
      <w:divBdr>
        <w:top w:val="none" w:sz="0" w:space="0" w:color="auto"/>
        <w:left w:val="none" w:sz="0" w:space="0" w:color="auto"/>
        <w:bottom w:val="none" w:sz="0" w:space="0" w:color="auto"/>
        <w:right w:val="none" w:sz="0" w:space="0" w:color="auto"/>
      </w:divBdr>
    </w:div>
    <w:div w:id="1534150909">
      <w:bodyDiv w:val="1"/>
      <w:marLeft w:val="0"/>
      <w:marRight w:val="0"/>
      <w:marTop w:val="0"/>
      <w:marBottom w:val="0"/>
      <w:divBdr>
        <w:top w:val="none" w:sz="0" w:space="0" w:color="auto"/>
        <w:left w:val="none" w:sz="0" w:space="0" w:color="auto"/>
        <w:bottom w:val="none" w:sz="0" w:space="0" w:color="auto"/>
        <w:right w:val="none" w:sz="0" w:space="0" w:color="auto"/>
      </w:divBdr>
    </w:div>
    <w:div w:id="1536578817">
      <w:marLeft w:val="0"/>
      <w:marRight w:val="0"/>
      <w:marTop w:val="0"/>
      <w:marBottom w:val="0"/>
      <w:divBdr>
        <w:top w:val="none" w:sz="0" w:space="0" w:color="auto"/>
        <w:left w:val="none" w:sz="0" w:space="0" w:color="auto"/>
        <w:bottom w:val="none" w:sz="0" w:space="0" w:color="auto"/>
        <w:right w:val="none" w:sz="0" w:space="0" w:color="auto"/>
      </w:divBdr>
      <w:divsChild>
        <w:div w:id="465515803">
          <w:marLeft w:val="0"/>
          <w:marRight w:val="0"/>
          <w:marTop w:val="0"/>
          <w:marBottom w:val="0"/>
          <w:divBdr>
            <w:top w:val="none" w:sz="0" w:space="0" w:color="auto"/>
            <w:left w:val="none" w:sz="0" w:space="0" w:color="auto"/>
            <w:bottom w:val="none" w:sz="0" w:space="0" w:color="auto"/>
            <w:right w:val="none" w:sz="0" w:space="0" w:color="auto"/>
          </w:divBdr>
        </w:div>
      </w:divsChild>
    </w:div>
    <w:div w:id="1536650878">
      <w:marLeft w:val="0"/>
      <w:marRight w:val="150"/>
      <w:marTop w:val="0"/>
      <w:marBottom w:val="0"/>
      <w:divBdr>
        <w:top w:val="none" w:sz="0" w:space="0" w:color="auto"/>
        <w:left w:val="none" w:sz="0" w:space="0" w:color="auto"/>
        <w:bottom w:val="none" w:sz="0" w:space="0" w:color="auto"/>
        <w:right w:val="none" w:sz="0" w:space="0" w:color="auto"/>
      </w:divBdr>
      <w:divsChild>
        <w:div w:id="239100607">
          <w:marLeft w:val="0"/>
          <w:marRight w:val="150"/>
          <w:marTop w:val="0"/>
          <w:marBottom w:val="0"/>
          <w:divBdr>
            <w:top w:val="none" w:sz="0" w:space="0" w:color="auto"/>
            <w:left w:val="none" w:sz="0" w:space="0" w:color="auto"/>
            <w:bottom w:val="none" w:sz="0" w:space="0" w:color="auto"/>
            <w:right w:val="none" w:sz="0" w:space="0" w:color="auto"/>
          </w:divBdr>
        </w:div>
      </w:divsChild>
    </w:div>
    <w:div w:id="1542134089">
      <w:marLeft w:val="0"/>
      <w:marRight w:val="0"/>
      <w:marTop w:val="0"/>
      <w:marBottom w:val="0"/>
      <w:divBdr>
        <w:top w:val="none" w:sz="0" w:space="0" w:color="auto"/>
        <w:left w:val="none" w:sz="0" w:space="0" w:color="auto"/>
        <w:bottom w:val="none" w:sz="0" w:space="0" w:color="auto"/>
        <w:right w:val="none" w:sz="0" w:space="0" w:color="auto"/>
      </w:divBdr>
      <w:divsChild>
        <w:div w:id="581529447">
          <w:marLeft w:val="0"/>
          <w:marRight w:val="0"/>
          <w:marTop w:val="0"/>
          <w:marBottom w:val="0"/>
          <w:divBdr>
            <w:top w:val="none" w:sz="0" w:space="0" w:color="auto"/>
            <w:left w:val="none" w:sz="0" w:space="0" w:color="auto"/>
            <w:bottom w:val="none" w:sz="0" w:space="0" w:color="auto"/>
            <w:right w:val="none" w:sz="0" w:space="0" w:color="auto"/>
          </w:divBdr>
        </w:div>
      </w:divsChild>
    </w:div>
    <w:div w:id="1548368519">
      <w:marLeft w:val="0"/>
      <w:marRight w:val="0"/>
      <w:marTop w:val="0"/>
      <w:marBottom w:val="0"/>
      <w:divBdr>
        <w:top w:val="none" w:sz="0" w:space="0" w:color="auto"/>
        <w:left w:val="none" w:sz="0" w:space="0" w:color="auto"/>
        <w:bottom w:val="none" w:sz="0" w:space="0" w:color="auto"/>
        <w:right w:val="none" w:sz="0" w:space="0" w:color="auto"/>
      </w:divBdr>
      <w:divsChild>
        <w:div w:id="582450083">
          <w:marLeft w:val="0"/>
          <w:marRight w:val="0"/>
          <w:marTop w:val="0"/>
          <w:marBottom w:val="0"/>
          <w:divBdr>
            <w:top w:val="none" w:sz="0" w:space="0" w:color="auto"/>
            <w:left w:val="none" w:sz="0" w:space="0" w:color="auto"/>
            <w:bottom w:val="none" w:sz="0" w:space="0" w:color="auto"/>
            <w:right w:val="none" w:sz="0" w:space="0" w:color="auto"/>
          </w:divBdr>
        </w:div>
      </w:divsChild>
    </w:div>
    <w:div w:id="1548685066">
      <w:bodyDiv w:val="1"/>
      <w:marLeft w:val="0"/>
      <w:marRight w:val="0"/>
      <w:marTop w:val="0"/>
      <w:marBottom w:val="0"/>
      <w:divBdr>
        <w:top w:val="none" w:sz="0" w:space="0" w:color="auto"/>
        <w:left w:val="none" w:sz="0" w:space="0" w:color="auto"/>
        <w:bottom w:val="none" w:sz="0" w:space="0" w:color="auto"/>
        <w:right w:val="none" w:sz="0" w:space="0" w:color="auto"/>
      </w:divBdr>
    </w:div>
    <w:div w:id="1560939044">
      <w:marLeft w:val="0"/>
      <w:marRight w:val="0"/>
      <w:marTop w:val="0"/>
      <w:marBottom w:val="0"/>
      <w:divBdr>
        <w:top w:val="none" w:sz="0" w:space="0" w:color="auto"/>
        <w:left w:val="none" w:sz="0" w:space="0" w:color="auto"/>
        <w:bottom w:val="none" w:sz="0" w:space="0" w:color="auto"/>
        <w:right w:val="none" w:sz="0" w:space="0" w:color="auto"/>
      </w:divBdr>
      <w:divsChild>
        <w:div w:id="1759904006">
          <w:marLeft w:val="0"/>
          <w:marRight w:val="0"/>
          <w:marTop w:val="0"/>
          <w:marBottom w:val="0"/>
          <w:divBdr>
            <w:top w:val="none" w:sz="0" w:space="0" w:color="auto"/>
            <w:left w:val="none" w:sz="0" w:space="0" w:color="auto"/>
            <w:bottom w:val="none" w:sz="0" w:space="0" w:color="auto"/>
            <w:right w:val="none" w:sz="0" w:space="0" w:color="auto"/>
          </w:divBdr>
        </w:div>
      </w:divsChild>
    </w:div>
    <w:div w:id="1562013768">
      <w:bodyDiv w:val="1"/>
      <w:marLeft w:val="0"/>
      <w:marRight w:val="0"/>
      <w:marTop w:val="0"/>
      <w:marBottom w:val="0"/>
      <w:divBdr>
        <w:top w:val="none" w:sz="0" w:space="0" w:color="auto"/>
        <w:left w:val="none" w:sz="0" w:space="0" w:color="auto"/>
        <w:bottom w:val="none" w:sz="0" w:space="0" w:color="auto"/>
        <w:right w:val="none" w:sz="0" w:space="0" w:color="auto"/>
      </w:divBdr>
    </w:div>
    <w:div w:id="1566140029">
      <w:marLeft w:val="0"/>
      <w:marRight w:val="0"/>
      <w:marTop w:val="0"/>
      <w:marBottom w:val="0"/>
      <w:divBdr>
        <w:top w:val="none" w:sz="0" w:space="0" w:color="auto"/>
        <w:left w:val="none" w:sz="0" w:space="0" w:color="auto"/>
        <w:bottom w:val="none" w:sz="0" w:space="0" w:color="auto"/>
        <w:right w:val="none" w:sz="0" w:space="0" w:color="auto"/>
      </w:divBdr>
      <w:divsChild>
        <w:div w:id="1195852924">
          <w:marLeft w:val="0"/>
          <w:marRight w:val="0"/>
          <w:marTop w:val="0"/>
          <w:marBottom w:val="0"/>
          <w:divBdr>
            <w:top w:val="none" w:sz="0" w:space="0" w:color="auto"/>
            <w:left w:val="none" w:sz="0" w:space="0" w:color="auto"/>
            <w:bottom w:val="none" w:sz="0" w:space="0" w:color="auto"/>
            <w:right w:val="none" w:sz="0" w:space="0" w:color="auto"/>
          </w:divBdr>
        </w:div>
      </w:divsChild>
    </w:div>
    <w:div w:id="1566718398">
      <w:marLeft w:val="0"/>
      <w:marRight w:val="0"/>
      <w:marTop w:val="0"/>
      <w:marBottom w:val="0"/>
      <w:divBdr>
        <w:top w:val="none" w:sz="0" w:space="0" w:color="auto"/>
        <w:left w:val="none" w:sz="0" w:space="0" w:color="auto"/>
        <w:bottom w:val="none" w:sz="0" w:space="0" w:color="auto"/>
        <w:right w:val="none" w:sz="0" w:space="0" w:color="auto"/>
      </w:divBdr>
      <w:divsChild>
        <w:div w:id="240724063">
          <w:marLeft w:val="0"/>
          <w:marRight w:val="0"/>
          <w:marTop w:val="0"/>
          <w:marBottom w:val="0"/>
          <w:divBdr>
            <w:top w:val="none" w:sz="0" w:space="0" w:color="auto"/>
            <w:left w:val="none" w:sz="0" w:space="0" w:color="auto"/>
            <w:bottom w:val="none" w:sz="0" w:space="0" w:color="auto"/>
            <w:right w:val="none" w:sz="0" w:space="0" w:color="auto"/>
          </w:divBdr>
        </w:div>
      </w:divsChild>
    </w:div>
    <w:div w:id="1568109313">
      <w:marLeft w:val="0"/>
      <w:marRight w:val="0"/>
      <w:marTop w:val="0"/>
      <w:marBottom w:val="0"/>
      <w:divBdr>
        <w:top w:val="none" w:sz="0" w:space="0" w:color="auto"/>
        <w:left w:val="none" w:sz="0" w:space="0" w:color="auto"/>
        <w:bottom w:val="none" w:sz="0" w:space="0" w:color="auto"/>
        <w:right w:val="none" w:sz="0" w:space="0" w:color="auto"/>
      </w:divBdr>
      <w:divsChild>
        <w:div w:id="129517992">
          <w:marLeft w:val="0"/>
          <w:marRight w:val="0"/>
          <w:marTop w:val="0"/>
          <w:marBottom w:val="0"/>
          <w:divBdr>
            <w:top w:val="none" w:sz="0" w:space="0" w:color="auto"/>
            <w:left w:val="none" w:sz="0" w:space="0" w:color="auto"/>
            <w:bottom w:val="none" w:sz="0" w:space="0" w:color="auto"/>
            <w:right w:val="none" w:sz="0" w:space="0" w:color="auto"/>
          </w:divBdr>
        </w:div>
      </w:divsChild>
    </w:div>
    <w:div w:id="1570340048">
      <w:bodyDiv w:val="1"/>
      <w:marLeft w:val="0"/>
      <w:marRight w:val="0"/>
      <w:marTop w:val="0"/>
      <w:marBottom w:val="0"/>
      <w:divBdr>
        <w:top w:val="none" w:sz="0" w:space="0" w:color="auto"/>
        <w:left w:val="none" w:sz="0" w:space="0" w:color="auto"/>
        <w:bottom w:val="none" w:sz="0" w:space="0" w:color="auto"/>
        <w:right w:val="none" w:sz="0" w:space="0" w:color="auto"/>
      </w:divBdr>
    </w:div>
    <w:div w:id="1570652981">
      <w:bodyDiv w:val="1"/>
      <w:marLeft w:val="0"/>
      <w:marRight w:val="0"/>
      <w:marTop w:val="0"/>
      <w:marBottom w:val="0"/>
      <w:divBdr>
        <w:top w:val="none" w:sz="0" w:space="0" w:color="auto"/>
        <w:left w:val="none" w:sz="0" w:space="0" w:color="auto"/>
        <w:bottom w:val="none" w:sz="0" w:space="0" w:color="auto"/>
        <w:right w:val="none" w:sz="0" w:space="0" w:color="auto"/>
      </w:divBdr>
    </w:div>
    <w:div w:id="1572810984">
      <w:marLeft w:val="0"/>
      <w:marRight w:val="0"/>
      <w:marTop w:val="0"/>
      <w:marBottom w:val="0"/>
      <w:divBdr>
        <w:top w:val="none" w:sz="0" w:space="0" w:color="auto"/>
        <w:left w:val="none" w:sz="0" w:space="0" w:color="auto"/>
        <w:bottom w:val="none" w:sz="0" w:space="0" w:color="auto"/>
        <w:right w:val="none" w:sz="0" w:space="0" w:color="auto"/>
      </w:divBdr>
      <w:divsChild>
        <w:div w:id="450169886">
          <w:marLeft w:val="0"/>
          <w:marRight w:val="0"/>
          <w:marTop w:val="0"/>
          <w:marBottom w:val="0"/>
          <w:divBdr>
            <w:top w:val="none" w:sz="0" w:space="0" w:color="auto"/>
            <w:left w:val="none" w:sz="0" w:space="0" w:color="auto"/>
            <w:bottom w:val="none" w:sz="0" w:space="0" w:color="auto"/>
            <w:right w:val="none" w:sz="0" w:space="0" w:color="auto"/>
          </w:divBdr>
        </w:div>
      </w:divsChild>
    </w:div>
    <w:div w:id="1572959384">
      <w:marLeft w:val="0"/>
      <w:marRight w:val="0"/>
      <w:marTop w:val="0"/>
      <w:marBottom w:val="0"/>
      <w:divBdr>
        <w:top w:val="none" w:sz="0" w:space="0" w:color="auto"/>
        <w:left w:val="none" w:sz="0" w:space="0" w:color="auto"/>
        <w:bottom w:val="none" w:sz="0" w:space="0" w:color="auto"/>
        <w:right w:val="none" w:sz="0" w:space="0" w:color="auto"/>
      </w:divBdr>
      <w:divsChild>
        <w:div w:id="997074856">
          <w:marLeft w:val="0"/>
          <w:marRight w:val="0"/>
          <w:marTop w:val="0"/>
          <w:marBottom w:val="0"/>
          <w:divBdr>
            <w:top w:val="none" w:sz="0" w:space="0" w:color="auto"/>
            <w:left w:val="none" w:sz="0" w:space="0" w:color="auto"/>
            <w:bottom w:val="none" w:sz="0" w:space="0" w:color="auto"/>
            <w:right w:val="none" w:sz="0" w:space="0" w:color="auto"/>
          </w:divBdr>
        </w:div>
      </w:divsChild>
    </w:div>
    <w:div w:id="1574320021">
      <w:bodyDiv w:val="1"/>
      <w:marLeft w:val="0"/>
      <w:marRight w:val="0"/>
      <w:marTop w:val="0"/>
      <w:marBottom w:val="0"/>
      <w:divBdr>
        <w:top w:val="none" w:sz="0" w:space="0" w:color="auto"/>
        <w:left w:val="none" w:sz="0" w:space="0" w:color="auto"/>
        <w:bottom w:val="none" w:sz="0" w:space="0" w:color="auto"/>
        <w:right w:val="none" w:sz="0" w:space="0" w:color="auto"/>
      </w:divBdr>
    </w:div>
    <w:div w:id="1576742098">
      <w:bodyDiv w:val="1"/>
      <w:marLeft w:val="0"/>
      <w:marRight w:val="0"/>
      <w:marTop w:val="0"/>
      <w:marBottom w:val="0"/>
      <w:divBdr>
        <w:top w:val="none" w:sz="0" w:space="0" w:color="auto"/>
        <w:left w:val="none" w:sz="0" w:space="0" w:color="auto"/>
        <w:bottom w:val="none" w:sz="0" w:space="0" w:color="auto"/>
        <w:right w:val="none" w:sz="0" w:space="0" w:color="auto"/>
      </w:divBdr>
    </w:div>
    <w:div w:id="1578245940">
      <w:bodyDiv w:val="1"/>
      <w:marLeft w:val="0"/>
      <w:marRight w:val="0"/>
      <w:marTop w:val="0"/>
      <w:marBottom w:val="0"/>
      <w:divBdr>
        <w:top w:val="none" w:sz="0" w:space="0" w:color="auto"/>
        <w:left w:val="none" w:sz="0" w:space="0" w:color="auto"/>
        <w:bottom w:val="none" w:sz="0" w:space="0" w:color="auto"/>
        <w:right w:val="none" w:sz="0" w:space="0" w:color="auto"/>
      </w:divBdr>
    </w:div>
    <w:div w:id="1585534633">
      <w:bodyDiv w:val="1"/>
      <w:marLeft w:val="0"/>
      <w:marRight w:val="0"/>
      <w:marTop w:val="0"/>
      <w:marBottom w:val="0"/>
      <w:divBdr>
        <w:top w:val="none" w:sz="0" w:space="0" w:color="auto"/>
        <w:left w:val="none" w:sz="0" w:space="0" w:color="auto"/>
        <w:bottom w:val="none" w:sz="0" w:space="0" w:color="auto"/>
        <w:right w:val="none" w:sz="0" w:space="0" w:color="auto"/>
      </w:divBdr>
    </w:div>
    <w:div w:id="1590504582">
      <w:marLeft w:val="0"/>
      <w:marRight w:val="0"/>
      <w:marTop w:val="0"/>
      <w:marBottom w:val="0"/>
      <w:divBdr>
        <w:top w:val="none" w:sz="0" w:space="0" w:color="auto"/>
        <w:left w:val="none" w:sz="0" w:space="0" w:color="auto"/>
        <w:bottom w:val="none" w:sz="0" w:space="0" w:color="auto"/>
        <w:right w:val="none" w:sz="0" w:space="0" w:color="auto"/>
      </w:divBdr>
      <w:divsChild>
        <w:div w:id="991567303">
          <w:marLeft w:val="0"/>
          <w:marRight w:val="0"/>
          <w:marTop w:val="0"/>
          <w:marBottom w:val="0"/>
          <w:divBdr>
            <w:top w:val="none" w:sz="0" w:space="0" w:color="auto"/>
            <w:left w:val="none" w:sz="0" w:space="0" w:color="auto"/>
            <w:bottom w:val="none" w:sz="0" w:space="0" w:color="auto"/>
            <w:right w:val="none" w:sz="0" w:space="0" w:color="auto"/>
          </w:divBdr>
        </w:div>
      </w:divsChild>
    </w:div>
    <w:div w:id="1604994226">
      <w:bodyDiv w:val="1"/>
      <w:marLeft w:val="0"/>
      <w:marRight w:val="0"/>
      <w:marTop w:val="0"/>
      <w:marBottom w:val="0"/>
      <w:divBdr>
        <w:top w:val="none" w:sz="0" w:space="0" w:color="auto"/>
        <w:left w:val="none" w:sz="0" w:space="0" w:color="auto"/>
        <w:bottom w:val="none" w:sz="0" w:space="0" w:color="auto"/>
        <w:right w:val="none" w:sz="0" w:space="0" w:color="auto"/>
      </w:divBdr>
    </w:div>
    <w:div w:id="1604995242">
      <w:marLeft w:val="0"/>
      <w:marRight w:val="0"/>
      <w:marTop w:val="0"/>
      <w:marBottom w:val="0"/>
      <w:divBdr>
        <w:top w:val="none" w:sz="0" w:space="0" w:color="auto"/>
        <w:left w:val="none" w:sz="0" w:space="0" w:color="auto"/>
        <w:bottom w:val="none" w:sz="0" w:space="0" w:color="auto"/>
        <w:right w:val="none" w:sz="0" w:space="0" w:color="auto"/>
      </w:divBdr>
      <w:divsChild>
        <w:div w:id="1039546644">
          <w:marLeft w:val="0"/>
          <w:marRight w:val="0"/>
          <w:marTop w:val="0"/>
          <w:marBottom w:val="0"/>
          <w:divBdr>
            <w:top w:val="none" w:sz="0" w:space="0" w:color="auto"/>
            <w:left w:val="none" w:sz="0" w:space="0" w:color="auto"/>
            <w:bottom w:val="none" w:sz="0" w:space="0" w:color="auto"/>
            <w:right w:val="none" w:sz="0" w:space="0" w:color="auto"/>
          </w:divBdr>
        </w:div>
      </w:divsChild>
    </w:div>
    <w:div w:id="1606309116">
      <w:marLeft w:val="0"/>
      <w:marRight w:val="0"/>
      <w:marTop w:val="0"/>
      <w:marBottom w:val="0"/>
      <w:divBdr>
        <w:top w:val="none" w:sz="0" w:space="0" w:color="auto"/>
        <w:left w:val="none" w:sz="0" w:space="0" w:color="auto"/>
        <w:bottom w:val="none" w:sz="0" w:space="0" w:color="auto"/>
        <w:right w:val="none" w:sz="0" w:space="0" w:color="auto"/>
      </w:divBdr>
      <w:divsChild>
        <w:div w:id="830482811">
          <w:marLeft w:val="0"/>
          <w:marRight w:val="0"/>
          <w:marTop w:val="0"/>
          <w:marBottom w:val="0"/>
          <w:divBdr>
            <w:top w:val="none" w:sz="0" w:space="0" w:color="auto"/>
            <w:left w:val="none" w:sz="0" w:space="0" w:color="auto"/>
            <w:bottom w:val="none" w:sz="0" w:space="0" w:color="auto"/>
            <w:right w:val="none" w:sz="0" w:space="0" w:color="auto"/>
          </w:divBdr>
        </w:div>
      </w:divsChild>
    </w:div>
    <w:div w:id="1606570674">
      <w:marLeft w:val="0"/>
      <w:marRight w:val="0"/>
      <w:marTop w:val="0"/>
      <w:marBottom w:val="0"/>
      <w:divBdr>
        <w:top w:val="none" w:sz="0" w:space="0" w:color="auto"/>
        <w:left w:val="none" w:sz="0" w:space="0" w:color="auto"/>
        <w:bottom w:val="none" w:sz="0" w:space="0" w:color="auto"/>
        <w:right w:val="none" w:sz="0" w:space="0" w:color="auto"/>
      </w:divBdr>
      <w:divsChild>
        <w:div w:id="1340042136">
          <w:marLeft w:val="0"/>
          <w:marRight w:val="0"/>
          <w:marTop w:val="0"/>
          <w:marBottom w:val="0"/>
          <w:divBdr>
            <w:top w:val="none" w:sz="0" w:space="0" w:color="auto"/>
            <w:left w:val="none" w:sz="0" w:space="0" w:color="auto"/>
            <w:bottom w:val="none" w:sz="0" w:space="0" w:color="auto"/>
            <w:right w:val="none" w:sz="0" w:space="0" w:color="auto"/>
          </w:divBdr>
        </w:div>
      </w:divsChild>
    </w:div>
    <w:div w:id="1611276430">
      <w:marLeft w:val="0"/>
      <w:marRight w:val="0"/>
      <w:marTop w:val="0"/>
      <w:marBottom w:val="0"/>
      <w:divBdr>
        <w:top w:val="none" w:sz="0" w:space="0" w:color="auto"/>
        <w:left w:val="none" w:sz="0" w:space="0" w:color="auto"/>
        <w:bottom w:val="none" w:sz="0" w:space="0" w:color="auto"/>
        <w:right w:val="none" w:sz="0" w:space="0" w:color="auto"/>
      </w:divBdr>
      <w:divsChild>
        <w:div w:id="367949284">
          <w:marLeft w:val="0"/>
          <w:marRight w:val="0"/>
          <w:marTop w:val="0"/>
          <w:marBottom w:val="0"/>
          <w:divBdr>
            <w:top w:val="none" w:sz="0" w:space="0" w:color="auto"/>
            <w:left w:val="none" w:sz="0" w:space="0" w:color="auto"/>
            <w:bottom w:val="none" w:sz="0" w:space="0" w:color="auto"/>
            <w:right w:val="none" w:sz="0" w:space="0" w:color="auto"/>
          </w:divBdr>
        </w:div>
      </w:divsChild>
    </w:div>
    <w:div w:id="1618170948">
      <w:marLeft w:val="0"/>
      <w:marRight w:val="0"/>
      <w:marTop w:val="0"/>
      <w:marBottom w:val="0"/>
      <w:divBdr>
        <w:top w:val="none" w:sz="0" w:space="0" w:color="auto"/>
        <w:left w:val="none" w:sz="0" w:space="0" w:color="auto"/>
        <w:bottom w:val="none" w:sz="0" w:space="0" w:color="auto"/>
        <w:right w:val="none" w:sz="0" w:space="0" w:color="auto"/>
      </w:divBdr>
      <w:divsChild>
        <w:div w:id="1998727277">
          <w:marLeft w:val="0"/>
          <w:marRight w:val="0"/>
          <w:marTop w:val="0"/>
          <w:marBottom w:val="0"/>
          <w:divBdr>
            <w:top w:val="none" w:sz="0" w:space="0" w:color="auto"/>
            <w:left w:val="none" w:sz="0" w:space="0" w:color="auto"/>
            <w:bottom w:val="none" w:sz="0" w:space="0" w:color="auto"/>
            <w:right w:val="none" w:sz="0" w:space="0" w:color="auto"/>
          </w:divBdr>
        </w:div>
      </w:divsChild>
    </w:div>
    <w:div w:id="1619332184">
      <w:marLeft w:val="0"/>
      <w:marRight w:val="0"/>
      <w:marTop w:val="0"/>
      <w:marBottom w:val="0"/>
      <w:divBdr>
        <w:top w:val="none" w:sz="0" w:space="0" w:color="auto"/>
        <w:left w:val="none" w:sz="0" w:space="0" w:color="auto"/>
        <w:bottom w:val="none" w:sz="0" w:space="0" w:color="auto"/>
        <w:right w:val="none" w:sz="0" w:space="0" w:color="auto"/>
      </w:divBdr>
      <w:divsChild>
        <w:div w:id="422383252">
          <w:marLeft w:val="0"/>
          <w:marRight w:val="0"/>
          <w:marTop w:val="0"/>
          <w:marBottom w:val="0"/>
          <w:divBdr>
            <w:top w:val="none" w:sz="0" w:space="0" w:color="auto"/>
            <w:left w:val="none" w:sz="0" w:space="0" w:color="auto"/>
            <w:bottom w:val="none" w:sz="0" w:space="0" w:color="auto"/>
            <w:right w:val="none" w:sz="0" w:space="0" w:color="auto"/>
          </w:divBdr>
        </w:div>
      </w:divsChild>
    </w:div>
    <w:div w:id="1619950361">
      <w:marLeft w:val="0"/>
      <w:marRight w:val="0"/>
      <w:marTop w:val="0"/>
      <w:marBottom w:val="0"/>
      <w:divBdr>
        <w:top w:val="none" w:sz="0" w:space="0" w:color="auto"/>
        <w:left w:val="none" w:sz="0" w:space="0" w:color="auto"/>
        <w:bottom w:val="none" w:sz="0" w:space="0" w:color="auto"/>
        <w:right w:val="none" w:sz="0" w:space="0" w:color="auto"/>
      </w:divBdr>
      <w:divsChild>
        <w:div w:id="438917739">
          <w:marLeft w:val="0"/>
          <w:marRight w:val="0"/>
          <w:marTop w:val="0"/>
          <w:marBottom w:val="0"/>
          <w:divBdr>
            <w:top w:val="none" w:sz="0" w:space="0" w:color="auto"/>
            <w:left w:val="none" w:sz="0" w:space="0" w:color="auto"/>
            <w:bottom w:val="none" w:sz="0" w:space="0" w:color="auto"/>
            <w:right w:val="none" w:sz="0" w:space="0" w:color="auto"/>
          </w:divBdr>
        </w:div>
      </w:divsChild>
    </w:div>
    <w:div w:id="1620648011">
      <w:marLeft w:val="0"/>
      <w:marRight w:val="0"/>
      <w:marTop w:val="0"/>
      <w:marBottom w:val="0"/>
      <w:divBdr>
        <w:top w:val="none" w:sz="0" w:space="0" w:color="auto"/>
        <w:left w:val="none" w:sz="0" w:space="0" w:color="auto"/>
        <w:bottom w:val="none" w:sz="0" w:space="0" w:color="auto"/>
        <w:right w:val="none" w:sz="0" w:space="0" w:color="auto"/>
      </w:divBdr>
      <w:divsChild>
        <w:div w:id="1254045599">
          <w:marLeft w:val="0"/>
          <w:marRight w:val="0"/>
          <w:marTop w:val="0"/>
          <w:marBottom w:val="0"/>
          <w:divBdr>
            <w:top w:val="none" w:sz="0" w:space="0" w:color="auto"/>
            <w:left w:val="none" w:sz="0" w:space="0" w:color="auto"/>
            <w:bottom w:val="none" w:sz="0" w:space="0" w:color="auto"/>
            <w:right w:val="none" w:sz="0" w:space="0" w:color="auto"/>
          </w:divBdr>
        </w:div>
      </w:divsChild>
    </w:div>
    <w:div w:id="1627737907">
      <w:marLeft w:val="0"/>
      <w:marRight w:val="0"/>
      <w:marTop w:val="0"/>
      <w:marBottom w:val="0"/>
      <w:divBdr>
        <w:top w:val="none" w:sz="0" w:space="0" w:color="auto"/>
        <w:left w:val="none" w:sz="0" w:space="0" w:color="auto"/>
        <w:bottom w:val="none" w:sz="0" w:space="0" w:color="auto"/>
        <w:right w:val="none" w:sz="0" w:space="0" w:color="auto"/>
      </w:divBdr>
      <w:divsChild>
        <w:div w:id="522668540">
          <w:marLeft w:val="0"/>
          <w:marRight w:val="0"/>
          <w:marTop w:val="0"/>
          <w:marBottom w:val="0"/>
          <w:divBdr>
            <w:top w:val="none" w:sz="0" w:space="0" w:color="auto"/>
            <w:left w:val="none" w:sz="0" w:space="0" w:color="auto"/>
            <w:bottom w:val="none" w:sz="0" w:space="0" w:color="auto"/>
            <w:right w:val="none" w:sz="0" w:space="0" w:color="auto"/>
          </w:divBdr>
        </w:div>
      </w:divsChild>
    </w:div>
    <w:div w:id="1632904695">
      <w:bodyDiv w:val="1"/>
      <w:marLeft w:val="0"/>
      <w:marRight w:val="0"/>
      <w:marTop w:val="0"/>
      <w:marBottom w:val="0"/>
      <w:divBdr>
        <w:top w:val="none" w:sz="0" w:space="0" w:color="auto"/>
        <w:left w:val="none" w:sz="0" w:space="0" w:color="auto"/>
        <w:bottom w:val="none" w:sz="0" w:space="0" w:color="auto"/>
        <w:right w:val="none" w:sz="0" w:space="0" w:color="auto"/>
      </w:divBdr>
      <w:divsChild>
        <w:div w:id="1321346553">
          <w:marLeft w:val="0"/>
          <w:marRight w:val="0"/>
          <w:marTop w:val="0"/>
          <w:marBottom w:val="0"/>
          <w:divBdr>
            <w:top w:val="none" w:sz="0" w:space="0" w:color="auto"/>
            <w:left w:val="none" w:sz="0" w:space="0" w:color="auto"/>
            <w:bottom w:val="none" w:sz="0" w:space="0" w:color="auto"/>
            <w:right w:val="none" w:sz="0" w:space="0" w:color="auto"/>
          </w:divBdr>
          <w:divsChild>
            <w:div w:id="565606254">
              <w:marLeft w:val="0"/>
              <w:marRight w:val="0"/>
              <w:marTop w:val="0"/>
              <w:marBottom w:val="0"/>
              <w:divBdr>
                <w:top w:val="none" w:sz="0" w:space="0" w:color="auto"/>
                <w:left w:val="none" w:sz="0" w:space="0" w:color="auto"/>
                <w:bottom w:val="none" w:sz="0" w:space="0" w:color="auto"/>
                <w:right w:val="none" w:sz="0" w:space="0" w:color="auto"/>
              </w:divBdr>
            </w:div>
            <w:div w:id="1958369706">
              <w:marLeft w:val="0"/>
              <w:marRight w:val="0"/>
              <w:marTop w:val="0"/>
              <w:marBottom w:val="0"/>
              <w:divBdr>
                <w:top w:val="none" w:sz="0" w:space="0" w:color="auto"/>
                <w:left w:val="none" w:sz="0" w:space="0" w:color="auto"/>
                <w:bottom w:val="none" w:sz="0" w:space="0" w:color="auto"/>
                <w:right w:val="none" w:sz="0" w:space="0" w:color="auto"/>
              </w:divBdr>
            </w:div>
            <w:div w:id="1879194336">
              <w:marLeft w:val="0"/>
              <w:marRight w:val="0"/>
              <w:marTop w:val="0"/>
              <w:marBottom w:val="0"/>
              <w:divBdr>
                <w:top w:val="none" w:sz="0" w:space="0" w:color="auto"/>
                <w:left w:val="none" w:sz="0" w:space="0" w:color="auto"/>
                <w:bottom w:val="none" w:sz="0" w:space="0" w:color="auto"/>
                <w:right w:val="none" w:sz="0" w:space="0" w:color="auto"/>
              </w:divBdr>
            </w:div>
            <w:div w:id="1291323424">
              <w:marLeft w:val="0"/>
              <w:marRight w:val="0"/>
              <w:marTop w:val="0"/>
              <w:marBottom w:val="0"/>
              <w:divBdr>
                <w:top w:val="none" w:sz="0" w:space="0" w:color="auto"/>
                <w:left w:val="none" w:sz="0" w:space="0" w:color="auto"/>
                <w:bottom w:val="none" w:sz="0" w:space="0" w:color="auto"/>
                <w:right w:val="none" w:sz="0" w:space="0" w:color="auto"/>
              </w:divBdr>
            </w:div>
            <w:div w:id="1306088709">
              <w:marLeft w:val="0"/>
              <w:marRight w:val="0"/>
              <w:marTop w:val="0"/>
              <w:marBottom w:val="0"/>
              <w:divBdr>
                <w:top w:val="none" w:sz="0" w:space="0" w:color="auto"/>
                <w:left w:val="none" w:sz="0" w:space="0" w:color="auto"/>
                <w:bottom w:val="none" w:sz="0" w:space="0" w:color="auto"/>
                <w:right w:val="none" w:sz="0" w:space="0" w:color="auto"/>
              </w:divBdr>
            </w:div>
            <w:div w:id="1370033581">
              <w:marLeft w:val="0"/>
              <w:marRight w:val="0"/>
              <w:marTop w:val="0"/>
              <w:marBottom w:val="0"/>
              <w:divBdr>
                <w:top w:val="none" w:sz="0" w:space="0" w:color="auto"/>
                <w:left w:val="none" w:sz="0" w:space="0" w:color="auto"/>
                <w:bottom w:val="none" w:sz="0" w:space="0" w:color="auto"/>
                <w:right w:val="none" w:sz="0" w:space="0" w:color="auto"/>
              </w:divBdr>
            </w:div>
            <w:div w:id="783157760">
              <w:marLeft w:val="0"/>
              <w:marRight w:val="0"/>
              <w:marTop w:val="0"/>
              <w:marBottom w:val="0"/>
              <w:divBdr>
                <w:top w:val="none" w:sz="0" w:space="0" w:color="auto"/>
                <w:left w:val="none" w:sz="0" w:space="0" w:color="auto"/>
                <w:bottom w:val="none" w:sz="0" w:space="0" w:color="auto"/>
                <w:right w:val="none" w:sz="0" w:space="0" w:color="auto"/>
              </w:divBdr>
            </w:div>
            <w:div w:id="514004280">
              <w:marLeft w:val="0"/>
              <w:marRight w:val="0"/>
              <w:marTop w:val="0"/>
              <w:marBottom w:val="0"/>
              <w:divBdr>
                <w:top w:val="none" w:sz="0" w:space="0" w:color="auto"/>
                <w:left w:val="none" w:sz="0" w:space="0" w:color="auto"/>
                <w:bottom w:val="none" w:sz="0" w:space="0" w:color="auto"/>
                <w:right w:val="none" w:sz="0" w:space="0" w:color="auto"/>
              </w:divBdr>
            </w:div>
            <w:div w:id="195894219">
              <w:marLeft w:val="0"/>
              <w:marRight w:val="0"/>
              <w:marTop w:val="0"/>
              <w:marBottom w:val="0"/>
              <w:divBdr>
                <w:top w:val="none" w:sz="0" w:space="0" w:color="auto"/>
                <w:left w:val="none" w:sz="0" w:space="0" w:color="auto"/>
                <w:bottom w:val="none" w:sz="0" w:space="0" w:color="auto"/>
                <w:right w:val="none" w:sz="0" w:space="0" w:color="auto"/>
              </w:divBdr>
            </w:div>
            <w:div w:id="1504977297">
              <w:marLeft w:val="0"/>
              <w:marRight w:val="0"/>
              <w:marTop w:val="0"/>
              <w:marBottom w:val="0"/>
              <w:divBdr>
                <w:top w:val="none" w:sz="0" w:space="0" w:color="auto"/>
                <w:left w:val="none" w:sz="0" w:space="0" w:color="auto"/>
                <w:bottom w:val="none" w:sz="0" w:space="0" w:color="auto"/>
                <w:right w:val="none" w:sz="0" w:space="0" w:color="auto"/>
              </w:divBdr>
            </w:div>
            <w:div w:id="1125586901">
              <w:marLeft w:val="0"/>
              <w:marRight w:val="0"/>
              <w:marTop w:val="0"/>
              <w:marBottom w:val="0"/>
              <w:divBdr>
                <w:top w:val="none" w:sz="0" w:space="0" w:color="auto"/>
                <w:left w:val="none" w:sz="0" w:space="0" w:color="auto"/>
                <w:bottom w:val="none" w:sz="0" w:space="0" w:color="auto"/>
                <w:right w:val="none" w:sz="0" w:space="0" w:color="auto"/>
              </w:divBdr>
            </w:div>
            <w:div w:id="1446925316">
              <w:marLeft w:val="0"/>
              <w:marRight w:val="0"/>
              <w:marTop w:val="0"/>
              <w:marBottom w:val="0"/>
              <w:divBdr>
                <w:top w:val="none" w:sz="0" w:space="0" w:color="auto"/>
                <w:left w:val="none" w:sz="0" w:space="0" w:color="auto"/>
                <w:bottom w:val="none" w:sz="0" w:space="0" w:color="auto"/>
                <w:right w:val="none" w:sz="0" w:space="0" w:color="auto"/>
              </w:divBdr>
            </w:div>
            <w:div w:id="744645143">
              <w:marLeft w:val="0"/>
              <w:marRight w:val="0"/>
              <w:marTop w:val="0"/>
              <w:marBottom w:val="0"/>
              <w:divBdr>
                <w:top w:val="none" w:sz="0" w:space="0" w:color="auto"/>
                <w:left w:val="none" w:sz="0" w:space="0" w:color="auto"/>
                <w:bottom w:val="none" w:sz="0" w:space="0" w:color="auto"/>
                <w:right w:val="none" w:sz="0" w:space="0" w:color="auto"/>
              </w:divBdr>
            </w:div>
            <w:div w:id="591549460">
              <w:marLeft w:val="0"/>
              <w:marRight w:val="0"/>
              <w:marTop w:val="0"/>
              <w:marBottom w:val="0"/>
              <w:divBdr>
                <w:top w:val="none" w:sz="0" w:space="0" w:color="auto"/>
                <w:left w:val="none" w:sz="0" w:space="0" w:color="auto"/>
                <w:bottom w:val="none" w:sz="0" w:space="0" w:color="auto"/>
                <w:right w:val="none" w:sz="0" w:space="0" w:color="auto"/>
              </w:divBdr>
            </w:div>
            <w:div w:id="359211194">
              <w:marLeft w:val="0"/>
              <w:marRight w:val="0"/>
              <w:marTop w:val="0"/>
              <w:marBottom w:val="0"/>
              <w:divBdr>
                <w:top w:val="none" w:sz="0" w:space="0" w:color="auto"/>
                <w:left w:val="none" w:sz="0" w:space="0" w:color="auto"/>
                <w:bottom w:val="none" w:sz="0" w:space="0" w:color="auto"/>
                <w:right w:val="none" w:sz="0" w:space="0" w:color="auto"/>
              </w:divBdr>
            </w:div>
            <w:div w:id="1711463">
              <w:marLeft w:val="0"/>
              <w:marRight w:val="0"/>
              <w:marTop w:val="0"/>
              <w:marBottom w:val="0"/>
              <w:divBdr>
                <w:top w:val="none" w:sz="0" w:space="0" w:color="auto"/>
                <w:left w:val="none" w:sz="0" w:space="0" w:color="auto"/>
                <w:bottom w:val="none" w:sz="0" w:space="0" w:color="auto"/>
                <w:right w:val="none" w:sz="0" w:space="0" w:color="auto"/>
              </w:divBdr>
            </w:div>
            <w:div w:id="387459580">
              <w:marLeft w:val="0"/>
              <w:marRight w:val="0"/>
              <w:marTop w:val="0"/>
              <w:marBottom w:val="0"/>
              <w:divBdr>
                <w:top w:val="none" w:sz="0" w:space="0" w:color="auto"/>
                <w:left w:val="none" w:sz="0" w:space="0" w:color="auto"/>
                <w:bottom w:val="none" w:sz="0" w:space="0" w:color="auto"/>
                <w:right w:val="none" w:sz="0" w:space="0" w:color="auto"/>
              </w:divBdr>
            </w:div>
            <w:div w:id="793641110">
              <w:marLeft w:val="0"/>
              <w:marRight w:val="0"/>
              <w:marTop w:val="0"/>
              <w:marBottom w:val="0"/>
              <w:divBdr>
                <w:top w:val="none" w:sz="0" w:space="0" w:color="auto"/>
                <w:left w:val="none" w:sz="0" w:space="0" w:color="auto"/>
                <w:bottom w:val="none" w:sz="0" w:space="0" w:color="auto"/>
                <w:right w:val="none" w:sz="0" w:space="0" w:color="auto"/>
              </w:divBdr>
            </w:div>
            <w:div w:id="1942488961">
              <w:marLeft w:val="0"/>
              <w:marRight w:val="0"/>
              <w:marTop w:val="0"/>
              <w:marBottom w:val="0"/>
              <w:divBdr>
                <w:top w:val="none" w:sz="0" w:space="0" w:color="auto"/>
                <w:left w:val="none" w:sz="0" w:space="0" w:color="auto"/>
                <w:bottom w:val="none" w:sz="0" w:space="0" w:color="auto"/>
                <w:right w:val="none" w:sz="0" w:space="0" w:color="auto"/>
              </w:divBdr>
            </w:div>
            <w:div w:id="1820730360">
              <w:marLeft w:val="0"/>
              <w:marRight w:val="0"/>
              <w:marTop w:val="0"/>
              <w:marBottom w:val="0"/>
              <w:divBdr>
                <w:top w:val="none" w:sz="0" w:space="0" w:color="auto"/>
                <w:left w:val="none" w:sz="0" w:space="0" w:color="auto"/>
                <w:bottom w:val="none" w:sz="0" w:space="0" w:color="auto"/>
                <w:right w:val="none" w:sz="0" w:space="0" w:color="auto"/>
              </w:divBdr>
            </w:div>
            <w:div w:id="169629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73563">
      <w:marLeft w:val="0"/>
      <w:marRight w:val="0"/>
      <w:marTop w:val="0"/>
      <w:marBottom w:val="0"/>
      <w:divBdr>
        <w:top w:val="none" w:sz="0" w:space="0" w:color="auto"/>
        <w:left w:val="none" w:sz="0" w:space="0" w:color="auto"/>
        <w:bottom w:val="none" w:sz="0" w:space="0" w:color="auto"/>
        <w:right w:val="none" w:sz="0" w:space="0" w:color="auto"/>
      </w:divBdr>
      <w:divsChild>
        <w:div w:id="626929883">
          <w:marLeft w:val="0"/>
          <w:marRight w:val="0"/>
          <w:marTop w:val="0"/>
          <w:marBottom w:val="0"/>
          <w:divBdr>
            <w:top w:val="none" w:sz="0" w:space="0" w:color="auto"/>
            <w:left w:val="none" w:sz="0" w:space="0" w:color="auto"/>
            <w:bottom w:val="none" w:sz="0" w:space="0" w:color="auto"/>
            <w:right w:val="none" w:sz="0" w:space="0" w:color="auto"/>
          </w:divBdr>
        </w:div>
      </w:divsChild>
    </w:div>
    <w:div w:id="1633319742">
      <w:marLeft w:val="0"/>
      <w:marRight w:val="0"/>
      <w:marTop w:val="0"/>
      <w:marBottom w:val="0"/>
      <w:divBdr>
        <w:top w:val="none" w:sz="0" w:space="0" w:color="auto"/>
        <w:left w:val="none" w:sz="0" w:space="0" w:color="auto"/>
        <w:bottom w:val="none" w:sz="0" w:space="0" w:color="auto"/>
        <w:right w:val="none" w:sz="0" w:space="0" w:color="auto"/>
      </w:divBdr>
      <w:divsChild>
        <w:div w:id="537161331">
          <w:marLeft w:val="0"/>
          <w:marRight w:val="0"/>
          <w:marTop w:val="0"/>
          <w:marBottom w:val="0"/>
          <w:divBdr>
            <w:top w:val="none" w:sz="0" w:space="0" w:color="auto"/>
            <w:left w:val="none" w:sz="0" w:space="0" w:color="auto"/>
            <w:bottom w:val="none" w:sz="0" w:space="0" w:color="auto"/>
            <w:right w:val="none" w:sz="0" w:space="0" w:color="auto"/>
          </w:divBdr>
        </w:div>
      </w:divsChild>
    </w:div>
    <w:div w:id="1633829363">
      <w:bodyDiv w:val="1"/>
      <w:marLeft w:val="0"/>
      <w:marRight w:val="0"/>
      <w:marTop w:val="0"/>
      <w:marBottom w:val="0"/>
      <w:divBdr>
        <w:top w:val="none" w:sz="0" w:space="0" w:color="auto"/>
        <w:left w:val="none" w:sz="0" w:space="0" w:color="auto"/>
        <w:bottom w:val="none" w:sz="0" w:space="0" w:color="auto"/>
        <w:right w:val="none" w:sz="0" w:space="0" w:color="auto"/>
      </w:divBdr>
    </w:div>
    <w:div w:id="1641422400">
      <w:marLeft w:val="0"/>
      <w:marRight w:val="0"/>
      <w:marTop w:val="0"/>
      <w:marBottom w:val="0"/>
      <w:divBdr>
        <w:top w:val="none" w:sz="0" w:space="0" w:color="auto"/>
        <w:left w:val="none" w:sz="0" w:space="0" w:color="auto"/>
        <w:bottom w:val="none" w:sz="0" w:space="0" w:color="auto"/>
        <w:right w:val="none" w:sz="0" w:space="0" w:color="auto"/>
      </w:divBdr>
      <w:divsChild>
        <w:div w:id="2048722610">
          <w:marLeft w:val="0"/>
          <w:marRight w:val="0"/>
          <w:marTop w:val="0"/>
          <w:marBottom w:val="0"/>
          <w:divBdr>
            <w:top w:val="none" w:sz="0" w:space="0" w:color="auto"/>
            <w:left w:val="none" w:sz="0" w:space="0" w:color="auto"/>
            <w:bottom w:val="none" w:sz="0" w:space="0" w:color="auto"/>
            <w:right w:val="none" w:sz="0" w:space="0" w:color="auto"/>
          </w:divBdr>
        </w:div>
      </w:divsChild>
    </w:div>
    <w:div w:id="1643609565">
      <w:bodyDiv w:val="1"/>
      <w:marLeft w:val="0"/>
      <w:marRight w:val="0"/>
      <w:marTop w:val="0"/>
      <w:marBottom w:val="0"/>
      <w:divBdr>
        <w:top w:val="none" w:sz="0" w:space="0" w:color="auto"/>
        <w:left w:val="none" w:sz="0" w:space="0" w:color="auto"/>
        <w:bottom w:val="none" w:sz="0" w:space="0" w:color="auto"/>
        <w:right w:val="none" w:sz="0" w:space="0" w:color="auto"/>
      </w:divBdr>
      <w:divsChild>
        <w:div w:id="600989869">
          <w:marLeft w:val="0"/>
          <w:marRight w:val="0"/>
          <w:marTop w:val="0"/>
          <w:marBottom w:val="0"/>
          <w:divBdr>
            <w:top w:val="none" w:sz="0" w:space="0" w:color="auto"/>
            <w:left w:val="none" w:sz="0" w:space="0" w:color="auto"/>
            <w:bottom w:val="none" w:sz="0" w:space="0" w:color="auto"/>
            <w:right w:val="none" w:sz="0" w:space="0" w:color="auto"/>
          </w:divBdr>
          <w:divsChild>
            <w:div w:id="1467627321">
              <w:marLeft w:val="0"/>
              <w:marRight w:val="0"/>
              <w:marTop w:val="0"/>
              <w:marBottom w:val="0"/>
              <w:divBdr>
                <w:top w:val="none" w:sz="0" w:space="0" w:color="auto"/>
                <w:left w:val="none" w:sz="0" w:space="0" w:color="auto"/>
                <w:bottom w:val="none" w:sz="0" w:space="0" w:color="auto"/>
                <w:right w:val="none" w:sz="0" w:space="0" w:color="auto"/>
              </w:divBdr>
            </w:div>
            <w:div w:id="766072488">
              <w:marLeft w:val="0"/>
              <w:marRight w:val="0"/>
              <w:marTop w:val="0"/>
              <w:marBottom w:val="0"/>
              <w:divBdr>
                <w:top w:val="none" w:sz="0" w:space="0" w:color="auto"/>
                <w:left w:val="none" w:sz="0" w:space="0" w:color="auto"/>
                <w:bottom w:val="none" w:sz="0" w:space="0" w:color="auto"/>
                <w:right w:val="none" w:sz="0" w:space="0" w:color="auto"/>
              </w:divBdr>
            </w:div>
            <w:div w:id="160586542">
              <w:marLeft w:val="0"/>
              <w:marRight w:val="0"/>
              <w:marTop w:val="0"/>
              <w:marBottom w:val="0"/>
              <w:divBdr>
                <w:top w:val="none" w:sz="0" w:space="0" w:color="auto"/>
                <w:left w:val="none" w:sz="0" w:space="0" w:color="auto"/>
                <w:bottom w:val="none" w:sz="0" w:space="0" w:color="auto"/>
                <w:right w:val="none" w:sz="0" w:space="0" w:color="auto"/>
              </w:divBdr>
            </w:div>
            <w:div w:id="247812371">
              <w:marLeft w:val="0"/>
              <w:marRight w:val="0"/>
              <w:marTop w:val="0"/>
              <w:marBottom w:val="0"/>
              <w:divBdr>
                <w:top w:val="none" w:sz="0" w:space="0" w:color="auto"/>
                <w:left w:val="none" w:sz="0" w:space="0" w:color="auto"/>
                <w:bottom w:val="none" w:sz="0" w:space="0" w:color="auto"/>
                <w:right w:val="none" w:sz="0" w:space="0" w:color="auto"/>
              </w:divBdr>
            </w:div>
            <w:div w:id="2009820835">
              <w:marLeft w:val="0"/>
              <w:marRight w:val="0"/>
              <w:marTop w:val="0"/>
              <w:marBottom w:val="0"/>
              <w:divBdr>
                <w:top w:val="none" w:sz="0" w:space="0" w:color="auto"/>
                <w:left w:val="none" w:sz="0" w:space="0" w:color="auto"/>
                <w:bottom w:val="none" w:sz="0" w:space="0" w:color="auto"/>
                <w:right w:val="none" w:sz="0" w:space="0" w:color="auto"/>
              </w:divBdr>
            </w:div>
            <w:div w:id="19743031">
              <w:marLeft w:val="0"/>
              <w:marRight w:val="0"/>
              <w:marTop w:val="0"/>
              <w:marBottom w:val="0"/>
              <w:divBdr>
                <w:top w:val="none" w:sz="0" w:space="0" w:color="auto"/>
                <w:left w:val="none" w:sz="0" w:space="0" w:color="auto"/>
                <w:bottom w:val="none" w:sz="0" w:space="0" w:color="auto"/>
                <w:right w:val="none" w:sz="0" w:space="0" w:color="auto"/>
              </w:divBdr>
            </w:div>
            <w:div w:id="86045">
              <w:marLeft w:val="0"/>
              <w:marRight w:val="0"/>
              <w:marTop w:val="0"/>
              <w:marBottom w:val="0"/>
              <w:divBdr>
                <w:top w:val="none" w:sz="0" w:space="0" w:color="auto"/>
                <w:left w:val="none" w:sz="0" w:space="0" w:color="auto"/>
                <w:bottom w:val="none" w:sz="0" w:space="0" w:color="auto"/>
                <w:right w:val="none" w:sz="0" w:space="0" w:color="auto"/>
              </w:divBdr>
            </w:div>
            <w:div w:id="1985771687">
              <w:marLeft w:val="0"/>
              <w:marRight w:val="0"/>
              <w:marTop w:val="0"/>
              <w:marBottom w:val="0"/>
              <w:divBdr>
                <w:top w:val="none" w:sz="0" w:space="0" w:color="auto"/>
                <w:left w:val="none" w:sz="0" w:space="0" w:color="auto"/>
                <w:bottom w:val="none" w:sz="0" w:space="0" w:color="auto"/>
                <w:right w:val="none" w:sz="0" w:space="0" w:color="auto"/>
              </w:divBdr>
            </w:div>
            <w:div w:id="1418483539">
              <w:marLeft w:val="0"/>
              <w:marRight w:val="0"/>
              <w:marTop w:val="0"/>
              <w:marBottom w:val="0"/>
              <w:divBdr>
                <w:top w:val="none" w:sz="0" w:space="0" w:color="auto"/>
                <w:left w:val="none" w:sz="0" w:space="0" w:color="auto"/>
                <w:bottom w:val="none" w:sz="0" w:space="0" w:color="auto"/>
                <w:right w:val="none" w:sz="0" w:space="0" w:color="auto"/>
              </w:divBdr>
            </w:div>
            <w:div w:id="617948913">
              <w:marLeft w:val="0"/>
              <w:marRight w:val="0"/>
              <w:marTop w:val="0"/>
              <w:marBottom w:val="0"/>
              <w:divBdr>
                <w:top w:val="none" w:sz="0" w:space="0" w:color="auto"/>
                <w:left w:val="none" w:sz="0" w:space="0" w:color="auto"/>
                <w:bottom w:val="none" w:sz="0" w:space="0" w:color="auto"/>
                <w:right w:val="none" w:sz="0" w:space="0" w:color="auto"/>
              </w:divBdr>
            </w:div>
            <w:div w:id="271205010">
              <w:marLeft w:val="0"/>
              <w:marRight w:val="0"/>
              <w:marTop w:val="0"/>
              <w:marBottom w:val="0"/>
              <w:divBdr>
                <w:top w:val="none" w:sz="0" w:space="0" w:color="auto"/>
                <w:left w:val="none" w:sz="0" w:space="0" w:color="auto"/>
                <w:bottom w:val="none" w:sz="0" w:space="0" w:color="auto"/>
                <w:right w:val="none" w:sz="0" w:space="0" w:color="auto"/>
              </w:divBdr>
            </w:div>
            <w:div w:id="1948804577">
              <w:marLeft w:val="0"/>
              <w:marRight w:val="0"/>
              <w:marTop w:val="0"/>
              <w:marBottom w:val="0"/>
              <w:divBdr>
                <w:top w:val="none" w:sz="0" w:space="0" w:color="auto"/>
                <w:left w:val="none" w:sz="0" w:space="0" w:color="auto"/>
                <w:bottom w:val="none" w:sz="0" w:space="0" w:color="auto"/>
                <w:right w:val="none" w:sz="0" w:space="0" w:color="auto"/>
              </w:divBdr>
            </w:div>
            <w:div w:id="90972643">
              <w:marLeft w:val="0"/>
              <w:marRight w:val="0"/>
              <w:marTop w:val="0"/>
              <w:marBottom w:val="0"/>
              <w:divBdr>
                <w:top w:val="none" w:sz="0" w:space="0" w:color="auto"/>
                <w:left w:val="none" w:sz="0" w:space="0" w:color="auto"/>
                <w:bottom w:val="none" w:sz="0" w:space="0" w:color="auto"/>
                <w:right w:val="none" w:sz="0" w:space="0" w:color="auto"/>
              </w:divBdr>
            </w:div>
            <w:div w:id="59989260">
              <w:marLeft w:val="0"/>
              <w:marRight w:val="0"/>
              <w:marTop w:val="0"/>
              <w:marBottom w:val="0"/>
              <w:divBdr>
                <w:top w:val="none" w:sz="0" w:space="0" w:color="auto"/>
                <w:left w:val="none" w:sz="0" w:space="0" w:color="auto"/>
                <w:bottom w:val="none" w:sz="0" w:space="0" w:color="auto"/>
                <w:right w:val="none" w:sz="0" w:space="0" w:color="auto"/>
              </w:divBdr>
            </w:div>
            <w:div w:id="645860014">
              <w:marLeft w:val="0"/>
              <w:marRight w:val="0"/>
              <w:marTop w:val="0"/>
              <w:marBottom w:val="0"/>
              <w:divBdr>
                <w:top w:val="none" w:sz="0" w:space="0" w:color="auto"/>
                <w:left w:val="none" w:sz="0" w:space="0" w:color="auto"/>
                <w:bottom w:val="none" w:sz="0" w:space="0" w:color="auto"/>
                <w:right w:val="none" w:sz="0" w:space="0" w:color="auto"/>
              </w:divBdr>
            </w:div>
            <w:div w:id="1373578674">
              <w:marLeft w:val="0"/>
              <w:marRight w:val="0"/>
              <w:marTop w:val="0"/>
              <w:marBottom w:val="0"/>
              <w:divBdr>
                <w:top w:val="none" w:sz="0" w:space="0" w:color="auto"/>
                <w:left w:val="none" w:sz="0" w:space="0" w:color="auto"/>
                <w:bottom w:val="none" w:sz="0" w:space="0" w:color="auto"/>
                <w:right w:val="none" w:sz="0" w:space="0" w:color="auto"/>
              </w:divBdr>
            </w:div>
            <w:div w:id="935284615">
              <w:marLeft w:val="0"/>
              <w:marRight w:val="0"/>
              <w:marTop w:val="0"/>
              <w:marBottom w:val="0"/>
              <w:divBdr>
                <w:top w:val="none" w:sz="0" w:space="0" w:color="auto"/>
                <w:left w:val="none" w:sz="0" w:space="0" w:color="auto"/>
                <w:bottom w:val="none" w:sz="0" w:space="0" w:color="auto"/>
                <w:right w:val="none" w:sz="0" w:space="0" w:color="auto"/>
              </w:divBdr>
            </w:div>
            <w:div w:id="143475834">
              <w:marLeft w:val="0"/>
              <w:marRight w:val="0"/>
              <w:marTop w:val="0"/>
              <w:marBottom w:val="0"/>
              <w:divBdr>
                <w:top w:val="none" w:sz="0" w:space="0" w:color="auto"/>
                <w:left w:val="none" w:sz="0" w:space="0" w:color="auto"/>
                <w:bottom w:val="none" w:sz="0" w:space="0" w:color="auto"/>
                <w:right w:val="none" w:sz="0" w:space="0" w:color="auto"/>
              </w:divBdr>
            </w:div>
            <w:div w:id="602764674">
              <w:marLeft w:val="0"/>
              <w:marRight w:val="0"/>
              <w:marTop w:val="0"/>
              <w:marBottom w:val="0"/>
              <w:divBdr>
                <w:top w:val="none" w:sz="0" w:space="0" w:color="auto"/>
                <w:left w:val="none" w:sz="0" w:space="0" w:color="auto"/>
                <w:bottom w:val="none" w:sz="0" w:space="0" w:color="auto"/>
                <w:right w:val="none" w:sz="0" w:space="0" w:color="auto"/>
              </w:divBdr>
            </w:div>
            <w:div w:id="939482860">
              <w:marLeft w:val="0"/>
              <w:marRight w:val="0"/>
              <w:marTop w:val="0"/>
              <w:marBottom w:val="0"/>
              <w:divBdr>
                <w:top w:val="none" w:sz="0" w:space="0" w:color="auto"/>
                <w:left w:val="none" w:sz="0" w:space="0" w:color="auto"/>
                <w:bottom w:val="none" w:sz="0" w:space="0" w:color="auto"/>
                <w:right w:val="none" w:sz="0" w:space="0" w:color="auto"/>
              </w:divBdr>
            </w:div>
            <w:div w:id="90645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87634">
      <w:bodyDiv w:val="1"/>
      <w:marLeft w:val="0"/>
      <w:marRight w:val="0"/>
      <w:marTop w:val="0"/>
      <w:marBottom w:val="0"/>
      <w:divBdr>
        <w:top w:val="none" w:sz="0" w:space="0" w:color="auto"/>
        <w:left w:val="none" w:sz="0" w:space="0" w:color="auto"/>
        <w:bottom w:val="none" w:sz="0" w:space="0" w:color="auto"/>
        <w:right w:val="none" w:sz="0" w:space="0" w:color="auto"/>
      </w:divBdr>
    </w:div>
    <w:div w:id="1646616913">
      <w:bodyDiv w:val="1"/>
      <w:marLeft w:val="0"/>
      <w:marRight w:val="0"/>
      <w:marTop w:val="0"/>
      <w:marBottom w:val="0"/>
      <w:divBdr>
        <w:top w:val="none" w:sz="0" w:space="0" w:color="auto"/>
        <w:left w:val="none" w:sz="0" w:space="0" w:color="auto"/>
        <w:bottom w:val="none" w:sz="0" w:space="0" w:color="auto"/>
        <w:right w:val="none" w:sz="0" w:space="0" w:color="auto"/>
      </w:divBdr>
    </w:div>
    <w:div w:id="1646661483">
      <w:marLeft w:val="0"/>
      <w:marRight w:val="0"/>
      <w:marTop w:val="0"/>
      <w:marBottom w:val="0"/>
      <w:divBdr>
        <w:top w:val="none" w:sz="0" w:space="0" w:color="auto"/>
        <w:left w:val="none" w:sz="0" w:space="0" w:color="auto"/>
        <w:bottom w:val="none" w:sz="0" w:space="0" w:color="auto"/>
        <w:right w:val="none" w:sz="0" w:space="0" w:color="auto"/>
      </w:divBdr>
      <w:divsChild>
        <w:div w:id="809981400">
          <w:marLeft w:val="0"/>
          <w:marRight w:val="0"/>
          <w:marTop w:val="0"/>
          <w:marBottom w:val="0"/>
          <w:divBdr>
            <w:top w:val="none" w:sz="0" w:space="0" w:color="auto"/>
            <w:left w:val="none" w:sz="0" w:space="0" w:color="auto"/>
            <w:bottom w:val="none" w:sz="0" w:space="0" w:color="auto"/>
            <w:right w:val="none" w:sz="0" w:space="0" w:color="auto"/>
          </w:divBdr>
        </w:div>
      </w:divsChild>
    </w:div>
    <w:div w:id="1646742999">
      <w:bodyDiv w:val="1"/>
      <w:marLeft w:val="0"/>
      <w:marRight w:val="0"/>
      <w:marTop w:val="0"/>
      <w:marBottom w:val="0"/>
      <w:divBdr>
        <w:top w:val="none" w:sz="0" w:space="0" w:color="auto"/>
        <w:left w:val="none" w:sz="0" w:space="0" w:color="auto"/>
        <w:bottom w:val="none" w:sz="0" w:space="0" w:color="auto"/>
        <w:right w:val="none" w:sz="0" w:space="0" w:color="auto"/>
      </w:divBdr>
    </w:div>
    <w:div w:id="1647853742">
      <w:bodyDiv w:val="1"/>
      <w:marLeft w:val="0"/>
      <w:marRight w:val="0"/>
      <w:marTop w:val="0"/>
      <w:marBottom w:val="0"/>
      <w:divBdr>
        <w:top w:val="none" w:sz="0" w:space="0" w:color="auto"/>
        <w:left w:val="none" w:sz="0" w:space="0" w:color="auto"/>
        <w:bottom w:val="none" w:sz="0" w:space="0" w:color="auto"/>
        <w:right w:val="none" w:sz="0" w:space="0" w:color="auto"/>
      </w:divBdr>
    </w:div>
    <w:div w:id="1648242908">
      <w:marLeft w:val="0"/>
      <w:marRight w:val="0"/>
      <w:marTop w:val="0"/>
      <w:marBottom w:val="0"/>
      <w:divBdr>
        <w:top w:val="none" w:sz="0" w:space="0" w:color="auto"/>
        <w:left w:val="none" w:sz="0" w:space="0" w:color="auto"/>
        <w:bottom w:val="none" w:sz="0" w:space="0" w:color="auto"/>
        <w:right w:val="none" w:sz="0" w:space="0" w:color="auto"/>
      </w:divBdr>
      <w:divsChild>
        <w:div w:id="181359384">
          <w:marLeft w:val="0"/>
          <w:marRight w:val="0"/>
          <w:marTop w:val="0"/>
          <w:marBottom w:val="0"/>
          <w:divBdr>
            <w:top w:val="none" w:sz="0" w:space="0" w:color="auto"/>
            <w:left w:val="none" w:sz="0" w:space="0" w:color="auto"/>
            <w:bottom w:val="none" w:sz="0" w:space="0" w:color="auto"/>
            <w:right w:val="none" w:sz="0" w:space="0" w:color="auto"/>
          </w:divBdr>
        </w:div>
      </w:divsChild>
    </w:div>
    <w:div w:id="1653174650">
      <w:marLeft w:val="0"/>
      <w:marRight w:val="0"/>
      <w:marTop w:val="0"/>
      <w:marBottom w:val="0"/>
      <w:divBdr>
        <w:top w:val="none" w:sz="0" w:space="0" w:color="auto"/>
        <w:left w:val="none" w:sz="0" w:space="0" w:color="auto"/>
        <w:bottom w:val="none" w:sz="0" w:space="0" w:color="auto"/>
        <w:right w:val="none" w:sz="0" w:space="0" w:color="auto"/>
      </w:divBdr>
      <w:divsChild>
        <w:div w:id="1047801825">
          <w:marLeft w:val="0"/>
          <w:marRight w:val="0"/>
          <w:marTop w:val="0"/>
          <w:marBottom w:val="0"/>
          <w:divBdr>
            <w:top w:val="none" w:sz="0" w:space="0" w:color="auto"/>
            <w:left w:val="none" w:sz="0" w:space="0" w:color="auto"/>
            <w:bottom w:val="none" w:sz="0" w:space="0" w:color="auto"/>
            <w:right w:val="none" w:sz="0" w:space="0" w:color="auto"/>
          </w:divBdr>
        </w:div>
      </w:divsChild>
    </w:div>
    <w:div w:id="1662076041">
      <w:bodyDiv w:val="1"/>
      <w:marLeft w:val="0"/>
      <w:marRight w:val="0"/>
      <w:marTop w:val="0"/>
      <w:marBottom w:val="0"/>
      <w:divBdr>
        <w:top w:val="none" w:sz="0" w:space="0" w:color="auto"/>
        <w:left w:val="none" w:sz="0" w:space="0" w:color="auto"/>
        <w:bottom w:val="none" w:sz="0" w:space="0" w:color="auto"/>
        <w:right w:val="none" w:sz="0" w:space="0" w:color="auto"/>
      </w:divBdr>
    </w:div>
    <w:div w:id="1666392147">
      <w:marLeft w:val="0"/>
      <w:marRight w:val="0"/>
      <w:marTop w:val="0"/>
      <w:marBottom w:val="0"/>
      <w:divBdr>
        <w:top w:val="none" w:sz="0" w:space="0" w:color="auto"/>
        <w:left w:val="none" w:sz="0" w:space="0" w:color="auto"/>
        <w:bottom w:val="none" w:sz="0" w:space="0" w:color="auto"/>
        <w:right w:val="none" w:sz="0" w:space="0" w:color="auto"/>
      </w:divBdr>
      <w:divsChild>
        <w:div w:id="1353342555">
          <w:marLeft w:val="0"/>
          <w:marRight w:val="0"/>
          <w:marTop w:val="0"/>
          <w:marBottom w:val="0"/>
          <w:divBdr>
            <w:top w:val="none" w:sz="0" w:space="0" w:color="auto"/>
            <w:left w:val="none" w:sz="0" w:space="0" w:color="auto"/>
            <w:bottom w:val="none" w:sz="0" w:space="0" w:color="auto"/>
            <w:right w:val="none" w:sz="0" w:space="0" w:color="auto"/>
          </w:divBdr>
        </w:div>
      </w:divsChild>
    </w:div>
    <w:div w:id="1670131646">
      <w:bodyDiv w:val="1"/>
      <w:marLeft w:val="0"/>
      <w:marRight w:val="0"/>
      <w:marTop w:val="0"/>
      <w:marBottom w:val="0"/>
      <w:divBdr>
        <w:top w:val="none" w:sz="0" w:space="0" w:color="auto"/>
        <w:left w:val="none" w:sz="0" w:space="0" w:color="auto"/>
        <w:bottom w:val="none" w:sz="0" w:space="0" w:color="auto"/>
        <w:right w:val="none" w:sz="0" w:space="0" w:color="auto"/>
      </w:divBdr>
    </w:div>
    <w:div w:id="1670139812">
      <w:bodyDiv w:val="1"/>
      <w:marLeft w:val="0"/>
      <w:marRight w:val="0"/>
      <w:marTop w:val="0"/>
      <w:marBottom w:val="0"/>
      <w:divBdr>
        <w:top w:val="none" w:sz="0" w:space="0" w:color="auto"/>
        <w:left w:val="none" w:sz="0" w:space="0" w:color="auto"/>
        <w:bottom w:val="none" w:sz="0" w:space="0" w:color="auto"/>
        <w:right w:val="none" w:sz="0" w:space="0" w:color="auto"/>
      </w:divBdr>
    </w:div>
    <w:div w:id="1672566574">
      <w:marLeft w:val="0"/>
      <w:marRight w:val="0"/>
      <w:marTop w:val="0"/>
      <w:marBottom w:val="0"/>
      <w:divBdr>
        <w:top w:val="none" w:sz="0" w:space="0" w:color="auto"/>
        <w:left w:val="none" w:sz="0" w:space="0" w:color="auto"/>
        <w:bottom w:val="none" w:sz="0" w:space="0" w:color="auto"/>
        <w:right w:val="none" w:sz="0" w:space="0" w:color="auto"/>
      </w:divBdr>
      <w:divsChild>
        <w:div w:id="1568153648">
          <w:marLeft w:val="0"/>
          <w:marRight w:val="0"/>
          <w:marTop w:val="0"/>
          <w:marBottom w:val="0"/>
          <w:divBdr>
            <w:top w:val="none" w:sz="0" w:space="0" w:color="auto"/>
            <w:left w:val="none" w:sz="0" w:space="0" w:color="auto"/>
            <w:bottom w:val="none" w:sz="0" w:space="0" w:color="auto"/>
            <w:right w:val="none" w:sz="0" w:space="0" w:color="auto"/>
          </w:divBdr>
        </w:div>
      </w:divsChild>
    </w:div>
    <w:div w:id="1674457273">
      <w:marLeft w:val="0"/>
      <w:marRight w:val="0"/>
      <w:marTop w:val="0"/>
      <w:marBottom w:val="0"/>
      <w:divBdr>
        <w:top w:val="none" w:sz="0" w:space="0" w:color="auto"/>
        <w:left w:val="none" w:sz="0" w:space="0" w:color="auto"/>
        <w:bottom w:val="none" w:sz="0" w:space="0" w:color="auto"/>
        <w:right w:val="none" w:sz="0" w:space="0" w:color="auto"/>
      </w:divBdr>
      <w:divsChild>
        <w:div w:id="1756902286">
          <w:marLeft w:val="0"/>
          <w:marRight w:val="0"/>
          <w:marTop w:val="0"/>
          <w:marBottom w:val="0"/>
          <w:divBdr>
            <w:top w:val="none" w:sz="0" w:space="0" w:color="auto"/>
            <w:left w:val="none" w:sz="0" w:space="0" w:color="auto"/>
            <w:bottom w:val="none" w:sz="0" w:space="0" w:color="auto"/>
            <w:right w:val="none" w:sz="0" w:space="0" w:color="auto"/>
          </w:divBdr>
        </w:div>
      </w:divsChild>
    </w:div>
    <w:div w:id="1674642650">
      <w:bodyDiv w:val="1"/>
      <w:marLeft w:val="0"/>
      <w:marRight w:val="0"/>
      <w:marTop w:val="0"/>
      <w:marBottom w:val="0"/>
      <w:divBdr>
        <w:top w:val="none" w:sz="0" w:space="0" w:color="auto"/>
        <w:left w:val="none" w:sz="0" w:space="0" w:color="auto"/>
        <w:bottom w:val="none" w:sz="0" w:space="0" w:color="auto"/>
        <w:right w:val="none" w:sz="0" w:space="0" w:color="auto"/>
      </w:divBdr>
      <w:divsChild>
        <w:div w:id="169754484">
          <w:marLeft w:val="0"/>
          <w:marRight w:val="0"/>
          <w:marTop w:val="0"/>
          <w:marBottom w:val="0"/>
          <w:divBdr>
            <w:top w:val="none" w:sz="0" w:space="0" w:color="auto"/>
            <w:left w:val="none" w:sz="0" w:space="0" w:color="auto"/>
            <w:bottom w:val="none" w:sz="0" w:space="0" w:color="auto"/>
            <w:right w:val="none" w:sz="0" w:space="0" w:color="auto"/>
          </w:divBdr>
          <w:divsChild>
            <w:div w:id="1022442296">
              <w:marLeft w:val="0"/>
              <w:marRight w:val="0"/>
              <w:marTop w:val="0"/>
              <w:marBottom w:val="0"/>
              <w:divBdr>
                <w:top w:val="none" w:sz="0" w:space="0" w:color="auto"/>
                <w:left w:val="none" w:sz="0" w:space="0" w:color="auto"/>
                <w:bottom w:val="none" w:sz="0" w:space="0" w:color="auto"/>
                <w:right w:val="none" w:sz="0" w:space="0" w:color="auto"/>
              </w:divBdr>
            </w:div>
            <w:div w:id="1635330084">
              <w:marLeft w:val="0"/>
              <w:marRight w:val="0"/>
              <w:marTop w:val="0"/>
              <w:marBottom w:val="0"/>
              <w:divBdr>
                <w:top w:val="none" w:sz="0" w:space="0" w:color="auto"/>
                <w:left w:val="none" w:sz="0" w:space="0" w:color="auto"/>
                <w:bottom w:val="none" w:sz="0" w:space="0" w:color="auto"/>
                <w:right w:val="none" w:sz="0" w:space="0" w:color="auto"/>
              </w:divBdr>
            </w:div>
            <w:div w:id="219874963">
              <w:marLeft w:val="0"/>
              <w:marRight w:val="0"/>
              <w:marTop w:val="0"/>
              <w:marBottom w:val="0"/>
              <w:divBdr>
                <w:top w:val="none" w:sz="0" w:space="0" w:color="auto"/>
                <w:left w:val="none" w:sz="0" w:space="0" w:color="auto"/>
                <w:bottom w:val="none" w:sz="0" w:space="0" w:color="auto"/>
                <w:right w:val="none" w:sz="0" w:space="0" w:color="auto"/>
              </w:divBdr>
            </w:div>
            <w:div w:id="1158617096">
              <w:marLeft w:val="0"/>
              <w:marRight w:val="0"/>
              <w:marTop w:val="0"/>
              <w:marBottom w:val="0"/>
              <w:divBdr>
                <w:top w:val="none" w:sz="0" w:space="0" w:color="auto"/>
                <w:left w:val="none" w:sz="0" w:space="0" w:color="auto"/>
                <w:bottom w:val="none" w:sz="0" w:space="0" w:color="auto"/>
                <w:right w:val="none" w:sz="0" w:space="0" w:color="auto"/>
              </w:divBdr>
            </w:div>
            <w:div w:id="2142920125">
              <w:marLeft w:val="0"/>
              <w:marRight w:val="0"/>
              <w:marTop w:val="0"/>
              <w:marBottom w:val="0"/>
              <w:divBdr>
                <w:top w:val="none" w:sz="0" w:space="0" w:color="auto"/>
                <w:left w:val="none" w:sz="0" w:space="0" w:color="auto"/>
                <w:bottom w:val="none" w:sz="0" w:space="0" w:color="auto"/>
                <w:right w:val="none" w:sz="0" w:space="0" w:color="auto"/>
              </w:divBdr>
            </w:div>
            <w:div w:id="879709105">
              <w:marLeft w:val="0"/>
              <w:marRight w:val="0"/>
              <w:marTop w:val="0"/>
              <w:marBottom w:val="0"/>
              <w:divBdr>
                <w:top w:val="none" w:sz="0" w:space="0" w:color="auto"/>
                <w:left w:val="none" w:sz="0" w:space="0" w:color="auto"/>
                <w:bottom w:val="none" w:sz="0" w:space="0" w:color="auto"/>
                <w:right w:val="none" w:sz="0" w:space="0" w:color="auto"/>
              </w:divBdr>
            </w:div>
            <w:div w:id="1593472244">
              <w:marLeft w:val="0"/>
              <w:marRight w:val="0"/>
              <w:marTop w:val="0"/>
              <w:marBottom w:val="0"/>
              <w:divBdr>
                <w:top w:val="none" w:sz="0" w:space="0" w:color="auto"/>
                <w:left w:val="none" w:sz="0" w:space="0" w:color="auto"/>
                <w:bottom w:val="none" w:sz="0" w:space="0" w:color="auto"/>
                <w:right w:val="none" w:sz="0" w:space="0" w:color="auto"/>
              </w:divBdr>
            </w:div>
            <w:div w:id="1443187529">
              <w:marLeft w:val="0"/>
              <w:marRight w:val="0"/>
              <w:marTop w:val="0"/>
              <w:marBottom w:val="0"/>
              <w:divBdr>
                <w:top w:val="none" w:sz="0" w:space="0" w:color="auto"/>
                <w:left w:val="none" w:sz="0" w:space="0" w:color="auto"/>
                <w:bottom w:val="none" w:sz="0" w:space="0" w:color="auto"/>
                <w:right w:val="none" w:sz="0" w:space="0" w:color="auto"/>
              </w:divBdr>
            </w:div>
            <w:div w:id="1078862961">
              <w:marLeft w:val="0"/>
              <w:marRight w:val="0"/>
              <w:marTop w:val="0"/>
              <w:marBottom w:val="0"/>
              <w:divBdr>
                <w:top w:val="none" w:sz="0" w:space="0" w:color="auto"/>
                <w:left w:val="none" w:sz="0" w:space="0" w:color="auto"/>
                <w:bottom w:val="none" w:sz="0" w:space="0" w:color="auto"/>
                <w:right w:val="none" w:sz="0" w:space="0" w:color="auto"/>
              </w:divBdr>
            </w:div>
            <w:div w:id="521940551">
              <w:marLeft w:val="0"/>
              <w:marRight w:val="0"/>
              <w:marTop w:val="0"/>
              <w:marBottom w:val="0"/>
              <w:divBdr>
                <w:top w:val="none" w:sz="0" w:space="0" w:color="auto"/>
                <w:left w:val="none" w:sz="0" w:space="0" w:color="auto"/>
                <w:bottom w:val="none" w:sz="0" w:space="0" w:color="auto"/>
                <w:right w:val="none" w:sz="0" w:space="0" w:color="auto"/>
              </w:divBdr>
            </w:div>
            <w:div w:id="24452312">
              <w:marLeft w:val="0"/>
              <w:marRight w:val="0"/>
              <w:marTop w:val="0"/>
              <w:marBottom w:val="0"/>
              <w:divBdr>
                <w:top w:val="none" w:sz="0" w:space="0" w:color="auto"/>
                <w:left w:val="none" w:sz="0" w:space="0" w:color="auto"/>
                <w:bottom w:val="none" w:sz="0" w:space="0" w:color="auto"/>
                <w:right w:val="none" w:sz="0" w:space="0" w:color="auto"/>
              </w:divBdr>
            </w:div>
            <w:div w:id="131560159">
              <w:marLeft w:val="0"/>
              <w:marRight w:val="0"/>
              <w:marTop w:val="0"/>
              <w:marBottom w:val="0"/>
              <w:divBdr>
                <w:top w:val="none" w:sz="0" w:space="0" w:color="auto"/>
                <w:left w:val="none" w:sz="0" w:space="0" w:color="auto"/>
                <w:bottom w:val="none" w:sz="0" w:space="0" w:color="auto"/>
                <w:right w:val="none" w:sz="0" w:space="0" w:color="auto"/>
              </w:divBdr>
            </w:div>
            <w:div w:id="1915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97835">
      <w:marLeft w:val="0"/>
      <w:marRight w:val="0"/>
      <w:marTop w:val="0"/>
      <w:marBottom w:val="0"/>
      <w:divBdr>
        <w:top w:val="none" w:sz="0" w:space="0" w:color="auto"/>
        <w:left w:val="none" w:sz="0" w:space="0" w:color="auto"/>
        <w:bottom w:val="none" w:sz="0" w:space="0" w:color="auto"/>
        <w:right w:val="none" w:sz="0" w:space="0" w:color="auto"/>
      </w:divBdr>
      <w:divsChild>
        <w:div w:id="13969857">
          <w:marLeft w:val="0"/>
          <w:marRight w:val="0"/>
          <w:marTop w:val="0"/>
          <w:marBottom w:val="0"/>
          <w:divBdr>
            <w:top w:val="none" w:sz="0" w:space="0" w:color="auto"/>
            <w:left w:val="none" w:sz="0" w:space="0" w:color="auto"/>
            <w:bottom w:val="none" w:sz="0" w:space="0" w:color="auto"/>
            <w:right w:val="none" w:sz="0" w:space="0" w:color="auto"/>
          </w:divBdr>
        </w:div>
      </w:divsChild>
    </w:div>
    <w:div w:id="1677996040">
      <w:marLeft w:val="0"/>
      <w:marRight w:val="0"/>
      <w:marTop w:val="0"/>
      <w:marBottom w:val="0"/>
      <w:divBdr>
        <w:top w:val="none" w:sz="0" w:space="0" w:color="auto"/>
        <w:left w:val="none" w:sz="0" w:space="0" w:color="auto"/>
        <w:bottom w:val="none" w:sz="0" w:space="0" w:color="auto"/>
        <w:right w:val="none" w:sz="0" w:space="0" w:color="auto"/>
      </w:divBdr>
      <w:divsChild>
        <w:div w:id="1909995360">
          <w:marLeft w:val="0"/>
          <w:marRight w:val="0"/>
          <w:marTop w:val="0"/>
          <w:marBottom w:val="0"/>
          <w:divBdr>
            <w:top w:val="none" w:sz="0" w:space="0" w:color="auto"/>
            <w:left w:val="none" w:sz="0" w:space="0" w:color="auto"/>
            <w:bottom w:val="none" w:sz="0" w:space="0" w:color="auto"/>
            <w:right w:val="none" w:sz="0" w:space="0" w:color="auto"/>
          </w:divBdr>
        </w:div>
      </w:divsChild>
    </w:div>
    <w:div w:id="1680496899">
      <w:bodyDiv w:val="1"/>
      <w:marLeft w:val="0"/>
      <w:marRight w:val="0"/>
      <w:marTop w:val="0"/>
      <w:marBottom w:val="0"/>
      <w:divBdr>
        <w:top w:val="none" w:sz="0" w:space="0" w:color="auto"/>
        <w:left w:val="none" w:sz="0" w:space="0" w:color="auto"/>
        <w:bottom w:val="none" w:sz="0" w:space="0" w:color="auto"/>
        <w:right w:val="none" w:sz="0" w:space="0" w:color="auto"/>
      </w:divBdr>
    </w:div>
    <w:div w:id="1683242888">
      <w:marLeft w:val="0"/>
      <w:marRight w:val="0"/>
      <w:marTop w:val="0"/>
      <w:marBottom w:val="0"/>
      <w:divBdr>
        <w:top w:val="none" w:sz="0" w:space="0" w:color="auto"/>
        <w:left w:val="none" w:sz="0" w:space="0" w:color="auto"/>
        <w:bottom w:val="none" w:sz="0" w:space="0" w:color="auto"/>
        <w:right w:val="none" w:sz="0" w:space="0" w:color="auto"/>
      </w:divBdr>
      <w:divsChild>
        <w:div w:id="1897428369">
          <w:marLeft w:val="0"/>
          <w:marRight w:val="0"/>
          <w:marTop w:val="0"/>
          <w:marBottom w:val="0"/>
          <w:divBdr>
            <w:top w:val="none" w:sz="0" w:space="0" w:color="auto"/>
            <w:left w:val="none" w:sz="0" w:space="0" w:color="auto"/>
            <w:bottom w:val="none" w:sz="0" w:space="0" w:color="auto"/>
            <w:right w:val="none" w:sz="0" w:space="0" w:color="auto"/>
          </w:divBdr>
        </w:div>
      </w:divsChild>
    </w:div>
    <w:div w:id="1686594754">
      <w:marLeft w:val="0"/>
      <w:marRight w:val="0"/>
      <w:marTop w:val="0"/>
      <w:marBottom w:val="0"/>
      <w:divBdr>
        <w:top w:val="none" w:sz="0" w:space="0" w:color="auto"/>
        <w:left w:val="none" w:sz="0" w:space="0" w:color="auto"/>
        <w:bottom w:val="none" w:sz="0" w:space="0" w:color="auto"/>
        <w:right w:val="none" w:sz="0" w:space="0" w:color="auto"/>
      </w:divBdr>
      <w:divsChild>
        <w:div w:id="1855149298">
          <w:marLeft w:val="0"/>
          <w:marRight w:val="0"/>
          <w:marTop w:val="0"/>
          <w:marBottom w:val="0"/>
          <w:divBdr>
            <w:top w:val="none" w:sz="0" w:space="0" w:color="auto"/>
            <w:left w:val="none" w:sz="0" w:space="0" w:color="auto"/>
            <w:bottom w:val="none" w:sz="0" w:space="0" w:color="auto"/>
            <w:right w:val="none" w:sz="0" w:space="0" w:color="auto"/>
          </w:divBdr>
        </w:div>
      </w:divsChild>
    </w:div>
    <w:div w:id="1690715678">
      <w:marLeft w:val="0"/>
      <w:marRight w:val="0"/>
      <w:marTop w:val="0"/>
      <w:marBottom w:val="0"/>
      <w:divBdr>
        <w:top w:val="none" w:sz="0" w:space="0" w:color="auto"/>
        <w:left w:val="none" w:sz="0" w:space="0" w:color="auto"/>
        <w:bottom w:val="none" w:sz="0" w:space="0" w:color="auto"/>
        <w:right w:val="none" w:sz="0" w:space="0" w:color="auto"/>
      </w:divBdr>
      <w:divsChild>
        <w:div w:id="619341203">
          <w:marLeft w:val="0"/>
          <w:marRight w:val="0"/>
          <w:marTop w:val="0"/>
          <w:marBottom w:val="0"/>
          <w:divBdr>
            <w:top w:val="none" w:sz="0" w:space="0" w:color="auto"/>
            <w:left w:val="none" w:sz="0" w:space="0" w:color="auto"/>
            <w:bottom w:val="none" w:sz="0" w:space="0" w:color="auto"/>
            <w:right w:val="none" w:sz="0" w:space="0" w:color="auto"/>
          </w:divBdr>
        </w:div>
      </w:divsChild>
    </w:div>
    <w:div w:id="1695962256">
      <w:marLeft w:val="0"/>
      <w:marRight w:val="0"/>
      <w:marTop w:val="0"/>
      <w:marBottom w:val="0"/>
      <w:divBdr>
        <w:top w:val="none" w:sz="0" w:space="0" w:color="auto"/>
        <w:left w:val="none" w:sz="0" w:space="0" w:color="auto"/>
        <w:bottom w:val="none" w:sz="0" w:space="0" w:color="auto"/>
        <w:right w:val="none" w:sz="0" w:space="0" w:color="auto"/>
      </w:divBdr>
      <w:divsChild>
        <w:div w:id="300157278">
          <w:marLeft w:val="0"/>
          <w:marRight w:val="0"/>
          <w:marTop w:val="0"/>
          <w:marBottom w:val="0"/>
          <w:divBdr>
            <w:top w:val="none" w:sz="0" w:space="0" w:color="auto"/>
            <w:left w:val="none" w:sz="0" w:space="0" w:color="auto"/>
            <w:bottom w:val="none" w:sz="0" w:space="0" w:color="auto"/>
            <w:right w:val="none" w:sz="0" w:space="0" w:color="auto"/>
          </w:divBdr>
        </w:div>
      </w:divsChild>
    </w:div>
    <w:div w:id="1700348755">
      <w:marLeft w:val="0"/>
      <w:marRight w:val="0"/>
      <w:marTop w:val="0"/>
      <w:marBottom w:val="0"/>
      <w:divBdr>
        <w:top w:val="none" w:sz="0" w:space="0" w:color="auto"/>
        <w:left w:val="none" w:sz="0" w:space="0" w:color="auto"/>
        <w:bottom w:val="none" w:sz="0" w:space="0" w:color="auto"/>
        <w:right w:val="none" w:sz="0" w:space="0" w:color="auto"/>
      </w:divBdr>
      <w:divsChild>
        <w:div w:id="295910670">
          <w:marLeft w:val="0"/>
          <w:marRight w:val="0"/>
          <w:marTop w:val="0"/>
          <w:marBottom w:val="0"/>
          <w:divBdr>
            <w:top w:val="none" w:sz="0" w:space="0" w:color="auto"/>
            <w:left w:val="none" w:sz="0" w:space="0" w:color="auto"/>
            <w:bottom w:val="none" w:sz="0" w:space="0" w:color="auto"/>
            <w:right w:val="none" w:sz="0" w:space="0" w:color="auto"/>
          </w:divBdr>
        </w:div>
      </w:divsChild>
    </w:div>
    <w:div w:id="1707216735">
      <w:bodyDiv w:val="1"/>
      <w:marLeft w:val="0"/>
      <w:marRight w:val="0"/>
      <w:marTop w:val="0"/>
      <w:marBottom w:val="0"/>
      <w:divBdr>
        <w:top w:val="none" w:sz="0" w:space="0" w:color="auto"/>
        <w:left w:val="none" w:sz="0" w:space="0" w:color="auto"/>
        <w:bottom w:val="none" w:sz="0" w:space="0" w:color="auto"/>
        <w:right w:val="none" w:sz="0" w:space="0" w:color="auto"/>
      </w:divBdr>
      <w:divsChild>
        <w:div w:id="2006011632">
          <w:marLeft w:val="0"/>
          <w:marRight w:val="0"/>
          <w:marTop w:val="0"/>
          <w:marBottom w:val="0"/>
          <w:divBdr>
            <w:top w:val="none" w:sz="0" w:space="0" w:color="auto"/>
            <w:left w:val="none" w:sz="0" w:space="0" w:color="auto"/>
            <w:bottom w:val="none" w:sz="0" w:space="0" w:color="auto"/>
            <w:right w:val="none" w:sz="0" w:space="0" w:color="auto"/>
          </w:divBdr>
          <w:divsChild>
            <w:div w:id="57216891">
              <w:marLeft w:val="0"/>
              <w:marRight w:val="0"/>
              <w:marTop w:val="0"/>
              <w:marBottom w:val="0"/>
              <w:divBdr>
                <w:top w:val="none" w:sz="0" w:space="0" w:color="auto"/>
                <w:left w:val="none" w:sz="0" w:space="0" w:color="auto"/>
                <w:bottom w:val="none" w:sz="0" w:space="0" w:color="auto"/>
                <w:right w:val="none" w:sz="0" w:space="0" w:color="auto"/>
              </w:divBdr>
            </w:div>
            <w:div w:id="1606231032">
              <w:marLeft w:val="0"/>
              <w:marRight w:val="0"/>
              <w:marTop w:val="0"/>
              <w:marBottom w:val="0"/>
              <w:divBdr>
                <w:top w:val="none" w:sz="0" w:space="0" w:color="auto"/>
                <w:left w:val="none" w:sz="0" w:space="0" w:color="auto"/>
                <w:bottom w:val="none" w:sz="0" w:space="0" w:color="auto"/>
                <w:right w:val="none" w:sz="0" w:space="0" w:color="auto"/>
              </w:divBdr>
            </w:div>
            <w:div w:id="12534990">
              <w:marLeft w:val="0"/>
              <w:marRight w:val="0"/>
              <w:marTop w:val="0"/>
              <w:marBottom w:val="0"/>
              <w:divBdr>
                <w:top w:val="none" w:sz="0" w:space="0" w:color="auto"/>
                <w:left w:val="none" w:sz="0" w:space="0" w:color="auto"/>
                <w:bottom w:val="none" w:sz="0" w:space="0" w:color="auto"/>
                <w:right w:val="none" w:sz="0" w:space="0" w:color="auto"/>
              </w:divBdr>
            </w:div>
            <w:div w:id="1042635543">
              <w:marLeft w:val="0"/>
              <w:marRight w:val="0"/>
              <w:marTop w:val="0"/>
              <w:marBottom w:val="0"/>
              <w:divBdr>
                <w:top w:val="none" w:sz="0" w:space="0" w:color="auto"/>
                <w:left w:val="none" w:sz="0" w:space="0" w:color="auto"/>
                <w:bottom w:val="none" w:sz="0" w:space="0" w:color="auto"/>
                <w:right w:val="none" w:sz="0" w:space="0" w:color="auto"/>
              </w:divBdr>
            </w:div>
            <w:div w:id="617296212">
              <w:marLeft w:val="0"/>
              <w:marRight w:val="0"/>
              <w:marTop w:val="0"/>
              <w:marBottom w:val="0"/>
              <w:divBdr>
                <w:top w:val="none" w:sz="0" w:space="0" w:color="auto"/>
                <w:left w:val="none" w:sz="0" w:space="0" w:color="auto"/>
                <w:bottom w:val="none" w:sz="0" w:space="0" w:color="auto"/>
                <w:right w:val="none" w:sz="0" w:space="0" w:color="auto"/>
              </w:divBdr>
            </w:div>
            <w:div w:id="144703938">
              <w:marLeft w:val="0"/>
              <w:marRight w:val="0"/>
              <w:marTop w:val="0"/>
              <w:marBottom w:val="0"/>
              <w:divBdr>
                <w:top w:val="none" w:sz="0" w:space="0" w:color="auto"/>
                <w:left w:val="none" w:sz="0" w:space="0" w:color="auto"/>
                <w:bottom w:val="none" w:sz="0" w:space="0" w:color="auto"/>
                <w:right w:val="none" w:sz="0" w:space="0" w:color="auto"/>
              </w:divBdr>
            </w:div>
            <w:div w:id="1740899650">
              <w:marLeft w:val="0"/>
              <w:marRight w:val="0"/>
              <w:marTop w:val="0"/>
              <w:marBottom w:val="0"/>
              <w:divBdr>
                <w:top w:val="none" w:sz="0" w:space="0" w:color="auto"/>
                <w:left w:val="none" w:sz="0" w:space="0" w:color="auto"/>
                <w:bottom w:val="none" w:sz="0" w:space="0" w:color="auto"/>
                <w:right w:val="none" w:sz="0" w:space="0" w:color="auto"/>
              </w:divBdr>
            </w:div>
            <w:div w:id="1136875509">
              <w:marLeft w:val="0"/>
              <w:marRight w:val="0"/>
              <w:marTop w:val="0"/>
              <w:marBottom w:val="0"/>
              <w:divBdr>
                <w:top w:val="none" w:sz="0" w:space="0" w:color="auto"/>
                <w:left w:val="none" w:sz="0" w:space="0" w:color="auto"/>
                <w:bottom w:val="none" w:sz="0" w:space="0" w:color="auto"/>
                <w:right w:val="none" w:sz="0" w:space="0" w:color="auto"/>
              </w:divBdr>
            </w:div>
            <w:div w:id="2125927897">
              <w:marLeft w:val="0"/>
              <w:marRight w:val="0"/>
              <w:marTop w:val="0"/>
              <w:marBottom w:val="0"/>
              <w:divBdr>
                <w:top w:val="none" w:sz="0" w:space="0" w:color="auto"/>
                <w:left w:val="none" w:sz="0" w:space="0" w:color="auto"/>
                <w:bottom w:val="none" w:sz="0" w:space="0" w:color="auto"/>
                <w:right w:val="none" w:sz="0" w:space="0" w:color="auto"/>
              </w:divBdr>
            </w:div>
            <w:div w:id="1175069137">
              <w:marLeft w:val="0"/>
              <w:marRight w:val="0"/>
              <w:marTop w:val="0"/>
              <w:marBottom w:val="0"/>
              <w:divBdr>
                <w:top w:val="none" w:sz="0" w:space="0" w:color="auto"/>
                <w:left w:val="none" w:sz="0" w:space="0" w:color="auto"/>
                <w:bottom w:val="none" w:sz="0" w:space="0" w:color="auto"/>
                <w:right w:val="none" w:sz="0" w:space="0" w:color="auto"/>
              </w:divBdr>
            </w:div>
            <w:div w:id="1564486528">
              <w:marLeft w:val="0"/>
              <w:marRight w:val="0"/>
              <w:marTop w:val="0"/>
              <w:marBottom w:val="0"/>
              <w:divBdr>
                <w:top w:val="none" w:sz="0" w:space="0" w:color="auto"/>
                <w:left w:val="none" w:sz="0" w:space="0" w:color="auto"/>
                <w:bottom w:val="none" w:sz="0" w:space="0" w:color="auto"/>
                <w:right w:val="none" w:sz="0" w:space="0" w:color="auto"/>
              </w:divBdr>
            </w:div>
            <w:div w:id="1745685901">
              <w:marLeft w:val="0"/>
              <w:marRight w:val="0"/>
              <w:marTop w:val="0"/>
              <w:marBottom w:val="0"/>
              <w:divBdr>
                <w:top w:val="none" w:sz="0" w:space="0" w:color="auto"/>
                <w:left w:val="none" w:sz="0" w:space="0" w:color="auto"/>
                <w:bottom w:val="none" w:sz="0" w:space="0" w:color="auto"/>
                <w:right w:val="none" w:sz="0" w:space="0" w:color="auto"/>
              </w:divBdr>
            </w:div>
            <w:div w:id="1987278323">
              <w:marLeft w:val="0"/>
              <w:marRight w:val="0"/>
              <w:marTop w:val="0"/>
              <w:marBottom w:val="0"/>
              <w:divBdr>
                <w:top w:val="none" w:sz="0" w:space="0" w:color="auto"/>
                <w:left w:val="none" w:sz="0" w:space="0" w:color="auto"/>
                <w:bottom w:val="none" w:sz="0" w:space="0" w:color="auto"/>
                <w:right w:val="none" w:sz="0" w:space="0" w:color="auto"/>
              </w:divBdr>
            </w:div>
            <w:div w:id="690759053">
              <w:marLeft w:val="0"/>
              <w:marRight w:val="0"/>
              <w:marTop w:val="0"/>
              <w:marBottom w:val="0"/>
              <w:divBdr>
                <w:top w:val="none" w:sz="0" w:space="0" w:color="auto"/>
                <w:left w:val="none" w:sz="0" w:space="0" w:color="auto"/>
                <w:bottom w:val="none" w:sz="0" w:space="0" w:color="auto"/>
                <w:right w:val="none" w:sz="0" w:space="0" w:color="auto"/>
              </w:divBdr>
            </w:div>
            <w:div w:id="519465580">
              <w:marLeft w:val="0"/>
              <w:marRight w:val="0"/>
              <w:marTop w:val="0"/>
              <w:marBottom w:val="0"/>
              <w:divBdr>
                <w:top w:val="none" w:sz="0" w:space="0" w:color="auto"/>
                <w:left w:val="none" w:sz="0" w:space="0" w:color="auto"/>
                <w:bottom w:val="none" w:sz="0" w:space="0" w:color="auto"/>
                <w:right w:val="none" w:sz="0" w:space="0" w:color="auto"/>
              </w:divBdr>
            </w:div>
            <w:div w:id="1759013759">
              <w:marLeft w:val="0"/>
              <w:marRight w:val="0"/>
              <w:marTop w:val="0"/>
              <w:marBottom w:val="0"/>
              <w:divBdr>
                <w:top w:val="none" w:sz="0" w:space="0" w:color="auto"/>
                <w:left w:val="none" w:sz="0" w:space="0" w:color="auto"/>
                <w:bottom w:val="none" w:sz="0" w:space="0" w:color="auto"/>
                <w:right w:val="none" w:sz="0" w:space="0" w:color="auto"/>
              </w:divBdr>
            </w:div>
            <w:div w:id="260340510">
              <w:marLeft w:val="0"/>
              <w:marRight w:val="0"/>
              <w:marTop w:val="0"/>
              <w:marBottom w:val="0"/>
              <w:divBdr>
                <w:top w:val="none" w:sz="0" w:space="0" w:color="auto"/>
                <w:left w:val="none" w:sz="0" w:space="0" w:color="auto"/>
                <w:bottom w:val="none" w:sz="0" w:space="0" w:color="auto"/>
                <w:right w:val="none" w:sz="0" w:space="0" w:color="auto"/>
              </w:divBdr>
            </w:div>
            <w:div w:id="1206256421">
              <w:marLeft w:val="0"/>
              <w:marRight w:val="0"/>
              <w:marTop w:val="0"/>
              <w:marBottom w:val="0"/>
              <w:divBdr>
                <w:top w:val="none" w:sz="0" w:space="0" w:color="auto"/>
                <w:left w:val="none" w:sz="0" w:space="0" w:color="auto"/>
                <w:bottom w:val="none" w:sz="0" w:space="0" w:color="auto"/>
                <w:right w:val="none" w:sz="0" w:space="0" w:color="auto"/>
              </w:divBdr>
            </w:div>
            <w:div w:id="930159353">
              <w:marLeft w:val="0"/>
              <w:marRight w:val="0"/>
              <w:marTop w:val="0"/>
              <w:marBottom w:val="0"/>
              <w:divBdr>
                <w:top w:val="none" w:sz="0" w:space="0" w:color="auto"/>
                <w:left w:val="none" w:sz="0" w:space="0" w:color="auto"/>
                <w:bottom w:val="none" w:sz="0" w:space="0" w:color="auto"/>
                <w:right w:val="none" w:sz="0" w:space="0" w:color="auto"/>
              </w:divBdr>
            </w:div>
            <w:div w:id="1131559032">
              <w:marLeft w:val="0"/>
              <w:marRight w:val="0"/>
              <w:marTop w:val="0"/>
              <w:marBottom w:val="0"/>
              <w:divBdr>
                <w:top w:val="none" w:sz="0" w:space="0" w:color="auto"/>
                <w:left w:val="none" w:sz="0" w:space="0" w:color="auto"/>
                <w:bottom w:val="none" w:sz="0" w:space="0" w:color="auto"/>
                <w:right w:val="none" w:sz="0" w:space="0" w:color="auto"/>
              </w:divBdr>
            </w:div>
            <w:div w:id="1694651551">
              <w:marLeft w:val="0"/>
              <w:marRight w:val="0"/>
              <w:marTop w:val="0"/>
              <w:marBottom w:val="0"/>
              <w:divBdr>
                <w:top w:val="none" w:sz="0" w:space="0" w:color="auto"/>
                <w:left w:val="none" w:sz="0" w:space="0" w:color="auto"/>
                <w:bottom w:val="none" w:sz="0" w:space="0" w:color="auto"/>
                <w:right w:val="none" w:sz="0" w:space="0" w:color="auto"/>
              </w:divBdr>
            </w:div>
            <w:div w:id="2055427906">
              <w:marLeft w:val="0"/>
              <w:marRight w:val="0"/>
              <w:marTop w:val="0"/>
              <w:marBottom w:val="0"/>
              <w:divBdr>
                <w:top w:val="none" w:sz="0" w:space="0" w:color="auto"/>
                <w:left w:val="none" w:sz="0" w:space="0" w:color="auto"/>
                <w:bottom w:val="none" w:sz="0" w:space="0" w:color="auto"/>
                <w:right w:val="none" w:sz="0" w:space="0" w:color="auto"/>
              </w:divBdr>
            </w:div>
            <w:div w:id="699823939">
              <w:marLeft w:val="0"/>
              <w:marRight w:val="0"/>
              <w:marTop w:val="0"/>
              <w:marBottom w:val="0"/>
              <w:divBdr>
                <w:top w:val="none" w:sz="0" w:space="0" w:color="auto"/>
                <w:left w:val="none" w:sz="0" w:space="0" w:color="auto"/>
                <w:bottom w:val="none" w:sz="0" w:space="0" w:color="auto"/>
                <w:right w:val="none" w:sz="0" w:space="0" w:color="auto"/>
              </w:divBdr>
            </w:div>
            <w:div w:id="1638296828">
              <w:marLeft w:val="0"/>
              <w:marRight w:val="0"/>
              <w:marTop w:val="0"/>
              <w:marBottom w:val="0"/>
              <w:divBdr>
                <w:top w:val="none" w:sz="0" w:space="0" w:color="auto"/>
                <w:left w:val="none" w:sz="0" w:space="0" w:color="auto"/>
                <w:bottom w:val="none" w:sz="0" w:space="0" w:color="auto"/>
                <w:right w:val="none" w:sz="0" w:space="0" w:color="auto"/>
              </w:divBdr>
            </w:div>
            <w:div w:id="912662507">
              <w:marLeft w:val="0"/>
              <w:marRight w:val="0"/>
              <w:marTop w:val="0"/>
              <w:marBottom w:val="0"/>
              <w:divBdr>
                <w:top w:val="none" w:sz="0" w:space="0" w:color="auto"/>
                <w:left w:val="none" w:sz="0" w:space="0" w:color="auto"/>
                <w:bottom w:val="none" w:sz="0" w:space="0" w:color="auto"/>
                <w:right w:val="none" w:sz="0" w:space="0" w:color="auto"/>
              </w:divBdr>
            </w:div>
            <w:div w:id="190729650">
              <w:marLeft w:val="0"/>
              <w:marRight w:val="0"/>
              <w:marTop w:val="0"/>
              <w:marBottom w:val="0"/>
              <w:divBdr>
                <w:top w:val="none" w:sz="0" w:space="0" w:color="auto"/>
                <w:left w:val="none" w:sz="0" w:space="0" w:color="auto"/>
                <w:bottom w:val="none" w:sz="0" w:space="0" w:color="auto"/>
                <w:right w:val="none" w:sz="0" w:space="0" w:color="auto"/>
              </w:divBdr>
            </w:div>
            <w:div w:id="1164735646">
              <w:marLeft w:val="0"/>
              <w:marRight w:val="0"/>
              <w:marTop w:val="0"/>
              <w:marBottom w:val="0"/>
              <w:divBdr>
                <w:top w:val="none" w:sz="0" w:space="0" w:color="auto"/>
                <w:left w:val="none" w:sz="0" w:space="0" w:color="auto"/>
                <w:bottom w:val="none" w:sz="0" w:space="0" w:color="auto"/>
                <w:right w:val="none" w:sz="0" w:space="0" w:color="auto"/>
              </w:divBdr>
            </w:div>
            <w:div w:id="9068883">
              <w:marLeft w:val="0"/>
              <w:marRight w:val="0"/>
              <w:marTop w:val="0"/>
              <w:marBottom w:val="0"/>
              <w:divBdr>
                <w:top w:val="none" w:sz="0" w:space="0" w:color="auto"/>
                <w:left w:val="none" w:sz="0" w:space="0" w:color="auto"/>
                <w:bottom w:val="none" w:sz="0" w:space="0" w:color="auto"/>
                <w:right w:val="none" w:sz="0" w:space="0" w:color="auto"/>
              </w:divBdr>
            </w:div>
            <w:div w:id="1441990318">
              <w:marLeft w:val="0"/>
              <w:marRight w:val="0"/>
              <w:marTop w:val="0"/>
              <w:marBottom w:val="0"/>
              <w:divBdr>
                <w:top w:val="none" w:sz="0" w:space="0" w:color="auto"/>
                <w:left w:val="none" w:sz="0" w:space="0" w:color="auto"/>
                <w:bottom w:val="none" w:sz="0" w:space="0" w:color="auto"/>
                <w:right w:val="none" w:sz="0" w:space="0" w:color="auto"/>
              </w:divBdr>
            </w:div>
            <w:div w:id="1258053664">
              <w:marLeft w:val="0"/>
              <w:marRight w:val="0"/>
              <w:marTop w:val="0"/>
              <w:marBottom w:val="0"/>
              <w:divBdr>
                <w:top w:val="none" w:sz="0" w:space="0" w:color="auto"/>
                <w:left w:val="none" w:sz="0" w:space="0" w:color="auto"/>
                <w:bottom w:val="none" w:sz="0" w:space="0" w:color="auto"/>
                <w:right w:val="none" w:sz="0" w:space="0" w:color="auto"/>
              </w:divBdr>
            </w:div>
            <w:div w:id="1521430536">
              <w:marLeft w:val="0"/>
              <w:marRight w:val="0"/>
              <w:marTop w:val="0"/>
              <w:marBottom w:val="0"/>
              <w:divBdr>
                <w:top w:val="none" w:sz="0" w:space="0" w:color="auto"/>
                <w:left w:val="none" w:sz="0" w:space="0" w:color="auto"/>
                <w:bottom w:val="none" w:sz="0" w:space="0" w:color="auto"/>
                <w:right w:val="none" w:sz="0" w:space="0" w:color="auto"/>
              </w:divBdr>
            </w:div>
            <w:div w:id="1169371762">
              <w:marLeft w:val="0"/>
              <w:marRight w:val="0"/>
              <w:marTop w:val="0"/>
              <w:marBottom w:val="0"/>
              <w:divBdr>
                <w:top w:val="none" w:sz="0" w:space="0" w:color="auto"/>
                <w:left w:val="none" w:sz="0" w:space="0" w:color="auto"/>
                <w:bottom w:val="none" w:sz="0" w:space="0" w:color="auto"/>
                <w:right w:val="none" w:sz="0" w:space="0" w:color="auto"/>
              </w:divBdr>
            </w:div>
            <w:div w:id="1600791580">
              <w:marLeft w:val="0"/>
              <w:marRight w:val="0"/>
              <w:marTop w:val="0"/>
              <w:marBottom w:val="0"/>
              <w:divBdr>
                <w:top w:val="none" w:sz="0" w:space="0" w:color="auto"/>
                <w:left w:val="none" w:sz="0" w:space="0" w:color="auto"/>
                <w:bottom w:val="none" w:sz="0" w:space="0" w:color="auto"/>
                <w:right w:val="none" w:sz="0" w:space="0" w:color="auto"/>
              </w:divBdr>
            </w:div>
            <w:div w:id="1423451217">
              <w:marLeft w:val="0"/>
              <w:marRight w:val="0"/>
              <w:marTop w:val="0"/>
              <w:marBottom w:val="0"/>
              <w:divBdr>
                <w:top w:val="none" w:sz="0" w:space="0" w:color="auto"/>
                <w:left w:val="none" w:sz="0" w:space="0" w:color="auto"/>
                <w:bottom w:val="none" w:sz="0" w:space="0" w:color="auto"/>
                <w:right w:val="none" w:sz="0" w:space="0" w:color="auto"/>
              </w:divBdr>
            </w:div>
            <w:div w:id="1252740419">
              <w:marLeft w:val="0"/>
              <w:marRight w:val="0"/>
              <w:marTop w:val="0"/>
              <w:marBottom w:val="0"/>
              <w:divBdr>
                <w:top w:val="none" w:sz="0" w:space="0" w:color="auto"/>
                <w:left w:val="none" w:sz="0" w:space="0" w:color="auto"/>
                <w:bottom w:val="none" w:sz="0" w:space="0" w:color="auto"/>
                <w:right w:val="none" w:sz="0" w:space="0" w:color="auto"/>
              </w:divBdr>
            </w:div>
            <w:div w:id="325716748">
              <w:marLeft w:val="0"/>
              <w:marRight w:val="0"/>
              <w:marTop w:val="0"/>
              <w:marBottom w:val="0"/>
              <w:divBdr>
                <w:top w:val="none" w:sz="0" w:space="0" w:color="auto"/>
                <w:left w:val="none" w:sz="0" w:space="0" w:color="auto"/>
                <w:bottom w:val="none" w:sz="0" w:space="0" w:color="auto"/>
                <w:right w:val="none" w:sz="0" w:space="0" w:color="auto"/>
              </w:divBdr>
            </w:div>
            <w:div w:id="1510948560">
              <w:marLeft w:val="0"/>
              <w:marRight w:val="0"/>
              <w:marTop w:val="0"/>
              <w:marBottom w:val="0"/>
              <w:divBdr>
                <w:top w:val="none" w:sz="0" w:space="0" w:color="auto"/>
                <w:left w:val="none" w:sz="0" w:space="0" w:color="auto"/>
                <w:bottom w:val="none" w:sz="0" w:space="0" w:color="auto"/>
                <w:right w:val="none" w:sz="0" w:space="0" w:color="auto"/>
              </w:divBdr>
            </w:div>
            <w:div w:id="1572617313">
              <w:marLeft w:val="0"/>
              <w:marRight w:val="0"/>
              <w:marTop w:val="0"/>
              <w:marBottom w:val="0"/>
              <w:divBdr>
                <w:top w:val="none" w:sz="0" w:space="0" w:color="auto"/>
                <w:left w:val="none" w:sz="0" w:space="0" w:color="auto"/>
                <w:bottom w:val="none" w:sz="0" w:space="0" w:color="auto"/>
                <w:right w:val="none" w:sz="0" w:space="0" w:color="auto"/>
              </w:divBdr>
            </w:div>
            <w:div w:id="1783722950">
              <w:marLeft w:val="0"/>
              <w:marRight w:val="0"/>
              <w:marTop w:val="0"/>
              <w:marBottom w:val="0"/>
              <w:divBdr>
                <w:top w:val="none" w:sz="0" w:space="0" w:color="auto"/>
                <w:left w:val="none" w:sz="0" w:space="0" w:color="auto"/>
                <w:bottom w:val="none" w:sz="0" w:space="0" w:color="auto"/>
                <w:right w:val="none" w:sz="0" w:space="0" w:color="auto"/>
              </w:divBdr>
            </w:div>
            <w:div w:id="460926210">
              <w:marLeft w:val="0"/>
              <w:marRight w:val="0"/>
              <w:marTop w:val="0"/>
              <w:marBottom w:val="0"/>
              <w:divBdr>
                <w:top w:val="none" w:sz="0" w:space="0" w:color="auto"/>
                <w:left w:val="none" w:sz="0" w:space="0" w:color="auto"/>
                <w:bottom w:val="none" w:sz="0" w:space="0" w:color="auto"/>
                <w:right w:val="none" w:sz="0" w:space="0" w:color="auto"/>
              </w:divBdr>
            </w:div>
            <w:div w:id="1273783299">
              <w:marLeft w:val="0"/>
              <w:marRight w:val="0"/>
              <w:marTop w:val="0"/>
              <w:marBottom w:val="0"/>
              <w:divBdr>
                <w:top w:val="none" w:sz="0" w:space="0" w:color="auto"/>
                <w:left w:val="none" w:sz="0" w:space="0" w:color="auto"/>
                <w:bottom w:val="none" w:sz="0" w:space="0" w:color="auto"/>
                <w:right w:val="none" w:sz="0" w:space="0" w:color="auto"/>
              </w:divBdr>
            </w:div>
            <w:div w:id="1796679068">
              <w:marLeft w:val="0"/>
              <w:marRight w:val="0"/>
              <w:marTop w:val="0"/>
              <w:marBottom w:val="0"/>
              <w:divBdr>
                <w:top w:val="none" w:sz="0" w:space="0" w:color="auto"/>
                <w:left w:val="none" w:sz="0" w:space="0" w:color="auto"/>
                <w:bottom w:val="none" w:sz="0" w:space="0" w:color="auto"/>
                <w:right w:val="none" w:sz="0" w:space="0" w:color="auto"/>
              </w:divBdr>
            </w:div>
            <w:div w:id="1443720856">
              <w:marLeft w:val="0"/>
              <w:marRight w:val="0"/>
              <w:marTop w:val="0"/>
              <w:marBottom w:val="0"/>
              <w:divBdr>
                <w:top w:val="none" w:sz="0" w:space="0" w:color="auto"/>
                <w:left w:val="none" w:sz="0" w:space="0" w:color="auto"/>
                <w:bottom w:val="none" w:sz="0" w:space="0" w:color="auto"/>
                <w:right w:val="none" w:sz="0" w:space="0" w:color="auto"/>
              </w:divBdr>
            </w:div>
            <w:div w:id="1463573164">
              <w:marLeft w:val="0"/>
              <w:marRight w:val="0"/>
              <w:marTop w:val="0"/>
              <w:marBottom w:val="0"/>
              <w:divBdr>
                <w:top w:val="none" w:sz="0" w:space="0" w:color="auto"/>
                <w:left w:val="none" w:sz="0" w:space="0" w:color="auto"/>
                <w:bottom w:val="none" w:sz="0" w:space="0" w:color="auto"/>
                <w:right w:val="none" w:sz="0" w:space="0" w:color="auto"/>
              </w:divBdr>
            </w:div>
            <w:div w:id="491918438">
              <w:marLeft w:val="0"/>
              <w:marRight w:val="0"/>
              <w:marTop w:val="0"/>
              <w:marBottom w:val="0"/>
              <w:divBdr>
                <w:top w:val="none" w:sz="0" w:space="0" w:color="auto"/>
                <w:left w:val="none" w:sz="0" w:space="0" w:color="auto"/>
                <w:bottom w:val="none" w:sz="0" w:space="0" w:color="auto"/>
                <w:right w:val="none" w:sz="0" w:space="0" w:color="auto"/>
              </w:divBdr>
            </w:div>
            <w:div w:id="276987454">
              <w:marLeft w:val="0"/>
              <w:marRight w:val="0"/>
              <w:marTop w:val="0"/>
              <w:marBottom w:val="0"/>
              <w:divBdr>
                <w:top w:val="none" w:sz="0" w:space="0" w:color="auto"/>
                <w:left w:val="none" w:sz="0" w:space="0" w:color="auto"/>
                <w:bottom w:val="none" w:sz="0" w:space="0" w:color="auto"/>
                <w:right w:val="none" w:sz="0" w:space="0" w:color="auto"/>
              </w:divBdr>
            </w:div>
            <w:div w:id="825829272">
              <w:marLeft w:val="0"/>
              <w:marRight w:val="0"/>
              <w:marTop w:val="0"/>
              <w:marBottom w:val="0"/>
              <w:divBdr>
                <w:top w:val="none" w:sz="0" w:space="0" w:color="auto"/>
                <w:left w:val="none" w:sz="0" w:space="0" w:color="auto"/>
                <w:bottom w:val="none" w:sz="0" w:space="0" w:color="auto"/>
                <w:right w:val="none" w:sz="0" w:space="0" w:color="auto"/>
              </w:divBdr>
            </w:div>
            <w:div w:id="269044496">
              <w:marLeft w:val="0"/>
              <w:marRight w:val="0"/>
              <w:marTop w:val="0"/>
              <w:marBottom w:val="0"/>
              <w:divBdr>
                <w:top w:val="none" w:sz="0" w:space="0" w:color="auto"/>
                <w:left w:val="none" w:sz="0" w:space="0" w:color="auto"/>
                <w:bottom w:val="none" w:sz="0" w:space="0" w:color="auto"/>
                <w:right w:val="none" w:sz="0" w:space="0" w:color="auto"/>
              </w:divBdr>
            </w:div>
            <w:div w:id="1348020681">
              <w:marLeft w:val="0"/>
              <w:marRight w:val="0"/>
              <w:marTop w:val="0"/>
              <w:marBottom w:val="0"/>
              <w:divBdr>
                <w:top w:val="none" w:sz="0" w:space="0" w:color="auto"/>
                <w:left w:val="none" w:sz="0" w:space="0" w:color="auto"/>
                <w:bottom w:val="none" w:sz="0" w:space="0" w:color="auto"/>
                <w:right w:val="none" w:sz="0" w:space="0" w:color="auto"/>
              </w:divBdr>
            </w:div>
            <w:div w:id="501895099">
              <w:marLeft w:val="0"/>
              <w:marRight w:val="0"/>
              <w:marTop w:val="0"/>
              <w:marBottom w:val="0"/>
              <w:divBdr>
                <w:top w:val="none" w:sz="0" w:space="0" w:color="auto"/>
                <w:left w:val="none" w:sz="0" w:space="0" w:color="auto"/>
                <w:bottom w:val="none" w:sz="0" w:space="0" w:color="auto"/>
                <w:right w:val="none" w:sz="0" w:space="0" w:color="auto"/>
              </w:divBdr>
            </w:div>
            <w:div w:id="1365522803">
              <w:marLeft w:val="0"/>
              <w:marRight w:val="0"/>
              <w:marTop w:val="0"/>
              <w:marBottom w:val="0"/>
              <w:divBdr>
                <w:top w:val="none" w:sz="0" w:space="0" w:color="auto"/>
                <w:left w:val="none" w:sz="0" w:space="0" w:color="auto"/>
                <w:bottom w:val="none" w:sz="0" w:space="0" w:color="auto"/>
                <w:right w:val="none" w:sz="0" w:space="0" w:color="auto"/>
              </w:divBdr>
            </w:div>
            <w:div w:id="2127770252">
              <w:marLeft w:val="0"/>
              <w:marRight w:val="0"/>
              <w:marTop w:val="0"/>
              <w:marBottom w:val="0"/>
              <w:divBdr>
                <w:top w:val="none" w:sz="0" w:space="0" w:color="auto"/>
                <w:left w:val="none" w:sz="0" w:space="0" w:color="auto"/>
                <w:bottom w:val="none" w:sz="0" w:space="0" w:color="auto"/>
                <w:right w:val="none" w:sz="0" w:space="0" w:color="auto"/>
              </w:divBdr>
            </w:div>
            <w:div w:id="1258053546">
              <w:marLeft w:val="0"/>
              <w:marRight w:val="0"/>
              <w:marTop w:val="0"/>
              <w:marBottom w:val="0"/>
              <w:divBdr>
                <w:top w:val="none" w:sz="0" w:space="0" w:color="auto"/>
                <w:left w:val="none" w:sz="0" w:space="0" w:color="auto"/>
                <w:bottom w:val="none" w:sz="0" w:space="0" w:color="auto"/>
                <w:right w:val="none" w:sz="0" w:space="0" w:color="auto"/>
              </w:divBdr>
            </w:div>
            <w:div w:id="250432031">
              <w:marLeft w:val="0"/>
              <w:marRight w:val="0"/>
              <w:marTop w:val="0"/>
              <w:marBottom w:val="0"/>
              <w:divBdr>
                <w:top w:val="none" w:sz="0" w:space="0" w:color="auto"/>
                <w:left w:val="none" w:sz="0" w:space="0" w:color="auto"/>
                <w:bottom w:val="none" w:sz="0" w:space="0" w:color="auto"/>
                <w:right w:val="none" w:sz="0" w:space="0" w:color="auto"/>
              </w:divBdr>
            </w:div>
            <w:div w:id="628823706">
              <w:marLeft w:val="0"/>
              <w:marRight w:val="0"/>
              <w:marTop w:val="0"/>
              <w:marBottom w:val="0"/>
              <w:divBdr>
                <w:top w:val="none" w:sz="0" w:space="0" w:color="auto"/>
                <w:left w:val="none" w:sz="0" w:space="0" w:color="auto"/>
                <w:bottom w:val="none" w:sz="0" w:space="0" w:color="auto"/>
                <w:right w:val="none" w:sz="0" w:space="0" w:color="auto"/>
              </w:divBdr>
            </w:div>
            <w:div w:id="643506348">
              <w:marLeft w:val="0"/>
              <w:marRight w:val="0"/>
              <w:marTop w:val="0"/>
              <w:marBottom w:val="0"/>
              <w:divBdr>
                <w:top w:val="none" w:sz="0" w:space="0" w:color="auto"/>
                <w:left w:val="none" w:sz="0" w:space="0" w:color="auto"/>
                <w:bottom w:val="none" w:sz="0" w:space="0" w:color="auto"/>
                <w:right w:val="none" w:sz="0" w:space="0" w:color="auto"/>
              </w:divBdr>
            </w:div>
            <w:div w:id="2095784885">
              <w:marLeft w:val="0"/>
              <w:marRight w:val="0"/>
              <w:marTop w:val="0"/>
              <w:marBottom w:val="0"/>
              <w:divBdr>
                <w:top w:val="none" w:sz="0" w:space="0" w:color="auto"/>
                <w:left w:val="none" w:sz="0" w:space="0" w:color="auto"/>
                <w:bottom w:val="none" w:sz="0" w:space="0" w:color="auto"/>
                <w:right w:val="none" w:sz="0" w:space="0" w:color="auto"/>
              </w:divBdr>
            </w:div>
            <w:div w:id="1505242318">
              <w:marLeft w:val="0"/>
              <w:marRight w:val="0"/>
              <w:marTop w:val="0"/>
              <w:marBottom w:val="0"/>
              <w:divBdr>
                <w:top w:val="none" w:sz="0" w:space="0" w:color="auto"/>
                <w:left w:val="none" w:sz="0" w:space="0" w:color="auto"/>
                <w:bottom w:val="none" w:sz="0" w:space="0" w:color="auto"/>
                <w:right w:val="none" w:sz="0" w:space="0" w:color="auto"/>
              </w:divBdr>
            </w:div>
            <w:div w:id="1794010856">
              <w:marLeft w:val="0"/>
              <w:marRight w:val="0"/>
              <w:marTop w:val="0"/>
              <w:marBottom w:val="0"/>
              <w:divBdr>
                <w:top w:val="none" w:sz="0" w:space="0" w:color="auto"/>
                <w:left w:val="none" w:sz="0" w:space="0" w:color="auto"/>
                <w:bottom w:val="none" w:sz="0" w:space="0" w:color="auto"/>
                <w:right w:val="none" w:sz="0" w:space="0" w:color="auto"/>
              </w:divBdr>
            </w:div>
            <w:div w:id="1758088413">
              <w:marLeft w:val="0"/>
              <w:marRight w:val="0"/>
              <w:marTop w:val="0"/>
              <w:marBottom w:val="0"/>
              <w:divBdr>
                <w:top w:val="none" w:sz="0" w:space="0" w:color="auto"/>
                <w:left w:val="none" w:sz="0" w:space="0" w:color="auto"/>
                <w:bottom w:val="none" w:sz="0" w:space="0" w:color="auto"/>
                <w:right w:val="none" w:sz="0" w:space="0" w:color="auto"/>
              </w:divBdr>
            </w:div>
            <w:div w:id="1297487752">
              <w:marLeft w:val="0"/>
              <w:marRight w:val="0"/>
              <w:marTop w:val="0"/>
              <w:marBottom w:val="0"/>
              <w:divBdr>
                <w:top w:val="none" w:sz="0" w:space="0" w:color="auto"/>
                <w:left w:val="none" w:sz="0" w:space="0" w:color="auto"/>
                <w:bottom w:val="none" w:sz="0" w:space="0" w:color="auto"/>
                <w:right w:val="none" w:sz="0" w:space="0" w:color="auto"/>
              </w:divBdr>
            </w:div>
            <w:div w:id="1548253136">
              <w:marLeft w:val="0"/>
              <w:marRight w:val="0"/>
              <w:marTop w:val="0"/>
              <w:marBottom w:val="0"/>
              <w:divBdr>
                <w:top w:val="none" w:sz="0" w:space="0" w:color="auto"/>
                <w:left w:val="none" w:sz="0" w:space="0" w:color="auto"/>
                <w:bottom w:val="none" w:sz="0" w:space="0" w:color="auto"/>
                <w:right w:val="none" w:sz="0" w:space="0" w:color="auto"/>
              </w:divBdr>
            </w:div>
            <w:div w:id="121535979">
              <w:marLeft w:val="0"/>
              <w:marRight w:val="0"/>
              <w:marTop w:val="0"/>
              <w:marBottom w:val="0"/>
              <w:divBdr>
                <w:top w:val="none" w:sz="0" w:space="0" w:color="auto"/>
                <w:left w:val="none" w:sz="0" w:space="0" w:color="auto"/>
                <w:bottom w:val="none" w:sz="0" w:space="0" w:color="auto"/>
                <w:right w:val="none" w:sz="0" w:space="0" w:color="auto"/>
              </w:divBdr>
            </w:div>
            <w:div w:id="1305044076">
              <w:marLeft w:val="0"/>
              <w:marRight w:val="0"/>
              <w:marTop w:val="0"/>
              <w:marBottom w:val="0"/>
              <w:divBdr>
                <w:top w:val="none" w:sz="0" w:space="0" w:color="auto"/>
                <w:left w:val="none" w:sz="0" w:space="0" w:color="auto"/>
                <w:bottom w:val="none" w:sz="0" w:space="0" w:color="auto"/>
                <w:right w:val="none" w:sz="0" w:space="0" w:color="auto"/>
              </w:divBdr>
            </w:div>
            <w:div w:id="903225536">
              <w:marLeft w:val="0"/>
              <w:marRight w:val="0"/>
              <w:marTop w:val="0"/>
              <w:marBottom w:val="0"/>
              <w:divBdr>
                <w:top w:val="none" w:sz="0" w:space="0" w:color="auto"/>
                <w:left w:val="none" w:sz="0" w:space="0" w:color="auto"/>
                <w:bottom w:val="none" w:sz="0" w:space="0" w:color="auto"/>
                <w:right w:val="none" w:sz="0" w:space="0" w:color="auto"/>
              </w:divBdr>
            </w:div>
            <w:div w:id="2109041771">
              <w:marLeft w:val="0"/>
              <w:marRight w:val="0"/>
              <w:marTop w:val="0"/>
              <w:marBottom w:val="0"/>
              <w:divBdr>
                <w:top w:val="none" w:sz="0" w:space="0" w:color="auto"/>
                <w:left w:val="none" w:sz="0" w:space="0" w:color="auto"/>
                <w:bottom w:val="none" w:sz="0" w:space="0" w:color="auto"/>
                <w:right w:val="none" w:sz="0" w:space="0" w:color="auto"/>
              </w:divBdr>
            </w:div>
            <w:div w:id="2065638291">
              <w:marLeft w:val="0"/>
              <w:marRight w:val="0"/>
              <w:marTop w:val="0"/>
              <w:marBottom w:val="0"/>
              <w:divBdr>
                <w:top w:val="none" w:sz="0" w:space="0" w:color="auto"/>
                <w:left w:val="none" w:sz="0" w:space="0" w:color="auto"/>
                <w:bottom w:val="none" w:sz="0" w:space="0" w:color="auto"/>
                <w:right w:val="none" w:sz="0" w:space="0" w:color="auto"/>
              </w:divBdr>
            </w:div>
            <w:div w:id="1601445128">
              <w:marLeft w:val="0"/>
              <w:marRight w:val="0"/>
              <w:marTop w:val="0"/>
              <w:marBottom w:val="0"/>
              <w:divBdr>
                <w:top w:val="none" w:sz="0" w:space="0" w:color="auto"/>
                <w:left w:val="none" w:sz="0" w:space="0" w:color="auto"/>
                <w:bottom w:val="none" w:sz="0" w:space="0" w:color="auto"/>
                <w:right w:val="none" w:sz="0" w:space="0" w:color="auto"/>
              </w:divBdr>
            </w:div>
            <w:div w:id="1578898807">
              <w:marLeft w:val="0"/>
              <w:marRight w:val="0"/>
              <w:marTop w:val="0"/>
              <w:marBottom w:val="0"/>
              <w:divBdr>
                <w:top w:val="none" w:sz="0" w:space="0" w:color="auto"/>
                <w:left w:val="none" w:sz="0" w:space="0" w:color="auto"/>
                <w:bottom w:val="none" w:sz="0" w:space="0" w:color="auto"/>
                <w:right w:val="none" w:sz="0" w:space="0" w:color="auto"/>
              </w:divBdr>
            </w:div>
            <w:div w:id="2131587904">
              <w:marLeft w:val="0"/>
              <w:marRight w:val="0"/>
              <w:marTop w:val="0"/>
              <w:marBottom w:val="0"/>
              <w:divBdr>
                <w:top w:val="none" w:sz="0" w:space="0" w:color="auto"/>
                <w:left w:val="none" w:sz="0" w:space="0" w:color="auto"/>
                <w:bottom w:val="none" w:sz="0" w:space="0" w:color="auto"/>
                <w:right w:val="none" w:sz="0" w:space="0" w:color="auto"/>
              </w:divBdr>
            </w:div>
            <w:div w:id="107816134">
              <w:marLeft w:val="0"/>
              <w:marRight w:val="0"/>
              <w:marTop w:val="0"/>
              <w:marBottom w:val="0"/>
              <w:divBdr>
                <w:top w:val="none" w:sz="0" w:space="0" w:color="auto"/>
                <w:left w:val="none" w:sz="0" w:space="0" w:color="auto"/>
                <w:bottom w:val="none" w:sz="0" w:space="0" w:color="auto"/>
                <w:right w:val="none" w:sz="0" w:space="0" w:color="auto"/>
              </w:divBdr>
            </w:div>
            <w:div w:id="1522082703">
              <w:marLeft w:val="0"/>
              <w:marRight w:val="0"/>
              <w:marTop w:val="0"/>
              <w:marBottom w:val="0"/>
              <w:divBdr>
                <w:top w:val="none" w:sz="0" w:space="0" w:color="auto"/>
                <w:left w:val="none" w:sz="0" w:space="0" w:color="auto"/>
                <w:bottom w:val="none" w:sz="0" w:space="0" w:color="auto"/>
                <w:right w:val="none" w:sz="0" w:space="0" w:color="auto"/>
              </w:divBdr>
            </w:div>
            <w:div w:id="646007335">
              <w:marLeft w:val="0"/>
              <w:marRight w:val="0"/>
              <w:marTop w:val="0"/>
              <w:marBottom w:val="0"/>
              <w:divBdr>
                <w:top w:val="none" w:sz="0" w:space="0" w:color="auto"/>
                <w:left w:val="none" w:sz="0" w:space="0" w:color="auto"/>
                <w:bottom w:val="none" w:sz="0" w:space="0" w:color="auto"/>
                <w:right w:val="none" w:sz="0" w:space="0" w:color="auto"/>
              </w:divBdr>
            </w:div>
            <w:div w:id="1757048918">
              <w:marLeft w:val="0"/>
              <w:marRight w:val="0"/>
              <w:marTop w:val="0"/>
              <w:marBottom w:val="0"/>
              <w:divBdr>
                <w:top w:val="none" w:sz="0" w:space="0" w:color="auto"/>
                <w:left w:val="none" w:sz="0" w:space="0" w:color="auto"/>
                <w:bottom w:val="none" w:sz="0" w:space="0" w:color="auto"/>
                <w:right w:val="none" w:sz="0" w:space="0" w:color="auto"/>
              </w:divBdr>
            </w:div>
            <w:div w:id="1137336467">
              <w:marLeft w:val="0"/>
              <w:marRight w:val="0"/>
              <w:marTop w:val="0"/>
              <w:marBottom w:val="0"/>
              <w:divBdr>
                <w:top w:val="none" w:sz="0" w:space="0" w:color="auto"/>
                <w:left w:val="none" w:sz="0" w:space="0" w:color="auto"/>
                <w:bottom w:val="none" w:sz="0" w:space="0" w:color="auto"/>
                <w:right w:val="none" w:sz="0" w:space="0" w:color="auto"/>
              </w:divBdr>
            </w:div>
            <w:div w:id="31275785">
              <w:marLeft w:val="0"/>
              <w:marRight w:val="0"/>
              <w:marTop w:val="0"/>
              <w:marBottom w:val="0"/>
              <w:divBdr>
                <w:top w:val="none" w:sz="0" w:space="0" w:color="auto"/>
                <w:left w:val="none" w:sz="0" w:space="0" w:color="auto"/>
                <w:bottom w:val="none" w:sz="0" w:space="0" w:color="auto"/>
                <w:right w:val="none" w:sz="0" w:space="0" w:color="auto"/>
              </w:divBdr>
            </w:div>
            <w:div w:id="1480927436">
              <w:marLeft w:val="0"/>
              <w:marRight w:val="0"/>
              <w:marTop w:val="0"/>
              <w:marBottom w:val="0"/>
              <w:divBdr>
                <w:top w:val="none" w:sz="0" w:space="0" w:color="auto"/>
                <w:left w:val="none" w:sz="0" w:space="0" w:color="auto"/>
                <w:bottom w:val="none" w:sz="0" w:space="0" w:color="auto"/>
                <w:right w:val="none" w:sz="0" w:space="0" w:color="auto"/>
              </w:divBdr>
            </w:div>
            <w:div w:id="633484781">
              <w:marLeft w:val="0"/>
              <w:marRight w:val="0"/>
              <w:marTop w:val="0"/>
              <w:marBottom w:val="0"/>
              <w:divBdr>
                <w:top w:val="none" w:sz="0" w:space="0" w:color="auto"/>
                <w:left w:val="none" w:sz="0" w:space="0" w:color="auto"/>
                <w:bottom w:val="none" w:sz="0" w:space="0" w:color="auto"/>
                <w:right w:val="none" w:sz="0" w:space="0" w:color="auto"/>
              </w:divBdr>
            </w:div>
            <w:div w:id="1554927920">
              <w:marLeft w:val="0"/>
              <w:marRight w:val="0"/>
              <w:marTop w:val="0"/>
              <w:marBottom w:val="0"/>
              <w:divBdr>
                <w:top w:val="none" w:sz="0" w:space="0" w:color="auto"/>
                <w:left w:val="none" w:sz="0" w:space="0" w:color="auto"/>
                <w:bottom w:val="none" w:sz="0" w:space="0" w:color="auto"/>
                <w:right w:val="none" w:sz="0" w:space="0" w:color="auto"/>
              </w:divBdr>
            </w:div>
            <w:div w:id="1173954862">
              <w:marLeft w:val="0"/>
              <w:marRight w:val="0"/>
              <w:marTop w:val="0"/>
              <w:marBottom w:val="0"/>
              <w:divBdr>
                <w:top w:val="none" w:sz="0" w:space="0" w:color="auto"/>
                <w:left w:val="none" w:sz="0" w:space="0" w:color="auto"/>
                <w:bottom w:val="none" w:sz="0" w:space="0" w:color="auto"/>
                <w:right w:val="none" w:sz="0" w:space="0" w:color="auto"/>
              </w:divBdr>
            </w:div>
            <w:div w:id="2049328060">
              <w:marLeft w:val="0"/>
              <w:marRight w:val="0"/>
              <w:marTop w:val="0"/>
              <w:marBottom w:val="0"/>
              <w:divBdr>
                <w:top w:val="none" w:sz="0" w:space="0" w:color="auto"/>
                <w:left w:val="none" w:sz="0" w:space="0" w:color="auto"/>
                <w:bottom w:val="none" w:sz="0" w:space="0" w:color="auto"/>
                <w:right w:val="none" w:sz="0" w:space="0" w:color="auto"/>
              </w:divBdr>
            </w:div>
            <w:div w:id="280382765">
              <w:marLeft w:val="0"/>
              <w:marRight w:val="0"/>
              <w:marTop w:val="0"/>
              <w:marBottom w:val="0"/>
              <w:divBdr>
                <w:top w:val="none" w:sz="0" w:space="0" w:color="auto"/>
                <w:left w:val="none" w:sz="0" w:space="0" w:color="auto"/>
                <w:bottom w:val="none" w:sz="0" w:space="0" w:color="auto"/>
                <w:right w:val="none" w:sz="0" w:space="0" w:color="auto"/>
              </w:divBdr>
            </w:div>
            <w:div w:id="1577007747">
              <w:marLeft w:val="0"/>
              <w:marRight w:val="0"/>
              <w:marTop w:val="0"/>
              <w:marBottom w:val="0"/>
              <w:divBdr>
                <w:top w:val="none" w:sz="0" w:space="0" w:color="auto"/>
                <w:left w:val="none" w:sz="0" w:space="0" w:color="auto"/>
                <w:bottom w:val="none" w:sz="0" w:space="0" w:color="auto"/>
                <w:right w:val="none" w:sz="0" w:space="0" w:color="auto"/>
              </w:divBdr>
            </w:div>
            <w:div w:id="1287809950">
              <w:marLeft w:val="0"/>
              <w:marRight w:val="0"/>
              <w:marTop w:val="0"/>
              <w:marBottom w:val="0"/>
              <w:divBdr>
                <w:top w:val="none" w:sz="0" w:space="0" w:color="auto"/>
                <w:left w:val="none" w:sz="0" w:space="0" w:color="auto"/>
                <w:bottom w:val="none" w:sz="0" w:space="0" w:color="auto"/>
                <w:right w:val="none" w:sz="0" w:space="0" w:color="auto"/>
              </w:divBdr>
            </w:div>
            <w:div w:id="667557155">
              <w:marLeft w:val="0"/>
              <w:marRight w:val="0"/>
              <w:marTop w:val="0"/>
              <w:marBottom w:val="0"/>
              <w:divBdr>
                <w:top w:val="none" w:sz="0" w:space="0" w:color="auto"/>
                <w:left w:val="none" w:sz="0" w:space="0" w:color="auto"/>
                <w:bottom w:val="none" w:sz="0" w:space="0" w:color="auto"/>
                <w:right w:val="none" w:sz="0" w:space="0" w:color="auto"/>
              </w:divBdr>
            </w:div>
            <w:div w:id="1274165249">
              <w:marLeft w:val="0"/>
              <w:marRight w:val="0"/>
              <w:marTop w:val="0"/>
              <w:marBottom w:val="0"/>
              <w:divBdr>
                <w:top w:val="none" w:sz="0" w:space="0" w:color="auto"/>
                <w:left w:val="none" w:sz="0" w:space="0" w:color="auto"/>
                <w:bottom w:val="none" w:sz="0" w:space="0" w:color="auto"/>
                <w:right w:val="none" w:sz="0" w:space="0" w:color="auto"/>
              </w:divBdr>
            </w:div>
            <w:div w:id="156699216">
              <w:marLeft w:val="0"/>
              <w:marRight w:val="0"/>
              <w:marTop w:val="0"/>
              <w:marBottom w:val="0"/>
              <w:divBdr>
                <w:top w:val="none" w:sz="0" w:space="0" w:color="auto"/>
                <w:left w:val="none" w:sz="0" w:space="0" w:color="auto"/>
                <w:bottom w:val="none" w:sz="0" w:space="0" w:color="auto"/>
                <w:right w:val="none" w:sz="0" w:space="0" w:color="auto"/>
              </w:divBdr>
            </w:div>
            <w:div w:id="485510104">
              <w:marLeft w:val="0"/>
              <w:marRight w:val="0"/>
              <w:marTop w:val="0"/>
              <w:marBottom w:val="0"/>
              <w:divBdr>
                <w:top w:val="none" w:sz="0" w:space="0" w:color="auto"/>
                <w:left w:val="none" w:sz="0" w:space="0" w:color="auto"/>
                <w:bottom w:val="none" w:sz="0" w:space="0" w:color="auto"/>
                <w:right w:val="none" w:sz="0" w:space="0" w:color="auto"/>
              </w:divBdr>
            </w:div>
            <w:div w:id="841893575">
              <w:marLeft w:val="0"/>
              <w:marRight w:val="0"/>
              <w:marTop w:val="0"/>
              <w:marBottom w:val="0"/>
              <w:divBdr>
                <w:top w:val="none" w:sz="0" w:space="0" w:color="auto"/>
                <w:left w:val="none" w:sz="0" w:space="0" w:color="auto"/>
                <w:bottom w:val="none" w:sz="0" w:space="0" w:color="auto"/>
                <w:right w:val="none" w:sz="0" w:space="0" w:color="auto"/>
              </w:divBdr>
            </w:div>
            <w:div w:id="1354107399">
              <w:marLeft w:val="0"/>
              <w:marRight w:val="0"/>
              <w:marTop w:val="0"/>
              <w:marBottom w:val="0"/>
              <w:divBdr>
                <w:top w:val="none" w:sz="0" w:space="0" w:color="auto"/>
                <w:left w:val="none" w:sz="0" w:space="0" w:color="auto"/>
                <w:bottom w:val="none" w:sz="0" w:space="0" w:color="auto"/>
                <w:right w:val="none" w:sz="0" w:space="0" w:color="auto"/>
              </w:divBdr>
            </w:div>
            <w:div w:id="931358047">
              <w:marLeft w:val="0"/>
              <w:marRight w:val="0"/>
              <w:marTop w:val="0"/>
              <w:marBottom w:val="0"/>
              <w:divBdr>
                <w:top w:val="none" w:sz="0" w:space="0" w:color="auto"/>
                <w:left w:val="none" w:sz="0" w:space="0" w:color="auto"/>
                <w:bottom w:val="none" w:sz="0" w:space="0" w:color="auto"/>
                <w:right w:val="none" w:sz="0" w:space="0" w:color="auto"/>
              </w:divBdr>
            </w:div>
            <w:div w:id="23139045">
              <w:marLeft w:val="0"/>
              <w:marRight w:val="0"/>
              <w:marTop w:val="0"/>
              <w:marBottom w:val="0"/>
              <w:divBdr>
                <w:top w:val="none" w:sz="0" w:space="0" w:color="auto"/>
                <w:left w:val="none" w:sz="0" w:space="0" w:color="auto"/>
                <w:bottom w:val="none" w:sz="0" w:space="0" w:color="auto"/>
                <w:right w:val="none" w:sz="0" w:space="0" w:color="auto"/>
              </w:divBdr>
            </w:div>
            <w:div w:id="1534033058">
              <w:marLeft w:val="0"/>
              <w:marRight w:val="0"/>
              <w:marTop w:val="0"/>
              <w:marBottom w:val="0"/>
              <w:divBdr>
                <w:top w:val="none" w:sz="0" w:space="0" w:color="auto"/>
                <w:left w:val="none" w:sz="0" w:space="0" w:color="auto"/>
                <w:bottom w:val="none" w:sz="0" w:space="0" w:color="auto"/>
                <w:right w:val="none" w:sz="0" w:space="0" w:color="auto"/>
              </w:divBdr>
            </w:div>
            <w:div w:id="1919435319">
              <w:marLeft w:val="0"/>
              <w:marRight w:val="0"/>
              <w:marTop w:val="0"/>
              <w:marBottom w:val="0"/>
              <w:divBdr>
                <w:top w:val="none" w:sz="0" w:space="0" w:color="auto"/>
                <w:left w:val="none" w:sz="0" w:space="0" w:color="auto"/>
                <w:bottom w:val="none" w:sz="0" w:space="0" w:color="auto"/>
                <w:right w:val="none" w:sz="0" w:space="0" w:color="auto"/>
              </w:divBdr>
            </w:div>
            <w:div w:id="1485243154">
              <w:marLeft w:val="0"/>
              <w:marRight w:val="0"/>
              <w:marTop w:val="0"/>
              <w:marBottom w:val="0"/>
              <w:divBdr>
                <w:top w:val="none" w:sz="0" w:space="0" w:color="auto"/>
                <w:left w:val="none" w:sz="0" w:space="0" w:color="auto"/>
                <w:bottom w:val="none" w:sz="0" w:space="0" w:color="auto"/>
                <w:right w:val="none" w:sz="0" w:space="0" w:color="auto"/>
              </w:divBdr>
            </w:div>
            <w:div w:id="1529290139">
              <w:marLeft w:val="0"/>
              <w:marRight w:val="0"/>
              <w:marTop w:val="0"/>
              <w:marBottom w:val="0"/>
              <w:divBdr>
                <w:top w:val="none" w:sz="0" w:space="0" w:color="auto"/>
                <w:left w:val="none" w:sz="0" w:space="0" w:color="auto"/>
                <w:bottom w:val="none" w:sz="0" w:space="0" w:color="auto"/>
                <w:right w:val="none" w:sz="0" w:space="0" w:color="auto"/>
              </w:divBdr>
            </w:div>
            <w:div w:id="1670206835">
              <w:marLeft w:val="0"/>
              <w:marRight w:val="0"/>
              <w:marTop w:val="0"/>
              <w:marBottom w:val="0"/>
              <w:divBdr>
                <w:top w:val="none" w:sz="0" w:space="0" w:color="auto"/>
                <w:left w:val="none" w:sz="0" w:space="0" w:color="auto"/>
                <w:bottom w:val="none" w:sz="0" w:space="0" w:color="auto"/>
                <w:right w:val="none" w:sz="0" w:space="0" w:color="auto"/>
              </w:divBdr>
            </w:div>
            <w:div w:id="1163400804">
              <w:marLeft w:val="0"/>
              <w:marRight w:val="0"/>
              <w:marTop w:val="0"/>
              <w:marBottom w:val="0"/>
              <w:divBdr>
                <w:top w:val="none" w:sz="0" w:space="0" w:color="auto"/>
                <w:left w:val="none" w:sz="0" w:space="0" w:color="auto"/>
                <w:bottom w:val="none" w:sz="0" w:space="0" w:color="auto"/>
                <w:right w:val="none" w:sz="0" w:space="0" w:color="auto"/>
              </w:divBdr>
            </w:div>
            <w:div w:id="305857640">
              <w:marLeft w:val="0"/>
              <w:marRight w:val="0"/>
              <w:marTop w:val="0"/>
              <w:marBottom w:val="0"/>
              <w:divBdr>
                <w:top w:val="none" w:sz="0" w:space="0" w:color="auto"/>
                <w:left w:val="none" w:sz="0" w:space="0" w:color="auto"/>
                <w:bottom w:val="none" w:sz="0" w:space="0" w:color="auto"/>
                <w:right w:val="none" w:sz="0" w:space="0" w:color="auto"/>
              </w:divBdr>
            </w:div>
            <w:div w:id="63957917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915776919">
              <w:marLeft w:val="0"/>
              <w:marRight w:val="0"/>
              <w:marTop w:val="0"/>
              <w:marBottom w:val="0"/>
              <w:divBdr>
                <w:top w:val="none" w:sz="0" w:space="0" w:color="auto"/>
                <w:left w:val="none" w:sz="0" w:space="0" w:color="auto"/>
                <w:bottom w:val="none" w:sz="0" w:space="0" w:color="auto"/>
                <w:right w:val="none" w:sz="0" w:space="0" w:color="auto"/>
              </w:divBdr>
            </w:div>
            <w:div w:id="499270599">
              <w:marLeft w:val="0"/>
              <w:marRight w:val="0"/>
              <w:marTop w:val="0"/>
              <w:marBottom w:val="0"/>
              <w:divBdr>
                <w:top w:val="none" w:sz="0" w:space="0" w:color="auto"/>
                <w:left w:val="none" w:sz="0" w:space="0" w:color="auto"/>
                <w:bottom w:val="none" w:sz="0" w:space="0" w:color="auto"/>
                <w:right w:val="none" w:sz="0" w:space="0" w:color="auto"/>
              </w:divBdr>
            </w:div>
            <w:div w:id="1328560870">
              <w:marLeft w:val="0"/>
              <w:marRight w:val="0"/>
              <w:marTop w:val="0"/>
              <w:marBottom w:val="0"/>
              <w:divBdr>
                <w:top w:val="none" w:sz="0" w:space="0" w:color="auto"/>
                <w:left w:val="none" w:sz="0" w:space="0" w:color="auto"/>
                <w:bottom w:val="none" w:sz="0" w:space="0" w:color="auto"/>
                <w:right w:val="none" w:sz="0" w:space="0" w:color="auto"/>
              </w:divBdr>
            </w:div>
            <w:div w:id="744104252">
              <w:marLeft w:val="0"/>
              <w:marRight w:val="0"/>
              <w:marTop w:val="0"/>
              <w:marBottom w:val="0"/>
              <w:divBdr>
                <w:top w:val="none" w:sz="0" w:space="0" w:color="auto"/>
                <w:left w:val="none" w:sz="0" w:space="0" w:color="auto"/>
                <w:bottom w:val="none" w:sz="0" w:space="0" w:color="auto"/>
                <w:right w:val="none" w:sz="0" w:space="0" w:color="auto"/>
              </w:divBdr>
            </w:div>
            <w:div w:id="194274091">
              <w:marLeft w:val="0"/>
              <w:marRight w:val="0"/>
              <w:marTop w:val="0"/>
              <w:marBottom w:val="0"/>
              <w:divBdr>
                <w:top w:val="none" w:sz="0" w:space="0" w:color="auto"/>
                <w:left w:val="none" w:sz="0" w:space="0" w:color="auto"/>
                <w:bottom w:val="none" w:sz="0" w:space="0" w:color="auto"/>
                <w:right w:val="none" w:sz="0" w:space="0" w:color="auto"/>
              </w:divBdr>
            </w:div>
            <w:div w:id="157498668">
              <w:marLeft w:val="0"/>
              <w:marRight w:val="0"/>
              <w:marTop w:val="0"/>
              <w:marBottom w:val="0"/>
              <w:divBdr>
                <w:top w:val="none" w:sz="0" w:space="0" w:color="auto"/>
                <w:left w:val="none" w:sz="0" w:space="0" w:color="auto"/>
                <w:bottom w:val="none" w:sz="0" w:space="0" w:color="auto"/>
                <w:right w:val="none" w:sz="0" w:space="0" w:color="auto"/>
              </w:divBdr>
            </w:div>
            <w:div w:id="1566379651">
              <w:marLeft w:val="0"/>
              <w:marRight w:val="0"/>
              <w:marTop w:val="0"/>
              <w:marBottom w:val="0"/>
              <w:divBdr>
                <w:top w:val="none" w:sz="0" w:space="0" w:color="auto"/>
                <w:left w:val="none" w:sz="0" w:space="0" w:color="auto"/>
                <w:bottom w:val="none" w:sz="0" w:space="0" w:color="auto"/>
                <w:right w:val="none" w:sz="0" w:space="0" w:color="auto"/>
              </w:divBdr>
            </w:div>
            <w:div w:id="123176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5319">
      <w:marLeft w:val="0"/>
      <w:marRight w:val="0"/>
      <w:marTop w:val="0"/>
      <w:marBottom w:val="0"/>
      <w:divBdr>
        <w:top w:val="none" w:sz="0" w:space="0" w:color="auto"/>
        <w:left w:val="none" w:sz="0" w:space="0" w:color="auto"/>
        <w:bottom w:val="none" w:sz="0" w:space="0" w:color="auto"/>
        <w:right w:val="none" w:sz="0" w:space="0" w:color="auto"/>
      </w:divBdr>
      <w:divsChild>
        <w:div w:id="2003048876">
          <w:marLeft w:val="0"/>
          <w:marRight w:val="0"/>
          <w:marTop w:val="0"/>
          <w:marBottom w:val="0"/>
          <w:divBdr>
            <w:top w:val="none" w:sz="0" w:space="0" w:color="auto"/>
            <w:left w:val="none" w:sz="0" w:space="0" w:color="auto"/>
            <w:bottom w:val="none" w:sz="0" w:space="0" w:color="auto"/>
            <w:right w:val="none" w:sz="0" w:space="0" w:color="auto"/>
          </w:divBdr>
        </w:div>
      </w:divsChild>
    </w:div>
    <w:div w:id="1708484154">
      <w:marLeft w:val="0"/>
      <w:marRight w:val="0"/>
      <w:marTop w:val="0"/>
      <w:marBottom w:val="0"/>
      <w:divBdr>
        <w:top w:val="none" w:sz="0" w:space="0" w:color="auto"/>
        <w:left w:val="none" w:sz="0" w:space="0" w:color="auto"/>
        <w:bottom w:val="none" w:sz="0" w:space="0" w:color="auto"/>
        <w:right w:val="none" w:sz="0" w:space="0" w:color="auto"/>
      </w:divBdr>
      <w:divsChild>
        <w:div w:id="893349485">
          <w:marLeft w:val="0"/>
          <w:marRight w:val="0"/>
          <w:marTop w:val="0"/>
          <w:marBottom w:val="0"/>
          <w:divBdr>
            <w:top w:val="none" w:sz="0" w:space="0" w:color="auto"/>
            <w:left w:val="none" w:sz="0" w:space="0" w:color="auto"/>
            <w:bottom w:val="none" w:sz="0" w:space="0" w:color="auto"/>
            <w:right w:val="none" w:sz="0" w:space="0" w:color="auto"/>
          </w:divBdr>
        </w:div>
      </w:divsChild>
    </w:div>
    <w:div w:id="1715083446">
      <w:marLeft w:val="0"/>
      <w:marRight w:val="0"/>
      <w:marTop w:val="0"/>
      <w:marBottom w:val="0"/>
      <w:divBdr>
        <w:top w:val="none" w:sz="0" w:space="0" w:color="auto"/>
        <w:left w:val="none" w:sz="0" w:space="0" w:color="auto"/>
        <w:bottom w:val="none" w:sz="0" w:space="0" w:color="auto"/>
        <w:right w:val="none" w:sz="0" w:space="0" w:color="auto"/>
      </w:divBdr>
      <w:divsChild>
        <w:div w:id="1002395083">
          <w:marLeft w:val="0"/>
          <w:marRight w:val="0"/>
          <w:marTop w:val="0"/>
          <w:marBottom w:val="0"/>
          <w:divBdr>
            <w:top w:val="none" w:sz="0" w:space="0" w:color="auto"/>
            <w:left w:val="none" w:sz="0" w:space="0" w:color="auto"/>
            <w:bottom w:val="none" w:sz="0" w:space="0" w:color="auto"/>
            <w:right w:val="none" w:sz="0" w:space="0" w:color="auto"/>
          </w:divBdr>
        </w:div>
      </w:divsChild>
    </w:div>
    <w:div w:id="1715227619">
      <w:bodyDiv w:val="1"/>
      <w:marLeft w:val="0"/>
      <w:marRight w:val="0"/>
      <w:marTop w:val="0"/>
      <w:marBottom w:val="0"/>
      <w:divBdr>
        <w:top w:val="none" w:sz="0" w:space="0" w:color="auto"/>
        <w:left w:val="none" w:sz="0" w:space="0" w:color="auto"/>
        <w:bottom w:val="none" w:sz="0" w:space="0" w:color="auto"/>
        <w:right w:val="none" w:sz="0" w:space="0" w:color="auto"/>
      </w:divBdr>
    </w:div>
    <w:div w:id="1716735021">
      <w:bodyDiv w:val="1"/>
      <w:marLeft w:val="0"/>
      <w:marRight w:val="0"/>
      <w:marTop w:val="0"/>
      <w:marBottom w:val="0"/>
      <w:divBdr>
        <w:top w:val="none" w:sz="0" w:space="0" w:color="auto"/>
        <w:left w:val="none" w:sz="0" w:space="0" w:color="auto"/>
        <w:bottom w:val="none" w:sz="0" w:space="0" w:color="auto"/>
        <w:right w:val="none" w:sz="0" w:space="0" w:color="auto"/>
      </w:divBdr>
    </w:div>
    <w:div w:id="1719742233">
      <w:marLeft w:val="0"/>
      <w:marRight w:val="0"/>
      <w:marTop w:val="0"/>
      <w:marBottom w:val="0"/>
      <w:divBdr>
        <w:top w:val="none" w:sz="0" w:space="0" w:color="auto"/>
        <w:left w:val="none" w:sz="0" w:space="0" w:color="auto"/>
        <w:bottom w:val="none" w:sz="0" w:space="0" w:color="auto"/>
        <w:right w:val="none" w:sz="0" w:space="0" w:color="auto"/>
      </w:divBdr>
      <w:divsChild>
        <w:div w:id="2019845907">
          <w:marLeft w:val="0"/>
          <w:marRight w:val="0"/>
          <w:marTop w:val="0"/>
          <w:marBottom w:val="0"/>
          <w:divBdr>
            <w:top w:val="none" w:sz="0" w:space="0" w:color="auto"/>
            <w:left w:val="none" w:sz="0" w:space="0" w:color="auto"/>
            <w:bottom w:val="none" w:sz="0" w:space="0" w:color="auto"/>
            <w:right w:val="none" w:sz="0" w:space="0" w:color="auto"/>
          </w:divBdr>
        </w:div>
      </w:divsChild>
    </w:div>
    <w:div w:id="1723290267">
      <w:bodyDiv w:val="1"/>
      <w:marLeft w:val="0"/>
      <w:marRight w:val="0"/>
      <w:marTop w:val="0"/>
      <w:marBottom w:val="0"/>
      <w:divBdr>
        <w:top w:val="none" w:sz="0" w:space="0" w:color="auto"/>
        <w:left w:val="none" w:sz="0" w:space="0" w:color="auto"/>
        <w:bottom w:val="none" w:sz="0" w:space="0" w:color="auto"/>
        <w:right w:val="none" w:sz="0" w:space="0" w:color="auto"/>
      </w:divBdr>
    </w:div>
    <w:div w:id="1724401867">
      <w:bodyDiv w:val="1"/>
      <w:marLeft w:val="0"/>
      <w:marRight w:val="0"/>
      <w:marTop w:val="0"/>
      <w:marBottom w:val="0"/>
      <w:divBdr>
        <w:top w:val="none" w:sz="0" w:space="0" w:color="auto"/>
        <w:left w:val="none" w:sz="0" w:space="0" w:color="auto"/>
        <w:bottom w:val="none" w:sz="0" w:space="0" w:color="auto"/>
        <w:right w:val="none" w:sz="0" w:space="0" w:color="auto"/>
      </w:divBdr>
    </w:div>
    <w:div w:id="1726178777">
      <w:bodyDiv w:val="1"/>
      <w:marLeft w:val="0"/>
      <w:marRight w:val="0"/>
      <w:marTop w:val="0"/>
      <w:marBottom w:val="0"/>
      <w:divBdr>
        <w:top w:val="none" w:sz="0" w:space="0" w:color="auto"/>
        <w:left w:val="none" w:sz="0" w:space="0" w:color="auto"/>
        <w:bottom w:val="none" w:sz="0" w:space="0" w:color="auto"/>
        <w:right w:val="none" w:sz="0" w:space="0" w:color="auto"/>
      </w:divBdr>
    </w:div>
    <w:div w:id="1726292151">
      <w:marLeft w:val="0"/>
      <w:marRight w:val="0"/>
      <w:marTop w:val="0"/>
      <w:marBottom w:val="0"/>
      <w:divBdr>
        <w:top w:val="none" w:sz="0" w:space="0" w:color="auto"/>
        <w:left w:val="none" w:sz="0" w:space="0" w:color="auto"/>
        <w:bottom w:val="none" w:sz="0" w:space="0" w:color="auto"/>
        <w:right w:val="none" w:sz="0" w:space="0" w:color="auto"/>
      </w:divBdr>
      <w:divsChild>
        <w:div w:id="1656758787">
          <w:marLeft w:val="0"/>
          <w:marRight w:val="0"/>
          <w:marTop w:val="0"/>
          <w:marBottom w:val="0"/>
          <w:divBdr>
            <w:top w:val="none" w:sz="0" w:space="0" w:color="auto"/>
            <w:left w:val="none" w:sz="0" w:space="0" w:color="auto"/>
            <w:bottom w:val="none" w:sz="0" w:space="0" w:color="auto"/>
            <w:right w:val="none" w:sz="0" w:space="0" w:color="auto"/>
          </w:divBdr>
        </w:div>
      </w:divsChild>
    </w:div>
    <w:div w:id="1729575267">
      <w:marLeft w:val="0"/>
      <w:marRight w:val="0"/>
      <w:marTop w:val="0"/>
      <w:marBottom w:val="0"/>
      <w:divBdr>
        <w:top w:val="none" w:sz="0" w:space="0" w:color="auto"/>
        <w:left w:val="none" w:sz="0" w:space="0" w:color="auto"/>
        <w:bottom w:val="none" w:sz="0" w:space="0" w:color="auto"/>
        <w:right w:val="none" w:sz="0" w:space="0" w:color="auto"/>
      </w:divBdr>
      <w:divsChild>
        <w:div w:id="1713074210">
          <w:marLeft w:val="0"/>
          <w:marRight w:val="0"/>
          <w:marTop w:val="0"/>
          <w:marBottom w:val="0"/>
          <w:divBdr>
            <w:top w:val="none" w:sz="0" w:space="0" w:color="auto"/>
            <w:left w:val="none" w:sz="0" w:space="0" w:color="auto"/>
            <w:bottom w:val="none" w:sz="0" w:space="0" w:color="auto"/>
            <w:right w:val="none" w:sz="0" w:space="0" w:color="auto"/>
          </w:divBdr>
        </w:div>
      </w:divsChild>
    </w:div>
    <w:div w:id="1733196033">
      <w:bodyDiv w:val="1"/>
      <w:marLeft w:val="0"/>
      <w:marRight w:val="0"/>
      <w:marTop w:val="0"/>
      <w:marBottom w:val="0"/>
      <w:divBdr>
        <w:top w:val="none" w:sz="0" w:space="0" w:color="auto"/>
        <w:left w:val="none" w:sz="0" w:space="0" w:color="auto"/>
        <w:bottom w:val="none" w:sz="0" w:space="0" w:color="auto"/>
        <w:right w:val="none" w:sz="0" w:space="0" w:color="auto"/>
      </w:divBdr>
    </w:div>
    <w:div w:id="1736900804">
      <w:bodyDiv w:val="1"/>
      <w:marLeft w:val="0"/>
      <w:marRight w:val="0"/>
      <w:marTop w:val="0"/>
      <w:marBottom w:val="0"/>
      <w:divBdr>
        <w:top w:val="none" w:sz="0" w:space="0" w:color="auto"/>
        <w:left w:val="none" w:sz="0" w:space="0" w:color="auto"/>
        <w:bottom w:val="none" w:sz="0" w:space="0" w:color="auto"/>
        <w:right w:val="none" w:sz="0" w:space="0" w:color="auto"/>
      </w:divBdr>
    </w:div>
    <w:div w:id="1739012495">
      <w:bodyDiv w:val="1"/>
      <w:marLeft w:val="0"/>
      <w:marRight w:val="0"/>
      <w:marTop w:val="0"/>
      <w:marBottom w:val="0"/>
      <w:divBdr>
        <w:top w:val="none" w:sz="0" w:space="0" w:color="auto"/>
        <w:left w:val="none" w:sz="0" w:space="0" w:color="auto"/>
        <w:bottom w:val="none" w:sz="0" w:space="0" w:color="auto"/>
        <w:right w:val="none" w:sz="0" w:space="0" w:color="auto"/>
      </w:divBdr>
    </w:div>
    <w:div w:id="1739597823">
      <w:bodyDiv w:val="1"/>
      <w:marLeft w:val="0"/>
      <w:marRight w:val="0"/>
      <w:marTop w:val="0"/>
      <w:marBottom w:val="0"/>
      <w:divBdr>
        <w:top w:val="none" w:sz="0" w:space="0" w:color="auto"/>
        <w:left w:val="none" w:sz="0" w:space="0" w:color="auto"/>
        <w:bottom w:val="none" w:sz="0" w:space="0" w:color="auto"/>
        <w:right w:val="none" w:sz="0" w:space="0" w:color="auto"/>
      </w:divBdr>
      <w:divsChild>
        <w:div w:id="128254668">
          <w:marLeft w:val="0"/>
          <w:marRight w:val="0"/>
          <w:marTop w:val="0"/>
          <w:marBottom w:val="0"/>
          <w:divBdr>
            <w:top w:val="none" w:sz="0" w:space="0" w:color="auto"/>
            <w:left w:val="none" w:sz="0" w:space="0" w:color="auto"/>
            <w:bottom w:val="none" w:sz="0" w:space="0" w:color="auto"/>
            <w:right w:val="none" w:sz="0" w:space="0" w:color="auto"/>
          </w:divBdr>
          <w:divsChild>
            <w:div w:id="1083452050">
              <w:marLeft w:val="0"/>
              <w:marRight w:val="0"/>
              <w:marTop w:val="0"/>
              <w:marBottom w:val="0"/>
              <w:divBdr>
                <w:top w:val="none" w:sz="0" w:space="0" w:color="auto"/>
                <w:left w:val="none" w:sz="0" w:space="0" w:color="auto"/>
                <w:bottom w:val="none" w:sz="0" w:space="0" w:color="auto"/>
                <w:right w:val="none" w:sz="0" w:space="0" w:color="auto"/>
              </w:divBdr>
            </w:div>
            <w:div w:id="1019430189">
              <w:marLeft w:val="0"/>
              <w:marRight w:val="0"/>
              <w:marTop w:val="0"/>
              <w:marBottom w:val="0"/>
              <w:divBdr>
                <w:top w:val="none" w:sz="0" w:space="0" w:color="auto"/>
                <w:left w:val="none" w:sz="0" w:space="0" w:color="auto"/>
                <w:bottom w:val="none" w:sz="0" w:space="0" w:color="auto"/>
                <w:right w:val="none" w:sz="0" w:space="0" w:color="auto"/>
              </w:divBdr>
            </w:div>
            <w:div w:id="2122067471">
              <w:marLeft w:val="0"/>
              <w:marRight w:val="0"/>
              <w:marTop w:val="0"/>
              <w:marBottom w:val="0"/>
              <w:divBdr>
                <w:top w:val="none" w:sz="0" w:space="0" w:color="auto"/>
                <w:left w:val="none" w:sz="0" w:space="0" w:color="auto"/>
                <w:bottom w:val="none" w:sz="0" w:space="0" w:color="auto"/>
                <w:right w:val="none" w:sz="0" w:space="0" w:color="auto"/>
              </w:divBdr>
            </w:div>
            <w:div w:id="2119988506">
              <w:marLeft w:val="0"/>
              <w:marRight w:val="0"/>
              <w:marTop w:val="0"/>
              <w:marBottom w:val="0"/>
              <w:divBdr>
                <w:top w:val="none" w:sz="0" w:space="0" w:color="auto"/>
                <w:left w:val="none" w:sz="0" w:space="0" w:color="auto"/>
                <w:bottom w:val="none" w:sz="0" w:space="0" w:color="auto"/>
                <w:right w:val="none" w:sz="0" w:space="0" w:color="auto"/>
              </w:divBdr>
            </w:div>
            <w:div w:id="525409917">
              <w:marLeft w:val="0"/>
              <w:marRight w:val="0"/>
              <w:marTop w:val="0"/>
              <w:marBottom w:val="0"/>
              <w:divBdr>
                <w:top w:val="none" w:sz="0" w:space="0" w:color="auto"/>
                <w:left w:val="none" w:sz="0" w:space="0" w:color="auto"/>
                <w:bottom w:val="none" w:sz="0" w:space="0" w:color="auto"/>
                <w:right w:val="none" w:sz="0" w:space="0" w:color="auto"/>
              </w:divBdr>
            </w:div>
            <w:div w:id="730999462">
              <w:marLeft w:val="0"/>
              <w:marRight w:val="0"/>
              <w:marTop w:val="0"/>
              <w:marBottom w:val="0"/>
              <w:divBdr>
                <w:top w:val="none" w:sz="0" w:space="0" w:color="auto"/>
                <w:left w:val="none" w:sz="0" w:space="0" w:color="auto"/>
                <w:bottom w:val="none" w:sz="0" w:space="0" w:color="auto"/>
                <w:right w:val="none" w:sz="0" w:space="0" w:color="auto"/>
              </w:divBdr>
            </w:div>
            <w:div w:id="863059447">
              <w:marLeft w:val="0"/>
              <w:marRight w:val="0"/>
              <w:marTop w:val="0"/>
              <w:marBottom w:val="0"/>
              <w:divBdr>
                <w:top w:val="none" w:sz="0" w:space="0" w:color="auto"/>
                <w:left w:val="none" w:sz="0" w:space="0" w:color="auto"/>
                <w:bottom w:val="none" w:sz="0" w:space="0" w:color="auto"/>
                <w:right w:val="none" w:sz="0" w:space="0" w:color="auto"/>
              </w:divBdr>
            </w:div>
            <w:div w:id="911814565">
              <w:marLeft w:val="0"/>
              <w:marRight w:val="0"/>
              <w:marTop w:val="0"/>
              <w:marBottom w:val="0"/>
              <w:divBdr>
                <w:top w:val="none" w:sz="0" w:space="0" w:color="auto"/>
                <w:left w:val="none" w:sz="0" w:space="0" w:color="auto"/>
                <w:bottom w:val="none" w:sz="0" w:space="0" w:color="auto"/>
                <w:right w:val="none" w:sz="0" w:space="0" w:color="auto"/>
              </w:divBdr>
            </w:div>
            <w:div w:id="1360813218">
              <w:marLeft w:val="0"/>
              <w:marRight w:val="0"/>
              <w:marTop w:val="0"/>
              <w:marBottom w:val="0"/>
              <w:divBdr>
                <w:top w:val="none" w:sz="0" w:space="0" w:color="auto"/>
                <w:left w:val="none" w:sz="0" w:space="0" w:color="auto"/>
                <w:bottom w:val="none" w:sz="0" w:space="0" w:color="auto"/>
                <w:right w:val="none" w:sz="0" w:space="0" w:color="auto"/>
              </w:divBdr>
            </w:div>
            <w:div w:id="1191332596">
              <w:marLeft w:val="0"/>
              <w:marRight w:val="0"/>
              <w:marTop w:val="0"/>
              <w:marBottom w:val="0"/>
              <w:divBdr>
                <w:top w:val="none" w:sz="0" w:space="0" w:color="auto"/>
                <w:left w:val="none" w:sz="0" w:space="0" w:color="auto"/>
                <w:bottom w:val="none" w:sz="0" w:space="0" w:color="auto"/>
                <w:right w:val="none" w:sz="0" w:space="0" w:color="auto"/>
              </w:divBdr>
            </w:div>
            <w:div w:id="571938750">
              <w:marLeft w:val="0"/>
              <w:marRight w:val="0"/>
              <w:marTop w:val="0"/>
              <w:marBottom w:val="0"/>
              <w:divBdr>
                <w:top w:val="none" w:sz="0" w:space="0" w:color="auto"/>
                <w:left w:val="none" w:sz="0" w:space="0" w:color="auto"/>
                <w:bottom w:val="none" w:sz="0" w:space="0" w:color="auto"/>
                <w:right w:val="none" w:sz="0" w:space="0" w:color="auto"/>
              </w:divBdr>
            </w:div>
            <w:div w:id="1648317667">
              <w:marLeft w:val="0"/>
              <w:marRight w:val="0"/>
              <w:marTop w:val="0"/>
              <w:marBottom w:val="0"/>
              <w:divBdr>
                <w:top w:val="none" w:sz="0" w:space="0" w:color="auto"/>
                <w:left w:val="none" w:sz="0" w:space="0" w:color="auto"/>
                <w:bottom w:val="none" w:sz="0" w:space="0" w:color="auto"/>
                <w:right w:val="none" w:sz="0" w:space="0" w:color="auto"/>
              </w:divBdr>
            </w:div>
            <w:div w:id="463425597">
              <w:marLeft w:val="0"/>
              <w:marRight w:val="0"/>
              <w:marTop w:val="0"/>
              <w:marBottom w:val="0"/>
              <w:divBdr>
                <w:top w:val="none" w:sz="0" w:space="0" w:color="auto"/>
                <w:left w:val="none" w:sz="0" w:space="0" w:color="auto"/>
                <w:bottom w:val="none" w:sz="0" w:space="0" w:color="auto"/>
                <w:right w:val="none" w:sz="0" w:space="0" w:color="auto"/>
              </w:divBdr>
            </w:div>
            <w:div w:id="1261570322">
              <w:marLeft w:val="0"/>
              <w:marRight w:val="0"/>
              <w:marTop w:val="0"/>
              <w:marBottom w:val="0"/>
              <w:divBdr>
                <w:top w:val="none" w:sz="0" w:space="0" w:color="auto"/>
                <w:left w:val="none" w:sz="0" w:space="0" w:color="auto"/>
                <w:bottom w:val="none" w:sz="0" w:space="0" w:color="auto"/>
                <w:right w:val="none" w:sz="0" w:space="0" w:color="auto"/>
              </w:divBdr>
            </w:div>
            <w:div w:id="2049408105">
              <w:marLeft w:val="0"/>
              <w:marRight w:val="0"/>
              <w:marTop w:val="0"/>
              <w:marBottom w:val="0"/>
              <w:divBdr>
                <w:top w:val="none" w:sz="0" w:space="0" w:color="auto"/>
                <w:left w:val="none" w:sz="0" w:space="0" w:color="auto"/>
                <w:bottom w:val="none" w:sz="0" w:space="0" w:color="auto"/>
                <w:right w:val="none" w:sz="0" w:space="0" w:color="auto"/>
              </w:divBdr>
            </w:div>
            <w:div w:id="1877497575">
              <w:marLeft w:val="0"/>
              <w:marRight w:val="0"/>
              <w:marTop w:val="0"/>
              <w:marBottom w:val="0"/>
              <w:divBdr>
                <w:top w:val="none" w:sz="0" w:space="0" w:color="auto"/>
                <w:left w:val="none" w:sz="0" w:space="0" w:color="auto"/>
                <w:bottom w:val="none" w:sz="0" w:space="0" w:color="auto"/>
                <w:right w:val="none" w:sz="0" w:space="0" w:color="auto"/>
              </w:divBdr>
            </w:div>
            <w:div w:id="221136390">
              <w:marLeft w:val="0"/>
              <w:marRight w:val="0"/>
              <w:marTop w:val="0"/>
              <w:marBottom w:val="0"/>
              <w:divBdr>
                <w:top w:val="none" w:sz="0" w:space="0" w:color="auto"/>
                <w:left w:val="none" w:sz="0" w:space="0" w:color="auto"/>
                <w:bottom w:val="none" w:sz="0" w:space="0" w:color="auto"/>
                <w:right w:val="none" w:sz="0" w:space="0" w:color="auto"/>
              </w:divBdr>
            </w:div>
            <w:div w:id="1870488046">
              <w:marLeft w:val="0"/>
              <w:marRight w:val="0"/>
              <w:marTop w:val="0"/>
              <w:marBottom w:val="0"/>
              <w:divBdr>
                <w:top w:val="none" w:sz="0" w:space="0" w:color="auto"/>
                <w:left w:val="none" w:sz="0" w:space="0" w:color="auto"/>
                <w:bottom w:val="none" w:sz="0" w:space="0" w:color="auto"/>
                <w:right w:val="none" w:sz="0" w:space="0" w:color="auto"/>
              </w:divBdr>
            </w:div>
            <w:div w:id="2129465774">
              <w:marLeft w:val="0"/>
              <w:marRight w:val="0"/>
              <w:marTop w:val="0"/>
              <w:marBottom w:val="0"/>
              <w:divBdr>
                <w:top w:val="none" w:sz="0" w:space="0" w:color="auto"/>
                <w:left w:val="none" w:sz="0" w:space="0" w:color="auto"/>
                <w:bottom w:val="none" w:sz="0" w:space="0" w:color="auto"/>
                <w:right w:val="none" w:sz="0" w:space="0" w:color="auto"/>
              </w:divBdr>
            </w:div>
            <w:div w:id="1256326771">
              <w:marLeft w:val="0"/>
              <w:marRight w:val="0"/>
              <w:marTop w:val="0"/>
              <w:marBottom w:val="0"/>
              <w:divBdr>
                <w:top w:val="none" w:sz="0" w:space="0" w:color="auto"/>
                <w:left w:val="none" w:sz="0" w:space="0" w:color="auto"/>
                <w:bottom w:val="none" w:sz="0" w:space="0" w:color="auto"/>
                <w:right w:val="none" w:sz="0" w:space="0" w:color="auto"/>
              </w:divBdr>
            </w:div>
            <w:div w:id="207605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6816">
      <w:marLeft w:val="0"/>
      <w:marRight w:val="150"/>
      <w:marTop w:val="0"/>
      <w:marBottom w:val="0"/>
      <w:divBdr>
        <w:top w:val="none" w:sz="0" w:space="0" w:color="auto"/>
        <w:left w:val="none" w:sz="0" w:space="0" w:color="auto"/>
        <w:bottom w:val="none" w:sz="0" w:space="0" w:color="auto"/>
        <w:right w:val="none" w:sz="0" w:space="0" w:color="auto"/>
      </w:divBdr>
      <w:divsChild>
        <w:div w:id="634944173">
          <w:marLeft w:val="0"/>
          <w:marRight w:val="150"/>
          <w:marTop w:val="0"/>
          <w:marBottom w:val="0"/>
          <w:divBdr>
            <w:top w:val="none" w:sz="0" w:space="0" w:color="auto"/>
            <w:left w:val="none" w:sz="0" w:space="0" w:color="auto"/>
            <w:bottom w:val="none" w:sz="0" w:space="0" w:color="auto"/>
            <w:right w:val="none" w:sz="0" w:space="0" w:color="auto"/>
          </w:divBdr>
        </w:div>
      </w:divsChild>
    </w:div>
    <w:div w:id="1754934329">
      <w:marLeft w:val="0"/>
      <w:marRight w:val="0"/>
      <w:marTop w:val="0"/>
      <w:marBottom w:val="0"/>
      <w:divBdr>
        <w:top w:val="none" w:sz="0" w:space="0" w:color="auto"/>
        <w:left w:val="none" w:sz="0" w:space="0" w:color="auto"/>
        <w:bottom w:val="none" w:sz="0" w:space="0" w:color="auto"/>
        <w:right w:val="none" w:sz="0" w:space="0" w:color="auto"/>
      </w:divBdr>
      <w:divsChild>
        <w:div w:id="794953501">
          <w:marLeft w:val="0"/>
          <w:marRight w:val="0"/>
          <w:marTop w:val="0"/>
          <w:marBottom w:val="0"/>
          <w:divBdr>
            <w:top w:val="none" w:sz="0" w:space="0" w:color="auto"/>
            <w:left w:val="none" w:sz="0" w:space="0" w:color="auto"/>
            <w:bottom w:val="none" w:sz="0" w:space="0" w:color="auto"/>
            <w:right w:val="none" w:sz="0" w:space="0" w:color="auto"/>
          </w:divBdr>
        </w:div>
      </w:divsChild>
    </w:div>
    <w:div w:id="1755855897">
      <w:marLeft w:val="0"/>
      <w:marRight w:val="0"/>
      <w:marTop w:val="0"/>
      <w:marBottom w:val="0"/>
      <w:divBdr>
        <w:top w:val="none" w:sz="0" w:space="0" w:color="auto"/>
        <w:left w:val="none" w:sz="0" w:space="0" w:color="auto"/>
        <w:bottom w:val="none" w:sz="0" w:space="0" w:color="auto"/>
        <w:right w:val="none" w:sz="0" w:space="0" w:color="auto"/>
      </w:divBdr>
      <w:divsChild>
        <w:div w:id="1027826327">
          <w:marLeft w:val="0"/>
          <w:marRight w:val="0"/>
          <w:marTop w:val="0"/>
          <w:marBottom w:val="0"/>
          <w:divBdr>
            <w:top w:val="none" w:sz="0" w:space="0" w:color="auto"/>
            <w:left w:val="none" w:sz="0" w:space="0" w:color="auto"/>
            <w:bottom w:val="none" w:sz="0" w:space="0" w:color="auto"/>
            <w:right w:val="none" w:sz="0" w:space="0" w:color="auto"/>
          </w:divBdr>
        </w:div>
      </w:divsChild>
    </w:div>
    <w:div w:id="1756826904">
      <w:bodyDiv w:val="1"/>
      <w:marLeft w:val="0"/>
      <w:marRight w:val="0"/>
      <w:marTop w:val="0"/>
      <w:marBottom w:val="0"/>
      <w:divBdr>
        <w:top w:val="none" w:sz="0" w:space="0" w:color="auto"/>
        <w:left w:val="none" w:sz="0" w:space="0" w:color="auto"/>
        <w:bottom w:val="none" w:sz="0" w:space="0" w:color="auto"/>
        <w:right w:val="none" w:sz="0" w:space="0" w:color="auto"/>
      </w:divBdr>
    </w:div>
    <w:div w:id="1758549928">
      <w:marLeft w:val="0"/>
      <w:marRight w:val="0"/>
      <w:marTop w:val="0"/>
      <w:marBottom w:val="0"/>
      <w:divBdr>
        <w:top w:val="none" w:sz="0" w:space="0" w:color="auto"/>
        <w:left w:val="none" w:sz="0" w:space="0" w:color="auto"/>
        <w:bottom w:val="none" w:sz="0" w:space="0" w:color="auto"/>
        <w:right w:val="none" w:sz="0" w:space="0" w:color="auto"/>
      </w:divBdr>
      <w:divsChild>
        <w:div w:id="1993484750">
          <w:marLeft w:val="0"/>
          <w:marRight w:val="0"/>
          <w:marTop w:val="0"/>
          <w:marBottom w:val="0"/>
          <w:divBdr>
            <w:top w:val="none" w:sz="0" w:space="0" w:color="auto"/>
            <w:left w:val="none" w:sz="0" w:space="0" w:color="auto"/>
            <w:bottom w:val="none" w:sz="0" w:space="0" w:color="auto"/>
            <w:right w:val="none" w:sz="0" w:space="0" w:color="auto"/>
          </w:divBdr>
        </w:div>
      </w:divsChild>
    </w:div>
    <w:div w:id="1760056250">
      <w:marLeft w:val="0"/>
      <w:marRight w:val="0"/>
      <w:marTop w:val="0"/>
      <w:marBottom w:val="0"/>
      <w:divBdr>
        <w:top w:val="none" w:sz="0" w:space="0" w:color="auto"/>
        <w:left w:val="none" w:sz="0" w:space="0" w:color="auto"/>
        <w:bottom w:val="none" w:sz="0" w:space="0" w:color="auto"/>
        <w:right w:val="none" w:sz="0" w:space="0" w:color="auto"/>
      </w:divBdr>
      <w:divsChild>
        <w:div w:id="589237615">
          <w:marLeft w:val="0"/>
          <w:marRight w:val="0"/>
          <w:marTop w:val="0"/>
          <w:marBottom w:val="0"/>
          <w:divBdr>
            <w:top w:val="none" w:sz="0" w:space="0" w:color="auto"/>
            <w:left w:val="none" w:sz="0" w:space="0" w:color="auto"/>
            <w:bottom w:val="none" w:sz="0" w:space="0" w:color="auto"/>
            <w:right w:val="none" w:sz="0" w:space="0" w:color="auto"/>
          </w:divBdr>
        </w:div>
      </w:divsChild>
    </w:div>
    <w:div w:id="1762337242">
      <w:bodyDiv w:val="1"/>
      <w:marLeft w:val="0"/>
      <w:marRight w:val="0"/>
      <w:marTop w:val="0"/>
      <w:marBottom w:val="0"/>
      <w:divBdr>
        <w:top w:val="none" w:sz="0" w:space="0" w:color="auto"/>
        <w:left w:val="none" w:sz="0" w:space="0" w:color="auto"/>
        <w:bottom w:val="none" w:sz="0" w:space="0" w:color="auto"/>
        <w:right w:val="none" w:sz="0" w:space="0" w:color="auto"/>
      </w:divBdr>
    </w:div>
    <w:div w:id="1765301009">
      <w:bodyDiv w:val="1"/>
      <w:marLeft w:val="0"/>
      <w:marRight w:val="0"/>
      <w:marTop w:val="0"/>
      <w:marBottom w:val="0"/>
      <w:divBdr>
        <w:top w:val="none" w:sz="0" w:space="0" w:color="auto"/>
        <w:left w:val="none" w:sz="0" w:space="0" w:color="auto"/>
        <w:bottom w:val="none" w:sz="0" w:space="0" w:color="auto"/>
        <w:right w:val="none" w:sz="0" w:space="0" w:color="auto"/>
      </w:divBdr>
    </w:div>
    <w:div w:id="1776713055">
      <w:marLeft w:val="0"/>
      <w:marRight w:val="150"/>
      <w:marTop w:val="0"/>
      <w:marBottom w:val="0"/>
      <w:divBdr>
        <w:top w:val="none" w:sz="0" w:space="0" w:color="auto"/>
        <w:left w:val="none" w:sz="0" w:space="0" w:color="auto"/>
        <w:bottom w:val="none" w:sz="0" w:space="0" w:color="auto"/>
        <w:right w:val="none" w:sz="0" w:space="0" w:color="auto"/>
      </w:divBdr>
      <w:divsChild>
        <w:div w:id="1673952034">
          <w:marLeft w:val="0"/>
          <w:marRight w:val="150"/>
          <w:marTop w:val="0"/>
          <w:marBottom w:val="0"/>
          <w:divBdr>
            <w:top w:val="none" w:sz="0" w:space="0" w:color="auto"/>
            <w:left w:val="none" w:sz="0" w:space="0" w:color="auto"/>
            <w:bottom w:val="none" w:sz="0" w:space="0" w:color="auto"/>
            <w:right w:val="none" w:sz="0" w:space="0" w:color="auto"/>
          </w:divBdr>
        </w:div>
      </w:divsChild>
    </w:div>
    <w:div w:id="1785462927">
      <w:marLeft w:val="0"/>
      <w:marRight w:val="0"/>
      <w:marTop w:val="0"/>
      <w:marBottom w:val="0"/>
      <w:divBdr>
        <w:top w:val="none" w:sz="0" w:space="0" w:color="auto"/>
        <w:left w:val="none" w:sz="0" w:space="0" w:color="auto"/>
        <w:bottom w:val="none" w:sz="0" w:space="0" w:color="auto"/>
        <w:right w:val="none" w:sz="0" w:space="0" w:color="auto"/>
      </w:divBdr>
      <w:divsChild>
        <w:div w:id="302463640">
          <w:marLeft w:val="0"/>
          <w:marRight w:val="0"/>
          <w:marTop w:val="0"/>
          <w:marBottom w:val="0"/>
          <w:divBdr>
            <w:top w:val="none" w:sz="0" w:space="0" w:color="auto"/>
            <w:left w:val="none" w:sz="0" w:space="0" w:color="auto"/>
            <w:bottom w:val="none" w:sz="0" w:space="0" w:color="auto"/>
            <w:right w:val="none" w:sz="0" w:space="0" w:color="auto"/>
          </w:divBdr>
        </w:div>
      </w:divsChild>
    </w:div>
    <w:div w:id="1788741304">
      <w:marLeft w:val="0"/>
      <w:marRight w:val="0"/>
      <w:marTop w:val="0"/>
      <w:marBottom w:val="0"/>
      <w:divBdr>
        <w:top w:val="none" w:sz="0" w:space="0" w:color="auto"/>
        <w:left w:val="none" w:sz="0" w:space="0" w:color="auto"/>
        <w:bottom w:val="none" w:sz="0" w:space="0" w:color="auto"/>
        <w:right w:val="none" w:sz="0" w:space="0" w:color="auto"/>
      </w:divBdr>
      <w:divsChild>
        <w:div w:id="1028264377">
          <w:marLeft w:val="0"/>
          <w:marRight w:val="0"/>
          <w:marTop w:val="0"/>
          <w:marBottom w:val="0"/>
          <w:divBdr>
            <w:top w:val="none" w:sz="0" w:space="0" w:color="auto"/>
            <w:left w:val="none" w:sz="0" w:space="0" w:color="auto"/>
            <w:bottom w:val="none" w:sz="0" w:space="0" w:color="auto"/>
            <w:right w:val="none" w:sz="0" w:space="0" w:color="auto"/>
          </w:divBdr>
        </w:div>
      </w:divsChild>
    </w:div>
    <w:div w:id="1789229480">
      <w:bodyDiv w:val="1"/>
      <w:marLeft w:val="0"/>
      <w:marRight w:val="0"/>
      <w:marTop w:val="0"/>
      <w:marBottom w:val="0"/>
      <w:divBdr>
        <w:top w:val="none" w:sz="0" w:space="0" w:color="auto"/>
        <w:left w:val="none" w:sz="0" w:space="0" w:color="auto"/>
        <w:bottom w:val="none" w:sz="0" w:space="0" w:color="auto"/>
        <w:right w:val="none" w:sz="0" w:space="0" w:color="auto"/>
      </w:divBdr>
    </w:div>
    <w:div w:id="1789818356">
      <w:bodyDiv w:val="1"/>
      <w:marLeft w:val="0"/>
      <w:marRight w:val="0"/>
      <w:marTop w:val="0"/>
      <w:marBottom w:val="0"/>
      <w:divBdr>
        <w:top w:val="none" w:sz="0" w:space="0" w:color="auto"/>
        <w:left w:val="none" w:sz="0" w:space="0" w:color="auto"/>
        <w:bottom w:val="none" w:sz="0" w:space="0" w:color="auto"/>
        <w:right w:val="none" w:sz="0" w:space="0" w:color="auto"/>
      </w:divBdr>
    </w:div>
    <w:div w:id="1794519572">
      <w:marLeft w:val="0"/>
      <w:marRight w:val="0"/>
      <w:marTop w:val="0"/>
      <w:marBottom w:val="0"/>
      <w:divBdr>
        <w:top w:val="none" w:sz="0" w:space="0" w:color="auto"/>
        <w:left w:val="none" w:sz="0" w:space="0" w:color="auto"/>
        <w:bottom w:val="none" w:sz="0" w:space="0" w:color="auto"/>
        <w:right w:val="none" w:sz="0" w:space="0" w:color="auto"/>
      </w:divBdr>
      <w:divsChild>
        <w:div w:id="228465932">
          <w:marLeft w:val="0"/>
          <w:marRight w:val="0"/>
          <w:marTop w:val="0"/>
          <w:marBottom w:val="0"/>
          <w:divBdr>
            <w:top w:val="none" w:sz="0" w:space="0" w:color="auto"/>
            <w:left w:val="none" w:sz="0" w:space="0" w:color="auto"/>
            <w:bottom w:val="none" w:sz="0" w:space="0" w:color="auto"/>
            <w:right w:val="none" w:sz="0" w:space="0" w:color="auto"/>
          </w:divBdr>
        </w:div>
      </w:divsChild>
    </w:div>
    <w:div w:id="1795639589">
      <w:bodyDiv w:val="1"/>
      <w:marLeft w:val="0"/>
      <w:marRight w:val="0"/>
      <w:marTop w:val="0"/>
      <w:marBottom w:val="0"/>
      <w:divBdr>
        <w:top w:val="none" w:sz="0" w:space="0" w:color="auto"/>
        <w:left w:val="none" w:sz="0" w:space="0" w:color="auto"/>
        <w:bottom w:val="none" w:sz="0" w:space="0" w:color="auto"/>
        <w:right w:val="none" w:sz="0" w:space="0" w:color="auto"/>
      </w:divBdr>
      <w:divsChild>
        <w:div w:id="51585799">
          <w:marLeft w:val="446"/>
          <w:marRight w:val="0"/>
          <w:marTop w:val="0"/>
          <w:marBottom w:val="0"/>
          <w:divBdr>
            <w:top w:val="none" w:sz="0" w:space="0" w:color="auto"/>
            <w:left w:val="none" w:sz="0" w:space="0" w:color="auto"/>
            <w:bottom w:val="none" w:sz="0" w:space="0" w:color="auto"/>
            <w:right w:val="none" w:sz="0" w:space="0" w:color="auto"/>
          </w:divBdr>
        </w:div>
        <w:div w:id="1567378977">
          <w:marLeft w:val="446"/>
          <w:marRight w:val="0"/>
          <w:marTop w:val="0"/>
          <w:marBottom w:val="0"/>
          <w:divBdr>
            <w:top w:val="none" w:sz="0" w:space="0" w:color="auto"/>
            <w:left w:val="none" w:sz="0" w:space="0" w:color="auto"/>
            <w:bottom w:val="none" w:sz="0" w:space="0" w:color="auto"/>
            <w:right w:val="none" w:sz="0" w:space="0" w:color="auto"/>
          </w:divBdr>
        </w:div>
        <w:div w:id="1636370180">
          <w:marLeft w:val="446"/>
          <w:marRight w:val="0"/>
          <w:marTop w:val="0"/>
          <w:marBottom w:val="0"/>
          <w:divBdr>
            <w:top w:val="none" w:sz="0" w:space="0" w:color="auto"/>
            <w:left w:val="none" w:sz="0" w:space="0" w:color="auto"/>
            <w:bottom w:val="none" w:sz="0" w:space="0" w:color="auto"/>
            <w:right w:val="none" w:sz="0" w:space="0" w:color="auto"/>
          </w:divBdr>
        </w:div>
        <w:div w:id="1664698509">
          <w:marLeft w:val="446"/>
          <w:marRight w:val="0"/>
          <w:marTop w:val="0"/>
          <w:marBottom w:val="0"/>
          <w:divBdr>
            <w:top w:val="none" w:sz="0" w:space="0" w:color="auto"/>
            <w:left w:val="none" w:sz="0" w:space="0" w:color="auto"/>
            <w:bottom w:val="none" w:sz="0" w:space="0" w:color="auto"/>
            <w:right w:val="none" w:sz="0" w:space="0" w:color="auto"/>
          </w:divBdr>
        </w:div>
        <w:div w:id="1836534571">
          <w:marLeft w:val="446"/>
          <w:marRight w:val="0"/>
          <w:marTop w:val="0"/>
          <w:marBottom w:val="0"/>
          <w:divBdr>
            <w:top w:val="none" w:sz="0" w:space="0" w:color="auto"/>
            <w:left w:val="none" w:sz="0" w:space="0" w:color="auto"/>
            <w:bottom w:val="none" w:sz="0" w:space="0" w:color="auto"/>
            <w:right w:val="none" w:sz="0" w:space="0" w:color="auto"/>
          </w:divBdr>
        </w:div>
        <w:div w:id="2138451370">
          <w:marLeft w:val="446"/>
          <w:marRight w:val="0"/>
          <w:marTop w:val="0"/>
          <w:marBottom w:val="0"/>
          <w:divBdr>
            <w:top w:val="none" w:sz="0" w:space="0" w:color="auto"/>
            <w:left w:val="none" w:sz="0" w:space="0" w:color="auto"/>
            <w:bottom w:val="none" w:sz="0" w:space="0" w:color="auto"/>
            <w:right w:val="none" w:sz="0" w:space="0" w:color="auto"/>
          </w:divBdr>
        </w:div>
      </w:divsChild>
    </w:div>
    <w:div w:id="1801537837">
      <w:bodyDiv w:val="1"/>
      <w:marLeft w:val="0"/>
      <w:marRight w:val="0"/>
      <w:marTop w:val="0"/>
      <w:marBottom w:val="0"/>
      <w:divBdr>
        <w:top w:val="none" w:sz="0" w:space="0" w:color="auto"/>
        <w:left w:val="none" w:sz="0" w:space="0" w:color="auto"/>
        <w:bottom w:val="none" w:sz="0" w:space="0" w:color="auto"/>
        <w:right w:val="none" w:sz="0" w:space="0" w:color="auto"/>
      </w:divBdr>
    </w:div>
    <w:div w:id="1801728489">
      <w:marLeft w:val="0"/>
      <w:marRight w:val="0"/>
      <w:marTop w:val="0"/>
      <w:marBottom w:val="0"/>
      <w:divBdr>
        <w:top w:val="none" w:sz="0" w:space="0" w:color="auto"/>
        <w:left w:val="none" w:sz="0" w:space="0" w:color="auto"/>
        <w:bottom w:val="none" w:sz="0" w:space="0" w:color="auto"/>
        <w:right w:val="none" w:sz="0" w:space="0" w:color="auto"/>
      </w:divBdr>
      <w:divsChild>
        <w:div w:id="707491981">
          <w:marLeft w:val="0"/>
          <w:marRight w:val="0"/>
          <w:marTop w:val="0"/>
          <w:marBottom w:val="0"/>
          <w:divBdr>
            <w:top w:val="none" w:sz="0" w:space="0" w:color="auto"/>
            <w:left w:val="none" w:sz="0" w:space="0" w:color="auto"/>
            <w:bottom w:val="none" w:sz="0" w:space="0" w:color="auto"/>
            <w:right w:val="none" w:sz="0" w:space="0" w:color="auto"/>
          </w:divBdr>
        </w:div>
      </w:divsChild>
    </w:div>
    <w:div w:id="1801801239">
      <w:marLeft w:val="0"/>
      <w:marRight w:val="0"/>
      <w:marTop w:val="0"/>
      <w:marBottom w:val="0"/>
      <w:divBdr>
        <w:top w:val="none" w:sz="0" w:space="0" w:color="auto"/>
        <w:left w:val="none" w:sz="0" w:space="0" w:color="auto"/>
        <w:bottom w:val="none" w:sz="0" w:space="0" w:color="auto"/>
        <w:right w:val="none" w:sz="0" w:space="0" w:color="auto"/>
      </w:divBdr>
      <w:divsChild>
        <w:div w:id="1083794495">
          <w:marLeft w:val="0"/>
          <w:marRight w:val="0"/>
          <w:marTop w:val="0"/>
          <w:marBottom w:val="0"/>
          <w:divBdr>
            <w:top w:val="none" w:sz="0" w:space="0" w:color="auto"/>
            <w:left w:val="none" w:sz="0" w:space="0" w:color="auto"/>
            <w:bottom w:val="none" w:sz="0" w:space="0" w:color="auto"/>
            <w:right w:val="none" w:sz="0" w:space="0" w:color="auto"/>
          </w:divBdr>
        </w:div>
      </w:divsChild>
    </w:div>
    <w:div w:id="1804233369">
      <w:bodyDiv w:val="1"/>
      <w:marLeft w:val="0"/>
      <w:marRight w:val="0"/>
      <w:marTop w:val="0"/>
      <w:marBottom w:val="0"/>
      <w:divBdr>
        <w:top w:val="none" w:sz="0" w:space="0" w:color="auto"/>
        <w:left w:val="none" w:sz="0" w:space="0" w:color="auto"/>
        <w:bottom w:val="none" w:sz="0" w:space="0" w:color="auto"/>
        <w:right w:val="none" w:sz="0" w:space="0" w:color="auto"/>
      </w:divBdr>
      <w:divsChild>
        <w:div w:id="1825779681">
          <w:marLeft w:val="0"/>
          <w:marRight w:val="0"/>
          <w:marTop w:val="0"/>
          <w:marBottom w:val="0"/>
          <w:divBdr>
            <w:top w:val="none" w:sz="0" w:space="0" w:color="auto"/>
            <w:left w:val="none" w:sz="0" w:space="0" w:color="auto"/>
            <w:bottom w:val="none" w:sz="0" w:space="0" w:color="auto"/>
            <w:right w:val="none" w:sz="0" w:space="0" w:color="auto"/>
          </w:divBdr>
          <w:divsChild>
            <w:div w:id="990450184">
              <w:marLeft w:val="0"/>
              <w:marRight w:val="0"/>
              <w:marTop w:val="0"/>
              <w:marBottom w:val="0"/>
              <w:divBdr>
                <w:top w:val="none" w:sz="0" w:space="0" w:color="auto"/>
                <w:left w:val="none" w:sz="0" w:space="0" w:color="auto"/>
                <w:bottom w:val="none" w:sz="0" w:space="0" w:color="auto"/>
                <w:right w:val="none" w:sz="0" w:space="0" w:color="auto"/>
              </w:divBdr>
            </w:div>
            <w:div w:id="1378771838">
              <w:marLeft w:val="0"/>
              <w:marRight w:val="0"/>
              <w:marTop w:val="0"/>
              <w:marBottom w:val="0"/>
              <w:divBdr>
                <w:top w:val="none" w:sz="0" w:space="0" w:color="auto"/>
                <w:left w:val="none" w:sz="0" w:space="0" w:color="auto"/>
                <w:bottom w:val="none" w:sz="0" w:space="0" w:color="auto"/>
                <w:right w:val="none" w:sz="0" w:space="0" w:color="auto"/>
              </w:divBdr>
            </w:div>
            <w:div w:id="1992903628">
              <w:marLeft w:val="0"/>
              <w:marRight w:val="0"/>
              <w:marTop w:val="0"/>
              <w:marBottom w:val="0"/>
              <w:divBdr>
                <w:top w:val="none" w:sz="0" w:space="0" w:color="auto"/>
                <w:left w:val="none" w:sz="0" w:space="0" w:color="auto"/>
                <w:bottom w:val="none" w:sz="0" w:space="0" w:color="auto"/>
                <w:right w:val="none" w:sz="0" w:space="0" w:color="auto"/>
              </w:divBdr>
            </w:div>
            <w:div w:id="1561136377">
              <w:marLeft w:val="0"/>
              <w:marRight w:val="0"/>
              <w:marTop w:val="0"/>
              <w:marBottom w:val="0"/>
              <w:divBdr>
                <w:top w:val="none" w:sz="0" w:space="0" w:color="auto"/>
                <w:left w:val="none" w:sz="0" w:space="0" w:color="auto"/>
                <w:bottom w:val="none" w:sz="0" w:space="0" w:color="auto"/>
                <w:right w:val="none" w:sz="0" w:space="0" w:color="auto"/>
              </w:divBdr>
            </w:div>
            <w:div w:id="925727795">
              <w:marLeft w:val="0"/>
              <w:marRight w:val="0"/>
              <w:marTop w:val="0"/>
              <w:marBottom w:val="0"/>
              <w:divBdr>
                <w:top w:val="none" w:sz="0" w:space="0" w:color="auto"/>
                <w:left w:val="none" w:sz="0" w:space="0" w:color="auto"/>
                <w:bottom w:val="none" w:sz="0" w:space="0" w:color="auto"/>
                <w:right w:val="none" w:sz="0" w:space="0" w:color="auto"/>
              </w:divBdr>
            </w:div>
            <w:div w:id="1402211102">
              <w:marLeft w:val="0"/>
              <w:marRight w:val="0"/>
              <w:marTop w:val="0"/>
              <w:marBottom w:val="0"/>
              <w:divBdr>
                <w:top w:val="none" w:sz="0" w:space="0" w:color="auto"/>
                <w:left w:val="none" w:sz="0" w:space="0" w:color="auto"/>
                <w:bottom w:val="none" w:sz="0" w:space="0" w:color="auto"/>
                <w:right w:val="none" w:sz="0" w:space="0" w:color="auto"/>
              </w:divBdr>
            </w:div>
            <w:div w:id="2113276788">
              <w:marLeft w:val="0"/>
              <w:marRight w:val="0"/>
              <w:marTop w:val="0"/>
              <w:marBottom w:val="0"/>
              <w:divBdr>
                <w:top w:val="none" w:sz="0" w:space="0" w:color="auto"/>
                <w:left w:val="none" w:sz="0" w:space="0" w:color="auto"/>
                <w:bottom w:val="none" w:sz="0" w:space="0" w:color="auto"/>
                <w:right w:val="none" w:sz="0" w:space="0" w:color="auto"/>
              </w:divBdr>
            </w:div>
            <w:div w:id="1760710397">
              <w:marLeft w:val="0"/>
              <w:marRight w:val="0"/>
              <w:marTop w:val="0"/>
              <w:marBottom w:val="0"/>
              <w:divBdr>
                <w:top w:val="none" w:sz="0" w:space="0" w:color="auto"/>
                <w:left w:val="none" w:sz="0" w:space="0" w:color="auto"/>
                <w:bottom w:val="none" w:sz="0" w:space="0" w:color="auto"/>
                <w:right w:val="none" w:sz="0" w:space="0" w:color="auto"/>
              </w:divBdr>
            </w:div>
            <w:div w:id="1713311501">
              <w:marLeft w:val="0"/>
              <w:marRight w:val="0"/>
              <w:marTop w:val="0"/>
              <w:marBottom w:val="0"/>
              <w:divBdr>
                <w:top w:val="none" w:sz="0" w:space="0" w:color="auto"/>
                <w:left w:val="none" w:sz="0" w:space="0" w:color="auto"/>
                <w:bottom w:val="none" w:sz="0" w:space="0" w:color="auto"/>
                <w:right w:val="none" w:sz="0" w:space="0" w:color="auto"/>
              </w:divBdr>
            </w:div>
            <w:div w:id="2019916280">
              <w:marLeft w:val="0"/>
              <w:marRight w:val="0"/>
              <w:marTop w:val="0"/>
              <w:marBottom w:val="0"/>
              <w:divBdr>
                <w:top w:val="none" w:sz="0" w:space="0" w:color="auto"/>
                <w:left w:val="none" w:sz="0" w:space="0" w:color="auto"/>
                <w:bottom w:val="none" w:sz="0" w:space="0" w:color="auto"/>
                <w:right w:val="none" w:sz="0" w:space="0" w:color="auto"/>
              </w:divBdr>
            </w:div>
            <w:div w:id="1131824365">
              <w:marLeft w:val="0"/>
              <w:marRight w:val="0"/>
              <w:marTop w:val="0"/>
              <w:marBottom w:val="0"/>
              <w:divBdr>
                <w:top w:val="none" w:sz="0" w:space="0" w:color="auto"/>
                <w:left w:val="none" w:sz="0" w:space="0" w:color="auto"/>
                <w:bottom w:val="none" w:sz="0" w:space="0" w:color="auto"/>
                <w:right w:val="none" w:sz="0" w:space="0" w:color="auto"/>
              </w:divBdr>
            </w:div>
            <w:div w:id="1391271622">
              <w:marLeft w:val="0"/>
              <w:marRight w:val="0"/>
              <w:marTop w:val="0"/>
              <w:marBottom w:val="0"/>
              <w:divBdr>
                <w:top w:val="none" w:sz="0" w:space="0" w:color="auto"/>
                <w:left w:val="none" w:sz="0" w:space="0" w:color="auto"/>
                <w:bottom w:val="none" w:sz="0" w:space="0" w:color="auto"/>
                <w:right w:val="none" w:sz="0" w:space="0" w:color="auto"/>
              </w:divBdr>
            </w:div>
            <w:div w:id="887835447">
              <w:marLeft w:val="0"/>
              <w:marRight w:val="0"/>
              <w:marTop w:val="0"/>
              <w:marBottom w:val="0"/>
              <w:divBdr>
                <w:top w:val="none" w:sz="0" w:space="0" w:color="auto"/>
                <w:left w:val="none" w:sz="0" w:space="0" w:color="auto"/>
                <w:bottom w:val="none" w:sz="0" w:space="0" w:color="auto"/>
                <w:right w:val="none" w:sz="0" w:space="0" w:color="auto"/>
              </w:divBdr>
            </w:div>
            <w:div w:id="293683384">
              <w:marLeft w:val="0"/>
              <w:marRight w:val="0"/>
              <w:marTop w:val="0"/>
              <w:marBottom w:val="0"/>
              <w:divBdr>
                <w:top w:val="none" w:sz="0" w:space="0" w:color="auto"/>
                <w:left w:val="none" w:sz="0" w:space="0" w:color="auto"/>
                <w:bottom w:val="none" w:sz="0" w:space="0" w:color="auto"/>
                <w:right w:val="none" w:sz="0" w:space="0" w:color="auto"/>
              </w:divBdr>
            </w:div>
            <w:div w:id="2014264480">
              <w:marLeft w:val="0"/>
              <w:marRight w:val="0"/>
              <w:marTop w:val="0"/>
              <w:marBottom w:val="0"/>
              <w:divBdr>
                <w:top w:val="none" w:sz="0" w:space="0" w:color="auto"/>
                <w:left w:val="none" w:sz="0" w:space="0" w:color="auto"/>
                <w:bottom w:val="none" w:sz="0" w:space="0" w:color="auto"/>
                <w:right w:val="none" w:sz="0" w:space="0" w:color="auto"/>
              </w:divBdr>
            </w:div>
            <w:div w:id="1703088474">
              <w:marLeft w:val="0"/>
              <w:marRight w:val="0"/>
              <w:marTop w:val="0"/>
              <w:marBottom w:val="0"/>
              <w:divBdr>
                <w:top w:val="none" w:sz="0" w:space="0" w:color="auto"/>
                <w:left w:val="none" w:sz="0" w:space="0" w:color="auto"/>
                <w:bottom w:val="none" w:sz="0" w:space="0" w:color="auto"/>
                <w:right w:val="none" w:sz="0" w:space="0" w:color="auto"/>
              </w:divBdr>
            </w:div>
            <w:div w:id="928973840">
              <w:marLeft w:val="0"/>
              <w:marRight w:val="0"/>
              <w:marTop w:val="0"/>
              <w:marBottom w:val="0"/>
              <w:divBdr>
                <w:top w:val="none" w:sz="0" w:space="0" w:color="auto"/>
                <w:left w:val="none" w:sz="0" w:space="0" w:color="auto"/>
                <w:bottom w:val="none" w:sz="0" w:space="0" w:color="auto"/>
                <w:right w:val="none" w:sz="0" w:space="0" w:color="auto"/>
              </w:divBdr>
            </w:div>
            <w:div w:id="1602646389">
              <w:marLeft w:val="0"/>
              <w:marRight w:val="0"/>
              <w:marTop w:val="0"/>
              <w:marBottom w:val="0"/>
              <w:divBdr>
                <w:top w:val="none" w:sz="0" w:space="0" w:color="auto"/>
                <w:left w:val="none" w:sz="0" w:space="0" w:color="auto"/>
                <w:bottom w:val="none" w:sz="0" w:space="0" w:color="auto"/>
                <w:right w:val="none" w:sz="0" w:space="0" w:color="auto"/>
              </w:divBdr>
            </w:div>
            <w:div w:id="752311663">
              <w:marLeft w:val="0"/>
              <w:marRight w:val="0"/>
              <w:marTop w:val="0"/>
              <w:marBottom w:val="0"/>
              <w:divBdr>
                <w:top w:val="none" w:sz="0" w:space="0" w:color="auto"/>
                <w:left w:val="none" w:sz="0" w:space="0" w:color="auto"/>
                <w:bottom w:val="none" w:sz="0" w:space="0" w:color="auto"/>
                <w:right w:val="none" w:sz="0" w:space="0" w:color="auto"/>
              </w:divBdr>
            </w:div>
            <w:div w:id="198586315">
              <w:marLeft w:val="0"/>
              <w:marRight w:val="0"/>
              <w:marTop w:val="0"/>
              <w:marBottom w:val="0"/>
              <w:divBdr>
                <w:top w:val="none" w:sz="0" w:space="0" w:color="auto"/>
                <w:left w:val="none" w:sz="0" w:space="0" w:color="auto"/>
                <w:bottom w:val="none" w:sz="0" w:space="0" w:color="auto"/>
                <w:right w:val="none" w:sz="0" w:space="0" w:color="auto"/>
              </w:divBdr>
            </w:div>
            <w:div w:id="66860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86182">
      <w:marLeft w:val="0"/>
      <w:marRight w:val="0"/>
      <w:marTop w:val="0"/>
      <w:marBottom w:val="0"/>
      <w:divBdr>
        <w:top w:val="none" w:sz="0" w:space="0" w:color="auto"/>
        <w:left w:val="none" w:sz="0" w:space="0" w:color="auto"/>
        <w:bottom w:val="none" w:sz="0" w:space="0" w:color="auto"/>
        <w:right w:val="none" w:sz="0" w:space="0" w:color="auto"/>
      </w:divBdr>
      <w:divsChild>
        <w:div w:id="823353817">
          <w:marLeft w:val="0"/>
          <w:marRight w:val="0"/>
          <w:marTop w:val="0"/>
          <w:marBottom w:val="0"/>
          <w:divBdr>
            <w:top w:val="none" w:sz="0" w:space="0" w:color="auto"/>
            <w:left w:val="none" w:sz="0" w:space="0" w:color="auto"/>
            <w:bottom w:val="none" w:sz="0" w:space="0" w:color="auto"/>
            <w:right w:val="none" w:sz="0" w:space="0" w:color="auto"/>
          </w:divBdr>
        </w:div>
      </w:divsChild>
    </w:div>
    <w:div w:id="1810902809">
      <w:marLeft w:val="0"/>
      <w:marRight w:val="0"/>
      <w:marTop w:val="0"/>
      <w:marBottom w:val="0"/>
      <w:divBdr>
        <w:top w:val="none" w:sz="0" w:space="0" w:color="auto"/>
        <w:left w:val="none" w:sz="0" w:space="0" w:color="auto"/>
        <w:bottom w:val="none" w:sz="0" w:space="0" w:color="auto"/>
        <w:right w:val="none" w:sz="0" w:space="0" w:color="auto"/>
      </w:divBdr>
      <w:divsChild>
        <w:div w:id="1100031188">
          <w:marLeft w:val="0"/>
          <w:marRight w:val="0"/>
          <w:marTop w:val="0"/>
          <w:marBottom w:val="0"/>
          <w:divBdr>
            <w:top w:val="none" w:sz="0" w:space="0" w:color="auto"/>
            <w:left w:val="none" w:sz="0" w:space="0" w:color="auto"/>
            <w:bottom w:val="none" w:sz="0" w:space="0" w:color="auto"/>
            <w:right w:val="none" w:sz="0" w:space="0" w:color="auto"/>
          </w:divBdr>
        </w:div>
      </w:divsChild>
    </w:div>
    <w:div w:id="1813710097">
      <w:bodyDiv w:val="1"/>
      <w:marLeft w:val="0"/>
      <w:marRight w:val="0"/>
      <w:marTop w:val="0"/>
      <w:marBottom w:val="0"/>
      <w:divBdr>
        <w:top w:val="none" w:sz="0" w:space="0" w:color="auto"/>
        <w:left w:val="none" w:sz="0" w:space="0" w:color="auto"/>
        <w:bottom w:val="none" w:sz="0" w:space="0" w:color="auto"/>
        <w:right w:val="none" w:sz="0" w:space="0" w:color="auto"/>
      </w:divBdr>
    </w:div>
    <w:div w:id="1815829931">
      <w:marLeft w:val="0"/>
      <w:marRight w:val="0"/>
      <w:marTop w:val="0"/>
      <w:marBottom w:val="0"/>
      <w:divBdr>
        <w:top w:val="none" w:sz="0" w:space="0" w:color="auto"/>
        <w:left w:val="none" w:sz="0" w:space="0" w:color="auto"/>
        <w:bottom w:val="none" w:sz="0" w:space="0" w:color="auto"/>
        <w:right w:val="none" w:sz="0" w:space="0" w:color="auto"/>
      </w:divBdr>
      <w:divsChild>
        <w:div w:id="1982804918">
          <w:marLeft w:val="0"/>
          <w:marRight w:val="0"/>
          <w:marTop w:val="0"/>
          <w:marBottom w:val="0"/>
          <w:divBdr>
            <w:top w:val="none" w:sz="0" w:space="0" w:color="auto"/>
            <w:left w:val="none" w:sz="0" w:space="0" w:color="auto"/>
            <w:bottom w:val="none" w:sz="0" w:space="0" w:color="auto"/>
            <w:right w:val="none" w:sz="0" w:space="0" w:color="auto"/>
          </w:divBdr>
        </w:div>
      </w:divsChild>
    </w:div>
    <w:div w:id="1816331828">
      <w:bodyDiv w:val="1"/>
      <w:marLeft w:val="0"/>
      <w:marRight w:val="0"/>
      <w:marTop w:val="0"/>
      <w:marBottom w:val="0"/>
      <w:divBdr>
        <w:top w:val="none" w:sz="0" w:space="0" w:color="auto"/>
        <w:left w:val="none" w:sz="0" w:space="0" w:color="auto"/>
        <w:bottom w:val="none" w:sz="0" w:space="0" w:color="auto"/>
        <w:right w:val="none" w:sz="0" w:space="0" w:color="auto"/>
      </w:divBdr>
    </w:div>
    <w:div w:id="1816682598">
      <w:marLeft w:val="0"/>
      <w:marRight w:val="0"/>
      <w:marTop w:val="0"/>
      <w:marBottom w:val="0"/>
      <w:divBdr>
        <w:top w:val="none" w:sz="0" w:space="0" w:color="auto"/>
        <w:left w:val="none" w:sz="0" w:space="0" w:color="auto"/>
        <w:bottom w:val="none" w:sz="0" w:space="0" w:color="auto"/>
        <w:right w:val="none" w:sz="0" w:space="0" w:color="auto"/>
      </w:divBdr>
      <w:divsChild>
        <w:div w:id="1631786639">
          <w:marLeft w:val="0"/>
          <w:marRight w:val="0"/>
          <w:marTop w:val="0"/>
          <w:marBottom w:val="0"/>
          <w:divBdr>
            <w:top w:val="none" w:sz="0" w:space="0" w:color="auto"/>
            <w:left w:val="none" w:sz="0" w:space="0" w:color="auto"/>
            <w:bottom w:val="none" w:sz="0" w:space="0" w:color="auto"/>
            <w:right w:val="none" w:sz="0" w:space="0" w:color="auto"/>
          </w:divBdr>
        </w:div>
      </w:divsChild>
    </w:div>
    <w:div w:id="1817987019">
      <w:marLeft w:val="0"/>
      <w:marRight w:val="0"/>
      <w:marTop w:val="0"/>
      <w:marBottom w:val="0"/>
      <w:divBdr>
        <w:top w:val="none" w:sz="0" w:space="0" w:color="auto"/>
        <w:left w:val="none" w:sz="0" w:space="0" w:color="auto"/>
        <w:bottom w:val="none" w:sz="0" w:space="0" w:color="auto"/>
        <w:right w:val="none" w:sz="0" w:space="0" w:color="auto"/>
      </w:divBdr>
      <w:divsChild>
        <w:div w:id="242178330">
          <w:marLeft w:val="0"/>
          <w:marRight w:val="0"/>
          <w:marTop w:val="0"/>
          <w:marBottom w:val="0"/>
          <w:divBdr>
            <w:top w:val="none" w:sz="0" w:space="0" w:color="auto"/>
            <w:left w:val="none" w:sz="0" w:space="0" w:color="auto"/>
            <w:bottom w:val="none" w:sz="0" w:space="0" w:color="auto"/>
            <w:right w:val="none" w:sz="0" w:space="0" w:color="auto"/>
          </w:divBdr>
        </w:div>
      </w:divsChild>
    </w:div>
    <w:div w:id="1817994905">
      <w:marLeft w:val="0"/>
      <w:marRight w:val="0"/>
      <w:marTop w:val="0"/>
      <w:marBottom w:val="0"/>
      <w:divBdr>
        <w:top w:val="none" w:sz="0" w:space="0" w:color="auto"/>
        <w:left w:val="none" w:sz="0" w:space="0" w:color="auto"/>
        <w:bottom w:val="none" w:sz="0" w:space="0" w:color="auto"/>
        <w:right w:val="none" w:sz="0" w:space="0" w:color="auto"/>
      </w:divBdr>
      <w:divsChild>
        <w:div w:id="2133010120">
          <w:marLeft w:val="0"/>
          <w:marRight w:val="0"/>
          <w:marTop w:val="0"/>
          <w:marBottom w:val="0"/>
          <w:divBdr>
            <w:top w:val="none" w:sz="0" w:space="0" w:color="auto"/>
            <w:left w:val="none" w:sz="0" w:space="0" w:color="auto"/>
            <w:bottom w:val="none" w:sz="0" w:space="0" w:color="auto"/>
            <w:right w:val="none" w:sz="0" w:space="0" w:color="auto"/>
          </w:divBdr>
        </w:div>
      </w:divsChild>
    </w:div>
    <w:div w:id="1818300951">
      <w:marLeft w:val="0"/>
      <w:marRight w:val="0"/>
      <w:marTop w:val="0"/>
      <w:marBottom w:val="0"/>
      <w:divBdr>
        <w:top w:val="none" w:sz="0" w:space="0" w:color="auto"/>
        <w:left w:val="none" w:sz="0" w:space="0" w:color="auto"/>
        <w:bottom w:val="none" w:sz="0" w:space="0" w:color="auto"/>
        <w:right w:val="none" w:sz="0" w:space="0" w:color="auto"/>
      </w:divBdr>
      <w:divsChild>
        <w:div w:id="1250852022">
          <w:marLeft w:val="0"/>
          <w:marRight w:val="0"/>
          <w:marTop w:val="0"/>
          <w:marBottom w:val="0"/>
          <w:divBdr>
            <w:top w:val="none" w:sz="0" w:space="0" w:color="auto"/>
            <w:left w:val="none" w:sz="0" w:space="0" w:color="auto"/>
            <w:bottom w:val="none" w:sz="0" w:space="0" w:color="auto"/>
            <w:right w:val="none" w:sz="0" w:space="0" w:color="auto"/>
          </w:divBdr>
        </w:div>
      </w:divsChild>
    </w:div>
    <w:div w:id="1825588084">
      <w:marLeft w:val="0"/>
      <w:marRight w:val="0"/>
      <w:marTop w:val="0"/>
      <w:marBottom w:val="0"/>
      <w:divBdr>
        <w:top w:val="none" w:sz="0" w:space="0" w:color="auto"/>
        <w:left w:val="none" w:sz="0" w:space="0" w:color="auto"/>
        <w:bottom w:val="none" w:sz="0" w:space="0" w:color="auto"/>
        <w:right w:val="none" w:sz="0" w:space="0" w:color="auto"/>
      </w:divBdr>
      <w:divsChild>
        <w:div w:id="583994779">
          <w:marLeft w:val="0"/>
          <w:marRight w:val="0"/>
          <w:marTop w:val="0"/>
          <w:marBottom w:val="0"/>
          <w:divBdr>
            <w:top w:val="none" w:sz="0" w:space="0" w:color="auto"/>
            <w:left w:val="none" w:sz="0" w:space="0" w:color="auto"/>
            <w:bottom w:val="none" w:sz="0" w:space="0" w:color="auto"/>
            <w:right w:val="none" w:sz="0" w:space="0" w:color="auto"/>
          </w:divBdr>
        </w:div>
      </w:divsChild>
    </w:div>
    <w:div w:id="1825849367">
      <w:marLeft w:val="0"/>
      <w:marRight w:val="150"/>
      <w:marTop w:val="0"/>
      <w:marBottom w:val="0"/>
      <w:divBdr>
        <w:top w:val="none" w:sz="0" w:space="0" w:color="auto"/>
        <w:left w:val="none" w:sz="0" w:space="0" w:color="auto"/>
        <w:bottom w:val="none" w:sz="0" w:space="0" w:color="auto"/>
        <w:right w:val="none" w:sz="0" w:space="0" w:color="auto"/>
      </w:divBdr>
      <w:divsChild>
        <w:div w:id="10180463">
          <w:marLeft w:val="0"/>
          <w:marRight w:val="150"/>
          <w:marTop w:val="0"/>
          <w:marBottom w:val="0"/>
          <w:divBdr>
            <w:top w:val="none" w:sz="0" w:space="0" w:color="auto"/>
            <w:left w:val="none" w:sz="0" w:space="0" w:color="auto"/>
            <w:bottom w:val="none" w:sz="0" w:space="0" w:color="auto"/>
            <w:right w:val="none" w:sz="0" w:space="0" w:color="auto"/>
          </w:divBdr>
        </w:div>
      </w:divsChild>
    </w:div>
    <w:div w:id="1828863065">
      <w:marLeft w:val="0"/>
      <w:marRight w:val="0"/>
      <w:marTop w:val="0"/>
      <w:marBottom w:val="0"/>
      <w:divBdr>
        <w:top w:val="none" w:sz="0" w:space="0" w:color="auto"/>
        <w:left w:val="none" w:sz="0" w:space="0" w:color="auto"/>
        <w:bottom w:val="none" w:sz="0" w:space="0" w:color="auto"/>
        <w:right w:val="none" w:sz="0" w:space="0" w:color="auto"/>
      </w:divBdr>
      <w:divsChild>
        <w:div w:id="1388650114">
          <w:marLeft w:val="0"/>
          <w:marRight w:val="0"/>
          <w:marTop w:val="0"/>
          <w:marBottom w:val="0"/>
          <w:divBdr>
            <w:top w:val="none" w:sz="0" w:space="0" w:color="auto"/>
            <w:left w:val="none" w:sz="0" w:space="0" w:color="auto"/>
            <w:bottom w:val="none" w:sz="0" w:space="0" w:color="auto"/>
            <w:right w:val="none" w:sz="0" w:space="0" w:color="auto"/>
          </w:divBdr>
        </w:div>
      </w:divsChild>
    </w:div>
    <w:div w:id="1831404185">
      <w:marLeft w:val="0"/>
      <w:marRight w:val="0"/>
      <w:marTop w:val="0"/>
      <w:marBottom w:val="0"/>
      <w:divBdr>
        <w:top w:val="none" w:sz="0" w:space="0" w:color="auto"/>
        <w:left w:val="none" w:sz="0" w:space="0" w:color="auto"/>
        <w:bottom w:val="none" w:sz="0" w:space="0" w:color="auto"/>
        <w:right w:val="none" w:sz="0" w:space="0" w:color="auto"/>
      </w:divBdr>
      <w:divsChild>
        <w:div w:id="1702247781">
          <w:marLeft w:val="0"/>
          <w:marRight w:val="0"/>
          <w:marTop w:val="0"/>
          <w:marBottom w:val="0"/>
          <w:divBdr>
            <w:top w:val="none" w:sz="0" w:space="0" w:color="auto"/>
            <w:left w:val="none" w:sz="0" w:space="0" w:color="auto"/>
            <w:bottom w:val="none" w:sz="0" w:space="0" w:color="auto"/>
            <w:right w:val="none" w:sz="0" w:space="0" w:color="auto"/>
          </w:divBdr>
        </w:div>
      </w:divsChild>
    </w:div>
    <w:div w:id="1834641491">
      <w:marLeft w:val="0"/>
      <w:marRight w:val="0"/>
      <w:marTop w:val="0"/>
      <w:marBottom w:val="0"/>
      <w:divBdr>
        <w:top w:val="none" w:sz="0" w:space="0" w:color="auto"/>
        <w:left w:val="none" w:sz="0" w:space="0" w:color="auto"/>
        <w:bottom w:val="none" w:sz="0" w:space="0" w:color="auto"/>
        <w:right w:val="none" w:sz="0" w:space="0" w:color="auto"/>
      </w:divBdr>
      <w:divsChild>
        <w:div w:id="1504782025">
          <w:marLeft w:val="0"/>
          <w:marRight w:val="0"/>
          <w:marTop w:val="0"/>
          <w:marBottom w:val="0"/>
          <w:divBdr>
            <w:top w:val="none" w:sz="0" w:space="0" w:color="auto"/>
            <w:left w:val="none" w:sz="0" w:space="0" w:color="auto"/>
            <w:bottom w:val="none" w:sz="0" w:space="0" w:color="auto"/>
            <w:right w:val="none" w:sz="0" w:space="0" w:color="auto"/>
          </w:divBdr>
        </w:div>
      </w:divsChild>
    </w:div>
    <w:div w:id="1839886678">
      <w:marLeft w:val="0"/>
      <w:marRight w:val="0"/>
      <w:marTop w:val="0"/>
      <w:marBottom w:val="0"/>
      <w:divBdr>
        <w:top w:val="none" w:sz="0" w:space="0" w:color="auto"/>
        <w:left w:val="none" w:sz="0" w:space="0" w:color="auto"/>
        <w:bottom w:val="none" w:sz="0" w:space="0" w:color="auto"/>
        <w:right w:val="none" w:sz="0" w:space="0" w:color="auto"/>
      </w:divBdr>
      <w:divsChild>
        <w:div w:id="1067606242">
          <w:marLeft w:val="0"/>
          <w:marRight w:val="0"/>
          <w:marTop w:val="0"/>
          <w:marBottom w:val="0"/>
          <w:divBdr>
            <w:top w:val="none" w:sz="0" w:space="0" w:color="auto"/>
            <w:left w:val="none" w:sz="0" w:space="0" w:color="auto"/>
            <w:bottom w:val="none" w:sz="0" w:space="0" w:color="auto"/>
            <w:right w:val="none" w:sz="0" w:space="0" w:color="auto"/>
          </w:divBdr>
        </w:div>
      </w:divsChild>
    </w:div>
    <w:div w:id="1842965828">
      <w:bodyDiv w:val="1"/>
      <w:marLeft w:val="0"/>
      <w:marRight w:val="0"/>
      <w:marTop w:val="0"/>
      <w:marBottom w:val="0"/>
      <w:divBdr>
        <w:top w:val="none" w:sz="0" w:space="0" w:color="auto"/>
        <w:left w:val="none" w:sz="0" w:space="0" w:color="auto"/>
        <w:bottom w:val="none" w:sz="0" w:space="0" w:color="auto"/>
        <w:right w:val="none" w:sz="0" w:space="0" w:color="auto"/>
      </w:divBdr>
    </w:div>
    <w:div w:id="1843659781">
      <w:bodyDiv w:val="1"/>
      <w:marLeft w:val="0"/>
      <w:marRight w:val="0"/>
      <w:marTop w:val="0"/>
      <w:marBottom w:val="0"/>
      <w:divBdr>
        <w:top w:val="none" w:sz="0" w:space="0" w:color="auto"/>
        <w:left w:val="none" w:sz="0" w:space="0" w:color="auto"/>
        <w:bottom w:val="none" w:sz="0" w:space="0" w:color="auto"/>
        <w:right w:val="none" w:sz="0" w:space="0" w:color="auto"/>
      </w:divBdr>
    </w:div>
    <w:div w:id="1846239929">
      <w:bodyDiv w:val="1"/>
      <w:marLeft w:val="0"/>
      <w:marRight w:val="0"/>
      <w:marTop w:val="0"/>
      <w:marBottom w:val="0"/>
      <w:divBdr>
        <w:top w:val="none" w:sz="0" w:space="0" w:color="auto"/>
        <w:left w:val="none" w:sz="0" w:space="0" w:color="auto"/>
        <w:bottom w:val="none" w:sz="0" w:space="0" w:color="auto"/>
        <w:right w:val="none" w:sz="0" w:space="0" w:color="auto"/>
      </w:divBdr>
    </w:div>
    <w:div w:id="1850412473">
      <w:marLeft w:val="0"/>
      <w:marRight w:val="0"/>
      <w:marTop w:val="0"/>
      <w:marBottom w:val="0"/>
      <w:divBdr>
        <w:top w:val="none" w:sz="0" w:space="0" w:color="auto"/>
        <w:left w:val="none" w:sz="0" w:space="0" w:color="auto"/>
        <w:bottom w:val="none" w:sz="0" w:space="0" w:color="auto"/>
        <w:right w:val="none" w:sz="0" w:space="0" w:color="auto"/>
      </w:divBdr>
      <w:divsChild>
        <w:div w:id="45186006">
          <w:marLeft w:val="0"/>
          <w:marRight w:val="0"/>
          <w:marTop w:val="0"/>
          <w:marBottom w:val="0"/>
          <w:divBdr>
            <w:top w:val="none" w:sz="0" w:space="0" w:color="auto"/>
            <w:left w:val="none" w:sz="0" w:space="0" w:color="auto"/>
            <w:bottom w:val="none" w:sz="0" w:space="0" w:color="auto"/>
            <w:right w:val="none" w:sz="0" w:space="0" w:color="auto"/>
          </w:divBdr>
        </w:div>
      </w:divsChild>
    </w:div>
    <w:div w:id="1850828459">
      <w:bodyDiv w:val="1"/>
      <w:marLeft w:val="0"/>
      <w:marRight w:val="0"/>
      <w:marTop w:val="0"/>
      <w:marBottom w:val="0"/>
      <w:divBdr>
        <w:top w:val="none" w:sz="0" w:space="0" w:color="auto"/>
        <w:left w:val="none" w:sz="0" w:space="0" w:color="auto"/>
        <w:bottom w:val="none" w:sz="0" w:space="0" w:color="auto"/>
        <w:right w:val="none" w:sz="0" w:space="0" w:color="auto"/>
      </w:divBdr>
      <w:divsChild>
        <w:div w:id="774835871">
          <w:marLeft w:val="0"/>
          <w:marRight w:val="0"/>
          <w:marTop w:val="0"/>
          <w:marBottom w:val="0"/>
          <w:divBdr>
            <w:top w:val="none" w:sz="0" w:space="0" w:color="auto"/>
            <w:left w:val="none" w:sz="0" w:space="0" w:color="auto"/>
            <w:bottom w:val="none" w:sz="0" w:space="0" w:color="auto"/>
            <w:right w:val="none" w:sz="0" w:space="0" w:color="auto"/>
          </w:divBdr>
          <w:divsChild>
            <w:div w:id="52893486">
              <w:marLeft w:val="0"/>
              <w:marRight w:val="0"/>
              <w:marTop w:val="0"/>
              <w:marBottom w:val="0"/>
              <w:divBdr>
                <w:top w:val="none" w:sz="0" w:space="0" w:color="auto"/>
                <w:left w:val="none" w:sz="0" w:space="0" w:color="auto"/>
                <w:bottom w:val="none" w:sz="0" w:space="0" w:color="auto"/>
                <w:right w:val="none" w:sz="0" w:space="0" w:color="auto"/>
              </w:divBdr>
            </w:div>
            <w:div w:id="1533759221">
              <w:marLeft w:val="0"/>
              <w:marRight w:val="0"/>
              <w:marTop w:val="0"/>
              <w:marBottom w:val="0"/>
              <w:divBdr>
                <w:top w:val="none" w:sz="0" w:space="0" w:color="auto"/>
                <w:left w:val="none" w:sz="0" w:space="0" w:color="auto"/>
                <w:bottom w:val="none" w:sz="0" w:space="0" w:color="auto"/>
                <w:right w:val="none" w:sz="0" w:space="0" w:color="auto"/>
              </w:divBdr>
            </w:div>
            <w:div w:id="735854421">
              <w:marLeft w:val="0"/>
              <w:marRight w:val="0"/>
              <w:marTop w:val="0"/>
              <w:marBottom w:val="0"/>
              <w:divBdr>
                <w:top w:val="none" w:sz="0" w:space="0" w:color="auto"/>
                <w:left w:val="none" w:sz="0" w:space="0" w:color="auto"/>
                <w:bottom w:val="none" w:sz="0" w:space="0" w:color="auto"/>
                <w:right w:val="none" w:sz="0" w:space="0" w:color="auto"/>
              </w:divBdr>
            </w:div>
            <w:div w:id="1241137983">
              <w:marLeft w:val="0"/>
              <w:marRight w:val="0"/>
              <w:marTop w:val="0"/>
              <w:marBottom w:val="0"/>
              <w:divBdr>
                <w:top w:val="none" w:sz="0" w:space="0" w:color="auto"/>
                <w:left w:val="none" w:sz="0" w:space="0" w:color="auto"/>
                <w:bottom w:val="none" w:sz="0" w:space="0" w:color="auto"/>
                <w:right w:val="none" w:sz="0" w:space="0" w:color="auto"/>
              </w:divBdr>
            </w:div>
            <w:div w:id="1873765706">
              <w:marLeft w:val="0"/>
              <w:marRight w:val="0"/>
              <w:marTop w:val="0"/>
              <w:marBottom w:val="0"/>
              <w:divBdr>
                <w:top w:val="none" w:sz="0" w:space="0" w:color="auto"/>
                <w:left w:val="none" w:sz="0" w:space="0" w:color="auto"/>
                <w:bottom w:val="none" w:sz="0" w:space="0" w:color="auto"/>
                <w:right w:val="none" w:sz="0" w:space="0" w:color="auto"/>
              </w:divBdr>
            </w:div>
            <w:div w:id="1605646070">
              <w:marLeft w:val="0"/>
              <w:marRight w:val="0"/>
              <w:marTop w:val="0"/>
              <w:marBottom w:val="0"/>
              <w:divBdr>
                <w:top w:val="none" w:sz="0" w:space="0" w:color="auto"/>
                <w:left w:val="none" w:sz="0" w:space="0" w:color="auto"/>
                <w:bottom w:val="none" w:sz="0" w:space="0" w:color="auto"/>
                <w:right w:val="none" w:sz="0" w:space="0" w:color="auto"/>
              </w:divBdr>
            </w:div>
            <w:div w:id="435904828">
              <w:marLeft w:val="0"/>
              <w:marRight w:val="0"/>
              <w:marTop w:val="0"/>
              <w:marBottom w:val="0"/>
              <w:divBdr>
                <w:top w:val="none" w:sz="0" w:space="0" w:color="auto"/>
                <w:left w:val="none" w:sz="0" w:space="0" w:color="auto"/>
                <w:bottom w:val="none" w:sz="0" w:space="0" w:color="auto"/>
                <w:right w:val="none" w:sz="0" w:space="0" w:color="auto"/>
              </w:divBdr>
            </w:div>
            <w:div w:id="1347168069">
              <w:marLeft w:val="0"/>
              <w:marRight w:val="0"/>
              <w:marTop w:val="0"/>
              <w:marBottom w:val="0"/>
              <w:divBdr>
                <w:top w:val="none" w:sz="0" w:space="0" w:color="auto"/>
                <w:left w:val="none" w:sz="0" w:space="0" w:color="auto"/>
                <w:bottom w:val="none" w:sz="0" w:space="0" w:color="auto"/>
                <w:right w:val="none" w:sz="0" w:space="0" w:color="auto"/>
              </w:divBdr>
            </w:div>
            <w:div w:id="581767320">
              <w:marLeft w:val="0"/>
              <w:marRight w:val="0"/>
              <w:marTop w:val="0"/>
              <w:marBottom w:val="0"/>
              <w:divBdr>
                <w:top w:val="none" w:sz="0" w:space="0" w:color="auto"/>
                <w:left w:val="none" w:sz="0" w:space="0" w:color="auto"/>
                <w:bottom w:val="none" w:sz="0" w:space="0" w:color="auto"/>
                <w:right w:val="none" w:sz="0" w:space="0" w:color="auto"/>
              </w:divBdr>
            </w:div>
            <w:div w:id="309677816">
              <w:marLeft w:val="0"/>
              <w:marRight w:val="0"/>
              <w:marTop w:val="0"/>
              <w:marBottom w:val="0"/>
              <w:divBdr>
                <w:top w:val="none" w:sz="0" w:space="0" w:color="auto"/>
                <w:left w:val="none" w:sz="0" w:space="0" w:color="auto"/>
                <w:bottom w:val="none" w:sz="0" w:space="0" w:color="auto"/>
                <w:right w:val="none" w:sz="0" w:space="0" w:color="auto"/>
              </w:divBdr>
            </w:div>
            <w:div w:id="529681784">
              <w:marLeft w:val="0"/>
              <w:marRight w:val="0"/>
              <w:marTop w:val="0"/>
              <w:marBottom w:val="0"/>
              <w:divBdr>
                <w:top w:val="none" w:sz="0" w:space="0" w:color="auto"/>
                <w:left w:val="none" w:sz="0" w:space="0" w:color="auto"/>
                <w:bottom w:val="none" w:sz="0" w:space="0" w:color="auto"/>
                <w:right w:val="none" w:sz="0" w:space="0" w:color="auto"/>
              </w:divBdr>
            </w:div>
            <w:div w:id="45764279">
              <w:marLeft w:val="0"/>
              <w:marRight w:val="0"/>
              <w:marTop w:val="0"/>
              <w:marBottom w:val="0"/>
              <w:divBdr>
                <w:top w:val="none" w:sz="0" w:space="0" w:color="auto"/>
                <w:left w:val="none" w:sz="0" w:space="0" w:color="auto"/>
                <w:bottom w:val="none" w:sz="0" w:space="0" w:color="auto"/>
                <w:right w:val="none" w:sz="0" w:space="0" w:color="auto"/>
              </w:divBdr>
            </w:div>
            <w:div w:id="1765684050">
              <w:marLeft w:val="0"/>
              <w:marRight w:val="0"/>
              <w:marTop w:val="0"/>
              <w:marBottom w:val="0"/>
              <w:divBdr>
                <w:top w:val="none" w:sz="0" w:space="0" w:color="auto"/>
                <w:left w:val="none" w:sz="0" w:space="0" w:color="auto"/>
                <w:bottom w:val="none" w:sz="0" w:space="0" w:color="auto"/>
                <w:right w:val="none" w:sz="0" w:space="0" w:color="auto"/>
              </w:divBdr>
            </w:div>
            <w:div w:id="1864247972">
              <w:marLeft w:val="0"/>
              <w:marRight w:val="0"/>
              <w:marTop w:val="0"/>
              <w:marBottom w:val="0"/>
              <w:divBdr>
                <w:top w:val="none" w:sz="0" w:space="0" w:color="auto"/>
                <w:left w:val="none" w:sz="0" w:space="0" w:color="auto"/>
                <w:bottom w:val="none" w:sz="0" w:space="0" w:color="auto"/>
                <w:right w:val="none" w:sz="0" w:space="0" w:color="auto"/>
              </w:divBdr>
            </w:div>
            <w:div w:id="1472745168">
              <w:marLeft w:val="0"/>
              <w:marRight w:val="0"/>
              <w:marTop w:val="0"/>
              <w:marBottom w:val="0"/>
              <w:divBdr>
                <w:top w:val="none" w:sz="0" w:space="0" w:color="auto"/>
                <w:left w:val="none" w:sz="0" w:space="0" w:color="auto"/>
                <w:bottom w:val="none" w:sz="0" w:space="0" w:color="auto"/>
                <w:right w:val="none" w:sz="0" w:space="0" w:color="auto"/>
              </w:divBdr>
            </w:div>
            <w:div w:id="785464919">
              <w:marLeft w:val="0"/>
              <w:marRight w:val="0"/>
              <w:marTop w:val="0"/>
              <w:marBottom w:val="0"/>
              <w:divBdr>
                <w:top w:val="none" w:sz="0" w:space="0" w:color="auto"/>
                <w:left w:val="none" w:sz="0" w:space="0" w:color="auto"/>
                <w:bottom w:val="none" w:sz="0" w:space="0" w:color="auto"/>
                <w:right w:val="none" w:sz="0" w:space="0" w:color="auto"/>
              </w:divBdr>
            </w:div>
            <w:div w:id="872351617">
              <w:marLeft w:val="0"/>
              <w:marRight w:val="0"/>
              <w:marTop w:val="0"/>
              <w:marBottom w:val="0"/>
              <w:divBdr>
                <w:top w:val="none" w:sz="0" w:space="0" w:color="auto"/>
                <w:left w:val="none" w:sz="0" w:space="0" w:color="auto"/>
                <w:bottom w:val="none" w:sz="0" w:space="0" w:color="auto"/>
                <w:right w:val="none" w:sz="0" w:space="0" w:color="auto"/>
              </w:divBdr>
            </w:div>
            <w:div w:id="1677146843">
              <w:marLeft w:val="0"/>
              <w:marRight w:val="0"/>
              <w:marTop w:val="0"/>
              <w:marBottom w:val="0"/>
              <w:divBdr>
                <w:top w:val="none" w:sz="0" w:space="0" w:color="auto"/>
                <w:left w:val="none" w:sz="0" w:space="0" w:color="auto"/>
                <w:bottom w:val="none" w:sz="0" w:space="0" w:color="auto"/>
                <w:right w:val="none" w:sz="0" w:space="0" w:color="auto"/>
              </w:divBdr>
            </w:div>
            <w:div w:id="1910066954">
              <w:marLeft w:val="0"/>
              <w:marRight w:val="0"/>
              <w:marTop w:val="0"/>
              <w:marBottom w:val="0"/>
              <w:divBdr>
                <w:top w:val="none" w:sz="0" w:space="0" w:color="auto"/>
                <w:left w:val="none" w:sz="0" w:space="0" w:color="auto"/>
                <w:bottom w:val="none" w:sz="0" w:space="0" w:color="auto"/>
                <w:right w:val="none" w:sz="0" w:space="0" w:color="auto"/>
              </w:divBdr>
            </w:div>
            <w:div w:id="1401635214">
              <w:marLeft w:val="0"/>
              <w:marRight w:val="0"/>
              <w:marTop w:val="0"/>
              <w:marBottom w:val="0"/>
              <w:divBdr>
                <w:top w:val="none" w:sz="0" w:space="0" w:color="auto"/>
                <w:left w:val="none" w:sz="0" w:space="0" w:color="auto"/>
                <w:bottom w:val="none" w:sz="0" w:space="0" w:color="auto"/>
                <w:right w:val="none" w:sz="0" w:space="0" w:color="auto"/>
              </w:divBdr>
            </w:div>
            <w:div w:id="1938561347">
              <w:marLeft w:val="0"/>
              <w:marRight w:val="0"/>
              <w:marTop w:val="0"/>
              <w:marBottom w:val="0"/>
              <w:divBdr>
                <w:top w:val="none" w:sz="0" w:space="0" w:color="auto"/>
                <w:left w:val="none" w:sz="0" w:space="0" w:color="auto"/>
                <w:bottom w:val="none" w:sz="0" w:space="0" w:color="auto"/>
                <w:right w:val="none" w:sz="0" w:space="0" w:color="auto"/>
              </w:divBdr>
            </w:div>
            <w:div w:id="724184423">
              <w:marLeft w:val="0"/>
              <w:marRight w:val="0"/>
              <w:marTop w:val="0"/>
              <w:marBottom w:val="0"/>
              <w:divBdr>
                <w:top w:val="none" w:sz="0" w:space="0" w:color="auto"/>
                <w:left w:val="none" w:sz="0" w:space="0" w:color="auto"/>
                <w:bottom w:val="none" w:sz="0" w:space="0" w:color="auto"/>
                <w:right w:val="none" w:sz="0" w:space="0" w:color="auto"/>
              </w:divBdr>
            </w:div>
            <w:div w:id="1822387305">
              <w:marLeft w:val="0"/>
              <w:marRight w:val="0"/>
              <w:marTop w:val="0"/>
              <w:marBottom w:val="0"/>
              <w:divBdr>
                <w:top w:val="none" w:sz="0" w:space="0" w:color="auto"/>
                <w:left w:val="none" w:sz="0" w:space="0" w:color="auto"/>
                <w:bottom w:val="none" w:sz="0" w:space="0" w:color="auto"/>
                <w:right w:val="none" w:sz="0" w:space="0" w:color="auto"/>
              </w:divBdr>
            </w:div>
            <w:div w:id="260576852">
              <w:marLeft w:val="0"/>
              <w:marRight w:val="0"/>
              <w:marTop w:val="0"/>
              <w:marBottom w:val="0"/>
              <w:divBdr>
                <w:top w:val="none" w:sz="0" w:space="0" w:color="auto"/>
                <w:left w:val="none" w:sz="0" w:space="0" w:color="auto"/>
                <w:bottom w:val="none" w:sz="0" w:space="0" w:color="auto"/>
                <w:right w:val="none" w:sz="0" w:space="0" w:color="auto"/>
              </w:divBdr>
            </w:div>
            <w:div w:id="700132401">
              <w:marLeft w:val="0"/>
              <w:marRight w:val="0"/>
              <w:marTop w:val="0"/>
              <w:marBottom w:val="0"/>
              <w:divBdr>
                <w:top w:val="none" w:sz="0" w:space="0" w:color="auto"/>
                <w:left w:val="none" w:sz="0" w:space="0" w:color="auto"/>
                <w:bottom w:val="none" w:sz="0" w:space="0" w:color="auto"/>
                <w:right w:val="none" w:sz="0" w:space="0" w:color="auto"/>
              </w:divBdr>
            </w:div>
            <w:div w:id="1638298051">
              <w:marLeft w:val="0"/>
              <w:marRight w:val="0"/>
              <w:marTop w:val="0"/>
              <w:marBottom w:val="0"/>
              <w:divBdr>
                <w:top w:val="none" w:sz="0" w:space="0" w:color="auto"/>
                <w:left w:val="none" w:sz="0" w:space="0" w:color="auto"/>
                <w:bottom w:val="none" w:sz="0" w:space="0" w:color="auto"/>
                <w:right w:val="none" w:sz="0" w:space="0" w:color="auto"/>
              </w:divBdr>
            </w:div>
            <w:div w:id="2120559702">
              <w:marLeft w:val="0"/>
              <w:marRight w:val="0"/>
              <w:marTop w:val="0"/>
              <w:marBottom w:val="0"/>
              <w:divBdr>
                <w:top w:val="none" w:sz="0" w:space="0" w:color="auto"/>
                <w:left w:val="none" w:sz="0" w:space="0" w:color="auto"/>
                <w:bottom w:val="none" w:sz="0" w:space="0" w:color="auto"/>
                <w:right w:val="none" w:sz="0" w:space="0" w:color="auto"/>
              </w:divBdr>
            </w:div>
            <w:div w:id="2032028977">
              <w:marLeft w:val="0"/>
              <w:marRight w:val="0"/>
              <w:marTop w:val="0"/>
              <w:marBottom w:val="0"/>
              <w:divBdr>
                <w:top w:val="none" w:sz="0" w:space="0" w:color="auto"/>
                <w:left w:val="none" w:sz="0" w:space="0" w:color="auto"/>
                <w:bottom w:val="none" w:sz="0" w:space="0" w:color="auto"/>
                <w:right w:val="none" w:sz="0" w:space="0" w:color="auto"/>
              </w:divBdr>
            </w:div>
            <w:div w:id="2026325130">
              <w:marLeft w:val="0"/>
              <w:marRight w:val="0"/>
              <w:marTop w:val="0"/>
              <w:marBottom w:val="0"/>
              <w:divBdr>
                <w:top w:val="none" w:sz="0" w:space="0" w:color="auto"/>
                <w:left w:val="none" w:sz="0" w:space="0" w:color="auto"/>
                <w:bottom w:val="none" w:sz="0" w:space="0" w:color="auto"/>
                <w:right w:val="none" w:sz="0" w:space="0" w:color="auto"/>
              </w:divBdr>
            </w:div>
            <w:div w:id="2068724345">
              <w:marLeft w:val="0"/>
              <w:marRight w:val="0"/>
              <w:marTop w:val="0"/>
              <w:marBottom w:val="0"/>
              <w:divBdr>
                <w:top w:val="none" w:sz="0" w:space="0" w:color="auto"/>
                <w:left w:val="none" w:sz="0" w:space="0" w:color="auto"/>
                <w:bottom w:val="none" w:sz="0" w:space="0" w:color="auto"/>
                <w:right w:val="none" w:sz="0" w:space="0" w:color="auto"/>
              </w:divBdr>
            </w:div>
            <w:div w:id="1282608307">
              <w:marLeft w:val="0"/>
              <w:marRight w:val="0"/>
              <w:marTop w:val="0"/>
              <w:marBottom w:val="0"/>
              <w:divBdr>
                <w:top w:val="none" w:sz="0" w:space="0" w:color="auto"/>
                <w:left w:val="none" w:sz="0" w:space="0" w:color="auto"/>
                <w:bottom w:val="none" w:sz="0" w:space="0" w:color="auto"/>
                <w:right w:val="none" w:sz="0" w:space="0" w:color="auto"/>
              </w:divBdr>
            </w:div>
            <w:div w:id="905460457">
              <w:marLeft w:val="0"/>
              <w:marRight w:val="0"/>
              <w:marTop w:val="0"/>
              <w:marBottom w:val="0"/>
              <w:divBdr>
                <w:top w:val="none" w:sz="0" w:space="0" w:color="auto"/>
                <w:left w:val="none" w:sz="0" w:space="0" w:color="auto"/>
                <w:bottom w:val="none" w:sz="0" w:space="0" w:color="auto"/>
                <w:right w:val="none" w:sz="0" w:space="0" w:color="auto"/>
              </w:divBdr>
            </w:div>
            <w:div w:id="341399466">
              <w:marLeft w:val="0"/>
              <w:marRight w:val="0"/>
              <w:marTop w:val="0"/>
              <w:marBottom w:val="0"/>
              <w:divBdr>
                <w:top w:val="none" w:sz="0" w:space="0" w:color="auto"/>
                <w:left w:val="none" w:sz="0" w:space="0" w:color="auto"/>
                <w:bottom w:val="none" w:sz="0" w:space="0" w:color="auto"/>
                <w:right w:val="none" w:sz="0" w:space="0" w:color="auto"/>
              </w:divBdr>
            </w:div>
            <w:div w:id="962030552">
              <w:marLeft w:val="0"/>
              <w:marRight w:val="0"/>
              <w:marTop w:val="0"/>
              <w:marBottom w:val="0"/>
              <w:divBdr>
                <w:top w:val="none" w:sz="0" w:space="0" w:color="auto"/>
                <w:left w:val="none" w:sz="0" w:space="0" w:color="auto"/>
                <w:bottom w:val="none" w:sz="0" w:space="0" w:color="auto"/>
                <w:right w:val="none" w:sz="0" w:space="0" w:color="auto"/>
              </w:divBdr>
            </w:div>
            <w:div w:id="1559709280">
              <w:marLeft w:val="0"/>
              <w:marRight w:val="0"/>
              <w:marTop w:val="0"/>
              <w:marBottom w:val="0"/>
              <w:divBdr>
                <w:top w:val="none" w:sz="0" w:space="0" w:color="auto"/>
                <w:left w:val="none" w:sz="0" w:space="0" w:color="auto"/>
                <w:bottom w:val="none" w:sz="0" w:space="0" w:color="auto"/>
                <w:right w:val="none" w:sz="0" w:space="0" w:color="auto"/>
              </w:divBdr>
            </w:div>
            <w:div w:id="1971087035">
              <w:marLeft w:val="0"/>
              <w:marRight w:val="0"/>
              <w:marTop w:val="0"/>
              <w:marBottom w:val="0"/>
              <w:divBdr>
                <w:top w:val="none" w:sz="0" w:space="0" w:color="auto"/>
                <w:left w:val="none" w:sz="0" w:space="0" w:color="auto"/>
                <w:bottom w:val="none" w:sz="0" w:space="0" w:color="auto"/>
                <w:right w:val="none" w:sz="0" w:space="0" w:color="auto"/>
              </w:divBdr>
            </w:div>
            <w:div w:id="990522471">
              <w:marLeft w:val="0"/>
              <w:marRight w:val="0"/>
              <w:marTop w:val="0"/>
              <w:marBottom w:val="0"/>
              <w:divBdr>
                <w:top w:val="none" w:sz="0" w:space="0" w:color="auto"/>
                <w:left w:val="none" w:sz="0" w:space="0" w:color="auto"/>
                <w:bottom w:val="none" w:sz="0" w:space="0" w:color="auto"/>
                <w:right w:val="none" w:sz="0" w:space="0" w:color="auto"/>
              </w:divBdr>
            </w:div>
            <w:div w:id="30880273">
              <w:marLeft w:val="0"/>
              <w:marRight w:val="0"/>
              <w:marTop w:val="0"/>
              <w:marBottom w:val="0"/>
              <w:divBdr>
                <w:top w:val="none" w:sz="0" w:space="0" w:color="auto"/>
                <w:left w:val="none" w:sz="0" w:space="0" w:color="auto"/>
                <w:bottom w:val="none" w:sz="0" w:space="0" w:color="auto"/>
                <w:right w:val="none" w:sz="0" w:space="0" w:color="auto"/>
              </w:divBdr>
            </w:div>
            <w:div w:id="1254171486">
              <w:marLeft w:val="0"/>
              <w:marRight w:val="0"/>
              <w:marTop w:val="0"/>
              <w:marBottom w:val="0"/>
              <w:divBdr>
                <w:top w:val="none" w:sz="0" w:space="0" w:color="auto"/>
                <w:left w:val="none" w:sz="0" w:space="0" w:color="auto"/>
                <w:bottom w:val="none" w:sz="0" w:space="0" w:color="auto"/>
                <w:right w:val="none" w:sz="0" w:space="0" w:color="auto"/>
              </w:divBdr>
            </w:div>
            <w:div w:id="1624774506">
              <w:marLeft w:val="0"/>
              <w:marRight w:val="0"/>
              <w:marTop w:val="0"/>
              <w:marBottom w:val="0"/>
              <w:divBdr>
                <w:top w:val="none" w:sz="0" w:space="0" w:color="auto"/>
                <w:left w:val="none" w:sz="0" w:space="0" w:color="auto"/>
                <w:bottom w:val="none" w:sz="0" w:space="0" w:color="auto"/>
                <w:right w:val="none" w:sz="0" w:space="0" w:color="auto"/>
              </w:divBdr>
            </w:div>
            <w:div w:id="1165510483">
              <w:marLeft w:val="0"/>
              <w:marRight w:val="0"/>
              <w:marTop w:val="0"/>
              <w:marBottom w:val="0"/>
              <w:divBdr>
                <w:top w:val="none" w:sz="0" w:space="0" w:color="auto"/>
                <w:left w:val="none" w:sz="0" w:space="0" w:color="auto"/>
                <w:bottom w:val="none" w:sz="0" w:space="0" w:color="auto"/>
                <w:right w:val="none" w:sz="0" w:space="0" w:color="auto"/>
              </w:divBdr>
            </w:div>
            <w:div w:id="1769039301">
              <w:marLeft w:val="0"/>
              <w:marRight w:val="0"/>
              <w:marTop w:val="0"/>
              <w:marBottom w:val="0"/>
              <w:divBdr>
                <w:top w:val="none" w:sz="0" w:space="0" w:color="auto"/>
                <w:left w:val="none" w:sz="0" w:space="0" w:color="auto"/>
                <w:bottom w:val="none" w:sz="0" w:space="0" w:color="auto"/>
                <w:right w:val="none" w:sz="0" w:space="0" w:color="auto"/>
              </w:divBdr>
            </w:div>
            <w:div w:id="1852793799">
              <w:marLeft w:val="0"/>
              <w:marRight w:val="0"/>
              <w:marTop w:val="0"/>
              <w:marBottom w:val="0"/>
              <w:divBdr>
                <w:top w:val="none" w:sz="0" w:space="0" w:color="auto"/>
                <w:left w:val="none" w:sz="0" w:space="0" w:color="auto"/>
                <w:bottom w:val="none" w:sz="0" w:space="0" w:color="auto"/>
                <w:right w:val="none" w:sz="0" w:space="0" w:color="auto"/>
              </w:divBdr>
            </w:div>
            <w:div w:id="2097051747">
              <w:marLeft w:val="0"/>
              <w:marRight w:val="0"/>
              <w:marTop w:val="0"/>
              <w:marBottom w:val="0"/>
              <w:divBdr>
                <w:top w:val="none" w:sz="0" w:space="0" w:color="auto"/>
                <w:left w:val="none" w:sz="0" w:space="0" w:color="auto"/>
                <w:bottom w:val="none" w:sz="0" w:space="0" w:color="auto"/>
                <w:right w:val="none" w:sz="0" w:space="0" w:color="auto"/>
              </w:divBdr>
            </w:div>
            <w:div w:id="251160158">
              <w:marLeft w:val="0"/>
              <w:marRight w:val="0"/>
              <w:marTop w:val="0"/>
              <w:marBottom w:val="0"/>
              <w:divBdr>
                <w:top w:val="none" w:sz="0" w:space="0" w:color="auto"/>
                <w:left w:val="none" w:sz="0" w:space="0" w:color="auto"/>
                <w:bottom w:val="none" w:sz="0" w:space="0" w:color="auto"/>
                <w:right w:val="none" w:sz="0" w:space="0" w:color="auto"/>
              </w:divBdr>
            </w:div>
            <w:div w:id="1505167381">
              <w:marLeft w:val="0"/>
              <w:marRight w:val="0"/>
              <w:marTop w:val="0"/>
              <w:marBottom w:val="0"/>
              <w:divBdr>
                <w:top w:val="none" w:sz="0" w:space="0" w:color="auto"/>
                <w:left w:val="none" w:sz="0" w:space="0" w:color="auto"/>
                <w:bottom w:val="none" w:sz="0" w:space="0" w:color="auto"/>
                <w:right w:val="none" w:sz="0" w:space="0" w:color="auto"/>
              </w:divBdr>
            </w:div>
            <w:div w:id="503715340">
              <w:marLeft w:val="0"/>
              <w:marRight w:val="0"/>
              <w:marTop w:val="0"/>
              <w:marBottom w:val="0"/>
              <w:divBdr>
                <w:top w:val="none" w:sz="0" w:space="0" w:color="auto"/>
                <w:left w:val="none" w:sz="0" w:space="0" w:color="auto"/>
                <w:bottom w:val="none" w:sz="0" w:space="0" w:color="auto"/>
                <w:right w:val="none" w:sz="0" w:space="0" w:color="auto"/>
              </w:divBdr>
            </w:div>
            <w:div w:id="1634873371">
              <w:marLeft w:val="0"/>
              <w:marRight w:val="0"/>
              <w:marTop w:val="0"/>
              <w:marBottom w:val="0"/>
              <w:divBdr>
                <w:top w:val="none" w:sz="0" w:space="0" w:color="auto"/>
                <w:left w:val="none" w:sz="0" w:space="0" w:color="auto"/>
                <w:bottom w:val="none" w:sz="0" w:space="0" w:color="auto"/>
                <w:right w:val="none" w:sz="0" w:space="0" w:color="auto"/>
              </w:divBdr>
            </w:div>
            <w:div w:id="463889395">
              <w:marLeft w:val="0"/>
              <w:marRight w:val="0"/>
              <w:marTop w:val="0"/>
              <w:marBottom w:val="0"/>
              <w:divBdr>
                <w:top w:val="none" w:sz="0" w:space="0" w:color="auto"/>
                <w:left w:val="none" w:sz="0" w:space="0" w:color="auto"/>
                <w:bottom w:val="none" w:sz="0" w:space="0" w:color="auto"/>
                <w:right w:val="none" w:sz="0" w:space="0" w:color="auto"/>
              </w:divBdr>
            </w:div>
            <w:div w:id="431365938">
              <w:marLeft w:val="0"/>
              <w:marRight w:val="0"/>
              <w:marTop w:val="0"/>
              <w:marBottom w:val="0"/>
              <w:divBdr>
                <w:top w:val="none" w:sz="0" w:space="0" w:color="auto"/>
                <w:left w:val="none" w:sz="0" w:space="0" w:color="auto"/>
                <w:bottom w:val="none" w:sz="0" w:space="0" w:color="auto"/>
                <w:right w:val="none" w:sz="0" w:space="0" w:color="auto"/>
              </w:divBdr>
            </w:div>
            <w:div w:id="1518302287">
              <w:marLeft w:val="0"/>
              <w:marRight w:val="0"/>
              <w:marTop w:val="0"/>
              <w:marBottom w:val="0"/>
              <w:divBdr>
                <w:top w:val="none" w:sz="0" w:space="0" w:color="auto"/>
                <w:left w:val="none" w:sz="0" w:space="0" w:color="auto"/>
                <w:bottom w:val="none" w:sz="0" w:space="0" w:color="auto"/>
                <w:right w:val="none" w:sz="0" w:space="0" w:color="auto"/>
              </w:divBdr>
            </w:div>
            <w:div w:id="703137176">
              <w:marLeft w:val="0"/>
              <w:marRight w:val="0"/>
              <w:marTop w:val="0"/>
              <w:marBottom w:val="0"/>
              <w:divBdr>
                <w:top w:val="none" w:sz="0" w:space="0" w:color="auto"/>
                <w:left w:val="none" w:sz="0" w:space="0" w:color="auto"/>
                <w:bottom w:val="none" w:sz="0" w:space="0" w:color="auto"/>
                <w:right w:val="none" w:sz="0" w:space="0" w:color="auto"/>
              </w:divBdr>
            </w:div>
            <w:div w:id="323777278">
              <w:marLeft w:val="0"/>
              <w:marRight w:val="0"/>
              <w:marTop w:val="0"/>
              <w:marBottom w:val="0"/>
              <w:divBdr>
                <w:top w:val="none" w:sz="0" w:space="0" w:color="auto"/>
                <w:left w:val="none" w:sz="0" w:space="0" w:color="auto"/>
                <w:bottom w:val="none" w:sz="0" w:space="0" w:color="auto"/>
                <w:right w:val="none" w:sz="0" w:space="0" w:color="auto"/>
              </w:divBdr>
            </w:div>
            <w:div w:id="621418622">
              <w:marLeft w:val="0"/>
              <w:marRight w:val="0"/>
              <w:marTop w:val="0"/>
              <w:marBottom w:val="0"/>
              <w:divBdr>
                <w:top w:val="none" w:sz="0" w:space="0" w:color="auto"/>
                <w:left w:val="none" w:sz="0" w:space="0" w:color="auto"/>
                <w:bottom w:val="none" w:sz="0" w:space="0" w:color="auto"/>
                <w:right w:val="none" w:sz="0" w:space="0" w:color="auto"/>
              </w:divBdr>
            </w:div>
            <w:div w:id="392312051">
              <w:marLeft w:val="0"/>
              <w:marRight w:val="0"/>
              <w:marTop w:val="0"/>
              <w:marBottom w:val="0"/>
              <w:divBdr>
                <w:top w:val="none" w:sz="0" w:space="0" w:color="auto"/>
                <w:left w:val="none" w:sz="0" w:space="0" w:color="auto"/>
                <w:bottom w:val="none" w:sz="0" w:space="0" w:color="auto"/>
                <w:right w:val="none" w:sz="0" w:space="0" w:color="auto"/>
              </w:divBdr>
            </w:div>
            <w:div w:id="2009213529">
              <w:marLeft w:val="0"/>
              <w:marRight w:val="0"/>
              <w:marTop w:val="0"/>
              <w:marBottom w:val="0"/>
              <w:divBdr>
                <w:top w:val="none" w:sz="0" w:space="0" w:color="auto"/>
                <w:left w:val="none" w:sz="0" w:space="0" w:color="auto"/>
                <w:bottom w:val="none" w:sz="0" w:space="0" w:color="auto"/>
                <w:right w:val="none" w:sz="0" w:space="0" w:color="auto"/>
              </w:divBdr>
            </w:div>
            <w:div w:id="990671635">
              <w:marLeft w:val="0"/>
              <w:marRight w:val="0"/>
              <w:marTop w:val="0"/>
              <w:marBottom w:val="0"/>
              <w:divBdr>
                <w:top w:val="none" w:sz="0" w:space="0" w:color="auto"/>
                <w:left w:val="none" w:sz="0" w:space="0" w:color="auto"/>
                <w:bottom w:val="none" w:sz="0" w:space="0" w:color="auto"/>
                <w:right w:val="none" w:sz="0" w:space="0" w:color="auto"/>
              </w:divBdr>
            </w:div>
            <w:div w:id="937833675">
              <w:marLeft w:val="0"/>
              <w:marRight w:val="0"/>
              <w:marTop w:val="0"/>
              <w:marBottom w:val="0"/>
              <w:divBdr>
                <w:top w:val="none" w:sz="0" w:space="0" w:color="auto"/>
                <w:left w:val="none" w:sz="0" w:space="0" w:color="auto"/>
                <w:bottom w:val="none" w:sz="0" w:space="0" w:color="auto"/>
                <w:right w:val="none" w:sz="0" w:space="0" w:color="auto"/>
              </w:divBdr>
            </w:div>
            <w:div w:id="2003074304">
              <w:marLeft w:val="0"/>
              <w:marRight w:val="0"/>
              <w:marTop w:val="0"/>
              <w:marBottom w:val="0"/>
              <w:divBdr>
                <w:top w:val="none" w:sz="0" w:space="0" w:color="auto"/>
                <w:left w:val="none" w:sz="0" w:space="0" w:color="auto"/>
                <w:bottom w:val="none" w:sz="0" w:space="0" w:color="auto"/>
                <w:right w:val="none" w:sz="0" w:space="0" w:color="auto"/>
              </w:divBdr>
            </w:div>
            <w:div w:id="686636775">
              <w:marLeft w:val="0"/>
              <w:marRight w:val="0"/>
              <w:marTop w:val="0"/>
              <w:marBottom w:val="0"/>
              <w:divBdr>
                <w:top w:val="none" w:sz="0" w:space="0" w:color="auto"/>
                <w:left w:val="none" w:sz="0" w:space="0" w:color="auto"/>
                <w:bottom w:val="none" w:sz="0" w:space="0" w:color="auto"/>
                <w:right w:val="none" w:sz="0" w:space="0" w:color="auto"/>
              </w:divBdr>
            </w:div>
            <w:div w:id="830364356">
              <w:marLeft w:val="0"/>
              <w:marRight w:val="0"/>
              <w:marTop w:val="0"/>
              <w:marBottom w:val="0"/>
              <w:divBdr>
                <w:top w:val="none" w:sz="0" w:space="0" w:color="auto"/>
                <w:left w:val="none" w:sz="0" w:space="0" w:color="auto"/>
                <w:bottom w:val="none" w:sz="0" w:space="0" w:color="auto"/>
                <w:right w:val="none" w:sz="0" w:space="0" w:color="auto"/>
              </w:divBdr>
            </w:div>
            <w:div w:id="845091500">
              <w:marLeft w:val="0"/>
              <w:marRight w:val="0"/>
              <w:marTop w:val="0"/>
              <w:marBottom w:val="0"/>
              <w:divBdr>
                <w:top w:val="none" w:sz="0" w:space="0" w:color="auto"/>
                <w:left w:val="none" w:sz="0" w:space="0" w:color="auto"/>
                <w:bottom w:val="none" w:sz="0" w:space="0" w:color="auto"/>
                <w:right w:val="none" w:sz="0" w:space="0" w:color="auto"/>
              </w:divBdr>
            </w:div>
            <w:div w:id="1359701372">
              <w:marLeft w:val="0"/>
              <w:marRight w:val="0"/>
              <w:marTop w:val="0"/>
              <w:marBottom w:val="0"/>
              <w:divBdr>
                <w:top w:val="none" w:sz="0" w:space="0" w:color="auto"/>
                <w:left w:val="none" w:sz="0" w:space="0" w:color="auto"/>
                <w:bottom w:val="none" w:sz="0" w:space="0" w:color="auto"/>
                <w:right w:val="none" w:sz="0" w:space="0" w:color="auto"/>
              </w:divBdr>
            </w:div>
            <w:div w:id="1592859979">
              <w:marLeft w:val="0"/>
              <w:marRight w:val="0"/>
              <w:marTop w:val="0"/>
              <w:marBottom w:val="0"/>
              <w:divBdr>
                <w:top w:val="none" w:sz="0" w:space="0" w:color="auto"/>
                <w:left w:val="none" w:sz="0" w:space="0" w:color="auto"/>
                <w:bottom w:val="none" w:sz="0" w:space="0" w:color="auto"/>
                <w:right w:val="none" w:sz="0" w:space="0" w:color="auto"/>
              </w:divBdr>
            </w:div>
            <w:div w:id="1256981958">
              <w:marLeft w:val="0"/>
              <w:marRight w:val="0"/>
              <w:marTop w:val="0"/>
              <w:marBottom w:val="0"/>
              <w:divBdr>
                <w:top w:val="none" w:sz="0" w:space="0" w:color="auto"/>
                <w:left w:val="none" w:sz="0" w:space="0" w:color="auto"/>
                <w:bottom w:val="none" w:sz="0" w:space="0" w:color="auto"/>
                <w:right w:val="none" w:sz="0" w:space="0" w:color="auto"/>
              </w:divBdr>
            </w:div>
            <w:div w:id="276766257">
              <w:marLeft w:val="0"/>
              <w:marRight w:val="0"/>
              <w:marTop w:val="0"/>
              <w:marBottom w:val="0"/>
              <w:divBdr>
                <w:top w:val="none" w:sz="0" w:space="0" w:color="auto"/>
                <w:left w:val="none" w:sz="0" w:space="0" w:color="auto"/>
                <w:bottom w:val="none" w:sz="0" w:space="0" w:color="auto"/>
                <w:right w:val="none" w:sz="0" w:space="0" w:color="auto"/>
              </w:divBdr>
            </w:div>
            <w:div w:id="1529298122">
              <w:marLeft w:val="0"/>
              <w:marRight w:val="0"/>
              <w:marTop w:val="0"/>
              <w:marBottom w:val="0"/>
              <w:divBdr>
                <w:top w:val="none" w:sz="0" w:space="0" w:color="auto"/>
                <w:left w:val="none" w:sz="0" w:space="0" w:color="auto"/>
                <w:bottom w:val="none" w:sz="0" w:space="0" w:color="auto"/>
                <w:right w:val="none" w:sz="0" w:space="0" w:color="auto"/>
              </w:divBdr>
            </w:div>
            <w:div w:id="418186216">
              <w:marLeft w:val="0"/>
              <w:marRight w:val="0"/>
              <w:marTop w:val="0"/>
              <w:marBottom w:val="0"/>
              <w:divBdr>
                <w:top w:val="none" w:sz="0" w:space="0" w:color="auto"/>
                <w:left w:val="none" w:sz="0" w:space="0" w:color="auto"/>
                <w:bottom w:val="none" w:sz="0" w:space="0" w:color="auto"/>
                <w:right w:val="none" w:sz="0" w:space="0" w:color="auto"/>
              </w:divBdr>
            </w:div>
            <w:div w:id="1402748510">
              <w:marLeft w:val="0"/>
              <w:marRight w:val="0"/>
              <w:marTop w:val="0"/>
              <w:marBottom w:val="0"/>
              <w:divBdr>
                <w:top w:val="none" w:sz="0" w:space="0" w:color="auto"/>
                <w:left w:val="none" w:sz="0" w:space="0" w:color="auto"/>
                <w:bottom w:val="none" w:sz="0" w:space="0" w:color="auto"/>
                <w:right w:val="none" w:sz="0" w:space="0" w:color="auto"/>
              </w:divBdr>
            </w:div>
            <w:div w:id="1161890488">
              <w:marLeft w:val="0"/>
              <w:marRight w:val="0"/>
              <w:marTop w:val="0"/>
              <w:marBottom w:val="0"/>
              <w:divBdr>
                <w:top w:val="none" w:sz="0" w:space="0" w:color="auto"/>
                <w:left w:val="none" w:sz="0" w:space="0" w:color="auto"/>
                <w:bottom w:val="none" w:sz="0" w:space="0" w:color="auto"/>
                <w:right w:val="none" w:sz="0" w:space="0" w:color="auto"/>
              </w:divBdr>
            </w:div>
            <w:div w:id="934706162">
              <w:marLeft w:val="0"/>
              <w:marRight w:val="0"/>
              <w:marTop w:val="0"/>
              <w:marBottom w:val="0"/>
              <w:divBdr>
                <w:top w:val="none" w:sz="0" w:space="0" w:color="auto"/>
                <w:left w:val="none" w:sz="0" w:space="0" w:color="auto"/>
                <w:bottom w:val="none" w:sz="0" w:space="0" w:color="auto"/>
                <w:right w:val="none" w:sz="0" w:space="0" w:color="auto"/>
              </w:divBdr>
            </w:div>
            <w:div w:id="842478429">
              <w:marLeft w:val="0"/>
              <w:marRight w:val="0"/>
              <w:marTop w:val="0"/>
              <w:marBottom w:val="0"/>
              <w:divBdr>
                <w:top w:val="none" w:sz="0" w:space="0" w:color="auto"/>
                <w:left w:val="none" w:sz="0" w:space="0" w:color="auto"/>
                <w:bottom w:val="none" w:sz="0" w:space="0" w:color="auto"/>
                <w:right w:val="none" w:sz="0" w:space="0" w:color="auto"/>
              </w:divBdr>
            </w:div>
            <w:div w:id="34868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21969">
      <w:marLeft w:val="0"/>
      <w:marRight w:val="0"/>
      <w:marTop w:val="0"/>
      <w:marBottom w:val="0"/>
      <w:divBdr>
        <w:top w:val="none" w:sz="0" w:space="0" w:color="auto"/>
        <w:left w:val="none" w:sz="0" w:space="0" w:color="auto"/>
        <w:bottom w:val="none" w:sz="0" w:space="0" w:color="auto"/>
        <w:right w:val="none" w:sz="0" w:space="0" w:color="auto"/>
      </w:divBdr>
      <w:divsChild>
        <w:div w:id="1447389491">
          <w:marLeft w:val="0"/>
          <w:marRight w:val="0"/>
          <w:marTop w:val="0"/>
          <w:marBottom w:val="0"/>
          <w:divBdr>
            <w:top w:val="none" w:sz="0" w:space="0" w:color="auto"/>
            <w:left w:val="none" w:sz="0" w:space="0" w:color="auto"/>
            <w:bottom w:val="none" w:sz="0" w:space="0" w:color="auto"/>
            <w:right w:val="none" w:sz="0" w:space="0" w:color="auto"/>
          </w:divBdr>
        </w:div>
      </w:divsChild>
    </w:div>
    <w:div w:id="1855654272">
      <w:marLeft w:val="0"/>
      <w:marRight w:val="0"/>
      <w:marTop w:val="0"/>
      <w:marBottom w:val="0"/>
      <w:divBdr>
        <w:top w:val="none" w:sz="0" w:space="0" w:color="auto"/>
        <w:left w:val="none" w:sz="0" w:space="0" w:color="auto"/>
        <w:bottom w:val="none" w:sz="0" w:space="0" w:color="auto"/>
        <w:right w:val="none" w:sz="0" w:space="0" w:color="auto"/>
      </w:divBdr>
      <w:divsChild>
        <w:div w:id="2067140061">
          <w:marLeft w:val="0"/>
          <w:marRight w:val="0"/>
          <w:marTop w:val="0"/>
          <w:marBottom w:val="0"/>
          <w:divBdr>
            <w:top w:val="none" w:sz="0" w:space="0" w:color="auto"/>
            <w:left w:val="none" w:sz="0" w:space="0" w:color="auto"/>
            <w:bottom w:val="none" w:sz="0" w:space="0" w:color="auto"/>
            <w:right w:val="none" w:sz="0" w:space="0" w:color="auto"/>
          </w:divBdr>
        </w:div>
      </w:divsChild>
    </w:div>
    <w:div w:id="1856339715">
      <w:marLeft w:val="0"/>
      <w:marRight w:val="0"/>
      <w:marTop w:val="0"/>
      <w:marBottom w:val="0"/>
      <w:divBdr>
        <w:top w:val="none" w:sz="0" w:space="0" w:color="auto"/>
        <w:left w:val="none" w:sz="0" w:space="0" w:color="auto"/>
        <w:bottom w:val="none" w:sz="0" w:space="0" w:color="auto"/>
        <w:right w:val="none" w:sz="0" w:space="0" w:color="auto"/>
      </w:divBdr>
      <w:divsChild>
        <w:div w:id="1936940235">
          <w:marLeft w:val="0"/>
          <w:marRight w:val="0"/>
          <w:marTop w:val="0"/>
          <w:marBottom w:val="0"/>
          <w:divBdr>
            <w:top w:val="none" w:sz="0" w:space="0" w:color="auto"/>
            <w:left w:val="none" w:sz="0" w:space="0" w:color="auto"/>
            <w:bottom w:val="none" w:sz="0" w:space="0" w:color="auto"/>
            <w:right w:val="none" w:sz="0" w:space="0" w:color="auto"/>
          </w:divBdr>
        </w:div>
      </w:divsChild>
    </w:div>
    <w:div w:id="1858305341">
      <w:marLeft w:val="0"/>
      <w:marRight w:val="0"/>
      <w:marTop w:val="0"/>
      <w:marBottom w:val="0"/>
      <w:divBdr>
        <w:top w:val="none" w:sz="0" w:space="0" w:color="auto"/>
        <w:left w:val="none" w:sz="0" w:space="0" w:color="auto"/>
        <w:bottom w:val="none" w:sz="0" w:space="0" w:color="auto"/>
        <w:right w:val="none" w:sz="0" w:space="0" w:color="auto"/>
      </w:divBdr>
      <w:divsChild>
        <w:div w:id="822964738">
          <w:marLeft w:val="0"/>
          <w:marRight w:val="0"/>
          <w:marTop w:val="0"/>
          <w:marBottom w:val="0"/>
          <w:divBdr>
            <w:top w:val="none" w:sz="0" w:space="0" w:color="auto"/>
            <w:left w:val="none" w:sz="0" w:space="0" w:color="auto"/>
            <w:bottom w:val="none" w:sz="0" w:space="0" w:color="auto"/>
            <w:right w:val="none" w:sz="0" w:space="0" w:color="auto"/>
          </w:divBdr>
        </w:div>
      </w:divsChild>
    </w:div>
    <w:div w:id="1861964115">
      <w:marLeft w:val="0"/>
      <w:marRight w:val="0"/>
      <w:marTop w:val="0"/>
      <w:marBottom w:val="0"/>
      <w:divBdr>
        <w:top w:val="none" w:sz="0" w:space="0" w:color="auto"/>
        <w:left w:val="none" w:sz="0" w:space="0" w:color="auto"/>
        <w:bottom w:val="none" w:sz="0" w:space="0" w:color="auto"/>
        <w:right w:val="none" w:sz="0" w:space="0" w:color="auto"/>
      </w:divBdr>
      <w:divsChild>
        <w:div w:id="1858814199">
          <w:marLeft w:val="0"/>
          <w:marRight w:val="0"/>
          <w:marTop w:val="0"/>
          <w:marBottom w:val="0"/>
          <w:divBdr>
            <w:top w:val="none" w:sz="0" w:space="0" w:color="auto"/>
            <w:left w:val="none" w:sz="0" w:space="0" w:color="auto"/>
            <w:bottom w:val="none" w:sz="0" w:space="0" w:color="auto"/>
            <w:right w:val="none" w:sz="0" w:space="0" w:color="auto"/>
          </w:divBdr>
        </w:div>
      </w:divsChild>
    </w:div>
    <w:div w:id="1863086916">
      <w:marLeft w:val="0"/>
      <w:marRight w:val="0"/>
      <w:marTop w:val="0"/>
      <w:marBottom w:val="0"/>
      <w:divBdr>
        <w:top w:val="none" w:sz="0" w:space="0" w:color="auto"/>
        <w:left w:val="none" w:sz="0" w:space="0" w:color="auto"/>
        <w:bottom w:val="none" w:sz="0" w:space="0" w:color="auto"/>
        <w:right w:val="none" w:sz="0" w:space="0" w:color="auto"/>
      </w:divBdr>
      <w:divsChild>
        <w:div w:id="1054155861">
          <w:marLeft w:val="0"/>
          <w:marRight w:val="0"/>
          <w:marTop w:val="0"/>
          <w:marBottom w:val="0"/>
          <w:divBdr>
            <w:top w:val="none" w:sz="0" w:space="0" w:color="auto"/>
            <w:left w:val="none" w:sz="0" w:space="0" w:color="auto"/>
            <w:bottom w:val="none" w:sz="0" w:space="0" w:color="auto"/>
            <w:right w:val="none" w:sz="0" w:space="0" w:color="auto"/>
          </w:divBdr>
        </w:div>
      </w:divsChild>
    </w:div>
    <w:div w:id="1868253024">
      <w:marLeft w:val="0"/>
      <w:marRight w:val="0"/>
      <w:marTop w:val="0"/>
      <w:marBottom w:val="0"/>
      <w:divBdr>
        <w:top w:val="none" w:sz="0" w:space="0" w:color="auto"/>
        <w:left w:val="none" w:sz="0" w:space="0" w:color="auto"/>
        <w:bottom w:val="none" w:sz="0" w:space="0" w:color="auto"/>
        <w:right w:val="none" w:sz="0" w:space="0" w:color="auto"/>
      </w:divBdr>
      <w:divsChild>
        <w:div w:id="568154178">
          <w:marLeft w:val="0"/>
          <w:marRight w:val="0"/>
          <w:marTop w:val="0"/>
          <w:marBottom w:val="0"/>
          <w:divBdr>
            <w:top w:val="none" w:sz="0" w:space="0" w:color="auto"/>
            <w:left w:val="none" w:sz="0" w:space="0" w:color="auto"/>
            <w:bottom w:val="none" w:sz="0" w:space="0" w:color="auto"/>
            <w:right w:val="none" w:sz="0" w:space="0" w:color="auto"/>
          </w:divBdr>
        </w:div>
      </w:divsChild>
    </w:div>
    <w:div w:id="1870947362">
      <w:bodyDiv w:val="1"/>
      <w:marLeft w:val="0"/>
      <w:marRight w:val="0"/>
      <w:marTop w:val="0"/>
      <w:marBottom w:val="0"/>
      <w:divBdr>
        <w:top w:val="none" w:sz="0" w:space="0" w:color="auto"/>
        <w:left w:val="none" w:sz="0" w:space="0" w:color="auto"/>
        <w:bottom w:val="none" w:sz="0" w:space="0" w:color="auto"/>
        <w:right w:val="none" w:sz="0" w:space="0" w:color="auto"/>
      </w:divBdr>
      <w:divsChild>
        <w:div w:id="1418599432">
          <w:marLeft w:val="0"/>
          <w:marRight w:val="0"/>
          <w:marTop w:val="0"/>
          <w:marBottom w:val="0"/>
          <w:divBdr>
            <w:top w:val="none" w:sz="0" w:space="0" w:color="auto"/>
            <w:left w:val="none" w:sz="0" w:space="0" w:color="auto"/>
            <w:bottom w:val="none" w:sz="0" w:space="0" w:color="auto"/>
            <w:right w:val="none" w:sz="0" w:space="0" w:color="auto"/>
          </w:divBdr>
          <w:divsChild>
            <w:div w:id="1487355471">
              <w:marLeft w:val="0"/>
              <w:marRight w:val="0"/>
              <w:marTop w:val="0"/>
              <w:marBottom w:val="0"/>
              <w:divBdr>
                <w:top w:val="none" w:sz="0" w:space="0" w:color="auto"/>
                <w:left w:val="none" w:sz="0" w:space="0" w:color="auto"/>
                <w:bottom w:val="none" w:sz="0" w:space="0" w:color="auto"/>
                <w:right w:val="none" w:sz="0" w:space="0" w:color="auto"/>
              </w:divBdr>
            </w:div>
            <w:div w:id="1899045323">
              <w:marLeft w:val="0"/>
              <w:marRight w:val="0"/>
              <w:marTop w:val="0"/>
              <w:marBottom w:val="0"/>
              <w:divBdr>
                <w:top w:val="none" w:sz="0" w:space="0" w:color="auto"/>
                <w:left w:val="none" w:sz="0" w:space="0" w:color="auto"/>
                <w:bottom w:val="none" w:sz="0" w:space="0" w:color="auto"/>
                <w:right w:val="none" w:sz="0" w:space="0" w:color="auto"/>
              </w:divBdr>
            </w:div>
            <w:div w:id="1909920979">
              <w:marLeft w:val="0"/>
              <w:marRight w:val="0"/>
              <w:marTop w:val="0"/>
              <w:marBottom w:val="0"/>
              <w:divBdr>
                <w:top w:val="none" w:sz="0" w:space="0" w:color="auto"/>
                <w:left w:val="none" w:sz="0" w:space="0" w:color="auto"/>
                <w:bottom w:val="none" w:sz="0" w:space="0" w:color="auto"/>
                <w:right w:val="none" w:sz="0" w:space="0" w:color="auto"/>
              </w:divBdr>
            </w:div>
            <w:div w:id="1879659672">
              <w:marLeft w:val="0"/>
              <w:marRight w:val="0"/>
              <w:marTop w:val="0"/>
              <w:marBottom w:val="0"/>
              <w:divBdr>
                <w:top w:val="none" w:sz="0" w:space="0" w:color="auto"/>
                <w:left w:val="none" w:sz="0" w:space="0" w:color="auto"/>
                <w:bottom w:val="none" w:sz="0" w:space="0" w:color="auto"/>
                <w:right w:val="none" w:sz="0" w:space="0" w:color="auto"/>
              </w:divBdr>
            </w:div>
            <w:div w:id="1843547506">
              <w:marLeft w:val="0"/>
              <w:marRight w:val="0"/>
              <w:marTop w:val="0"/>
              <w:marBottom w:val="0"/>
              <w:divBdr>
                <w:top w:val="none" w:sz="0" w:space="0" w:color="auto"/>
                <w:left w:val="none" w:sz="0" w:space="0" w:color="auto"/>
                <w:bottom w:val="none" w:sz="0" w:space="0" w:color="auto"/>
                <w:right w:val="none" w:sz="0" w:space="0" w:color="auto"/>
              </w:divBdr>
            </w:div>
            <w:div w:id="683046939">
              <w:marLeft w:val="0"/>
              <w:marRight w:val="0"/>
              <w:marTop w:val="0"/>
              <w:marBottom w:val="0"/>
              <w:divBdr>
                <w:top w:val="none" w:sz="0" w:space="0" w:color="auto"/>
                <w:left w:val="none" w:sz="0" w:space="0" w:color="auto"/>
                <w:bottom w:val="none" w:sz="0" w:space="0" w:color="auto"/>
                <w:right w:val="none" w:sz="0" w:space="0" w:color="auto"/>
              </w:divBdr>
            </w:div>
            <w:div w:id="1413552347">
              <w:marLeft w:val="0"/>
              <w:marRight w:val="0"/>
              <w:marTop w:val="0"/>
              <w:marBottom w:val="0"/>
              <w:divBdr>
                <w:top w:val="none" w:sz="0" w:space="0" w:color="auto"/>
                <w:left w:val="none" w:sz="0" w:space="0" w:color="auto"/>
                <w:bottom w:val="none" w:sz="0" w:space="0" w:color="auto"/>
                <w:right w:val="none" w:sz="0" w:space="0" w:color="auto"/>
              </w:divBdr>
            </w:div>
            <w:div w:id="536162382">
              <w:marLeft w:val="0"/>
              <w:marRight w:val="0"/>
              <w:marTop w:val="0"/>
              <w:marBottom w:val="0"/>
              <w:divBdr>
                <w:top w:val="none" w:sz="0" w:space="0" w:color="auto"/>
                <w:left w:val="none" w:sz="0" w:space="0" w:color="auto"/>
                <w:bottom w:val="none" w:sz="0" w:space="0" w:color="auto"/>
                <w:right w:val="none" w:sz="0" w:space="0" w:color="auto"/>
              </w:divBdr>
            </w:div>
            <w:div w:id="624579290">
              <w:marLeft w:val="0"/>
              <w:marRight w:val="0"/>
              <w:marTop w:val="0"/>
              <w:marBottom w:val="0"/>
              <w:divBdr>
                <w:top w:val="none" w:sz="0" w:space="0" w:color="auto"/>
                <w:left w:val="none" w:sz="0" w:space="0" w:color="auto"/>
                <w:bottom w:val="none" w:sz="0" w:space="0" w:color="auto"/>
                <w:right w:val="none" w:sz="0" w:space="0" w:color="auto"/>
              </w:divBdr>
            </w:div>
            <w:div w:id="485974266">
              <w:marLeft w:val="0"/>
              <w:marRight w:val="0"/>
              <w:marTop w:val="0"/>
              <w:marBottom w:val="0"/>
              <w:divBdr>
                <w:top w:val="none" w:sz="0" w:space="0" w:color="auto"/>
                <w:left w:val="none" w:sz="0" w:space="0" w:color="auto"/>
                <w:bottom w:val="none" w:sz="0" w:space="0" w:color="auto"/>
                <w:right w:val="none" w:sz="0" w:space="0" w:color="auto"/>
              </w:divBdr>
            </w:div>
            <w:div w:id="180317013">
              <w:marLeft w:val="0"/>
              <w:marRight w:val="0"/>
              <w:marTop w:val="0"/>
              <w:marBottom w:val="0"/>
              <w:divBdr>
                <w:top w:val="none" w:sz="0" w:space="0" w:color="auto"/>
                <w:left w:val="none" w:sz="0" w:space="0" w:color="auto"/>
                <w:bottom w:val="none" w:sz="0" w:space="0" w:color="auto"/>
                <w:right w:val="none" w:sz="0" w:space="0" w:color="auto"/>
              </w:divBdr>
            </w:div>
            <w:div w:id="1197935419">
              <w:marLeft w:val="0"/>
              <w:marRight w:val="0"/>
              <w:marTop w:val="0"/>
              <w:marBottom w:val="0"/>
              <w:divBdr>
                <w:top w:val="none" w:sz="0" w:space="0" w:color="auto"/>
                <w:left w:val="none" w:sz="0" w:space="0" w:color="auto"/>
                <w:bottom w:val="none" w:sz="0" w:space="0" w:color="auto"/>
                <w:right w:val="none" w:sz="0" w:space="0" w:color="auto"/>
              </w:divBdr>
            </w:div>
            <w:div w:id="193404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653214">
      <w:bodyDiv w:val="1"/>
      <w:marLeft w:val="0"/>
      <w:marRight w:val="0"/>
      <w:marTop w:val="0"/>
      <w:marBottom w:val="0"/>
      <w:divBdr>
        <w:top w:val="none" w:sz="0" w:space="0" w:color="auto"/>
        <w:left w:val="none" w:sz="0" w:space="0" w:color="auto"/>
        <w:bottom w:val="none" w:sz="0" w:space="0" w:color="auto"/>
        <w:right w:val="none" w:sz="0" w:space="0" w:color="auto"/>
      </w:divBdr>
      <w:divsChild>
        <w:div w:id="940723789">
          <w:marLeft w:val="0"/>
          <w:marRight w:val="0"/>
          <w:marTop w:val="0"/>
          <w:marBottom w:val="0"/>
          <w:divBdr>
            <w:top w:val="none" w:sz="0" w:space="0" w:color="auto"/>
            <w:left w:val="none" w:sz="0" w:space="0" w:color="auto"/>
            <w:bottom w:val="none" w:sz="0" w:space="0" w:color="auto"/>
            <w:right w:val="none" w:sz="0" w:space="0" w:color="auto"/>
          </w:divBdr>
          <w:divsChild>
            <w:div w:id="1600403916">
              <w:marLeft w:val="0"/>
              <w:marRight w:val="0"/>
              <w:marTop w:val="0"/>
              <w:marBottom w:val="0"/>
              <w:divBdr>
                <w:top w:val="none" w:sz="0" w:space="0" w:color="auto"/>
                <w:left w:val="none" w:sz="0" w:space="0" w:color="auto"/>
                <w:bottom w:val="none" w:sz="0" w:space="0" w:color="auto"/>
                <w:right w:val="none" w:sz="0" w:space="0" w:color="auto"/>
              </w:divBdr>
            </w:div>
            <w:div w:id="1790320266">
              <w:marLeft w:val="0"/>
              <w:marRight w:val="0"/>
              <w:marTop w:val="0"/>
              <w:marBottom w:val="0"/>
              <w:divBdr>
                <w:top w:val="none" w:sz="0" w:space="0" w:color="auto"/>
                <w:left w:val="none" w:sz="0" w:space="0" w:color="auto"/>
                <w:bottom w:val="none" w:sz="0" w:space="0" w:color="auto"/>
                <w:right w:val="none" w:sz="0" w:space="0" w:color="auto"/>
              </w:divBdr>
            </w:div>
            <w:div w:id="703405791">
              <w:marLeft w:val="0"/>
              <w:marRight w:val="0"/>
              <w:marTop w:val="0"/>
              <w:marBottom w:val="0"/>
              <w:divBdr>
                <w:top w:val="none" w:sz="0" w:space="0" w:color="auto"/>
                <w:left w:val="none" w:sz="0" w:space="0" w:color="auto"/>
                <w:bottom w:val="none" w:sz="0" w:space="0" w:color="auto"/>
                <w:right w:val="none" w:sz="0" w:space="0" w:color="auto"/>
              </w:divBdr>
            </w:div>
            <w:div w:id="1475292324">
              <w:marLeft w:val="0"/>
              <w:marRight w:val="0"/>
              <w:marTop w:val="0"/>
              <w:marBottom w:val="0"/>
              <w:divBdr>
                <w:top w:val="none" w:sz="0" w:space="0" w:color="auto"/>
                <w:left w:val="none" w:sz="0" w:space="0" w:color="auto"/>
                <w:bottom w:val="none" w:sz="0" w:space="0" w:color="auto"/>
                <w:right w:val="none" w:sz="0" w:space="0" w:color="auto"/>
              </w:divBdr>
            </w:div>
            <w:div w:id="452990440">
              <w:marLeft w:val="0"/>
              <w:marRight w:val="0"/>
              <w:marTop w:val="0"/>
              <w:marBottom w:val="0"/>
              <w:divBdr>
                <w:top w:val="none" w:sz="0" w:space="0" w:color="auto"/>
                <w:left w:val="none" w:sz="0" w:space="0" w:color="auto"/>
                <w:bottom w:val="none" w:sz="0" w:space="0" w:color="auto"/>
                <w:right w:val="none" w:sz="0" w:space="0" w:color="auto"/>
              </w:divBdr>
            </w:div>
            <w:div w:id="1974099076">
              <w:marLeft w:val="0"/>
              <w:marRight w:val="0"/>
              <w:marTop w:val="0"/>
              <w:marBottom w:val="0"/>
              <w:divBdr>
                <w:top w:val="none" w:sz="0" w:space="0" w:color="auto"/>
                <w:left w:val="none" w:sz="0" w:space="0" w:color="auto"/>
                <w:bottom w:val="none" w:sz="0" w:space="0" w:color="auto"/>
                <w:right w:val="none" w:sz="0" w:space="0" w:color="auto"/>
              </w:divBdr>
            </w:div>
            <w:div w:id="1486240568">
              <w:marLeft w:val="0"/>
              <w:marRight w:val="0"/>
              <w:marTop w:val="0"/>
              <w:marBottom w:val="0"/>
              <w:divBdr>
                <w:top w:val="none" w:sz="0" w:space="0" w:color="auto"/>
                <w:left w:val="none" w:sz="0" w:space="0" w:color="auto"/>
                <w:bottom w:val="none" w:sz="0" w:space="0" w:color="auto"/>
                <w:right w:val="none" w:sz="0" w:space="0" w:color="auto"/>
              </w:divBdr>
            </w:div>
            <w:div w:id="2136093812">
              <w:marLeft w:val="0"/>
              <w:marRight w:val="0"/>
              <w:marTop w:val="0"/>
              <w:marBottom w:val="0"/>
              <w:divBdr>
                <w:top w:val="none" w:sz="0" w:space="0" w:color="auto"/>
                <w:left w:val="none" w:sz="0" w:space="0" w:color="auto"/>
                <w:bottom w:val="none" w:sz="0" w:space="0" w:color="auto"/>
                <w:right w:val="none" w:sz="0" w:space="0" w:color="auto"/>
              </w:divBdr>
            </w:div>
            <w:div w:id="1867330045">
              <w:marLeft w:val="0"/>
              <w:marRight w:val="0"/>
              <w:marTop w:val="0"/>
              <w:marBottom w:val="0"/>
              <w:divBdr>
                <w:top w:val="none" w:sz="0" w:space="0" w:color="auto"/>
                <w:left w:val="none" w:sz="0" w:space="0" w:color="auto"/>
                <w:bottom w:val="none" w:sz="0" w:space="0" w:color="auto"/>
                <w:right w:val="none" w:sz="0" w:space="0" w:color="auto"/>
              </w:divBdr>
            </w:div>
            <w:div w:id="1188368148">
              <w:marLeft w:val="0"/>
              <w:marRight w:val="0"/>
              <w:marTop w:val="0"/>
              <w:marBottom w:val="0"/>
              <w:divBdr>
                <w:top w:val="none" w:sz="0" w:space="0" w:color="auto"/>
                <w:left w:val="none" w:sz="0" w:space="0" w:color="auto"/>
                <w:bottom w:val="none" w:sz="0" w:space="0" w:color="auto"/>
                <w:right w:val="none" w:sz="0" w:space="0" w:color="auto"/>
              </w:divBdr>
            </w:div>
            <w:div w:id="1904022375">
              <w:marLeft w:val="0"/>
              <w:marRight w:val="0"/>
              <w:marTop w:val="0"/>
              <w:marBottom w:val="0"/>
              <w:divBdr>
                <w:top w:val="none" w:sz="0" w:space="0" w:color="auto"/>
                <w:left w:val="none" w:sz="0" w:space="0" w:color="auto"/>
                <w:bottom w:val="none" w:sz="0" w:space="0" w:color="auto"/>
                <w:right w:val="none" w:sz="0" w:space="0" w:color="auto"/>
              </w:divBdr>
            </w:div>
            <w:div w:id="1708405371">
              <w:marLeft w:val="0"/>
              <w:marRight w:val="0"/>
              <w:marTop w:val="0"/>
              <w:marBottom w:val="0"/>
              <w:divBdr>
                <w:top w:val="none" w:sz="0" w:space="0" w:color="auto"/>
                <w:left w:val="none" w:sz="0" w:space="0" w:color="auto"/>
                <w:bottom w:val="none" w:sz="0" w:space="0" w:color="auto"/>
                <w:right w:val="none" w:sz="0" w:space="0" w:color="auto"/>
              </w:divBdr>
            </w:div>
            <w:div w:id="594826016">
              <w:marLeft w:val="0"/>
              <w:marRight w:val="0"/>
              <w:marTop w:val="0"/>
              <w:marBottom w:val="0"/>
              <w:divBdr>
                <w:top w:val="none" w:sz="0" w:space="0" w:color="auto"/>
                <w:left w:val="none" w:sz="0" w:space="0" w:color="auto"/>
                <w:bottom w:val="none" w:sz="0" w:space="0" w:color="auto"/>
                <w:right w:val="none" w:sz="0" w:space="0" w:color="auto"/>
              </w:divBdr>
            </w:div>
            <w:div w:id="177668891">
              <w:marLeft w:val="0"/>
              <w:marRight w:val="0"/>
              <w:marTop w:val="0"/>
              <w:marBottom w:val="0"/>
              <w:divBdr>
                <w:top w:val="none" w:sz="0" w:space="0" w:color="auto"/>
                <w:left w:val="none" w:sz="0" w:space="0" w:color="auto"/>
                <w:bottom w:val="none" w:sz="0" w:space="0" w:color="auto"/>
                <w:right w:val="none" w:sz="0" w:space="0" w:color="auto"/>
              </w:divBdr>
            </w:div>
            <w:div w:id="1022052773">
              <w:marLeft w:val="0"/>
              <w:marRight w:val="0"/>
              <w:marTop w:val="0"/>
              <w:marBottom w:val="0"/>
              <w:divBdr>
                <w:top w:val="none" w:sz="0" w:space="0" w:color="auto"/>
                <w:left w:val="none" w:sz="0" w:space="0" w:color="auto"/>
                <w:bottom w:val="none" w:sz="0" w:space="0" w:color="auto"/>
                <w:right w:val="none" w:sz="0" w:space="0" w:color="auto"/>
              </w:divBdr>
            </w:div>
            <w:div w:id="1434521569">
              <w:marLeft w:val="0"/>
              <w:marRight w:val="0"/>
              <w:marTop w:val="0"/>
              <w:marBottom w:val="0"/>
              <w:divBdr>
                <w:top w:val="none" w:sz="0" w:space="0" w:color="auto"/>
                <w:left w:val="none" w:sz="0" w:space="0" w:color="auto"/>
                <w:bottom w:val="none" w:sz="0" w:space="0" w:color="auto"/>
                <w:right w:val="none" w:sz="0" w:space="0" w:color="auto"/>
              </w:divBdr>
            </w:div>
            <w:div w:id="896474190">
              <w:marLeft w:val="0"/>
              <w:marRight w:val="0"/>
              <w:marTop w:val="0"/>
              <w:marBottom w:val="0"/>
              <w:divBdr>
                <w:top w:val="none" w:sz="0" w:space="0" w:color="auto"/>
                <w:left w:val="none" w:sz="0" w:space="0" w:color="auto"/>
                <w:bottom w:val="none" w:sz="0" w:space="0" w:color="auto"/>
                <w:right w:val="none" w:sz="0" w:space="0" w:color="auto"/>
              </w:divBdr>
            </w:div>
            <w:div w:id="1606308983">
              <w:marLeft w:val="0"/>
              <w:marRight w:val="0"/>
              <w:marTop w:val="0"/>
              <w:marBottom w:val="0"/>
              <w:divBdr>
                <w:top w:val="none" w:sz="0" w:space="0" w:color="auto"/>
                <w:left w:val="none" w:sz="0" w:space="0" w:color="auto"/>
                <w:bottom w:val="none" w:sz="0" w:space="0" w:color="auto"/>
                <w:right w:val="none" w:sz="0" w:space="0" w:color="auto"/>
              </w:divBdr>
            </w:div>
            <w:div w:id="77214160">
              <w:marLeft w:val="0"/>
              <w:marRight w:val="0"/>
              <w:marTop w:val="0"/>
              <w:marBottom w:val="0"/>
              <w:divBdr>
                <w:top w:val="none" w:sz="0" w:space="0" w:color="auto"/>
                <w:left w:val="none" w:sz="0" w:space="0" w:color="auto"/>
                <w:bottom w:val="none" w:sz="0" w:space="0" w:color="auto"/>
                <w:right w:val="none" w:sz="0" w:space="0" w:color="auto"/>
              </w:divBdr>
            </w:div>
            <w:div w:id="79912491">
              <w:marLeft w:val="0"/>
              <w:marRight w:val="0"/>
              <w:marTop w:val="0"/>
              <w:marBottom w:val="0"/>
              <w:divBdr>
                <w:top w:val="none" w:sz="0" w:space="0" w:color="auto"/>
                <w:left w:val="none" w:sz="0" w:space="0" w:color="auto"/>
                <w:bottom w:val="none" w:sz="0" w:space="0" w:color="auto"/>
                <w:right w:val="none" w:sz="0" w:space="0" w:color="auto"/>
              </w:divBdr>
            </w:div>
            <w:div w:id="115240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88642">
      <w:marLeft w:val="0"/>
      <w:marRight w:val="0"/>
      <w:marTop w:val="0"/>
      <w:marBottom w:val="0"/>
      <w:divBdr>
        <w:top w:val="none" w:sz="0" w:space="0" w:color="auto"/>
        <w:left w:val="none" w:sz="0" w:space="0" w:color="auto"/>
        <w:bottom w:val="none" w:sz="0" w:space="0" w:color="auto"/>
        <w:right w:val="none" w:sz="0" w:space="0" w:color="auto"/>
      </w:divBdr>
      <w:divsChild>
        <w:div w:id="1643271283">
          <w:marLeft w:val="0"/>
          <w:marRight w:val="0"/>
          <w:marTop w:val="0"/>
          <w:marBottom w:val="0"/>
          <w:divBdr>
            <w:top w:val="none" w:sz="0" w:space="0" w:color="auto"/>
            <w:left w:val="none" w:sz="0" w:space="0" w:color="auto"/>
            <w:bottom w:val="none" w:sz="0" w:space="0" w:color="auto"/>
            <w:right w:val="none" w:sz="0" w:space="0" w:color="auto"/>
          </w:divBdr>
        </w:div>
      </w:divsChild>
    </w:div>
    <w:div w:id="1883320071">
      <w:bodyDiv w:val="1"/>
      <w:marLeft w:val="0"/>
      <w:marRight w:val="0"/>
      <w:marTop w:val="0"/>
      <w:marBottom w:val="0"/>
      <w:divBdr>
        <w:top w:val="none" w:sz="0" w:space="0" w:color="auto"/>
        <w:left w:val="none" w:sz="0" w:space="0" w:color="auto"/>
        <w:bottom w:val="none" w:sz="0" w:space="0" w:color="auto"/>
        <w:right w:val="none" w:sz="0" w:space="0" w:color="auto"/>
      </w:divBdr>
    </w:div>
    <w:div w:id="1883899184">
      <w:marLeft w:val="0"/>
      <w:marRight w:val="0"/>
      <w:marTop w:val="0"/>
      <w:marBottom w:val="0"/>
      <w:divBdr>
        <w:top w:val="none" w:sz="0" w:space="0" w:color="auto"/>
        <w:left w:val="none" w:sz="0" w:space="0" w:color="auto"/>
        <w:bottom w:val="none" w:sz="0" w:space="0" w:color="auto"/>
        <w:right w:val="none" w:sz="0" w:space="0" w:color="auto"/>
      </w:divBdr>
      <w:divsChild>
        <w:div w:id="1264190387">
          <w:marLeft w:val="0"/>
          <w:marRight w:val="0"/>
          <w:marTop w:val="0"/>
          <w:marBottom w:val="0"/>
          <w:divBdr>
            <w:top w:val="none" w:sz="0" w:space="0" w:color="auto"/>
            <w:left w:val="none" w:sz="0" w:space="0" w:color="auto"/>
            <w:bottom w:val="none" w:sz="0" w:space="0" w:color="auto"/>
            <w:right w:val="none" w:sz="0" w:space="0" w:color="auto"/>
          </w:divBdr>
        </w:div>
      </w:divsChild>
    </w:div>
    <w:div w:id="1886332381">
      <w:bodyDiv w:val="1"/>
      <w:marLeft w:val="0"/>
      <w:marRight w:val="0"/>
      <w:marTop w:val="0"/>
      <w:marBottom w:val="0"/>
      <w:divBdr>
        <w:top w:val="none" w:sz="0" w:space="0" w:color="auto"/>
        <w:left w:val="none" w:sz="0" w:space="0" w:color="auto"/>
        <w:bottom w:val="none" w:sz="0" w:space="0" w:color="auto"/>
        <w:right w:val="none" w:sz="0" w:space="0" w:color="auto"/>
      </w:divBdr>
    </w:div>
    <w:div w:id="1888224877">
      <w:marLeft w:val="0"/>
      <w:marRight w:val="0"/>
      <w:marTop w:val="0"/>
      <w:marBottom w:val="0"/>
      <w:divBdr>
        <w:top w:val="none" w:sz="0" w:space="0" w:color="auto"/>
        <w:left w:val="none" w:sz="0" w:space="0" w:color="auto"/>
        <w:bottom w:val="none" w:sz="0" w:space="0" w:color="auto"/>
        <w:right w:val="none" w:sz="0" w:space="0" w:color="auto"/>
      </w:divBdr>
      <w:divsChild>
        <w:div w:id="1029843610">
          <w:marLeft w:val="0"/>
          <w:marRight w:val="0"/>
          <w:marTop w:val="0"/>
          <w:marBottom w:val="0"/>
          <w:divBdr>
            <w:top w:val="none" w:sz="0" w:space="0" w:color="auto"/>
            <w:left w:val="none" w:sz="0" w:space="0" w:color="auto"/>
            <w:bottom w:val="none" w:sz="0" w:space="0" w:color="auto"/>
            <w:right w:val="none" w:sz="0" w:space="0" w:color="auto"/>
          </w:divBdr>
        </w:div>
      </w:divsChild>
    </w:div>
    <w:div w:id="1889797339">
      <w:marLeft w:val="0"/>
      <w:marRight w:val="0"/>
      <w:marTop w:val="0"/>
      <w:marBottom w:val="0"/>
      <w:divBdr>
        <w:top w:val="none" w:sz="0" w:space="0" w:color="auto"/>
        <w:left w:val="none" w:sz="0" w:space="0" w:color="auto"/>
        <w:bottom w:val="none" w:sz="0" w:space="0" w:color="auto"/>
        <w:right w:val="none" w:sz="0" w:space="0" w:color="auto"/>
      </w:divBdr>
      <w:divsChild>
        <w:div w:id="637804249">
          <w:marLeft w:val="0"/>
          <w:marRight w:val="0"/>
          <w:marTop w:val="0"/>
          <w:marBottom w:val="0"/>
          <w:divBdr>
            <w:top w:val="none" w:sz="0" w:space="0" w:color="auto"/>
            <w:left w:val="none" w:sz="0" w:space="0" w:color="auto"/>
            <w:bottom w:val="none" w:sz="0" w:space="0" w:color="auto"/>
            <w:right w:val="none" w:sz="0" w:space="0" w:color="auto"/>
          </w:divBdr>
        </w:div>
      </w:divsChild>
    </w:div>
    <w:div w:id="1891647362">
      <w:marLeft w:val="0"/>
      <w:marRight w:val="0"/>
      <w:marTop w:val="0"/>
      <w:marBottom w:val="0"/>
      <w:divBdr>
        <w:top w:val="none" w:sz="0" w:space="0" w:color="auto"/>
        <w:left w:val="none" w:sz="0" w:space="0" w:color="auto"/>
        <w:bottom w:val="none" w:sz="0" w:space="0" w:color="auto"/>
        <w:right w:val="none" w:sz="0" w:space="0" w:color="auto"/>
      </w:divBdr>
      <w:divsChild>
        <w:div w:id="367681586">
          <w:marLeft w:val="0"/>
          <w:marRight w:val="0"/>
          <w:marTop w:val="0"/>
          <w:marBottom w:val="0"/>
          <w:divBdr>
            <w:top w:val="none" w:sz="0" w:space="0" w:color="auto"/>
            <w:left w:val="none" w:sz="0" w:space="0" w:color="auto"/>
            <w:bottom w:val="none" w:sz="0" w:space="0" w:color="auto"/>
            <w:right w:val="none" w:sz="0" w:space="0" w:color="auto"/>
          </w:divBdr>
        </w:div>
      </w:divsChild>
    </w:div>
    <w:div w:id="1893272562">
      <w:marLeft w:val="0"/>
      <w:marRight w:val="0"/>
      <w:marTop w:val="0"/>
      <w:marBottom w:val="0"/>
      <w:divBdr>
        <w:top w:val="none" w:sz="0" w:space="0" w:color="auto"/>
        <w:left w:val="none" w:sz="0" w:space="0" w:color="auto"/>
        <w:bottom w:val="none" w:sz="0" w:space="0" w:color="auto"/>
        <w:right w:val="none" w:sz="0" w:space="0" w:color="auto"/>
      </w:divBdr>
      <w:divsChild>
        <w:div w:id="1900283981">
          <w:marLeft w:val="0"/>
          <w:marRight w:val="0"/>
          <w:marTop w:val="0"/>
          <w:marBottom w:val="0"/>
          <w:divBdr>
            <w:top w:val="none" w:sz="0" w:space="0" w:color="auto"/>
            <w:left w:val="none" w:sz="0" w:space="0" w:color="auto"/>
            <w:bottom w:val="none" w:sz="0" w:space="0" w:color="auto"/>
            <w:right w:val="none" w:sz="0" w:space="0" w:color="auto"/>
          </w:divBdr>
        </w:div>
      </w:divsChild>
    </w:div>
    <w:div w:id="1896357396">
      <w:bodyDiv w:val="1"/>
      <w:marLeft w:val="0"/>
      <w:marRight w:val="0"/>
      <w:marTop w:val="0"/>
      <w:marBottom w:val="0"/>
      <w:divBdr>
        <w:top w:val="none" w:sz="0" w:space="0" w:color="auto"/>
        <w:left w:val="none" w:sz="0" w:space="0" w:color="auto"/>
        <w:bottom w:val="none" w:sz="0" w:space="0" w:color="auto"/>
        <w:right w:val="none" w:sz="0" w:space="0" w:color="auto"/>
      </w:divBdr>
    </w:div>
    <w:div w:id="1897426174">
      <w:marLeft w:val="0"/>
      <w:marRight w:val="0"/>
      <w:marTop w:val="0"/>
      <w:marBottom w:val="0"/>
      <w:divBdr>
        <w:top w:val="none" w:sz="0" w:space="0" w:color="auto"/>
        <w:left w:val="none" w:sz="0" w:space="0" w:color="auto"/>
        <w:bottom w:val="none" w:sz="0" w:space="0" w:color="auto"/>
        <w:right w:val="none" w:sz="0" w:space="0" w:color="auto"/>
      </w:divBdr>
      <w:divsChild>
        <w:div w:id="1341545091">
          <w:marLeft w:val="0"/>
          <w:marRight w:val="0"/>
          <w:marTop w:val="0"/>
          <w:marBottom w:val="0"/>
          <w:divBdr>
            <w:top w:val="none" w:sz="0" w:space="0" w:color="auto"/>
            <w:left w:val="none" w:sz="0" w:space="0" w:color="auto"/>
            <w:bottom w:val="none" w:sz="0" w:space="0" w:color="auto"/>
            <w:right w:val="none" w:sz="0" w:space="0" w:color="auto"/>
          </w:divBdr>
        </w:div>
      </w:divsChild>
    </w:div>
    <w:div w:id="1897428571">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 w:id="1902057269">
      <w:marLeft w:val="0"/>
      <w:marRight w:val="0"/>
      <w:marTop w:val="0"/>
      <w:marBottom w:val="0"/>
      <w:divBdr>
        <w:top w:val="none" w:sz="0" w:space="0" w:color="auto"/>
        <w:left w:val="none" w:sz="0" w:space="0" w:color="auto"/>
        <w:bottom w:val="none" w:sz="0" w:space="0" w:color="auto"/>
        <w:right w:val="none" w:sz="0" w:space="0" w:color="auto"/>
      </w:divBdr>
      <w:divsChild>
        <w:div w:id="1482771878">
          <w:marLeft w:val="0"/>
          <w:marRight w:val="0"/>
          <w:marTop w:val="0"/>
          <w:marBottom w:val="0"/>
          <w:divBdr>
            <w:top w:val="none" w:sz="0" w:space="0" w:color="auto"/>
            <w:left w:val="none" w:sz="0" w:space="0" w:color="auto"/>
            <w:bottom w:val="none" w:sz="0" w:space="0" w:color="auto"/>
            <w:right w:val="none" w:sz="0" w:space="0" w:color="auto"/>
          </w:divBdr>
        </w:div>
      </w:divsChild>
    </w:div>
    <w:div w:id="1902590389">
      <w:bodyDiv w:val="1"/>
      <w:marLeft w:val="0"/>
      <w:marRight w:val="0"/>
      <w:marTop w:val="0"/>
      <w:marBottom w:val="0"/>
      <w:divBdr>
        <w:top w:val="none" w:sz="0" w:space="0" w:color="auto"/>
        <w:left w:val="none" w:sz="0" w:space="0" w:color="auto"/>
        <w:bottom w:val="none" w:sz="0" w:space="0" w:color="auto"/>
        <w:right w:val="none" w:sz="0" w:space="0" w:color="auto"/>
      </w:divBdr>
    </w:div>
    <w:div w:id="1912814197">
      <w:marLeft w:val="0"/>
      <w:marRight w:val="0"/>
      <w:marTop w:val="0"/>
      <w:marBottom w:val="0"/>
      <w:divBdr>
        <w:top w:val="none" w:sz="0" w:space="0" w:color="auto"/>
        <w:left w:val="none" w:sz="0" w:space="0" w:color="auto"/>
        <w:bottom w:val="none" w:sz="0" w:space="0" w:color="auto"/>
        <w:right w:val="none" w:sz="0" w:space="0" w:color="auto"/>
      </w:divBdr>
      <w:divsChild>
        <w:div w:id="915045541">
          <w:marLeft w:val="0"/>
          <w:marRight w:val="0"/>
          <w:marTop w:val="0"/>
          <w:marBottom w:val="0"/>
          <w:divBdr>
            <w:top w:val="none" w:sz="0" w:space="0" w:color="auto"/>
            <w:left w:val="none" w:sz="0" w:space="0" w:color="auto"/>
            <w:bottom w:val="none" w:sz="0" w:space="0" w:color="auto"/>
            <w:right w:val="none" w:sz="0" w:space="0" w:color="auto"/>
          </w:divBdr>
        </w:div>
      </w:divsChild>
    </w:div>
    <w:div w:id="1917401533">
      <w:marLeft w:val="0"/>
      <w:marRight w:val="150"/>
      <w:marTop w:val="0"/>
      <w:marBottom w:val="0"/>
      <w:divBdr>
        <w:top w:val="none" w:sz="0" w:space="0" w:color="auto"/>
        <w:left w:val="none" w:sz="0" w:space="0" w:color="auto"/>
        <w:bottom w:val="none" w:sz="0" w:space="0" w:color="auto"/>
        <w:right w:val="none" w:sz="0" w:space="0" w:color="auto"/>
      </w:divBdr>
      <w:divsChild>
        <w:div w:id="478115354">
          <w:marLeft w:val="0"/>
          <w:marRight w:val="150"/>
          <w:marTop w:val="0"/>
          <w:marBottom w:val="0"/>
          <w:divBdr>
            <w:top w:val="none" w:sz="0" w:space="0" w:color="auto"/>
            <w:left w:val="none" w:sz="0" w:space="0" w:color="auto"/>
            <w:bottom w:val="none" w:sz="0" w:space="0" w:color="auto"/>
            <w:right w:val="none" w:sz="0" w:space="0" w:color="auto"/>
          </w:divBdr>
        </w:div>
      </w:divsChild>
    </w:div>
    <w:div w:id="1919830286">
      <w:marLeft w:val="0"/>
      <w:marRight w:val="0"/>
      <w:marTop w:val="0"/>
      <w:marBottom w:val="0"/>
      <w:divBdr>
        <w:top w:val="none" w:sz="0" w:space="0" w:color="auto"/>
        <w:left w:val="none" w:sz="0" w:space="0" w:color="auto"/>
        <w:bottom w:val="none" w:sz="0" w:space="0" w:color="auto"/>
        <w:right w:val="none" w:sz="0" w:space="0" w:color="auto"/>
      </w:divBdr>
      <w:divsChild>
        <w:div w:id="148834351">
          <w:marLeft w:val="0"/>
          <w:marRight w:val="0"/>
          <w:marTop w:val="0"/>
          <w:marBottom w:val="0"/>
          <w:divBdr>
            <w:top w:val="none" w:sz="0" w:space="0" w:color="auto"/>
            <w:left w:val="none" w:sz="0" w:space="0" w:color="auto"/>
            <w:bottom w:val="none" w:sz="0" w:space="0" w:color="auto"/>
            <w:right w:val="none" w:sz="0" w:space="0" w:color="auto"/>
          </w:divBdr>
        </w:div>
      </w:divsChild>
    </w:div>
    <w:div w:id="1920433634">
      <w:marLeft w:val="0"/>
      <w:marRight w:val="0"/>
      <w:marTop w:val="0"/>
      <w:marBottom w:val="0"/>
      <w:divBdr>
        <w:top w:val="none" w:sz="0" w:space="0" w:color="auto"/>
        <w:left w:val="none" w:sz="0" w:space="0" w:color="auto"/>
        <w:bottom w:val="none" w:sz="0" w:space="0" w:color="auto"/>
        <w:right w:val="none" w:sz="0" w:space="0" w:color="auto"/>
      </w:divBdr>
      <w:divsChild>
        <w:div w:id="1483233045">
          <w:marLeft w:val="0"/>
          <w:marRight w:val="0"/>
          <w:marTop w:val="0"/>
          <w:marBottom w:val="0"/>
          <w:divBdr>
            <w:top w:val="none" w:sz="0" w:space="0" w:color="auto"/>
            <w:left w:val="none" w:sz="0" w:space="0" w:color="auto"/>
            <w:bottom w:val="none" w:sz="0" w:space="0" w:color="auto"/>
            <w:right w:val="none" w:sz="0" w:space="0" w:color="auto"/>
          </w:divBdr>
        </w:div>
      </w:divsChild>
    </w:div>
    <w:div w:id="1920794661">
      <w:bodyDiv w:val="1"/>
      <w:marLeft w:val="0"/>
      <w:marRight w:val="0"/>
      <w:marTop w:val="0"/>
      <w:marBottom w:val="0"/>
      <w:divBdr>
        <w:top w:val="none" w:sz="0" w:space="0" w:color="auto"/>
        <w:left w:val="none" w:sz="0" w:space="0" w:color="auto"/>
        <w:bottom w:val="none" w:sz="0" w:space="0" w:color="auto"/>
        <w:right w:val="none" w:sz="0" w:space="0" w:color="auto"/>
      </w:divBdr>
    </w:div>
    <w:div w:id="1921408041">
      <w:marLeft w:val="0"/>
      <w:marRight w:val="0"/>
      <w:marTop w:val="0"/>
      <w:marBottom w:val="0"/>
      <w:divBdr>
        <w:top w:val="none" w:sz="0" w:space="0" w:color="auto"/>
        <w:left w:val="none" w:sz="0" w:space="0" w:color="auto"/>
        <w:bottom w:val="none" w:sz="0" w:space="0" w:color="auto"/>
        <w:right w:val="none" w:sz="0" w:space="0" w:color="auto"/>
      </w:divBdr>
      <w:divsChild>
        <w:div w:id="1618411546">
          <w:marLeft w:val="0"/>
          <w:marRight w:val="0"/>
          <w:marTop w:val="0"/>
          <w:marBottom w:val="0"/>
          <w:divBdr>
            <w:top w:val="none" w:sz="0" w:space="0" w:color="auto"/>
            <w:left w:val="none" w:sz="0" w:space="0" w:color="auto"/>
            <w:bottom w:val="none" w:sz="0" w:space="0" w:color="auto"/>
            <w:right w:val="none" w:sz="0" w:space="0" w:color="auto"/>
          </w:divBdr>
        </w:div>
      </w:divsChild>
    </w:div>
    <w:div w:id="1922063455">
      <w:marLeft w:val="0"/>
      <w:marRight w:val="0"/>
      <w:marTop w:val="0"/>
      <w:marBottom w:val="0"/>
      <w:divBdr>
        <w:top w:val="none" w:sz="0" w:space="0" w:color="auto"/>
        <w:left w:val="none" w:sz="0" w:space="0" w:color="auto"/>
        <w:bottom w:val="none" w:sz="0" w:space="0" w:color="auto"/>
        <w:right w:val="none" w:sz="0" w:space="0" w:color="auto"/>
      </w:divBdr>
      <w:divsChild>
        <w:div w:id="504979816">
          <w:marLeft w:val="0"/>
          <w:marRight w:val="0"/>
          <w:marTop w:val="0"/>
          <w:marBottom w:val="0"/>
          <w:divBdr>
            <w:top w:val="none" w:sz="0" w:space="0" w:color="auto"/>
            <w:left w:val="none" w:sz="0" w:space="0" w:color="auto"/>
            <w:bottom w:val="none" w:sz="0" w:space="0" w:color="auto"/>
            <w:right w:val="none" w:sz="0" w:space="0" w:color="auto"/>
          </w:divBdr>
        </w:div>
      </w:divsChild>
    </w:div>
    <w:div w:id="1923250042">
      <w:marLeft w:val="0"/>
      <w:marRight w:val="0"/>
      <w:marTop w:val="0"/>
      <w:marBottom w:val="0"/>
      <w:divBdr>
        <w:top w:val="none" w:sz="0" w:space="0" w:color="auto"/>
        <w:left w:val="none" w:sz="0" w:space="0" w:color="auto"/>
        <w:bottom w:val="none" w:sz="0" w:space="0" w:color="auto"/>
        <w:right w:val="none" w:sz="0" w:space="0" w:color="auto"/>
      </w:divBdr>
      <w:divsChild>
        <w:div w:id="1326930079">
          <w:marLeft w:val="0"/>
          <w:marRight w:val="0"/>
          <w:marTop w:val="0"/>
          <w:marBottom w:val="0"/>
          <w:divBdr>
            <w:top w:val="none" w:sz="0" w:space="0" w:color="auto"/>
            <w:left w:val="none" w:sz="0" w:space="0" w:color="auto"/>
            <w:bottom w:val="none" w:sz="0" w:space="0" w:color="auto"/>
            <w:right w:val="none" w:sz="0" w:space="0" w:color="auto"/>
          </w:divBdr>
        </w:div>
      </w:divsChild>
    </w:div>
    <w:div w:id="1923878260">
      <w:marLeft w:val="0"/>
      <w:marRight w:val="0"/>
      <w:marTop w:val="0"/>
      <w:marBottom w:val="0"/>
      <w:divBdr>
        <w:top w:val="none" w:sz="0" w:space="0" w:color="auto"/>
        <w:left w:val="none" w:sz="0" w:space="0" w:color="auto"/>
        <w:bottom w:val="none" w:sz="0" w:space="0" w:color="auto"/>
        <w:right w:val="none" w:sz="0" w:space="0" w:color="auto"/>
      </w:divBdr>
      <w:divsChild>
        <w:div w:id="669454103">
          <w:marLeft w:val="0"/>
          <w:marRight w:val="0"/>
          <w:marTop w:val="0"/>
          <w:marBottom w:val="0"/>
          <w:divBdr>
            <w:top w:val="none" w:sz="0" w:space="0" w:color="auto"/>
            <w:left w:val="none" w:sz="0" w:space="0" w:color="auto"/>
            <w:bottom w:val="none" w:sz="0" w:space="0" w:color="auto"/>
            <w:right w:val="none" w:sz="0" w:space="0" w:color="auto"/>
          </w:divBdr>
        </w:div>
      </w:divsChild>
    </w:div>
    <w:div w:id="1932738134">
      <w:bodyDiv w:val="1"/>
      <w:marLeft w:val="0"/>
      <w:marRight w:val="0"/>
      <w:marTop w:val="0"/>
      <w:marBottom w:val="0"/>
      <w:divBdr>
        <w:top w:val="none" w:sz="0" w:space="0" w:color="auto"/>
        <w:left w:val="none" w:sz="0" w:space="0" w:color="auto"/>
        <w:bottom w:val="none" w:sz="0" w:space="0" w:color="auto"/>
        <w:right w:val="none" w:sz="0" w:space="0" w:color="auto"/>
      </w:divBdr>
    </w:div>
    <w:div w:id="1934045089">
      <w:marLeft w:val="0"/>
      <w:marRight w:val="0"/>
      <w:marTop w:val="0"/>
      <w:marBottom w:val="0"/>
      <w:divBdr>
        <w:top w:val="none" w:sz="0" w:space="0" w:color="auto"/>
        <w:left w:val="none" w:sz="0" w:space="0" w:color="auto"/>
        <w:bottom w:val="none" w:sz="0" w:space="0" w:color="auto"/>
        <w:right w:val="none" w:sz="0" w:space="0" w:color="auto"/>
      </w:divBdr>
      <w:divsChild>
        <w:div w:id="257177056">
          <w:marLeft w:val="0"/>
          <w:marRight w:val="0"/>
          <w:marTop w:val="0"/>
          <w:marBottom w:val="0"/>
          <w:divBdr>
            <w:top w:val="none" w:sz="0" w:space="0" w:color="auto"/>
            <w:left w:val="none" w:sz="0" w:space="0" w:color="auto"/>
            <w:bottom w:val="none" w:sz="0" w:space="0" w:color="auto"/>
            <w:right w:val="none" w:sz="0" w:space="0" w:color="auto"/>
          </w:divBdr>
        </w:div>
      </w:divsChild>
    </w:div>
    <w:div w:id="1936597909">
      <w:marLeft w:val="0"/>
      <w:marRight w:val="0"/>
      <w:marTop w:val="0"/>
      <w:marBottom w:val="0"/>
      <w:divBdr>
        <w:top w:val="none" w:sz="0" w:space="0" w:color="auto"/>
        <w:left w:val="none" w:sz="0" w:space="0" w:color="auto"/>
        <w:bottom w:val="none" w:sz="0" w:space="0" w:color="auto"/>
        <w:right w:val="none" w:sz="0" w:space="0" w:color="auto"/>
      </w:divBdr>
      <w:divsChild>
        <w:div w:id="957033785">
          <w:marLeft w:val="0"/>
          <w:marRight w:val="0"/>
          <w:marTop w:val="0"/>
          <w:marBottom w:val="0"/>
          <w:divBdr>
            <w:top w:val="none" w:sz="0" w:space="0" w:color="auto"/>
            <w:left w:val="none" w:sz="0" w:space="0" w:color="auto"/>
            <w:bottom w:val="none" w:sz="0" w:space="0" w:color="auto"/>
            <w:right w:val="none" w:sz="0" w:space="0" w:color="auto"/>
          </w:divBdr>
        </w:div>
      </w:divsChild>
    </w:div>
    <w:div w:id="1942571020">
      <w:marLeft w:val="0"/>
      <w:marRight w:val="0"/>
      <w:marTop w:val="0"/>
      <w:marBottom w:val="0"/>
      <w:divBdr>
        <w:top w:val="none" w:sz="0" w:space="0" w:color="auto"/>
        <w:left w:val="none" w:sz="0" w:space="0" w:color="auto"/>
        <w:bottom w:val="none" w:sz="0" w:space="0" w:color="auto"/>
        <w:right w:val="none" w:sz="0" w:space="0" w:color="auto"/>
      </w:divBdr>
      <w:divsChild>
        <w:div w:id="1484271062">
          <w:marLeft w:val="0"/>
          <w:marRight w:val="0"/>
          <w:marTop w:val="0"/>
          <w:marBottom w:val="0"/>
          <w:divBdr>
            <w:top w:val="none" w:sz="0" w:space="0" w:color="auto"/>
            <w:left w:val="none" w:sz="0" w:space="0" w:color="auto"/>
            <w:bottom w:val="none" w:sz="0" w:space="0" w:color="auto"/>
            <w:right w:val="none" w:sz="0" w:space="0" w:color="auto"/>
          </w:divBdr>
        </w:div>
      </w:divsChild>
    </w:div>
    <w:div w:id="1945074263">
      <w:bodyDiv w:val="1"/>
      <w:marLeft w:val="0"/>
      <w:marRight w:val="0"/>
      <w:marTop w:val="0"/>
      <w:marBottom w:val="0"/>
      <w:divBdr>
        <w:top w:val="none" w:sz="0" w:space="0" w:color="auto"/>
        <w:left w:val="none" w:sz="0" w:space="0" w:color="auto"/>
        <w:bottom w:val="none" w:sz="0" w:space="0" w:color="auto"/>
        <w:right w:val="none" w:sz="0" w:space="0" w:color="auto"/>
      </w:divBdr>
    </w:div>
    <w:div w:id="1945919932">
      <w:bodyDiv w:val="1"/>
      <w:marLeft w:val="0"/>
      <w:marRight w:val="0"/>
      <w:marTop w:val="0"/>
      <w:marBottom w:val="0"/>
      <w:divBdr>
        <w:top w:val="none" w:sz="0" w:space="0" w:color="auto"/>
        <w:left w:val="none" w:sz="0" w:space="0" w:color="auto"/>
        <w:bottom w:val="none" w:sz="0" w:space="0" w:color="auto"/>
        <w:right w:val="none" w:sz="0" w:space="0" w:color="auto"/>
      </w:divBdr>
    </w:div>
    <w:div w:id="1946377945">
      <w:marLeft w:val="0"/>
      <w:marRight w:val="0"/>
      <w:marTop w:val="0"/>
      <w:marBottom w:val="0"/>
      <w:divBdr>
        <w:top w:val="none" w:sz="0" w:space="0" w:color="auto"/>
        <w:left w:val="none" w:sz="0" w:space="0" w:color="auto"/>
        <w:bottom w:val="none" w:sz="0" w:space="0" w:color="auto"/>
        <w:right w:val="none" w:sz="0" w:space="0" w:color="auto"/>
      </w:divBdr>
      <w:divsChild>
        <w:div w:id="2016223758">
          <w:marLeft w:val="0"/>
          <w:marRight w:val="0"/>
          <w:marTop w:val="0"/>
          <w:marBottom w:val="0"/>
          <w:divBdr>
            <w:top w:val="none" w:sz="0" w:space="0" w:color="auto"/>
            <w:left w:val="none" w:sz="0" w:space="0" w:color="auto"/>
            <w:bottom w:val="none" w:sz="0" w:space="0" w:color="auto"/>
            <w:right w:val="none" w:sz="0" w:space="0" w:color="auto"/>
          </w:divBdr>
        </w:div>
      </w:divsChild>
    </w:div>
    <w:div w:id="1949118382">
      <w:bodyDiv w:val="1"/>
      <w:marLeft w:val="0"/>
      <w:marRight w:val="0"/>
      <w:marTop w:val="0"/>
      <w:marBottom w:val="0"/>
      <w:divBdr>
        <w:top w:val="none" w:sz="0" w:space="0" w:color="auto"/>
        <w:left w:val="none" w:sz="0" w:space="0" w:color="auto"/>
        <w:bottom w:val="none" w:sz="0" w:space="0" w:color="auto"/>
        <w:right w:val="none" w:sz="0" w:space="0" w:color="auto"/>
      </w:divBdr>
    </w:div>
    <w:div w:id="1956404636">
      <w:bodyDiv w:val="1"/>
      <w:marLeft w:val="0"/>
      <w:marRight w:val="0"/>
      <w:marTop w:val="0"/>
      <w:marBottom w:val="0"/>
      <w:divBdr>
        <w:top w:val="none" w:sz="0" w:space="0" w:color="auto"/>
        <w:left w:val="none" w:sz="0" w:space="0" w:color="auto"/>
        <w:bottom w:val="none" w:sz="0" w:space="0" w:color="auto"/>
        <w:right w:val="none" w:sz="0" w:space="0" w:color="auto"/>
      </w:divBdr>
    </w:div>
    <w:div w:id="1959095139">
      <w:marLeft w:val="0"/>
      <w:marRight w:val="150"/>
      <w:marTop w:val="0"/>
      <w:marBottom w:val="0"/>
      <w:divBdr>
        <w:top w:val="none" w:sz="0" w:space="0" w:color="auto"/>
        <w:left w:val="none" w:sz="0" w:space="0" w:color="auto"/>
        <w:bottom w:val="none" w:sz="0" w:space="0" w:color="auto"/>
        <w:right w:val="none" w:sz="0" w:space="0" w:color="auto"/>
      </w:divBdr>
      <w:divsChild>
        <w:div w:id="737049912">
          <w:marLeft w:val="0"/>
          <w:marRight w:val="150"/>
          <w:marTop w:val="0"/>
          <w:marBottom w:val="0"/>
          <w:divBdr>
            <w:top w:val="none" w:sz="0" w:space="0" w:color="auto"/>
            <w:left w:val="none" w:sz="0" w:space="0" w:color="auto"/>
            <w:bottom w:val="none" w:sz="0" w:space="0" w:color="auto"/>
            <w:right w:val="none" w:sz="0" w:space="0" w:color="auto"/>
          </w:divBdr>
        </w:div>
      </w:divsChild>
    </w:div>
    <w:div w:id="1963414810">
      <w:marLeft w:val="0"/>
      <w:marRight w:val="0"/>
      <w:marTop w:val="0"/>
      <w:marBottom w:val="0"/>
      <w:divBdr>
        <w:top w:val="none" w:sz="0" w:space="0" w:color="auto"/>
        <w:left w:val="none" w:sz="0" w:space="0" w:color="auto"/>
        <w:bottom w:val="none" w:sz="0" w:space="0" w:color="auto"/>
        <w:right w:val="none" w:sz="0" w:space="0" w:color="auto"/>
      </w:divBdr>
      <w:divsChild>
        <w:div w:id="654844953">
          <w:marLeft w:val="0"/>
          <w:marRight w:val="0"/>
          <w:marTop w:val="0"/>
          <w:marBottom w:val="0"/>
          <w:divBdr>
            <w:top w:val="none" w:sz="0" w:space="0" w:color="auto"/>
            <w:left w:val="none" w:sz="0" w:space="0" w:color="auto"/>
            <w:bottom w:val="none" w:sz="0" w:space="0" w:color="auto"/>
            <w:right w:val="none" w:sz="0" w:space="0" w:color="auto"/>
          </w:divBdr>
        </w:div>
      </w:divsChild>
    </w:div>
    <w:div w:id="1964143098">
      <w:bodyDiv w:val="1"/>
      <w:marLeft w:val="0"/>
      <w:marRight w:val="0"/>
      <w:marTop w:val="0"/>
      <w:marBottom w:val="0"/>
      <w:divBdr>
        <w:top w:val="none" w:sz="0" w:space="0" w:color="auto"/>
        <w:left w:val="none" w:sz="0" w:space="0" w:color="auto"/>
        <w:bottom w:val="none" w:sz="0" w:space="0" w:color="auto"/>
        <w:right w:val="none" w:sz="0" w:space="0" w:color="auto"/>
      </w:divBdr>
    </w:div>
    <w:div w:id="1964920783">
      <w:marLeft w:val="0"/>
      <w:marRight w:val="0"/>
      <w:marTop w:val="0"/>
      <w:marBottom w:val="0"/>
      <w:divBdr>
        <w:top w:val="none" w:sz="0" w:space="0" w:color="auto"/>
        <w:left w:val="none" w:sz="0" w:space="0" w:color="auto"/>
        <w:bottom w:val="none" w:sz="0" w:space="0" w:color="auto"/>
        <w:right w:val="none" w:sz="0" w:space="0" w:color="auto"/>
      </w:divBdr>
      <w:divsChild>
        <w:div w:id="1201279827">
          <w:marLeft w:val="0"/>
          <w:marRight w:val="0"/>
          <w:marTop w:val="0"/>
          <w:marBottom w:val="0"/>
          <w:divBdr>
            <w:top w:val="none" w:sz="0" w:space="0" w:color="auto"/>
            <w:left w:val="none" w:sz="0" w:space="0" w:color="auto"/>
            <w:bottom w:val="none" w:sz="0" w:space="0" w:color="auto"/>
            <w:right w:val="none" w:sz="0" w:space="0" w:color="auto"/>
          </w:divBdr>
        </w:div>
      </w:divsChild>
    </w:div>
    <w:div w:id="1967277991">
      <w:marLeft w:val="0"/>
      <w:marRight w:val="0"/>
      <w:marTop w:val="0"/>
      <w:marBottom w:val="0"/>
      <w:divBdr>
        <w:top w:val="none" w:sz="0" w:space="0" w:color="auto"/>
        <w:left w:val="none" w:sz="0" w:space="0" w:color="auto"/>
        <w:bottom w:val="none" w:sz="0" w:space="0" w:color="auto"/>
        <w:right w:val="none" w:sz="0" w:space="0" w:color="auto"/>
      </w:divBdr>
      <w:divsChild>
        <w:div w:id="73359917">
          <w:marLeft w:val="0"/>
          <w:marRight w:val="0"/>
          <w:marTop w:val="0"/>
          <w:marBottom w:val="0"/>
          <w:divBdr>
            <w:top w:val="none" w:sz="0" w:space="0" w:color="auto"/>
            <w:left w:val="none" w:sz="0" w:space="0" w:color="auto"/>
            <w:bottom w:val="none" w:sz="0" w:space="0" w:color="auto"/>
            <w:right w:val="none" w:sz="0" w:space="0" w:color="auto"/>
          </w:divBdr>
        </w:div>
      </w:divsChild>
    </w:div>
    <w:div w:id="1968316249">
      <w:marLeft w:val="0"/>
      <w:marRight w:val="0"/>
      <w:marTop w:val="0"/>
      <w:marBottom w:val="0"/>
      <w:divBdr>
        <w:top w:val="none" w:sz="0" w:space="0" w:color="auto"/>
        <w:left w:val="none" w:sz="0" w:space="0" w:color="auto"/>
        <w:bottom w:val="none" w:sz="0" w:space="0" w:color="auto"/>
        <w:right w:val="none" w:sz="0" w:space="0" w:color="auto"/>
      </w:divBdr>
      <w:divsChild>
        <w:div w:id="1197617058">
          <w:marLeft w:val="0"/>
          <w:marRight w:val="0"/>
          <w:marTop w:val="0"/>
          <w:marBottom w:val="0"/>
          <w:divBdr>
            <w:top w:val="none" w:sz="0" w:space="0" w:color="auto"/>
            <w:left w:val="none" w:sz="0" w:space="0" w:color="auto"/>
            <w:bottom w:val="none" w:sz="0" w:space="0" w:color="auto"/>
            <w:right w:val="none" w:sz="0" w:space="0" w:color="auto"/>
          </w:divBdr>
        </w:div>
      </w:divsChild>
    </w:div>
    <w:div w:id="1970670394">
      <w:marLeft w:val="0"/>
      <w:marRight w:val="0"/>
      <w:marTop w:val="0"/>
      <w:marBottom w:val="0"/>
      <w:divBdr>
        <w:top w:val="none" w:sz="0" w:space="0" w:color="auto"/>
        <w:left w:val="none" w:sz="0" w:space="0" w:color="auto"/>
        <w:bottom w:val="none" w:sz="0" w:space="0" w:color="auto"/>
        <w:right w:val="none" w:sz="0" w:space="0" w:color="auto"/>
      </w:divBdr>
      <w:divsChild>
        <w:div w:id="1903104361">
          <w:marLeft w:val="0"/>
          <w:marRight w:val="0"/>
          <w:marTop w:val="0"/>
          <w:marBottom w:val="0"/>
          <w:divBdr>
            <w:top w:val="none" w:sz="0" w:space="0" w:color="auto"/>
            <w:left w:val="none" w:sz="0" w:space="0" w:color="auto"/>
            <w:bottom w:val="none" w:sz="0" w:space="0" w:color="auto"/>
            <w:right w:val="none" w:sz="0" w:space="0" w:color="auto"/>
          </w:divBdr>
        </w:div>
      </w:divsChild>
    </w:div>
    <w:div w:id="1972438085">
      <w:bodyDiv w:val="1"/>
      <w:marLeft w:val="0"/>
      <w:marRight w:val="0"/>
      <w:marTop w:val="0"/>
      <w:marBottom w:val="0"/>
      <w:divBdr>
        <w:top w:val="none" w:sz="0" w:space="0" w:color="auto"/>
        <w:left w:val="none" w:sz="0" w:space="0" w:color="auto"/>
        <w:bottom w:val="none" w:sz="0" w:space="0" w:color="auto"/>
        <w:right w:val="none" w:sz="0" w:space="0" w:color="auto"/>
      </w:divBdr>
    </w:div>
    <w:div w:id="1972593161">
      <w:marLeft w:val="0"/>
      <w:marRight w:val="0"/>
      <w:marTop w:val="0"/>
      <w:marBottom w:val="0"/>
      <w:divBdr>
        <w:top w:val="none" w:sz="0" w:space="0" w:color="auto"/>
        <w:left w:val="none" w:sz="0" w:space="0" w:color="auto"/>
        <w:bottom w:val="none" w:sz="0" w:space="0" w:color="auto"/>
        <w:right w:val="none" w:sz="0" w:space="0" w:color="auto"/>
      </w:divBdr>
      <w:divsChild>
        <w:div w:id="679771711">
          <w:marLeft w:val="0"/>
          <w:marRight w:val="0"/>
          <w:marTop w:val="0"/>
          <w:marBottom w:val="0"/>
          <w:divBdr>
            <w:top w:val="none" w:sz="0" w:space="0" w:color="auto"/>
            <w:left w:val="none" w:sz="0" w:space="0" w:color="auto"/>
            <w:bottom w:val="none" w:sz="0" w:space="0" w:color="auto"/>
            <w:right w:val="none" w:sz="0" w:space="0" w:color="auto"/>
          </w:divBdr>
        </w:div>
      </w:divsChild>
    </w:div>
    <w:div w:id="1985623301">
      <w:marLeft w:val="0"/>
      <w:marRight w:val="0"/>
      <w:marTop w:val="0"/>
      <w:marBottom w:val="0"/>
      <w:divBdr>
        <w:top w:val="none" w:sz="0" w:space="0" w:color="auto"/>
        <w:left w:val="none" w:sz="0" w:space="0" w:color="auto"/>
        <w:bottom w:val="none" w:sz="0" w:space="0" w:color="auto"/>
        <w:right w:val="none" w:sz="0" w:space="0" w:color="auto"/>
      </w:divBdr>
      <w:divsChild>
        <w:div w:id="2008245285">
          <w:marLeft w:val="0"/>
          <w:marRight w:val="0"/>
          <w:marTop w:val="0"/>
          <w:marBottom w:val="0"/>
          <w:divBdr>
            <w:top w:val="none" w:sz="0" w:space="0" w:color="auto"/>
            <w:left w:val="none" w:sz="0" w:space="0" w:color="auto"/>
            <w:bottom w:val="none" w:sz="0" w:space="0" w:color="auto"/>
            <w:right w:val="none" w:sz="0" w:space="0" w:color="auto"/>
          </w:divBdr>
        </w:div>
      </w:divsChild>
    </w:div>
    <w:div w:id="1986625275">
      <w:bodyDiv w:val="1"/>
      <w:marLeft w:val="0"/>
      <w:marRight w:val="0"/>
      <w:marTop w:val="0"/>
      <w:marBottom w:val="0"/>
      <w:divBdr>
        <w:top w:val="none" w:sz="0" w:space="0" w:color="auto"/>
        <w:left w:val="none" w:sz="0" w:space="0" w:color="auto"/>
        <w:bottom w:val="none" w:sz="0" w:space="0" w:color="auto"/>
        <w:right w:val="none" w:sz="0" w:space="0" w:color="auto"/>
      </w:divBdr>
      <w:divsChild>
        <w:div w:id="1401171134">
          <w:marLeft w:val="0"/>
          <w:marRight w:val="0"/>
          <w:marTop w:val="0"/>
          <w:marBottom w:val="0"/>
          <w:divBdr>
            <w:top w:val="none" w:sz="0" w:space="0" w:color="auto"/>
            <w:left w:val="none" w:sz="0" w:space="0" w:color="auto"/>
            <w:bottom w:val="none" w:sz="0" w:space="0" w:color="auto"/>
            <w:right w:val="none" w:sz="0" w:space="0" w:color="auto"/>
          </w:divBdr>
          <w:divsChild>
            <w:div w:id="1791826421">
              <w:marLeft w:val="0"/>
              <w:marRight w:val="0"/>
              <w:marTop w:val="0"/>
              <w:marBottom w:val="0"/>
              <w:divBdr>
                <w:top w:val="none" w:sz="0" w:space="0" w:color="auto"/>
                <w:left w:val="none" w:sz="0" w:space="0" w:color="auto"/>
                <w:bottom w:val="none" w:sz="0" w:space="0" w:color="auto"/>
                <w:right w:val="none" w:sz="0" w:space="0" w:color="auto"/>
              </w:divBdr>
              <w:divsChild>
                <w:div w:id="1350181549">
                  <w:marLeft w:val="0"/>
                  <w:marRight w:val="150"/>
                  <w:marTop w:val="0"/>
                  <w:marBottom w:val="0"/>
                  <w:divBdr>
                    <w:top w:val="none" w:sz="0" w:space="0" w:color="auto"/>
                    <w:left w:val="none" w:sz="0" w:space="0" w:color="auto"/>
                    <w:bottom w:val="none" w:sz="0" w:space="0" w:color="auto"/>
                    <w:right w:val="none" w:sz="0" w:space="0" w:color="auto"/>
                  </w:divBdr>
                  <w:divsChild>
                    <w:div w:id="147582788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320042804">
          <w:marLeft w:val="0"/>
          <w:marRight w:val="150"/>
          <w:marTop w:val="0"/>
          <w:marBottom w:val="0"/>
          <w:divBdr>
            <w:top w:val="none" w:sz="0" w:space="0" w:color="auto"/>
            <w:left w:val="none" w:sz="0" w:space="0" w:color="auto"/>
            <w:bottom w:val="none" w:sz="0" w:space="0" w:color="auto"/>
            <w:right w:val="none" w:sz="0" w:space="0" w:color="auto"/>
          </w:divBdr>
          <w:divsChild>
            <w:div w:id="208152029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87397586">
      <w:marLeft w:val="0"/>
      <w:marRight w:val="0"/>
      <w:marTop w:val="0"/>
      <w:marBottom w:val="0"/>
      <w:divBdr>
        <w:top w:val="none" w:sz="0" w:space="0" w:color="auto"/>
        <w:left w:val="none" w:sz="0" w:space="0" w:color="auto"/>
        <w:bottom w:val="none" w:sz="0" w:space="0" w:color="auto"/>
        <w:right w:val="none" w:sz="0" w:space="0" w:color="auto"/>
      </w:divBdr>
      <w:divsChild>
        <w:div w:id="595284470">
          <w:marLeft w:val="0"/>
          <w:marRight w:val="0"/>
          <w:marTop w:val="0"/>
          <w:marBottom w:val="0"/>
          <w:divBdr>
            <w:top w:val="none" w:sz="0" w:space="0" w:color="auto"/>
            <w:left w:val="none" w:sz="0" w:space="0" w:color="auto"/>
            <w:bottom w:val="none" w:sz="0" w:space="0" w:color="auto"/>
            <w:right w:val="none" w:sz="0" w:space="0" w:color="auto"/>
          </w:divBdr>
        </w:div>
      </w:divsChild>
    </w:div>
    <w:div w:id="1991471768">
      <w:marLeft w:val="0"/>
      <w:marRight w:val="0"/>
      <w:marTop w:val="0"/>
      <w:marBottom w:val="0"/>
      <w:divBdr>
        <w:top w:val="none" w:sz="0" w:space="0" w:color="auto"/>
        <w:left w:val="none" w:sz="0" w:space="0" w:color="auto"/>
        <w:bottom w:val="none" w:sz="0" w:space="0" w:color="auto"/>
        <w:right w:val="none" w:sz="0" w:space="0" w:color="auto"/>
      </w:divBdr>
      <w:divsChild>
        <w:div w:id="1664822141">
          <w:marLeft w:val="0"/>
          <w:marRight w:val="0"/>
          <w:marTop w:val="0"/>
          <w:marBottom w:val="0"/>
          <w:divBdr>
            <w:top w:val="none" w:sz="0" w:space="0" w:color="auto"/>
            <w:left w:val="none" w:sz="0" w:space="0" w:color="auto"/>
            <w:bottom w:val="none" w:sz="0" w:space="0" w:color="auto"/>
            <w:right w:val="none" w:sz="0" w:space="0" w:color="auto"/>
          </w:divBdr>
        </w:div>
      </w:divsChild>
    </w:div>
    <w:div w:id="1992557924">
      <w:marLeft w:val="0"/>
      <w:marRight w:val="0"/>
      <w:marTop w:val="0"/>
      <w:marBottom w:val="0"/>
      <w:divBdr>
        <w:top w:val="none" w:sz="0" w:space="0" w:color="auto"/>
        <w:left w:val="none" w:sz="0" w:space="0" w:color="auto"/>
        <w:bottom w:val="none" w:sz="0" w:space="0" w:color="auto"/>
        <w:right w:val="none" w:sz="0" w:space="0" w:color="auto"/>
      </w:divBdr>
      <w:divsChild>
        <w:div w:id="467479618">
          <w:marLeft w:val="0"/>
          <w:marRight w:val="0"/>
          <w:marTop w:val="0"/>
          <w:marBottom w:val="0"/>
          <w:divBdr>
            <w:top w:val="none" w:sz="0" w:space="0" w:color="auto"/>
            <w:left w:val="none" w:sz="0" w:space="0" w:color="auto"/>
            <w:bottom w:val="none" w:sz="0" w:space="0" w:color="auto"/>
            <w:right w:val="none" w:sz="0" w:space="0" w:color="auto"/>
          </w:divBdr>
        </w:div>
      </w:divsChild>
    </w:div>
    <w:div w:id="1992564088">
      <w:marLeft w:val="0"/>
      <w:marRight w:val="0"/>
      <w:marTop w:val="0"/>
      <w:marBottom w:val="0"/>
      <w:divBdr>
        <w:top w:val="none" w:sz="0" w:space="0" w:color="auto"/>
        <w:left w:val="none" w:sz="0" w:space="0" w:color="auto"/>
        <w:bottom w:val="none" w:sz="0" w:space="0" w:color="auto"/>
        <w:right w:val="none" w:sz="0" w:space="0" w:color="auto"/>
      </w:divBdr>
      <w:divsChild>
        <w:div w:id="989402807">
          <w:marLeft w:val="0"/>
          <w:marRight w:val="0"/>
          <w:marTop w:val="0"/>
          <w:marBottom w:val="0"/>
          <w:divBdr>
            <w:top w:val="none" w:sz="0" w:space="0" w:color="auto"/>
            <w:left w:val="none" w:sz="0" w:space="0" w:color="auto"/>
            <w:bottom w:val="none" w:sz="0" w:space="0" w:color="auto"/>
            <w:right w:val="none" w:sz="0" w:space="0" w:color="auto"/>
          </w:divBdr>
        </w:div>
      </w:divsChild>
    </w:div>
    <w:div w:id="1996061827">
      <w:bodyDiv w:val="1"/>
      <w:marLeft w:val="0"/>
      <w:marRight w:val="0"/>
      <w:marTop w:val="0"/>
      <w:marBottom w:val="0"/>
      <w:divBdr>
        <w:top w:val="none" w:sz="0" w:space="0" w:color="auto"/>
        <w:left w:val="none" w:sz="0" w:space="0" w:color="auto"/>
        <w:bottom w:val="none" w:sz="0" w:space="0" w:color="auto"/>
        <w:right w:val="none" w:sz="0" w:space="0" w:color="auto"/>
      </w:divBdr>
    </w:div>
    <w:div w:id="1997145077">
      <w:bodyDiv w:val="1"/>
      <w:marLeft w:val="0"/>
      <w:marRight w:val="0"/>
      <w:marTop w:val="0"/>
      <w:marBottom w:val="0"/>
      <w:divBdr>
        <w:top w:val="none" w:sz="0" w:space="0" w:color="auto"/>
        <w:left w:val="none" w:sz="0" w:space="0" w:color="auto"/>
        <w:bottom w:val="none" w:sz="0" w:space="0" w:color="auto"/>
        <w:right w:val="none" w:sz="0" w:space="0" w:color="auto"/>
      </w:divBdr>
      <w:divsChild>
        <w:div w:id="760297681">
          <w:marLeft w:val="0"/>
          <w:marRight w:val="0"/>
          <w:marTop w:val="0"/>
          <w:marBottom w:val="0"/>
          <w:divBdr>
            <w:top w:val="none" w:sz="0" w:space="0" w:color="auto"/>
            <w:left w:val="none" w:sz="0" w:space="0" w:color="auto"/>
            <w:bottom w:val="none" w:sz="0" w:space="0" w:color="auto"/>
            <w:right w:val="none" w:sz="0" w:space="0" w:color="auto"/>
          </w:divBdr>
          <w:divsChild>
            <w:div w:id="1552568720">
              <w:marLeft w:val="0"/>
              <w:marRight w:val="0"/>
              <w:marTop w:val="0"/>
              <w:marBottom w:val="0"/>
              <w:divBdr>
                <w:top w:val="none" w:sz="0" w:space="0" w:color="auto"/>
                <w:left w:val="none" w:sz="0" w:space="0" w:color="auto"/>
                <w:bottom w:val="none" w:sz="0" w:space="0" w:color="auto"/>
                <w:right w:val="none" w:sz="0" w:space="0" w:color="auto"/>
              </w:divBdr>
              <w:divsChild>
                <w:div w:id="843203969">
                  <w:marLeft w:val="0"/>
                  <w:marRight w:val="0"/>
                  <w:marTop w:val="0"/>
                  <w:marBottom w:val="0"/>
                  <w:divBdr>
                    <w:top w:val="none" w:sz="0" w:space="0" w:color="auto"/>
                    <w:left w:val="none" w:sz="0" w:space="0" w:color="auto"/>
                    <w:bottom w:val="none" w:sz="0" w:space="0" w:color="auto"/>
                    <w:right w:val="none" w:sz="0" w:space="0" w:color="auto"/>
                  </w:divBdr>
                </w:div>
                <w:div w:id="2037658398">
                  <w:marLeft w:val="0"/>
                  <w:marRight w:val="0"/>
                  <w:marTop w:val="0"/>
                  <w:marBottom w:val="0"/>
                  <w:divBdr>
                    <w:top w:val="none" w:sz="0" w:space="0" w:color="auto"/>
                    <w:left w:val="none" w:sz="0" w:space="0" w:color="auto"/>
                    <w:bottom w:val="none" w:sz="0" w:space="0" w:color="auto"/>
                    <w:right w:val="none" w:sz="0" w:space="0" w:color="auto"/>
                  </w:divBdr>
                </w:div>
                <w:div w:id="692994657">
                  <w:marLeft w:val="0"/>
                  <w:marRight w:val="0"/>
                  <w:marTop w:val="0"/>
                  <w:marBottom w:val="0"/>
                  <w:divBdr>
                    <w:top w:val="none" w:sz="0" w:space="0" w:color="auto"/>
                    <w:left w:val="none" w:sz="0" w:space="0" w:color="auto"/>
                    <w:bottom w:val="none" w:sz="0" w:space="0" w:color="auto"/>
                    <w:right w:val="none" w:sz="0" w:space="0" w:color="auto"/>
                  </w:divBdr>
                </w:div>
                <w:div w:id="765155610">
                  <w:marLeft w:val="0"/>
                  <w:marRight w:val="0"/>
                  <w:marTop w:val="0"/>
                  <w:marBottom w:val="0"/>
                  <w:divBdr>
                    <w:top w:val="none" w:sz="0" w:space="0" w:color="auto"/>
                    <w:left w:val="none" w:sz="0" w:space="0" w:color="auto"/>
                    <w:bottom w:val="none" w:sz="0" w:space="0" w:color="auto"/>
                    <w:right w:val="none" w:sz="0" w:space="0" w:color="auto"/>
                  </w:divBdr>
                </w:div>
                <w:div w:id="1635286569">
                  <w:marLeft w:val="0"/>
                  <w:marRight w:val="0"/>
                  <w:marTop w:val="0"/>
                  <w:marBottom w:val="0"/>
                  <w:divBdr>
                    <w:top w:val="none" w:sz="0" w:space="0" w:color="auto"/>
                    <w:left w:val="none" w:sz="0" w:space="0" w:color="auto"/>
                    <w:bottom w:val="none" w:sz="0" w:space="0" w:color="auto"/>
                    <w:right w:val="none" w:sz="0" w:space="0" w:color="auto"/>
                  </w:divBdr>
                </w:div>
                <w:div w:id="437216131">
                  <w:marLeft w:val="0"/>
                  <w:marRight w:val="0"/>
                  <w:marTop w:val="0"/>
                  <w:marBottom w:val="0"/>
                  <w:divBdr>
                    <w:top w:val="none" w:sz="0" w:space="0" w:color="auto"/>
                    <w:left w:val="none" w:sz="0" w:space="0" w:color="auto"/>
                    <w:bottom w:val="none" w:sz="0" w:space="0" w:color="auto"/>
                    <w:right w:val="none" w:sz="0" w:space="0" w:color="auto"/>
                  </w:divBdr>
                </w:div>
                <w:div w:id="98088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132570">
          <w:marLeft w:val="0"/>
          <w:marRight w:val="0"/>
          <w:marTop w:val="0"/>
          <w:marBottom w:val="0"/>
          <w:divBdr>
            <w:top w:val="none" w:sz="0" w:space="0" w:color="auto"/>
            <w:left w:val="none" w:sz="0" w:space="0" w:color="auto"/>
            <w:bottom w:val="none" w:sz="0" w:space="0" w:color="auto"/>
            <w:right w:val="none" w:sz="0" w:space="0" w:color="auto"/>
          </w:divBdr>
        </w:div>
        <w:div w:id="1963685745">
          <w:marLeft w:val="0"/>
          <w:marRight w:val="0"/>
          <w:marTop w:val="0"/>
          <w:marBottom w:val="0"/>
          <w:divBdr>
            <w:top w:val="none" w:sz="0" w:space="0" w:color="auto"/>
            <w:left w:val="none" w:sz="0" w:space="0" w:color="auto"/>
            <w:bottom w:val="none" w:sz="0" w:space="0" w:color="auto"/>
            <w:right w:val="none" w:sz="0" w:space="0" w:color="auto"/>
          </w:divBdr>
        </w:div>
        <w:div w:id="1175798868">
          <w:marLeft w:val="0"/>
          <w:marRight w:val="0"/>
          <w:marTop w:val="0"/>
          <w:marBottom w:val="0"/>
          <w:divBdr>
            <w:top w:val="none" w:sz="0" w:space="0" w:color="auto"/>
            <w:left w:val="none" w:sz="0" w:space="0" w:color="auto"/>
            <w:bottom w:val="none" w:sz="0" w:space="0" w:color="auto"/>
            <w:right w:val="none" w:sz="0" w:space="0" w:color="auto"/>
          </w:divBdr>
        </w:div>
        <w:div w:id="1648822915">
          <w:marLeft w:val="0"/>
          <w:marRight w:val="0"/>
          <w:marTop w:val="0"/>
          <w:marBottom w:val="0"/>
          <w:divBdr>
            <w:top w:val="none" w:sz="0" w:space="0" w:color="auto"/>
            <w:left w:val="none" w:sz="0" w:space="0" w:color="auto"/>
            <w:bottom w:val="none" w:sz="0" w:space="0" w:color="auto"/>
            <w:right w:val="none" w:sz="0" w:space="0" w:color="auto"/>
          </w:divBdr>
        </w:div>
        <w:div w:id="1131745245">
          <w:marLeft w:val="0"/>
          <w:marRight w:val="0"/>
          <w:marTop w:val="0"/>
          <w:marBottom w:val="0"/>
          <w:divBdr>
            <w:top w:val="none" w:sz="0" w:space="0" w:color="auto"/>
            <w:left w:val="none" w:sz="0" w:space="0" w:color="auto"/>
            <w:bottom w:val="none" w:sz="0" w:space="0" w:color="auto"/>
            <w:right w:val="none" w:sz="0" w:space="0" w:color="auto"/>
          </w:divBdr>
        </w:div>
        <w:div w:id="248730861">
          <w:marLeft w:val="0"/>
          <w:marRight w:val="0"/>
          <w:marTop w:val="0"/>
          <w:marBottom w:val="0"/>
          <w:divBdr>
            <w:top w:val="none" w:sz="0" w:space="0" w:color="auto"/>
            <w:left w:val="none" w:sz="0" w:space="0" w:color="auto"/>
            <w:bottom w:val="none" w:sz="0" w:space="0" w:color="auto"/>
            <w:right w:val="none" w:sz="0" w:space="0" w:color="auto"/>
          </w:divBdr>
        </w:div>
        <w:div w:id="845511612">
          <w:marLeft w:val="0"/>
          <w:marRight w:val="0"/>
          <w:marTop w:val="0"/>
          <w:marBottom w:val="0"/>
          <w:divBdr>
            <w:top w:val="none" w:sz="0" w:space="0" w:color="auto"/>
            <w:left w:val="none" w:sz="0" w:space="0" w:color="auto"/>
            <w:bottom w:val="none" w:sz="0" w:space="0" w:color="auto"/>
            <w:right w:val="none" w:sz="0" w:space="0" w:color="auto"/>
          </w:divBdr>
        </w:div>
        <w:div w:id="2003898044">
          <w:marLeft w:val="0"/>
          <w:marRight w:val="0"/>
          <w:marTop w:val="0"/>
          <w:marBottom w:val="0"/>
          <w:divBdr>
            <w:top w:val="none" w:sz="0" w:space="0" w:color="auto"/>
            <w:left w:val="none" w:sz="0" w:space="0" w:color="auto"/>
            <w:bottom w:val="none" w:sz="0" w:space="0" w:color="auto"/>
            <w:right w:val="none" w:sz="0" w:space="0" w:color="auto"/>
          </w:divBdr>
        </w:div>
      </w:divsChild>
    </w:div>
    <w:div w:id="2001618656">
      <w:marLeft w:val="0"/>
      <w:marRight w:val="0"/>
      <w:marTop w:val="0"/>
      <w:marBottom w:val="0"/>
      <w:divBdr>
        <w:top w:val="none" w:sz="0" w:space="0" w:color="auto"/>
        <w:left w:val="none" w:sz="0" w:space="0" w:color="auto"/>
        <w:bottom w:val="none" w:sz="0" w:space="0" w:color="auto"/>
        <w:right w:val="none" w:sz="0" w:space="0" w:color="auto"/>
      </w:divBdr>
      <w:divsChild>
        <w:div w:id="1123378633">
          <w:marLeft w:val="0"/>
          <w:marRight w:val="0"/>
          <w:marTop w:val="0"/>
          <w:marBottom w:val="0"/>
          <w:divBdr>
            <w:top w:val="none" w:sz="0" w:space="0" w:color="auto"/>
            <w:left w:val="none" w:sz="0" w:space="0" w:color="auto"/>
            <w:bottom w:val="none" w:sz="0" w:space="0" w:color="auto"/>
            <w:right w:val="none" w:sz="0" w:space="0" w:color="auto"/>
          </w:divBdr>
        </w:div>
      </w:divsChild>
    </w:div>
    <w:div w:id="2002074182">
      <w:marLeft w:val="0"/>
      <w:marRight w:val="0"/>
      <w:marTop w:val="0"/>
      <w:marBottom w:val="0"/>
      <w:divBdr>
        <w:top w:val="none" w:sz="0" w:space="0" w:color="auto"/>
        <w:left w:val="none" w:sz="0" w:space="0" w:color="auto"/>
        <w:bottom w:val="none" w:sz="0" w:space="0" w:color="auto"/>
        <w:right w:val="none" w:sz="0" w:space="0" w:color="auto"/>
      </w:divBdr>
      <w:divsChild>
        <w:div w:id="1218931259">
          <w:marLeft w:val="0"/>
          <w:marRight w:val="0"/>
          <w:marTop w:val="0"/>
          <w:marBottom w:val="0"/>
          <w:divBdr>
            <w:top w:val="none" w:sz="0" w:space="0" w:color="auto"/>
            <w:left w:val="none" w:sz="0" w:space="0" w:color="auto"/>
            <w:bottom w:val="none" w:sz="0" w:space="0" w:color="auto"/>
            <w:right w:val="none" w:sz="0" w:space="0" w:color="auto"/>
          </w:divBdr>
        </w:div>
      </w:divsChild>
    </w:div>
    <w:div w:id="2003311817">
      <w:marLeft w:val="0"/>
      <w:marRight w:val="0"/>
      <w:marTop w:val="0"/>
      <w:marBottom w:val="0"/>
      <w:divBdr>
        <w:top w:val="none" w:sz="0" w:space="0" w:color="auto"/>
        <w:left w:val="none" w:sz="0" w:space="0" w:color="auto"/>
        <w:bottom w:val="none" w:sz="0" w:space="0" w:color="auto"/>
        <w:right w:val="none" w:sz="0" w:space="0" w:color="auto"/>
      </w:divBdr>
      <w:divsChild>
        <w:div w:id="1080565044">
          <w:marLeft w:val="0"/>
          <w:marRight w:val="0"/>
          <w:marTop w:val="0"/>
          <w:marBottom w:val="0"/>
          <w:divBdr>
            <w:top w:val="none" w:sz="0" w:space="0" w:color="auto"/>
            <w:left w:val="none" w:sz="0" w:space="0" w:color="auto"/>
            <w:bottom w:val="none" w:sz="0" w:space="0" w:color="auto"/>
            <w:right w:val="none" w:sz="0" w:space="0" w:color="auto"/>
          </w:divBdr>
        </w:div>
      </w:divsChild>
    </w:div>
    <w:div w:id="2004507063">
      <w:marLeft w:val="0"/>
      <w:marRight w:val="0"/>
      <w:marTop w:val="0"/>
      <w:marBottom w:val="0"/>
      <w:divBdr>
        <w:top w:val="none" w:sz="0" w:space="0" w:color="auto"/>
        <w:left w:val="none" w:sz="0" w:space="0" w:color="auto"/>
        <w:bottom w:val="none" w:sz="0" w:space="0" w:color="auto"/>
        <w:right w:val="none" w:sz="0" w:space="0" w:color="auto"/>
      </w:divBdr>
      <w:divsChild>
        <w:div w:id="498736867">
          <w:marLeft w:val="0"/>
          <w:marRight w:val="0"/>
          <w:marTop w:val="0"/>
          <w:marBottom w:val="0"/>
          <w:divBdr>
            <w:top w:val="none" w:sz="0" w:space="0" w:color="auto"/>
            <w:left w:val="none" w:sz="0" w:space="0" w:color="auto"/>
            <w:bottom w:val="none" w:sz="0" w:space="0" w:color="auto"/>
            <w:right w:val="none" w:sz="0" w:space="0" w:color="auto"/>
          </w:divBdr>
        </w:div>
      </w:divsChild>
    </w:div>
    <w:div w:id="2009357882">
      <w:marLeft w:val="0"/>
      <w:marRight w:val="0"/>
      <w:marTop w:val="0"/>
      <w:marBottom w:val="0"/>
      <w:divBdr>
        <w:top w:val="none" w:sz="0" w:space="0" w:color="auto"/>
        <w:left w:val="none" w:sz="0" w:space="0" w:color="auto"/>
        <w:bottom w:val="none" w:sz="0" w:space="0" w:color="auto"/>
        <w:right w:val="none" w:sz="0" w:space="0" w:color="auto"/>
      </w:divBdr>
      <w:divsChild>
        <w:div w:id="1403599152">
          <w:marLeft w:val="0"/>
          <w:marRight w:val="0"/>
          <w:marTop w:val="0"/>
          <w:marBottom w:val="0"/>
          <w:divBdr>
            <w:top w:val="none" w:sz="0" w:space="0" w:color="auto"/>
            <w:left w:val="none" w:sz="0" w:space="0" w:color="auto"/>
            <w:bottom w:val="none" w:sz="0" w:space="0" w:color="auto"/>
            <w:right w:val="none" w:sz="0" w:space="0" w:color="auto"/>
          </w:divBdr>
        </w:div>
      </w:divsChild>
    </w:div>
    <w:div w:id="2009862203">
      <w:marLeft w:val="0"/>
      <w:marRight w:val="0"/>
      <w:marTop w:val="0"/>
      <w:marBottom w:val="0"/>
      <w:divBdr>
        <w:top w:val="none" w:sz="0" w:space="0" w:color="auto"/>
        <w:left w:val="none" w:sz="0" w:space="0" w:color="auto"/>
        <w:bottom w:val="none" w:sz="0" w:space="0" w:color="auto"/>
        <w:right w:val="none" w:sz="0" w:space="0" w:color="auto"/>
      </w:divBdr>
      <w:divsChild>
        <w:div w:id="836768489">
          <w:marLeft w:val="0"/>
          <w:marRight w:val="0"/>
          <w:marTop w:val="0"/>
          <w:marBottom w:val="0"/>
          <w:divBdr>
            <w:top w:val="none" w:sz="0" w:space="0" w:color="auto"/>
            <w:left w:val="none" w:sz="0" w:space="0" w:color="auto"/>
            <w:bottom w:val="none" w:sz="0" w:space="0" w:color="auto"/>
            <w:right w:val="none" w:sz="0" w:space="0" w:color="auto"/>
          </w:divBdr>
        </w:div>
      </w:divsChild>
    </w:div>
    <w:div w:id="2013026962">
      <w:bodyDiv w:val="1"/>
      <w:marLeft w:val="0"/>
      <w:marRight w:val="0"/>
      <w:marTop w:val="0"/>
      <w:marBottom w:val="0"/>
      <w:divBdr>
        <w:top w:val="none" w:sz="0" w:space="0" w:color="auto"/>
        <w:left w:val="none" w:sz="0" w:space="0" w:color="auto"/>
        <w:bottom w:val="none" w:sz="0" w:space="0" w:color="auto"/>
        <w:right w:val="none" w:sz="0" w:space="0" w:color="auto"/>
      </w:divBdr>
    </w:div>
    <w:div w:id="2015720451">
      <w:bodyDiv w:val="1"/>
      <w:marLeft w:val="0"/>
      <w:marRight w:val="0"/>
      <w:marTop w:val="0"/>
      <w:marBottom w:val="0"/>
      <w:divBdr>
        <w:top w:val="none" w:sz="0" w:space="0" w:color="auto"/>
        <w:left w:val="none" w:sz="0" w:space="0" w:color="auto"/>
        <w:bottom w:val="none" w:sz="0" w:space="0" w:color="auto"/>
        <w:right w:val="none" w:sz="0" w:space="0" w:color="auto"/>
      </w:divBdr>
    </w:div>
    <w:div w:id="2021808956">
      <w:bodyDiv w:val="1"/>
      <w:marLeft w:val="0"/>
      <w:marRight w:val="0"/>
      <w:marTop w:val="0"/>
      <w:marBottom w:val="0"/>
      <w:divBdr>
        <w:top w:val="none" w:sz="0" w:space="0" w:color="auto"/>
        <w:left w:val="none" w:sz="0" w:space="0" w:color="auto"/>
        <w:bottom w:val="none" w:sz="0" w:space="0" w:color="auto"/>
        <w:right w:val="none" w:sz="0" w:space="0" w:color="auto"/>
      </w:divBdr>
    </w:div>
    <w:div w:id="2028211454">
      <w:bodyDiv w:val="1"/>
      <w:marLeft w:val="0"/>
      <w:marRight w:val="0"/>
      <w:marTop w:val="0"/>
      <w:marBottom w:val="0"/>
      <w:divBdr>
        <w:top w:val="none" w:sz="0" w:space="0" w:color="auto"/>
        <w:left w:val="none" w:sz="0" w:space="0" w:color="auto"/>
        <w:bottom w:val="none" w:sz="0" w:space="0" w:color="auto"/>
        <w:right w:val="none" w:sz="0" w:space="0" w:color="auto"/>
      </w:divBdr>
    </w:div>
    <w:div w:id="2029407315">
      <w:marLeft w:val="0"/>
      <w:marRight w:val="0"/>
      <w:marTop w:val="0"/>
      <w:marBottom w:val="0"/>
      <w:divBdr>
        <w:top w:val="none" w:sz="0" w:space="0" w:color="auto"/>
        <w:left w:val="none" w:sz="0" w:space="0" w:color="auto"/>
        <w:bottom w:val="none" w:sz="0" w:space="0" w:color="auto"/>
        <w:right w:val="none" w:sz="0" w:space="0" w:color="auto"/>
      </w:divBdr>
      <w:divsChild>
        <w:div w:id="1436748957">
          <w:marLeft w:val="0"/>
          <w:marRight w:val="0"/>
          <w:marTop w:val="0"/>
          <w:marBottom w:val="0"/>
          <w:divBdr>
            <w:top w:val="none" w:sz="0" w:space="0" w:color="auto"/>
            <w:left w:val="none" w:sz="0" w:space="0" w:color="auto"/>
            <w:bottom w:val="none" w:sz="0" w:space="0" w:color="auto"/>
            <w:right w:val="none" w:sz="0" w:space="0" w:color="auto"/>
          </w:divBdr>
        </w:div>
      </w:divsChild>
    </w:div>
    <w:div w:id="2029672742">
      <w:marLeft w:val="0"/>
      <w:marRight w:val="0"/>
      <w:marTop w:val="0"/>
      <w:marBottom w:val="0"/>
      <w:divBdr>
        <w:top w:val="none" w:sz="0" w:space="0" w:color="auto"/>
        <w:left w:val="none" w:sz="0" w:space="0" w:color="auto"/>
        <w:bottom w:val="none" w:sz="0" w:space="0" w:color="auto"/>
        <w:right w:val="none" w:sz="0" w:space="0" w:color="auto"/>
      </w:divBdr>
      <w:divsChild>
        <w:div w:id="890267885">
          <w:marLeft w:val="0"/>
          <w:marRight w:val="0"/>
          <w:marTop w:val="0"/>
          <w:marBottom w:val="0"/>
          <w:divBdr>
            <w:top w:val="none" w:sz="0" w:space="0" w:color="auto"/>
            <w:left w:val="none" w:sz="0" w:space="0" w:color="auto"/>
            <w:bottom w:val="none" w:sz="0" w:space="0" w:color="auto"/>
            <w:right w:val="none" w:sz="0" w:space="0" w:color="auto"/>
          </w:divBdr>
        </w:div>
      </w:divsChild>
    </w:div>
    <w:div w:id="2035768505">
      <w:marLeft w:val="0"/>
      <w:marRight w:val="0"/>
      <w:marTop w:val="0"/>
      <w:marBottom w:val="0"/>
      <w:divBdr>
        <w:top w:val="none" w:sz="0" w:space="0" w:color="auto"/>
        <w:left w:val="none" w:sz="0" w:space="0" w:color="auto"/>
        <w:bottom w:val="none" w:sz="0" w:space="0" w:color="auto"/>
        <w:right w:val="none" w:sz="0" w:space="0" w:color="auto"/>
      </w:divBdr>
      <w:divsChild>
        <w:div w:id="1922062642">
          <w:marLeft w:val="0"/>
          <w:marRight w:val="0"/>
          <w:marTop w:val="0"/>
          <w:marBottom w:val="0"/>
          <w:divBdr>
            <w:top w:val="none" w:sz="0" w:space="0" w:color="auto"/>
            <w:left w:val="none" w:sz="0" w:space="0" w:color="auto"/>
            <w:bottom w:val="none" w:sz="0" w:space="0" w:color="auto"/>
            <w:right w:val="none" w:sz="0" w:space="0" w:color="auto"/>
          </w:divBdr>
        </w:div>
      </w:divsChild>
    </w:div>
    <w:div w:id="2038845157">
      <w:marLeft w:val="0"/>
      <w:marRight w:val="0"/>
      <w:marTop w:val="0"/>
      <w:marBottom w:val="0"/>
      <w:divBdr>
        <w:top w:val="none" w:sz="0" w:space="0" w:color="auto"/>
        <w:left w:val="none" w:sz="0" w:space="0" w:color="auto"/>
        <w:bottom w:val="none" w:sz="0" w:space="0" w:color="auto"/>
        <w:right w:val="none" w:sz="0" w:space="0" w:color="auto"/>
      </w:divBdr>
      <w:divsChild>
        <w:div w:id="874001595">
          <w:marLeft w:val="0"/>
          <w:marRight w:val="0"/>
          <w:marTop w:val="0"/>
          <w:marBottom w:val="0"/>
          <w:divBdr>
            <w:top w:val="none" w:sz="0" w:space="0" w:color="auto"/>
            <w:left w:val="none" w:sz="0" w:space="0" w:color="auto"/>
            <w:bottom w:val="none" w:sz="0" w:space="0" w:color="auto"/>
            <w:right w:val="none" w:sz="0" w:space="0" w:color="auto"/>
          </w:divBdr>
        </w:div>
      </w:divsChild>
    </w:div>
    <w:div w:id="2041782093">
      <w:bodyDiv w:val="1"/>
      <w:marLeft w:val="0"/>
      <w:marRight w:val="0"/>
      <w:marTop w:val="0"/>
      <w:marBottom w:val="0"/>
      <w:divBdr>
        <w:top w:val="none" w:sz="0" w:space="0" w:color="auto"/>
        <w:left w:val="none" w:sz="0" w:space="0" w:color="auto"/>
        <w:bottom w:val="none" w:sz="0" w:space="0" w:color="auto"/>
        <w:right w:val="none" w:sz="0" w:space="0" w:color="auto"/>
      </w:divBdr>
    </w:div>
    <w:div w:id="2042515353">
      <w:bodyDiv w:val="1"/>
      <w:marLeft w:val="0"/>
      <w:marRight w:val="0"/>
      <w:marTop w:val="0"/>
      <w:marBottom w:val="0"/>
      <w:divBdr>
        <w:top w:val="none" w:sz="0" w:space="0" w:color="auto"/>
        <w:left w:val="none" w:sz="0" w:space="0" w:color="auto"/>
        <w:bottom w:val="none" w:sz="0" w:space="0" w:color="auto"/>
        <w:right w:val="none" w:sz="0" w:space="0" w:color="auto"/>
      </w:divBdr>
    </w:div>
    <w:div w:id="2043551204">
      <w:marLeft w:val="0"/>
      <w:marRight w:val="150"/>
      <w:marTop w:val="0"/>
      <w:marBottom w:val="0"/>
      <w:divBdr>
        <w:top w:val="none" w:sz="0" w:space="0" w:color="auto"/>
        <w:left w:val="none" w:sz="0" w:space="0" w:color="auto"/>
        <w:bottom w:val="none" w:sz="0" w:space="0" w:color="auto"/>
        <w:right w:val="none" w:sz="0" w:space="0" w:color="auto"/>
      </w:divBdr>
      <w:divsChild>
        <w:div w:id="1027170928">
          <w:marLeft w:val="0"/>
          <w:marRight w:val="150"/>
          <w:marTop w:val="0"/>
          <w:marBottom w:val="0"/>
          <w:divBdr>
            <w:top w:val="none" w:sz="0" w:space="0" w:color="auto"/>
            <w:left w:val="none" w:sz="0" w:space="0" w:color="auto"/>
            <w:bottom w:val="none" w:sz="0" w:space="0" w:color="auto"/>
            <w:right w:val="none" w:sz="0" w:space="0" w:color="auto"/>
          </w:divBdr>
        </w:div>
      </w:divsChild>
    </w:div>
    <w:div w:id="2045666296">
      <w:bodyDiv w:val="1"/>
      <w:marLeft w:val="0"/>
      <w:marRight w:val="0"/>
      <w:marTop w:val="0"/>
      <w:marBottom w:val="0"/>
      <w:divBdr>
        <w:top w:val="none" w:sz="0" w:space="0" w:color="auto"/>
        <w:left w:val="none" w:sz="0" w:space="0" w:color="auto"/>
        <w:bottom w:val="none" w:sz="0" w:space="0" w:color="auto"/>
        <w:right w:val="none" w:sz="0" w:space="0" w:color="auto"/>
      </w:divBdr>
      <w:divsChild>
        <w:div w:id="1539968785">
          <w:marLeft w:val="0"/>
          <w:marRight w:val="0"/>
          <w:marTop w:val="0"/>
          <w:marBottom w:val="0"/>
          <w:divBdr>
            <w:top w:val="none" w:sz="0" w:space="0" w:color="auto"/>
            <w:left w:val="none" w:sz="0" w:space="0" w:color="auto"/>
            <w:bottom w:val="none" w:sz="0" w:space="0" w:color="auto"/>
            <w:right w:val="none" w:sz="0" w:space="0" w:color="auto"/>
          </w:divBdr>
          <w:divsChild>
            <w:div w:id="36205174">
              <w:marLeft w:val="0"/>
              <w:marRight w:val="0"/>
              <w:marTop w:val="0"/>
              <w:marBottom w:val="0"/>
              <w:divBdr>
                <w:top w:val="none" w:sz="0" w:space="0" w:color="auto"/>
                <w:left w:val="none" w:sz="0" w:space="0" w:color="auto"/>
                <w:bottom w:val="none" w:sz="0" w:space="0" w:color="auto"/>
                <w:right w:val="none" w:sz="0" w:space="0" w:color="auto"/>
              </w:divBdr>
            </w:div>
            <w:div w:id="962729879">
              <w:marLeft w:val="0"/>
              <w:marRight w:val="0"/>
              <w:marTop w:val="0"/>
              <w:marBottom w:val="0"/>
              <w:divBdr>
                <w:top w:val="none" w:sz="0" w:space="0" w:color="auto"/>
                <w:left w:val="none" w:sz="0" w:space="0" w:color="auto"/>
                <w:bottom w:val="none" w:sz="0" w:space="0" w:color="auto"/>
                <w:right w:val="none" w:sz="0" w:space="0" w:color="auto"/>
              </w:divBdr>
            </w:div>
            <w:div w:id="277222129">
              <w:marLeft w:val="0"/>
              <w:marRight w:val="0"/>
              <w:marTop w:val="0"/>
              <w:marBottom w:val="0"/>
              <w:divBdr>
                <w:top w:val="none" w:sz="0" w:space="0" w:color="auto"/>
                <w:left w:val="none" w:sz="0" w:space="0" w:color="auto"/>
                <w:bottom w:val="none" w:sz="0" w:space="0" w:color="auto"/>
                <w:right w:val="none" w:sz="0" w:space="0" w:color="auto"/>
              </w:divBdr>
            </w:div>
            <w:div w:id="570313285">
              <w:marLeft w:val="0"/>
              <w:marRight w:val="0"/>
              <w:marTop w:val="0"/>
              <w:marBottom w:val="0"/>
              <w:divBdr>
                <w:top w:val="none" w:sz="0" w:space="0" w:color="auto"/>
                <w:left w:val="none" w:sz="0" w:space="0" w:color="auto"/>
                <w:bottom w:val="none" w:sz="0" w:space="0" w:color="auto"/>
                <w:right w:val="none" w:sz="0" w:space="0" w:color="auto"/>
              </w:divBdr>
            </w:div>
            <w:div w:id="1777678707">
              <w:marLeft w:val="0"/>
              <w:marRight w:val="0"/>
              <w:marTop w:val="0"/>
              <w:marBottom w:val="0"/>
              <w:divBdr>
                <w:top w:val="none" w:sz="0" w:space="0" w:color="auto"/>
                <w:left w:val="none" w:sz="0" w:space="0" w:color="auto"/>
                <w:bottom w:val="none" w:sz="0" w:space="0" w:color="auto"/>
                <w:right w:val="none" w:sz="0" w:space="0" w:color="auto"/>
              </w:divBdr>
            </w:div>
            <w:div w:id="334185283">
              <w:marLeft w:val="0"/>
              <w:marRight w:val="0"/>
              <w:marTop w:val="0"/>
              <w:marBottom w:val="0"/>
              <w:divBdr>
                <w:top w:val="none" w:sz="0" w:space="0" w:color="auto"/>
                <w:left w:val="none" w:sz="0" w:space="0" w:color="auto"/>
                <w:bottom w:val="none" w:sz="0" w:space="0" w:color="auto"/>
                <w:right w:val="none" w:sz="0" w:space="0" w:color="auto"/>
              </w:divBdr>
            </w:div>
            <w:div w:id="2092579093">
              <w:marLeft w:val="0"/>
              <w:marRight w:val="0"/>
              <w:marTop w:val="0"/>
              <w:marBottom w:val="0"/>
              <w:divBdr>
                <w:top w:val="none" w:sz="0" w:space="0" w:color="auto"/>
                <w:left w:val="none" w:sz="0" w:space="0" w:color="auto"/>
                <w:bottom w:val="none" w:sz="0" w:space="0" w:color="auto"/>
                <w:right w:val="none" w:sz="0" w:space="0" w:color="auto"/>
              </w:divBdr>
            </w:div>
            <w:div w:id="1994869938">
              <w:marLeft w:val="0"/>
              <w:marRight w:val="0"/>
              <w:marTop w:val="0"/>
              <w:marBottom w:val="0"/>
              <w:divBdr>
                <w:top w:val="none" w:sz="0" w:space="0" w:color="auto"/>
                <w:left w:val="none" w:sz="0" w:space="0" w:color="auto"/>
                <w:bottom w:val="none" w:sz="0" w:space="0" w:color="auto"/>
                <w:right w:val="none" w:sz="0" w:space="0" w:color="auto"/>
              </w:divBdr>
            </w:div>
            <w:div w:id="1485702852">
              <w:marLeft w:val="0"/>
              <w:marRight w:val="0"/>
              <w:marTop w:val="0"/>
              <w:marBottom w:val="0"/>
              <w:divBdr>
                <w:top w:val="none" w:sz="0" w:space="0" w:color="auto"/>
                <w:left w:val="none" w:sz="0" w:space="0" w:color="auto"/>
                <w:bottom w:val="none" w:sz="0" w:space="0" w:color="auto"/>
                <w:right w:val="none" w:sz="0" w:space="0" w:color="auto"/>
              </w:divBdr>
            </w:div>
            <w:div w:id="222371937">
              <w:marLeft w:val="0"/>
              <w:marRight w:val="0"/>
              <w:marTop w:val="0"/>
              <w:marBottom w:val="0"/>
              <w:divBdr>
                <w:top w:val="none" w:sz="0" w:space="0" w:color="auto"/>
                <w:left w:val="none" w:sz="0" w:space="0" w:color="auto"/>
                <w:bottom w:val="none" w:sz="0" w:space="0" w:color="auto"/>
                <w:right w:val="none" w:sz="0" w:space="0" w:color="auto"/>
              </w:divBdr>
            </w:div>
            <w:div w:id="682632631">
              <w:marLeft w:val="0"/>
              <w:marRight w:val="0"/>
              <w:marTop w:val="0"/>
              <w:marBottom w:val="0"/>
              <w:divBdr>
                <w:top w:val="none" w:sz="0" w:space="0" w:color="auto"/>
                <w:left w:val="none" w:sz="0" w:space="0" w:color="auto"/>
                <w:bottom w:val="none" w:sz="0" w:space="0" w:color="auto"/>
                <w:right w:val="none" w:sz="0" w:space="0" w:color="auto"/>
              </w:divBdr>
            </w:div>
            <w:div w:id="1979260066">
              <w:marLeft w:val="0"/>
              <w:marRight w:val="0"/>
              <w:marTop w:val="0"/>
              <w:marBottom w:val="0"/>
              <w:divBdr>
                <w:top w:val="none" w:sz="0" w:space="0" w:color="auto"/>
                <w:left w:val="none" w:sz="0" w:space="0" w:color="auto"/>
                <w:bottom w:val="none" w:sz="0" w:space="0" w:color="auto"/>
                <w:right w:val="none" w:sz="0" w:space="0" w:color="auto"/>
              </w:divBdr>
            </w:div>
            <w:div w:id="56050524">
              <w:marLeft w:val="0"/>
              <w:marRight w:val="0"/>
              <w:marTop w:val="0"/>
              <w:marBottom w:val="0"/>
              <w:divBdr>
                <w:top w:val="none" w:sz="0" w:space="0" w:color="auto"/>
                <w:left w:val="none" w:sz="0" w:space="0" w:color="auto"/>
                <w:bottom w:val="none" w:sz="0" w:space="0" w:color="auto"/>
                <w:right w:val="none" w:sz="0" w:space="0" w:color="auto"/>
              </w:divBdr>
            </w:div>
            <w:div w:id="906115186">
              <w:marLeft w:val="0"/>
              <w:marRight w:val="0"/>
              <w:marTop w:val="0"/>
              <w:marBottom w:val="0"/>
              <w:divBdr>
                <w:top w:val="none" w:sz="0" w:space="0" w:color="auto"/>
                <w:left w:val="none" w:sz="0" w:space="0" w:color="auto"/>
                <w:bottom w:val="none" w:sz="0" w:space="0" w:color="auto"/>
                <w:right w:val="none" w:sz="0" w:space="0" w:color="auto"/>
              </w:divBdr>
            </w:div>
            <w:div w:id="303386931">
              <w:marLeft w:val="0"/>
              <w:marRight w:val="0"/>
              <w:marTop w:val="0"/>
              <w:marBottom w:val="0"/>
              <w:divBdr>
                <w:top w:val="none" w:sz="0" w:space="0" w:color="auto"/>
                <w:left w:val="none" w:sz="0" w:space="0" w:color="auto"/>
                <w:bottom w:val="none" w:sz="0" w:space="0" w:color="auto"/>
                <w:right w:val="none" w:sz="0" w:space="0" w:color="auto"/>
              </w:divBdr>
            </w:div>
            <w:div w:id="695811207">
              <w:marLeft w:val="0"/>
              <w:marRight w:val="0"/>
              <w:marTop w:val="0"/>
              <w:marBottom w:val="0"/>
              <w:divBdr>
                <w:top w:val="none" w:sz="0" w:space="0" w:color="auto"/>
                <w:left w:val="none" w:sz="0" w:space="0" w:color="auto"/>
                <w:bottom w:val="none" w:sz="0" w:space="0" w:color="auto"/>
                <w:right w:val="none" w:sz="0" w:space="0" w:color="auto"/>
              </w:divBdr>
            </w:div>
            <w:div w:id="788203070">
              <w:marLeft w:val="0"/>
              <w:marRight w:val="0"/>
              <w:marTop w:val="0"/>
              <w:marBottom w:val="0"/>
              <w:divBdr>
                <w:top w:val="none" w:sz="0" w:space="0" w:color="auto"/>
                <w:left w:val="none" w:sz="0" w:space="0" w:color="auto"/>
                <w:bottom w:val="none" w:sz="0" w:space="0" w:color="auto"/>
                <w:right w:val="none" w:sz="0" w:space="0" w:color="auto"/>
              </w:divBdr>
            </w:div>
            <w:div w:id="311761012">
              <w:marLeft w:val="0"/>
              <w:marRight w:val="0"/>
              <w:marTop w:val="0"/>
              <w:marBottom w:val="0"/>
              <w:divBdr>
                <w:top w:val="none" w:sz="0" w:space="0" w:color="auto"/>
                <w:left w:val="none" w:sz="0" w:space="0" w:color="auto"/>
                <w:bottom w:val="none" w:sz="0" w:space="0" w:color="auto"/>
                <w:right w:val="none" w:sz="0" w:space="0" w:color="auto"/>
              </w:divBdr>
            </w:div>
            <w:div w:id="801457017">
              <w:marLeft w:val="0"/>
              <w:marRight w:val="0"/>
              <w:marTop w:val="0"/>
              <w:marBottom w:val="0"/>
              <w:divBdr>
                <w:top w:val="none" w:sz="0" w:space="0" w:color="auto"/>
                <w:left w:val="none" w:sz="0" w:space="0" w:color="auto"/>
                <w:bottom w:val="none" w:sz="0" w:space="0" w:color="auto"/>
                <w:right w:val="none" w:sz="0" w:space="0" w:color="auto"/>
              </w:divBdr>
            </w:div>
            <w:div w:id="66072278">
              <w:marLeft w:val="0"/>
              <w:marRight w:val="0"/>
              <w:marTop w:val="0"/>
              <w:marBottom w:val="0"/>
              <w:divBdr>
                <w:top w:val="none" w:sz="0" w:space="0" w:color="auto"/>
                <w:left w:val="none" w:sz="0" w:space="0" w:color="auto"/>
                <w:bottom w:val="none" w:sz="0" w:space="0" w:color="auto"/>
                <w:right w:val="none" w:sz="0" w:space="0" w:color="auto"/>
              </w:divBdr>
            </w:div>
            <w:div w:id="1564633599">
              <w:marLeft w:val="0"/>
              <w:marRight w:val="0"/>
              <w:marTop w:val="0"/>
              <w:marBottom w:val="0"/>
              <w:divBdr>
                <w:top w:val="none" w:sz="0" w:space="0" w:color="auto"/>
                <w:left w:val="none" w:sz="0" w:space="0" w:color="auto"/>
                <w:bottom w:val="none" w:sz="0" w:space="0" w:color="auto"/>
                <w:right w:val="none" w:sz="0" w:space="0" w:color="auto"/>
              </w:divBdr>
            </w:div>
            <w:div w:id="49622976">
              <w:marLeft w:val="0"/>
              <w:marRight w:val="0"/>
              <w:marTop w:val="0"/>
              <w:marBottom w:val="0"/>
              <w:divBdr>
                <w:top w:val="none" w:sz="0" w:space="0" w:color="auto"/>
                <w:left w:val="none" w:sz="0" w:space="0" w:color="auto"/>
                <w:bottom w:val="none" w:sz="0" w:space="0" w:color="auto"/>
                <w:right w:val="none" w:sz="0" w:space="0" w:color="auto"/>
              </w:divBdr>
            </w:div>
            <w:div w:id="1882014504">
              <w:marLeft w:val="0"/>
              <w:marRight w:val="0"/>
              <w:marTop w:val="0"/>
              <w:marBottom w:val="0"/>
              <w:divBdr>
                <w:top w:val="none" w:sz="0" w:space="0" w:color="auto"/>
                <w:left w:val="none" w:sz="0" w:space="0" w:color="auto"/>
                <w:bottom w:val="none" w:sz="0" w:space="0" w:color="auto"/>
                <w:right w:val="none" w:sz="0" w:space="0" w:color="auto"/>
              </w:divBdr>
            </w:div>
            <w:div w:id="1777946020">
              <w:marLeft w:val="0"/>
              <w:marRight w:val="0"/>
              <w:marTop w:val="0"/>
              <w:marBottom w:val="0"/>
              <w:divBdr>
                <w:top w:val="none" w:sz="0" w:space="0" w:color="auto"/>
                <w:left w:val="none" w:sz="0" w:space="0" w:color="auto"/>
                <w:bottom w:val="none" w:sz="0" w:space="0" w:color="auto"/>
                <w:right w:val="none" w:sz="0" w:space="0" w:color="auto"/>
              </w:divBdr>
            </w:div>
            <w:div w:id="662590617">
              <w:marLeft w:val="0"/>
              <w:marRight w:val="0"/>
              <w:marTop w:val="0"/>
              <w:marBottom w:val="0"/>
              <w:divBdr>
                <w:top w:val="none" w:sz="0" w:space="0" w:color="auto"/>
                <w:left w:val="none" w:sz="0" w:space="0" w:color="auto"/>
                <w:bottom w:val="none" w:sz="0" w:space="0" w:color="auto"/>
                <w:right w:val="none" w:sz="0" w:space="0" w:color="auto"/>
              </w:divBdr>
            </w:div>
            <w:div w:id="539050064">
              <w:marLeft w:val="0"/>
              <w:marRight w:val="0"/>
              <w:marTop w:val="0"/>
              <w:marBottom w:val="0"/>
              <w:divBdr>
                <w:top w:val="none" w:sz="0" w:space="0" w:color="auto"/>
                <w:left w:val="none" w:sz="0" w:space="0" w:color="auto"/>
                <w:bottom w:val="none" w:sz="0" w:space="0" w:color="auto"/>
                <w:right w:val="none" w:sz="0" w:space="0" w:color="auto"/>
              </w:divBdr>
            </w:div>
            <w:div w:id="1190682908">
              <w:marLeft w:val="0"/>
              <w:marRight w:val="0"/>
              <w:marTop w:val="0"/>
              <w:marBottom w:val="0"/>
              <w:divBdr>
                <w:top w:val="none" w:sz="0" w:space="0" w:color="auto"/>
                <w:left w:val="none" w:sz="0" w:space="0" w:color="auto"/>
                <w:bottom w:val="none" w:sz="0" w:space="0" w:color="auto"/>
                <w:right w:val="none" w:sz="0" w:space="0" w:color="auto"/>
              </w:divBdr>
            </w:div>
            <w:div w:id="131796223">
              <w:marLeft w:val="0"/>
              <w:marRight w:val="0"/>
              <w:marTop w:val="0"/>
              <w:marBottom w:val="0"/>
              <w:divBdr>
                <w:top w:val="none" w:sz="0" w:space="0" w:color="auto"/>
                <w:left w:val="none" w:sz="0" w:space="0" w:color="auto"/>
                <w:bottom w:val="none" w:sz="0" w:space="0" w:color="auto"/>
                <w:right w:val="none" w:sz="0" w:space="0" w:color="auto"/>
              </w:divBdr>
            </w:div>
            <w:div w:id="350685097">
              <w:marLeft w:val="0"/>
              <w:marRight w:val="0"/>
              <w:marTop w:val="0"/>
              <w:marBottom w:val="0"/>
              <w:divBdr>
                <w:top w:val="none" w:sz="0" w:space="0" w:color="auto"/>
                <w:left w:val="none" w:sz="0" w:space="0" w:color="auto"/>
                <w:bottom w:val="none" w:sz="0" w:space="0" w:color="auto"/>
                <w:right w:val="none" w:sz="0" w:space="0" w:color="auto"/>
              </w:divBdr>
            </w:div>
            <w:div w:id="1440372923">
              <w:marLeft w:val="0"/>
              <w:marRight w:val="0"/>
              <w:marTop w:val="0"/>
              <w:marBottom w:val="0"/>
              <w:divBdr>
                <w:top w:val="none" w:sz="0" w:space="0" w:color="auto"/>
                <w:left w:val="none" w:sz="0" w:space="0" w:color="auto"/>
                <w:bottom w:val="none" w:sz="0" w:space="0" w:color="auto"/>
                <w:right w:val="none" w:sz="0" w:space="0" w:color="auto"/>
              </w:divBdr>
            </w:div>
            <w:div w:id="358552836">
              <w:marLeft w:val="0"/>
              <w:marRight w:val="0"/>
              <w:marTop w:val="0"/>
              <w:marBottom w:val="0"/>
              <w:divBdr>
                <w:top w:val="none" w:sz="0" w:space="0" w:color="auto"/>
                <w:left w:val="none" w:sz="0" w:space="0" w:color="auto"/>
                <w:bottom w:val="none" w:sz="0" w:space="0" w:color="auto"/>
                <w:right w:val="none" w:sz="0" w:space="0" w:color="auto"/>
              </w:divBdr>
            </w:div>
            <w:div w:id="1356230292">
              <w:marLeft w:val="0"/>
              <w:marRight w:val="0"/>
              <w:marTop w:val="0"/>
              <w:marBottom w:val="0"/>
              <w:divBdr>
                <w:top w:val="none" w:sz="0" w:space="0" w:color="auto"/>
                <w:left w:val="none" w:sz="0" w:space="0" w:color="auto"/>
                <w:bottom w:val="none" w:sz="0" w:space="0" w:color="auto"/>
                <w:right w:val="none" w:sz="0" w:space="0" w:color="auto"/>
              </w:divBdr>
            </w:div>
            <w:div w:id="1496218314">
              <w:marLeft w:val="0"/>
              <w:marRight w:val="0"/>
              <w:marTop w:val="0"/>
              <w:marBottom w:val="0"/>
              <w:divBdr>
                <w:top w:val="none" w:sz="0" w:space="0" w:color="auto"/>
                <w:left w:val="none" w:sz="0" w:space="0" w:color="auto"/>
                <w:bottom w:val="none" w:sz="0" w:space="0" w:color="auto"/>
                <w:right w:val="none" w:sz="0" w:space="0" w:color="auto"/>
              </w:divBdr>
            </w:div>
            <w:div w:id="1270773241">
              <w:marLeft w:val="0"/>
              <w:marRight w:val="0"/>
              <w:marTop w:val="0"/>
              <w:marBottom w:val="0"/>
              <w:divBdr>
                <w:top w:val="none" w:sz="0" w:space="0" w:color="auto"/>
                <w:left w:val="none" w:sz="0" w:space="0" w:color="auto"/>
                <w:bottom w:val="none" w:sz="0" w:space="0" w:color="auto"/>
                <w:right w:val="none" w:sz="0" w:space="0" w:color="auto"/>
              </w:divBdr>
            </w:div>
            <w:div w:id="1784838499">
              <w:marLeft w:val="0"/>
              <w:marRight w:val="0"/>
              <w:marTop w:val="0"/>
              <w:marBottom w:val="0"/>
              <w:divBdr>
                <w:top w:val="none" w:sz="0" w:space="0" w:color="auto"/>
                <w:left w:val="none" w:sz="0" w:space="0" w:color="auto"/>
                <w:bottom w:val="none" w:sz="0" w:space="0" w:color="auto"/>
                <w:right w:val="none" w:sz="0" w:space="0" w:color="auto"/>
              </w:divBdr>
            </w:div>
            <w:div w:id="2140875942">
              <w:marLeft w:val="0"/>
              <w:marRight w:val="0"/>
              <w:marTop w:val="0"/>
              <w:marBottom w:val="0"/>
              <w:divBdr>
                <w:top w:val="none" w:sz="0" w:space="0" w:color="auto"/>
                <w:left w:val="none" w:sz="0" w:space="0" w:color="auto"/>
                <w:bottom w:val="none" w:sz="0" w:space="0" w:color="auto"/>
                <w:right w:val="none" w:sz="0" w:space="0" w:color="auto"/>
              </w:divBdr>
            </w:div>
            <w:div w:id="1932004322">
              <w:marLeft w:val="0"/>
              <w:marRight w:val="0"/>
              <w:marTop w:val="0"/>
              <w:marBottom w:val="0"/>
              <w:divBdr>
                <w:top w:val="none" w:sz="0" w:space="0" w:color="auto"/>
                <w:left w:val="none" w:sz="0" w:space="0" w:color="auto"/>
                <w:bottom w:val="none" w:sz="0" w:space="0" w:color="auto"/>
                <w:right w:val="none" w:sz="0" w:space="0" w:color="auto"/>
              </w:divBdr>
            </w:div>
            <w:div w:id="1442841573">
              <w:marLeft w:val="0"/>
              <w:marRight w:val="0"/>
              <w:marTop w:val="0"/>
              <w:marBottom w:val="0"/>
              <w:divBdr>
                <w:top w:val="none" w:sz="0" w:space="0" w:color="auto"/>
                <w:left w:val="none" w:sz="0" w:space="0" w:color="auto"/>
                <w:bottom w:val="none" w:sz="0" w:space="0" w:color="auto"/>
                <w:right w:val="none" w:sz="0" w:space="0" w:color="auto"/>
              </w:divBdr>
            </w:div>
            <w:div w:id="1920140539">
              <w:marLeft w:val="0"/>
              <w:marRight w:val="0"/>
              <w:marTop w:val="0"/>
              <w:marBottom w:val="0"/>
              <w:divBdr>
                <w:top w:val="none" w:sz="0" w:space="0" w:color="auto"/>
                <w:left w:val="none" w:sz="0" w:space="0" w:color="auto"/>
                <w:bottom w:val="none" w:sz="0" w:space="0" w:color="auto"/>
                <w:right w:val="none" w:sz="0" w:space="0" w:color="auto"/>
              </w:divBdr>
            </w:div>
            <w:div w:id="645931846">
              <w:marLeft w:val="0"/>
              <w:marRight w:val="0"/>
              <w:marTop w:val="0"/>
              <w:marBottom w:val="0"/>
              <w:divBdr>
                <w:top w:val="none" w:sz="0" w:space="0" w:color="auto"/>
                <w:left w:val="none" w:sz="0" w:space="0" w:color="auto"/>
                <w:bottom w:val="none" w:sz="0" w:space="0" w:color="auto"/>
                <w:right w:val="none" w:sz="0" w:space="0" w:color="auto"/>
              </w:divBdr>
            </w:div>
            <w:div w:id="1234699675">
              <w:marLeft w:val="0"/>
              <w:marRight w:val="0"/>
              <w:marTop w:val="0"/>
              <w:marBottom w:val="0"/>
              <w:divBdr>
                <w:top w:val="none" w:sz="0" w:space="0" w:color="auto"/>
                <w:left w:val="none" w:sz="0" w:space="0" w:color="auto"/>
                <w:bottom w:val="none" w:sz="0" w:space="0" w:color="auto"/>
                <w:right w:val="none" w:sz="0" w:space="0" w:color="auto"/>
              </w:divBdr>
            </w:div>
            <w:div w:id="46997763">
              <w:marLeft w:val="0"/>
              <w:marRight w:val="0"/>
              <w:marTop w:val="0"/>
              <w:marBottom w:val="0"/>
              <w:divBdr>
                <w:top w:val="none" w:sz="0" w:space="0" w:color="auto"/>
                <w:left w:val="none" w:sz="0" w:space="0" w:color="auto"/>
                <w:bottom w:val="none" w:sz="0" w:space="0" w:color="auto"/>
                <w:right w:val="none" w:sz="0" w:space="0" w:color="auto"/>
              </w:divBdr>
            </w:div>
            <w:div w:id="168493467">
              <w:marLeft w:val="0"/>
              <w:marRight w:val="0"/>
              <w:marTop w:val="0"/>
              <w:marBottom w:val="0"/>
              <w:divBdr>
                <w:top w:val="none" w:sz="0" w:space="0" w:color="auto"/>
                <w:left w:val="none" w:sz="0" w:space="0" w:color="auto"/>
                <w:bottom w:val="none" w:sz="0" w:space="0" w:color="auto"/>
                <w:right w:val="none" w:sz="0" w:space="0" w:color="auto"/>
              </w:divBdr>
            </w:div>
            <w:div w:id="576280998">
              <w:marLeft w:val="0"/>
              <w:marRight w:val="0"/>
              <w:marTop w:val="0"/>
              <w:marBottom w:val="0"/>
              <w:divBdr>
                <w:top w:val="none" w:sz="0" w:space="0" w:color="auto"/>
                <w:left w:val="none" w:sz="0" w:space="0" w:color="auto"/>
                <w:bottom w:val="none" w:sz="0" w:space="0" w:color="auto"/>
                <w:right w:val="none" w:sz="0" w:space="0" w:color="auto"/>
              </w:divBdr>
            </w:div>
            <w:div w:id="1316488673">
              <w:marLeft w:val="0"/>
              <w:marRight w:val="0"/>
              <w:marTop w:val="0"/>
              <w:marBottom w:val="0"/>
              <w:divBdr>
                <w:top w:val="none" w:sz="0" w:space="0" w:color="auto"/>
                <w:left w:val="none" w:sz="0" w:space="0" w:color="auto"/>
                <w:bottom w:val="none" w:sz="0" w:space="0" w:color="auto"/>
                <w:right w:val="none" w:sz="0" w:space="0" w:color="auto"/>
              </w:divBdr>
            </w:div>
            <w:div w:id="163281002">
              <w:marLeft w:val="0"/>
              <w:marRight w:val="0"/>
              <w:marTop w:val="0"/>
              <w:marBottom w:val="0"/>
              <w:divBdr>
                <w:top w:val="none" w:sz="0" w:space="0" w:color="auto"/>
                <w:left w:val="none" w:sz="0" w:space="0" w:color="auto"/>
                <w:bottom w:val="none" w:sz="0" w:space="0" w:color="auto"/>
                <w:right w:val="none" w:sz="0" w:space="0" w:color="auto"/>
              </w:divBdr>
            </w:div>
            <w:div w:id="778986728">
              <w:marLeft w:val="0"/>
              <w:marRight w:val="0"/>
              <w:marTop w:val="0"/>
              <w:marBottom w:val="0"/>
              <w:divBdr>
                <w:top w:val="none" w:sz="0" w:space="0" w:color="auto"/>
                <w:left w:val="none" w:sz="0" w:space="0" w:color="auto"/>
                <w:bottom w:val="none" w:sz="0" w:space="0" w:color="auto"/>
                <w:right w:val="none" w:sz="0" w:space="0" w:color="auto"/>
              </w:divBdr>
            </w:div>
            <w:div w:id="1264024426">
              <w:marLeft w:val="0"/>
              <w:marRight w:val="0"/>
              <w:marTop w:val="0"/>
              <w:marBottom w:val="0"/>
              <w:divBdr>
                <w:top w:val="none" w:sz="0" w:space="0" w:color="auto"/>
                <w:left w:val="none" w:sz="0" w:space="0" w:color="auto"/>
                <w:bottom w:val="none" w:sz="0" w:space="0" w:color="auto"/>
                <w:right w:val="none" w:sz="0" w:space="0" w:color="auto"/>
              </w:divBdr>
            </w:div>
            <w:div w:id="877426244">
              <w:marLeft w:val="0"/>
              <w:marRight w:val="0"/>
              <w:marTop w:val="0"/>
              <w:marBottom w:val="0"/>
              <w:divBdr>
                <w:top w:val="none" w:sz="0" w:space="0" w:color="auto"/>
                <w:left w:val="none" w:sz="0" w:space="0" w:color="auto"/>
                <w:bottom w:val="none" w:sz="0" w:space="0" w:color="auto"/>
                <w:right w:val="none" w:sz="0" w:space="0" w:color="auto"/>
              </w:divBdr>
            </w:div>
            <w:div w:id="1285499005">
              <w:marLeft w:val="0"/>
              <w:marRight w:val="0"/>
              <w:marTop w:val="0"/>
              <w:marBottom w:val="0"/>
              <w:divBdr>
                <w:top w:val="none" w:sz="0" w:space="0" w:color="auto"/>
                <w:left w:val="none" w:sz="0" w:space="0" w:color="auto"/>
                <w:bottom w:val="none" w:sz="0" w:space="0" w:color="auto"/>
                <w:right w:val="none" w:sz="0" w:space="0" w:color="auto"/>
              </w:divBdr>
            </w:div>
            <w:div w:id="1693603537">
              <w:marLeft w:val="0"/>
              <w:marRight w:val="0"/>
              <w:marTop w:val="0"/>
              <w:marBottom w:val="0"/>
              <w:divBdr>
                <w:top w:val="none" w:sz="0" w:space="0" w:color="auto"/>
                <w:left w:val="none" w:sz="0" w:space="0" w:color="auto"/>
                <w:bottom w:val="none" w:sz="0" w:space="0" w:color="auto"/>
                <w:right w:val="none" w:sz="0" w:space="0" w:color="auto"/>
              </w:divBdr>
            </w:div>
            <w:div w:id="1025138113">
              <w:marLeft w:val="0"/>
              <w:marRight w:val="0"/>
              <w:marTop w:val="0"/>
              <w:marBottom w:val="0"/>
              <w:divBdr>
                <w:top w:val="none" w:sz="0" w:space="0" w:color="auto"/>
                <w:left w:val="none" w:sz="0" w:space="0" w:color="auto"/>
                <w:bottom w:val="none" w:sz="0" w:space="0" w:color="auto"/>
                <w:right w:val="none" w:sz="0" w:space="0" w:color="auto"/>
              </w:divBdr>
            </w:div>
            <w:div w:id="1356804484">
              <w:marLeft w:val="0"/>
              <w:marRight w:val="0"/>
              <w:marTop w:val="0"/>
              <w:marBottom w:val="0"/>
              <w:divBdr>
                <w:top w:val="none" w:sz="0" w:space="0" w:color="auto"/>
                <w:left w:val="none" w:sz="0" w:space="0" w:color="auto"/>
                <w:bottom w:val="none" w:sz="0" w:space="0" w:color="auto"/>
                <w:right w:val="none" w:sz="0" w:space="0" w:color="auto"/>
              </w:divBdr>
            </w:div>
            <w:div w:id="868110530">
              <w:marLeft w:val="0"/>
              <w:marRight w:val="0"/>
              <w:marTop w:val="0"/>
              <w:marBottom w:val="0"/>
              <w:divBdr>
                <w:top w:val="none" w:sz="0" w:space="0" w:color="auto"/>
                <w:left w:val="none" w:sz="0" w:space="0" w:color="auto"/>
                <w:bottom w:val="none" w:sz="0" w:space="0" w:color="auto"/>
                <w:right w:val="none" w:sz="0" w:space="0" w:color="auto"/>
              </w:divBdr>
            </w:div>
            <w:div w:id="1222131275">
              <w:marLeft w:val="0"/>
              <w:marRight w:val="0"/>
              <w:marTop w:val="0"/>
              <w:marBottom w:val="0"/>
              <w:divBdr>
                <w:top w:val="none" w:sz="0" w:space="0" w:color="auto"/>
                <w:left w:val="none" w:sz="0" w:space="0" w:color="auto"/>
                <w:bottom w:val="none" w:sz="0" w:space="0" w:color="auto"/>
                <w:right w:val="none" w:sz="0" w:space="0" w:color="auto"/>
              </w:divBdr>
            </w:div>
            <w:div w:id="1411389022">
              <w:marLeft w:val="0"/>
              <w:marRight w:val="0"/>
              <w:marTop w:val="0"/>
              <w:marBottom w:val="0"/>
              <w:divBdr>
                <w:top w:val="none" w:sz="0" w:space="0" w:color="auto"/>
                <w:left w:val="none" w:sz="0" w:space="0" w:color="auto"/>
                <w:bottom w:val="none" w:sz="0" w:space="0" w:color="auto"/>
                <w:right w:val="none" w:sz="0" w:space="0" w:color="auto"/>
              </w:divBdr>
            </w:div>
            <w:div w:id="479078723">
              <w:marLeft w:val="0"/>
              <w:marRight w:val="0"/>
              <w:marTop w:val="0"/>
              <w:marBottom w:val="0"/>
              <w:divBdr>
                <w:top w:val="none" w:sz="0" w:space="0" w:color="auto"/>
                <w:left w:val="none" w:sz="0" w:space="0" w:color="auto"/>
                <w:bottom w:val="none" w:sz="0" w:space="0" w:color="auto"/>
                <w:right w:val="none" w:sz="0" w:space="0" w:color="auto"/>
              </w:divBdr>
            </w:div>
            <w:div w:id="2138722797">
              <w:marLeft w:val="0"/>
              <w:marRight w:val="0"/>
              <w:marTop w:val="0"/>
              <w:marBottom w:val="0"/>
              <w:divBdr>
                <w:top w:val="none" w:sz="0" w:space="0" w:color="auto"/>
                <w:left w:val="none" w:sz="0" w:space="0" w:color="auto"/>
                <w:bottom w:val="none" w:sz="0" w:space="0" w:color="auto"/>
                <w:right w:val="none" w:sz="0" w:space="0" w:color="auto"/>
              </w:divBdr>
            </w:div>
            <w:div w:id="538126264">
              <w:marLeft w:val="0"/>
              <w:marRight w:val="0"/>
              <w:marTop w:val="0"/>
              <w:marBottom w:val="0"/>
              <w:divBdr>
                <w:top w:val="none" w:sz="0" w:space="0" w:color="auto"/>
                <w:left w:val="none" w:sz="0" w:space="0" w:color="auto"/>
                <w:bottom w:val="none" w:sz="0" w:space="0" w:color="auto"/>
                <w:right w:val="none" w:sz="0" w:space="0" w:color="auto"/>
              </w:divBdr>
            </w:div>
            <w:div w:id="1440835349">
              <w:marLeft w:val="0"/>
              <w:marRight w:val="0"/>
              <w:marTop w:val="0"/>
              <w:marBottom w:val="0"/>
              <w:divBdr>
                <w:top w:val="none" w:sz="0" w:space="0" w:color="auto"/>
                <w:left w:val="none" w:sz="0" w:space="0" w:color="auto"/>
                <w:bottom w:val="none" w:sz="0" w:space="0" w:color="auto"/>
                <w:right w:val="none" w:sz="0" w:space="0" w:color="auto"/>
              </w:divBdr>
            </w:div>
            <w:div w:id="747993761">
              <w:marLeft w:val="0"/>
              <w:marRight w:val="0"/>
              <w:marTop w:val="0"/>
              <w:marBottom w:val="0"/>
              <w:divBdr>
                <w:top w:val="none" w:sz="0" w:space="0" w:color="auto"/>
                <w:left w:val="none" w:sz="0" w:space="0" w:color="auto"/>
                <w:bottom w:val="none" w:sz="0" w:space="0" w:color="auto"/>
                <w:right w:val="none" w:sz="0" w:space="0" w:color="auto"/>
              </w:divBdr>
            </w:div>
            <w:div w:id="364137187">
              <w:marLeft w:val="0"/>
              <w:marRight w:val="0"/>
              <w:marTop w:val="0"/>
              <w:marBottom w:val="0"/>
              <w:divBdr>
                <w:top w:val="none" w:sz="0" w:space="0" w:color="auto"/>
                <w:left w:val="none" w:sz="0" w:space="0" w:color="auto"/>
                <w:bottom w:val="none" w:sz="0" w:space="0" w:color="auto"/>
                <w:right w:val="none" w:sz="0" w:space="0" w:color="auto"/>
              </w:divBdr>
            </w:div>
            <w:div w:id="69206587">
              <w:marLeft w:val="0"/>
              <w:marRight w:val="0"/>
              <w:marTop w:val="0"/>
              <w:marBottom w:val="0"/>
              <w:divBdr>
                <w:top w:val="none" w:sz="0" w:space="0" w:color="auto"/>
                <w:left w:val="none" w:sz="0" w:space="0" w:color="auto"/>
                <w:bottom w:val="none" w:sz="0" w:space="0" w:color="auto"/>
                <w:right w:val="none" w:sz="0" w:space="0" w:color="auto"/>
              </w:divBdr>
            </w:div>
            <w:div w:id="581181616">
              <w:marLeft w:val="0"/>
              <w:marRight w:val="0"/>
              <w:marTop w:val="0"/>
              <w:marBottom w:val="0"/>
              <w:divBdr>
                <w:top w:val="none" w:sz="0" w:space="0" w:color="auto"/>
                <w:left w:val="none" w:sz="0" w:space="0" w:color="auto"/>
                <w:bottom w:val="none" w:sz="0" w:space="0" w:color="auto"/>
                <w:right w:val="none" w:sz="0" w:space="0" w:color="auto"/>
              </w:divBdr>
            </w:div>
            <w:div w:id="236328227">
              <w:marLeft w:val="0"/>
              <w:marRight w:val="0"/>
              <w:marTop w:val="0"/>
              <w:marBottom w:val="0"/>
              <w:divBdr>
                <w:top w:val="none" w:sz="0" w:space="0" w:color="auto"/>
                <w:left w:val="none" w:sz="0" w:space="0" w:color="auto"/>
                <w:bottom w:val="none" w:sz="0" w:space="0" w:color="auto"/>
                <w:right w:val="none" w:sz="0" w:space="0" w:color="auto"/>
              </w:divBdr>
            </w:div>
            <w:div w:id="1732341963">
              <w:marLeft w:val="0"/>
              <w:marRight w:val="0"/>
              <w:marTop w:val="0"/>
              <w:marBottom w:val="0"/>
              <w:divBdr>
                <w:top w:val="none" w:sz="0" w:space="0" w:color="auto"/>
                <w:left w:val="none" w:sz="0" w:space="0" w:color="auto"/>
                <w:bottom w:val="none" w:sz="0" w:space="0" w:color="auto"/>
                <w:right w:val="none" w:sz="0" w:space="0" w:color="auto"/>
              </w:divBdr>
            </w:div>
            <w:div w:id="1356273808">
              <w:marLeft w:val="0"/>
              <w:marRight w:val="0"/>
              <w:marTop w:val="0"/>
              <w:marBottom w:val="0"/>
              <w:divBdr>
                <w:top w:val="none" w:sz="0" w:space="0" w:color="auto"/>
                <w:left w:val="none" w:sz="0" w:space="0" w:color="auto"/>
                <w:bottom w:val="none" w:sz="0" w:space="0" w:color="auto"/>
                <w:right w:val="none" w:sz="0" w:space="0" w:color="auto"/>
              </w:divBdr>
            </w:div>
            <w:div w:id="1412115025">
              <w:marLeft w:val="0"/>
              <w:marRight w:val="0"/>
              <w:marTop w:val="0"/>
              <w:marBottom w:val="0"/>
              <w:divBdr>
                <w:top w:val="none" w:sz="0" w:space="0" w:color="auto"/>
                <w:left w:val="none" w:sz="0" w:space="0" w:color="auto"/>
                <w:bottom w:val="none" w:sz="0" w:space="0" w:color="auto"/>
                <w:right w:val="none" w:sz="0" w:space="0" w:color="auto"/>
              </w:divBdr>
            </w:div>
            <w:div w:id="1914125927">
              <w:marLeft w:val="0"/>
              <w:marRight w:val="0"/>
              <w:marTop w:val="0"/>
              <w:marBottom w:val="0"/>
              <w:divBdr>
                <w:top w:val="none" w:sz="0" w:space="0" w:color="auto"/>
                <w:left w:val="none" w:sz="0" w:space="0" w:color="auto"/>
                <w:bottom w:val="none" w:sz="0" w:space="0" w:color="auto"/>
                <w:right w:val="none" w:sz="0" w:space="0" w:color="auto"/>
              </w:divBdr>
            </w:div>
            <w:div w:id="41027675">
              <w:marLeft w:val="0"/>
              <w:marRight w:val="0"/>
              <w:marTop w:val="0"/>
              <w:marBottom w:val="0"/>
              <w:divBdr>
                <w:top w:val="none" w:sz="0" w:space="0" w:color="auto"/>
                <w:left w:val="none" w:sz="0" w:space="0" w:color="auto"/>
                <w:bottom w:val="none" w:sz="0" w:space="0" w:color="auto"/>
                <w:right w:val="none" w:sz="0" w:space="0" w:color="auto"/>
              </w:divBdr>
            </w:div>
            <w:div w:id="376319250">
              <w:marLeft w:val="0"/>
              <w:marRight w:val="0"/>
              <w:marTop w:val="0"/>
              <w:marBottom w:val="0"/>
              <w:divBdr>
                <w:top w:val="none" w:sz="0" w:space="0" w:color="auto"/>
                <w:left w:val="none" w:sz="0" w:space="0" w:color="auto"/>
                <w:bottom w:val="none" w:sz="0" w:space="0" w:color="auto"/>
                <w:right w:val="none" w:sz="0" w:space="0" w:color="auto"/>
              </w:divBdr>
            </w:div>
            <w:div w:id="335617965">
              <w:marLeft w:val="0"/>
              <w:marRight w:val="0"/>
              <w:marTop w:val="0"/>
              <w:marBottom w:val="0"/>
              <w:divBdr>
                <w:top w:val="none" w:sz="0" w:space="0" w:color="auto"/>
                <w:left w:val="none" w:sz="0" w:space="0" w:color="auto"/>
                <w:bottom w:val="none" w:sz="0" w:space="0" w:color="auto"/>
                <w:right w:val="none" w:sz="0" w:space="0" w:color="auto"/>
              </w:divBdr>
            </w:div>
            <w:div w:id="792943605">
              <w:marLeft w:val="0"/>
              <w:marRight w:val="0"/>
              <w:marTop w:val="0"/>
              <w:marBottom w:val="0"/>
              <w:divBdr>
                <w:top w:val="none" w:sz="0" w:space="0" w:color="auto"/>
                <w:left w:val="none" w:sz="0" w:space="0" w:color="auto"/>
                <w:bottom w:val="none" w:sz="0" w:space="0" w:color="auto"/>
                <w:right w:val="none" w:sz="0" w:space="0" w:color="auto"/>
              </w:divBdr>
            </w:div>
            <w:div w:id="1784032806">
              <w:marLeft w:val="0"/>
              <w:marRight w:val="0"/>
              <w:marTop w:val="0"/>
              <w:marBottom w:val="0"/>
              <w:divBdr>
                <w:top w:val="none" w:sz="0" w:space="0" w:color="auto"/>
                <w:left w:val="none" w:sz="0" w:space="0" w:color="auto"/>
                <w:bottom w:val="none" w:sz="0" w:space="0" w:color="auto"/>
                <w:right w:val="none" w:sz="0" w:space="0" w:color="auto"/>
              </w:divBdr>
            </w:div>
            <w:div w:id="1968510907">
              <w:marLeft w:val="0"/>
              <w:marRight w:val="0"/>
              <w:marTop w:val="0"/>
              <w:marBottom w:val="0"/>
              <w:divBdr>
                <w:top w:val="none" w:sz="0" w:space="0" w:color="auto"/>
                <w:left w:val="none" w:sz="0" w:space="0" w:color="auto"/>
                <w:bottom w:val="none" w:sz="0" w:space="0" w:color="auto"/>
                <w:right w:val="none" w:sz="0" w:space="0" w:color="auto"/>
              </w:divBdr>
            </w:div>
            <w:div w:id="50538703">
              <w:marLeft w:val="0"/>
              <w:marRight w:val="0"/>
              <w:marTop w:val="0"/>
              <w:marBottom w:val="0"/>
              <w:divBdr>
                <w:top w:val="none" w:sz="0" w:space="0" w:color="auto"/>
                <w:left w:val="none" w:sz="0" w:space="0" w:color="auto"/>
                <w:bottom w:val="none" w:sz="0" w:space="0" w:color="auto"/>
                <w:right w:val="none" w:sz="0" w:space="0" w:color="auto"/>
              </w:divBdr>
            </w:div>
            <w:div w:id="599459642">
              <w:marLeft w:val="0"/>
              <w:marRight w:val="0"/>
              <w:marTop w:val="0"/>
              <w:marBottom w:val="0"/>
              <w:divBdr>
                <w:top w:val="none" w:sz="0" w:space="0" w:color="auto"/>
                <w:left w:val="none" w:sz="0" w:space="0" w:color="auto"/>
                <w:bottom w:val="none" w:sz="0" w:space="0" w:color="auto"/>
                <w:right w:val="none" w:sz="0" w:space="0" w:color="auto"/>
              </w:divBdr>
            </w:div>
            <w:div w:id="1335379395">
              <w:marLeft w:val="0"/>
              <w:marRight w:val="0"/>
              <w:marTop w:val="0"/>
              <w:marBottom w:val="0"/>
              <w:divBdr>
                <w:top w:val="none" w:sz="0" w:space="0" w:color="auto"/>
                <w:left w:val="none" w:sz="0" w:space="0" w:color="auto"/>
                <w:bottom w:val="none" w:sz="0" w:space="0" w:color="auto"/>
                <w:right w:val="none" w:sz="0" w:space="0" w:color="auto"/>
              </w:divBdr>
            </w:div>
            <w:div w:id="1402483920">
              <w:marLeft w:val="0"/>
              <w:marRight w:val="0"/>
              <w:marTop w:val="0"/>
              <w:marBottom w:val="0"/>
              <w:divBdr>
                <w:top w:val="none" w:sz="0" w:space="0" w:color="auto"/>
                <w:left w:val="none" w:sz="0" w:space="0" w:color="auto"/>
                <w:bottom w:val="none" w:sz="0" w:space="0" w:color="auto"/>
                <w:right w:val="none" w:sz="0" w:space="0" w:color="auto"/>
              </w:divBdr>
            </w:div>
            <w:div w:id="866866872">
              <w:marLeft w:val="0"/>
              <w:marRight w:val="0"/>
              <w:marTop w:val="0"/>
              <w:marBottom w:val="0"/>
              <w:divBdr>
                <w:top w:val="none" w:sz="0" w:space="0" w:color="auto"/>
                <w:left w:val="none" w:sz="0" w:space="0" w:color="auto"/>
                <w:bottom w:val="none" w:sz="0" w:space="0" w:color="auto"/>
                <w:right w:val="none" w:sz="0" w:space="0" w:color="auto"/>
              </w:divBdr>
            </w:div>
            <w:div w:id="2103723768">
              <w:marLeft w:val="0"/>
              <w:marRight w:val="0"/>
              <w:marTop w:val="0"/>
              <w:marBottom w:val="0"/>
              <w:divBdr>
                <w:top w:val="none" w:sz="0" w:space="0" w:color="auto"/>
                <w:left w:val="none" w:sz="0" w:space="0" w:color="auto"/>
                <w:bottom w:val="none" w:sz="0" w:space="0" w:color="auto"/>
                <w:right w:val="none" w:sz="0" w:space="0" w:color="auto"/>
              </w:divBdr>
            </w:div>
            <w:div w:id="908879056">
              <w:marLeft w:val="0"/>
              <w:marRight w:val="0"/>
              <w:marTop w:val="0"/>
              <w:marBottom w:val="0"/>
              <w:divBdr>
                <w:top w:val="none" w:sz="0" w:space="0" w:color="auto"/>
                <w:left w:val="none" w:sz="0" w:space="0" w:color="auto"/>
                <w:bottom w:val="none" w:sz="0" w:space="0" w:color="auto"/>
                <w:right w:val="none" w:sz="0" w:space="0" w:color="auto"/>
              </w:divBdr>
            </w:div>
            <w:div w:id="495876773">
              <w:marLeft w:val="0"/>
              <w:marRight w:val="0"/>
              <w:marTop w:val="0"/>
              <w:marBottom w:val="0"/>
              <w:divBdr>
                <w:top w:val="none" w:sz="0" w:space="0" w:color="auto"/>
                <w:left w:val="none" w:sz="0" w:space="0" w:color="auto"/>
                <w:bottom w:val="none" w:sz="0" w:space="0" w:color="auto"/>
                <w:right w:val="none" w:sz="0" w:space="0" w:color="auto"/>
              </w:divBdr>
            </w:div>
            <w:div w:id="662661299">
              <w:marLeft w:val="0"/>
              <w:marRight w:val="0"/>
              <w:marTop w:val="0"/>
              <w:marBottom w:val="0"/>
              <w:divBdr>
                <w:top w:val="none" w:sz="0" w:space="0" w:color="auto"/>
                <w:left w:val="none" w:sz="0" w:space="0" w:color="auto"/>
                <w:bottom w:val="none" w:sz="0" w:space="0" w:color="auto"/>
                <w:right w:val="none" w:sz="0" w:space="0" w:color="auto"/>
              </w:divBdr>
            </w:div>
            <w:div w:id="1079057922">
              <w:marLeft w:val="0"/>
              <w:marRight w:val="0"/>
              <w:marTop w:val="0"/>
              <w:marBottom w:val="0"/>
              <w:divBdr>
                <w:top w:val="none" w:sz="0" w:space="0" w:color="auto"/>
                <w:left w:val="none" w:sz="0" w:space="0" w:color="auto"/>
                <w:bottom w:val="none" w:sz="0" w:space="0" w:color="auto"/>
                <w:right w:val="none" w:sz="0" w:space="0" w:color="auto"/>
              </w:divBdr>
            </w:div>
            <w:div w:id="1295525031">
              <w:marLeft w:val="0"/>
              <w:marRight w:val="0"/>
              <w:marTop w:val="0"/>
              <w:marBottom w:val="0"/>
              <w:divBdr>
                <w:top w:val="none" w:sz="0" w:space="0" w:color="auto"/>
                <w:left w:val="none" w:sz="0" w:space="0" w:color="auto"/>
                <w:bottom w:val="none" w:sz="0" w:space="0" w:color="auto"/>
                <w:right w:val="none" w:sz="0" w:space="0" w:color="auto"/>
              </w:divBdr>
            </w:div>
            <w:div w:id="781535225">
              <w:marLeft w:val="0"/>
              <w:marRight w:val="0"/>
              <w:marTop w:val="0"/>
              <w:marBottom w:val="0"/>
              <w:divBdr>
                <w:top w:val="none" w:sz="0" w:space="0" w:color="auto"/>
                <w:left w:val="none" w:sz="0" w:space="0" w:color="auto"/>
                <w:bottom w:val="none" w:sz="0" w:space="0" w:color="auto"/>
                <w:right w:val="none" w:sz="0" w:space="0" w:color="auto"/>
              </w:divBdr>
            </w:div>
            <w:div w:id="635112079">
              <w:marLeft w:val="0"/>
              <w:marRight w:val="0"/>
              <w:marTop w:val="0"/>
              <w:marBottom w:val="0"/>
              <w:divBdr>
                <w:top w:val="none" w:sz="0" w:space="0" w:color="auto"/>
                <w:left w:val="none" w:sz="0" w:space="0" w:color="auto"/>
                <w:bottom w:val="none" w:sz="0" w:space="0" w:color="auto"/>
                <w:right w:val="none" w:sz="0" w:space="0" w:color="auto"/>
              </w:divBdr>
            </w:div>
            <w:div w:id="324746749">
              <w:marLeft w:val="0"/>
              <w:marRight w:val="0"/>
              <w:marTop w:val="0"/>
              <w:marBottom w:val="0"/>
              <w:divBdr>
                <w:top w:val="none" w:sz="0" w:space="0" w:color="auto"/>
                <w:left w:val="none" w:sz="0" w:space="0" w:color="auto"/>
                <w:bottom w:val="none" w:sz="0" w:space="0" w:color="auto"/>
                <w:right w:val="none" w:sz="0" w:space="0" w:color="auto"/>
              </w:divBdr>
            </w:div>
            <w:div w:id="493254261">
              <w:marLeft w:val="0"/>
              <w:marRight w:val="0"/>
              <w:marTop w:val="0"/>
              <w:marBottom w:val="0"/>
              <w:divBdr>
                <w:top w:val="none" w:sz="0" w:space="0" w:color="auto"/>
                <w:left w:val="none" w:sz="0" w:space="0" w:color="auto"/>
                <w:bottom w:val="none" w:sz="0" w:space="0" w:color="auto"/>
                <w:right w:val="none" w:sz="0" w:space="0" w:color="auto"/>
              </w:divBdr>
            </w:div>
            <w:div w:id="532692859">
              <w:marLeft w:val="0"/>
              <w:marRight w:val="0"/>
              <w:marTop w:val="0"/>
              <w:marBottom w:val="0"/>
              <w:divBdr>
                <w:top w:val="none" w:sz="0" w:space="0" w:color="auto"/>
                <w:left w:val="none" w:sz="0" w:space="0" w:color="auto"/>
                <w:bottom w:val="none" w:sz="0" w:space="0" w:color="auto"/>
                <w:right w:val="none" w:sz="0" w:space="0" w:color="auto"/>
              </w:divBdr>
            </w:div>
            <w:div w:id="1534223707">
              <w:marLeft w:val="0"/>
              <w:marRight w:val="0"/>
              <w:marTop w:val="0"/>
              <w:marBottom w:val="0"/>
              <w:divBdr>
                <w:top w:val="none" w:sz="0" w:space="0" w:color="auto"/>
                <w:left w:val="none" w:sz="0" w:space="0" w:color="auto"/>
                <w:bottom w:val="none" w:sz="0" w:space="0" w:color="auto"/>
                <w:right w:val="none" w:sz="0" w:space="0" w:color="auto"/>
              </w:divBdr>
            </w:div>
            <w:div w:id="223955688">
              <w:marLeft w:val="0"/>
              <w:marRight w:val="0"/>
              <w:marTop w:val="0"/>
              <w:marBottom w:val="0"/>
              <w:divBdr>
                <w:top w:val="none" w:sz="0" w:space="0" w:color="auto"/>
                <w:left w:val="none" w:sz="0" w:space="0" w:color="auto"/>
                <w:bottom w:val="none" w:sz="0" w:space="0" w:color="auto"/>
                <w:right w:val="none" w:sz="0" w:space="0" w:color="auto"/>
              </w:divBdr>
            </w:div>
            <w:div w:id="835345026">
              <w:marLeft w:val="0"/>
              <w:marRight w:val="0"/>
              <w:marTop w:val="0"/>
              <w:marBottom w:val="0"/>
              <w:divBdr>
                <w:top w:val="none" w:sz="0" w:space="0" w:color="auto"/>
                <w:left w:val="none" w:sz="0" w:space="0" w:color="auto"/>
                <w:bottom w:val="none" w:sz="0" w:space="0" w:color="auto"/>
                <w:right w:val="none" w:sz="0" w:space="0" w:color="auto"/>
              </w:divBdr>
            </w:div>
            <w:div w:id="1499149087">
              <w:marLeft w:val="0"/>
              <w:marRight w:val="0"/>
              <w:marTop w:val="0"/>
              <w:marBottom w:val="0"/>
              <w:divBdr>
                <w:top w:val="none" w:sz="0" w:space="0" w:color="auto"/>
                <w:left w:val="none" w:sz="0" w:space="0" w:color="auto"/>
                <w:bottom w:val="none" w:sz="0" w:space="0" w:color="auto"/>
                <w:right w:val="none" w:sz="0" w:space="0" w:color="auto"/>
              </w:divBdr>
            </w:div>
            <w:div w:id="1193882799">
              <w:marLeft w:val="0"/>
              <w:marRight w:val="0"/>
              <w:marTop w:val="0"/>
              <w:marBottom w:val="0"/>
              <w:divBdr>
                <w:top w:val="none" w:sz="0" w:space="0" w:color="auto"/>
                <w:left w:val="none" w:sz="0" w:space="0" w:color="auto"/>
                <w:bottom w:val="none" w:sz="0" w:space="0" w:color="auto"/>
                <w:right w:val="none" w:sz="0" w:space="0" w:color="auto"/>
              </w:divBdr>
            </w:div>
            <w:div w:id="740100385">
              <w:marLeft w:val="0"/>
              <w:marRight w:val="0"/>
              <w:marTop w:val="0"/>
              <w:marBottom w:val="0"/>
              <w:divBdr>
                <w:top w:val="none" w:sz="0" w:space="0" w:color="auto"/>
                <w:left w:val="none" w:sz="0" w:space="0" w:color="auto"/>
                <w:bottom w:val="none" w:sz="0" w:space="0" w:color="auto"/>
                <w:right w:val="none" w:sz="0" w:space="0" w:color="auto"/>
              </w:divBdr>
            </w:div>
            <w:div w:id="862597855">
              <w:marLeft w:val="0"/>
              <w:marRight w:val="0"/>
              <w:marTop w:val="0"/>
              <w:marBottom w:val="0"/>
              <w:divBdr>
                <w:top w:val="none" w:sz="0" w:space="0" w:color="auto"/>
                <w:left w:val="none" w:sz="0" w:space="0" w:color="auto"/>
                <w:bottom w:val="none" w:sz="0" w:space="0" w:color="auto"/>
                <w:right w:val="none" w:sz="0" w:space="0" w:color="auto"/>
              </w:divBdr>
            </w:div>
            <w:div w:id="457258740">
              <w:marLeft w:val="0"/>
              <w:marRight w:val="0"/>
              <w:marTop w:val="0"/>
              <w:marBottom w:val="0"/>
              <w:divBdr>
                <w:top w:val="none" w:sz="0" w:space="0" w:color="auto"/>
                <w:left w:val="none" w:sz="0" w:space="0" w:color="auto"/>
                <w:bottom w:val="none" w:sz="0" w:space="0" w:color="auto"/>
                <w:right w:val="none" w:sz="0" w:space="0" w:color="auto"/>
              </w:divBdr>
            </w:div>
            <w:div w:id="1350252276">
              <w:marLeft w:val="0"/>
              <w:marRight w:val="0"/>
              <w:marTop w:val="0"/>
              <w:marBottom w:val="0"/>
              <w:divBdr>
                <w:top w:val="none" w:sz="0" w:space="0" w:color="auto"/>
                <w:left w:val="none" w:sz="0" w:space="0" w:color="auto"/>
                <w:bottom w:val="none" w:sz="0" w:space="0" w:color="auto"/>
                <w:right w:val="none" w:sz="0" w:space="0" w:color="auto"/>
              </w:divBdr>
            </w:div>
            <w:div w:id="1328627602">
              <w:marLeft w:val="0"/>
              <w:marRight w:val="0"/>
              <w:marTop w:val="0"/>
              <w:marBottom w:val="0"/>
              <w:divBdr>
                <w:top w:val="none" w:sz="0" w:space="0" w:color="auto"/>
                <w:left w:val="none" w:sz="0" w:space="0" w:color="auto"/>
                <w:bottom w:val="none" w:sz="0" w:space="0" w:color="auto"/>
                <w:right w:val="none" w:sz="0" w:space="0" w:color="auto"/>
              </w:divBdr>
            </w:div>
            <w:div w:id="1356805306">
              <w:marLeft w:val="0"/>
              <w:marRight w:val="0"/>
              <w:marTop w:val="0"/>
              <w:marBottom w:val="0"/>
              <w:divBdr>
                <w:top w:val="none" w:sz="0" w:space="0" w:color="auto"/>
                <w:left w:val="none" w:sz="0" w:space="0" w:color="auto"/>
                <w:bottom w:val="none" w:sz="0" w:space="0" w:color="auto"/>
                <w:right w:val="none" w:sz="0" w:space="0" w:color="auto"/>
              </w:divBdr>
            </w:div>
            <w:div w:id="1575385990">
              <w:marLeft w:val="0"/>
              <w:marRight w:val="0"/>
              <w:marTop w:val="0"/>
              <w:marBottom w:val="0"/>
              <w:divBdr>
                <w:top w:val="none" w:sz="0" w:space="0" w:color="auto"/>
                <w:left w:val="none" w:sz="0" w:space="0" w:color="auto"/>
                <w:bottom w:val="none" w:sz="0" w:space="0" w:color="auto"/>
                <w:right w:val="none" w:sz="0" w:space="0" w:color="auto"/>
              </w:divBdr>
            </w:div>
            <w:div w:id="1821573196">
              <w:marLeft w:val="0"/>
              <w:marRight w:val="0"/>
              <w:marTop w:val="0"/>
              <w:marBottom w:val="0"/>
              <w:divBdr>
                <w:top w:val="none" w:sz="0" w:space="0" w:color="auto"/>
                <w:left w:val="none" w:sz="0" w:space="0" w:color="auto"/>
                <w:bottom w:val="none" w:sz="0" w:space="0" w:color="auto"/>
                <w:right w:val="none" w:sz="0" w:space="0" w:color="auto"/>
              </w:divBdr>
            </w:div>
            <w:div w:id="1988779775">
              <w:marLeft w:val="0"/>
              <w:marRight w:val="0"/>
              <w:marTop w:val="0"/>
              <w:marBottom w:val="0"/>
              <w:divBdr>
                <w:top w:val="none" w:sz="0" w:space="0" w:color="auto"/>
                <w:left w:val="none" w:sz="0" w:space="0" w:color="auto"/>
                <w:bottom w:val="none" w:sz="0" w:space="0" w:color="auto"/>
                <w:right w:val="none" w:sz="0" w:space="0" w:color="auto"/>
              </w:divBdr>
            </w:div>
            <w:div w:id="147597431">
              <w:marLeft w:val="0"/>
              <w:marRight w:val="0"/>
              <w:marTop w:val="0"/>
              <w:marBottom w:val="0"/>
              <w:divBdr>
                <w:top w:val="none" w:sz="0" w:space="0" w:color="auto"/>
                <w:left w:val="none" w:sz="0" w:space="0" w:color="auto"/>
                <w:bottom w:val="none" w:sz="0" w:space="0" w:color="auto"/>
                <w:right w:val="none" w:sz="0" w:space="0" w:color="auto"/>
              </w:divBdr>
            </w:div>
            <w:div w:id="1782921016">
              <w:marLeft w:val="0"/>
              <w:marRight w:val="0"/>
              <w:marTop w:val="0"/>
              <w:marBottom w:val="0"/>
              <w:divBdr>
                <w:top w:val="none" w:sz="0" w:space="0" w:color="auto"/>
                <w:left w:val="none" w:sz="0" w:space="0" w:color="auto"/>
                <w:bottom w:val="none" w:sz="0" w:space="0" w:color="auto"/>
                <w:right w:val="none" w:sz="0" w:space="0" w:color="auto"/>
              </w:divBdr>
            </w:div>
            <w:div w:id="59863947">
              <w:marLeft w:val="0"/>
              <w:marRight w:val="0"/>
              <w:marTop w:val="0"/>
              <w:marBottom w:val="0"/>
              <w:divBdr>
                <w:top w:val="none" w:sz="0" w:space="0" w:color="auto"/>
                <w:left w:val="none" w:sz="0" w:space="0" w:color="auto"/>
                <w:bottom w:val="none" w:sz="0" w:space="0" w:color="auto"/>
                <w:right w:val="none" w:sz="0" w:space="0" w:color="auto"/>
              </w:divBdr>
            </w:div>
            <w:div w:id="863130837">
              <w:marLeft w:val="0"/>
              <w:marRight w:val="0"/>
              <w:marTop w:val="0"/>
              <w:marBottom w:val="0"/>
              <w:divBdr>
                <w:top w:val="none" w:sz="0" w:space="0" w:color="auto"/>
                <w:left w:val="none" w:sz="0" w:space="0" w:color="auto"/>
                <w:bottom w:val="none" w:sz="0" w:space="0" w:color="auto"/>
                <w:right w:val="none" w:sz="0" w:space="0" w:color="auto"/>
              </w:divBdr>
            </w:div>
            <w:div w:id="2633314">
              <w:marLeft w:val="0"/>
              <w:marRight w:val="0"/>
              <w:marTop w:val="0"/>
              <w:marBottom w:val="0"/>
              <w:divBdr>
                <w:top w:val="none" w:sz="0" w:space="0" w:color="auto"/>
                <w:left w:val="none" w:sz="0" w:space="0" w:color="auto"/>
                <w:bottom w:val="none" w:sz="0" w:space="0" w:color="auto"/>
                <w:right w:val="none" w:sz="0" w:space="0" w:color="auto"/>
              </w:divBdr>
            </w:div>
            <w:div w:id="120153008">
              <w:marLeft w:val="0"/>
              <w:marRight w:val="0"/>
              <w:marTop w:val="0"/>
              <w:marBottom w:val="0"/>
              <w:divBdr>
                <w:top w:val="none" w:sz="0" w:space="0" w:color="auto"/>
                <w:left w:val="none" w:sz="0" w:space="0" w:color="auto"/>
                <w:bottom w:val="none" w:sz="0" w:space="0" w:color="auto"/>
                <w:right w:val="none" w:sz="0" w:space="0" w:color="auto"/>
              </w:divBdr>
            </w:div>
            <w:div w:id="1862623086">
              <w:marLeft w:val="0"/>
              <w:marRight w:val="0"/>
              <w:marTop w:val="0"/>
              <w:marBottom w:val="0"/>
              <w:divBdr>
                <w:top w:val="none" w:sz="0" w:space="0" w:color="auto"/>
                <w:left w:val="none" w:sz="0" w:space="0" w:color="auto"/>
                <w:bottom w:val="none" w:sz="0" w:space="0" w:color="auto"/>
                <w:right w:val="none" w:sz="0" w:space="0" w:color="auto"/>
              </w:divBdr>
            </w:div>
            <w:div w:id="284847860">
              <w:marLeft w:val="0"/>
              <w:marRight w:val="0"/>
              <w:marTop w:val="0"/>
              <w:marBottom w:val="0"/>
              <w:divBdr>
                <w:top w:val="none" w:sz="0" w:space="0" w:color="auto"/>
                <w:left w:val="none" w:sz="0" w:space="0" w:color="auto"/>
                <w:bottom w:val="none" w:sz="0" w:space="0" w:color="auto"/>
                <w:right w:val="none" w:sz="0" w:space="0" w:color="auto"/>
              </w:divBdr>
            </w:div>
            <w:div w:id="887885129">
              <w:marLeft w:val="0"/>
              <w:marRight w:val="0"/>
              <w:marTop w:val="0"/>
              <w:marBottom w:val="0"/>
              <w:divBdr>
                <w:top w:val="none" w:sz="0" w:space="0" w:color="auto"/>
                <w:left w:val="none" w:sz="0" w:space="0" w:color="auto"/>
                <w:bottom w:val="none" w:sz="0" w:space="0" w:color="auto"/>
                <w:right w:val="none" w:sz="0" w:space="0" w:color="auto"/>
              </w:divBdr>
            </w:div>
            <w:div w:id="736056738">
              <w:marLeft w:val="0"/>
              <w:marRight w:val="0"/>
              <w:marTop w:val="0"/>
              <w:marBottom w:val="0"/>
              <w:divBdr>
                <w:top w:val="none" w:sz="0" w:space="0" w:color="auto"/>
                <w:left w:val="none" w:sz="0" w:space="0" w:color="auto"/>
                <w:bottom w:val="none" w:sz="0" w:space="0" w:color="auto"/>
                <w:right w:val="none" w:sz="0" w:space="0" w:color="auto"/>
              </w:divBdr>
            </w:div>
            <w:div w:id="1135947911">
              <w:marLeft w:val="0"/>
              <w:marRight w:val="0"/>
              <w:marTop w:val="0"/>
              <w:marBottom w:val="0"/>
              <w:divBdr>
                <w:top w:val="none" w:sz="0" w:space="0" w:color="auto"/>
                <w:left w:val="none" w:sz="0" w:space="0" w:color="auto"/>
                <w:bottom w:val="none" w:sz="0" w:space="0" w:color="auto"/>
                <w:right w:val="none" w:sz="0" w:space="0" w:color="auto"/>
              </w:divBdr>
            </w:div>
            <w:div w:id="886792526">
              <w:marLeft w:val="0"/>
              <w:marRight w:val="0"/>
              <w:marTop w:val="0"/>
              <w:marBottom w:val="0"/>
              <w:divBdr>
                <w:top w:val="none" w:sz="0" w:space="0" w:color="auto"/>
                <w:left w:val="none" w:sz="0" w:space="0" w:color="auto"/>
                <w:bottom w:val="none" w:sz="0" w:space="0" w:color="auto"/>
                <w:right w:val="none" w:sz="0" w:space="0" w:color="auto"/>
              </w:divBdr>
            </w:div>
            <w:div w:id="336351039">
              <w:marLeft w:val="0"/>
              <w:marRight w:val="0"/>
              <w:marTop w:val="0"/>
              <w:marBottom w:val="0"/>
              <w:divBdr>
                <w:top w:val="none" w:sz="0" w:space="0" w:color="auto"/>
                <w:left w:val="none" w:sz="0" w:space="0" w:color="auto"/>
                <w:bottom w:val="none" w:sz="0" w:space="0" w:color="auto"/>
                <w:right w:val="none" w:sz="0" w:space="0" w:color="auto"/>
              </w:divBdr>
            </w:div>
            <w:div w:id="1235747034">
              <w:marLeft w:val="0"/>
              <w:marRight w:val="0"/>
              <w:marTop w:val="0"/>
              <w:marBottom w:val="0"/>
              <w:divBdr>
                <w:top w:val="none" w:sz="0" w:space="0" w:color="auto"/>
                <w:left w:val="none" w:sz="0" w:space="0" w:color="auto"/>
                <w:bottom w:val="none" w:sz="0" w:space="0" w:color="auto"/>
                <w:right w:val="none" w:sz="0" w:space="0" w:color="auto"/>
              </w:divBdr>
            </w:div>
            <w:div w:id="713652161">
              <w:marLeft w:val="0"/>
              <w:marRight w:val="0"/>
              <w:marTop w:val="0"/>
              <w:marBottom w:val="0"/>
              <w:divBdr>
                <w:top w:val="none" w:sz="0" w:space="0" w:color="auto"/>
                <w:left w:val="none" w:sz="0" w:space="0" w:color="auto"/>
                <w:bottom w:val="none" w:sz="0" w:space="0" w:color="auto"/>
                <w:right w:val="none" w:sz="0" w:space="0" w:color="auto"/>
              </w:divBdr>
            </w:div>
            <w:div w:id="1654946404">
              <w:marLeft w:val="0"/>
              <w:marRight w:val="0"/>
              <w:marTop w:val="0"/>
              <w:marBottom w:val="0"/>
              <w:divBdr>
                <w:top w:val="none" w:sz="0" w:space="0" w:color="auto"/>
                <w:left w:val="none" w:sz="0" w:space="0" w:color="auto"/>
                <w:bottom w:val="none" w:sz="0" w:space="0" w:color="auto"/>
                <w:right w:val="none" w:sz="0" w:space="0" w:color="auto"/>
              </w:divBdr>
            </w:div>
            <w:div w:id="2016690366">
              <w:marLeft w:val="0"/>
              <w:marRight w:val="0"/>
              <w:marTop w:val="0"/>
              <w:marBottom w:val="0"/>
              <w:divBdr>
                <w:top w:val="none" w:sz="0" w:space="0" w:color="auto"/>
                <w:left w:val="none" w:sz="0" w:space="0" w:color="auto"/>
                <w:bottom w:val="none" w:sz="0" w:space="0" w:color="auto"/>
                <w:right w:val="none" w:sz="0" w:space="0" w:color="auto"/>
              </w:divBdr>
            </w:div>
            <w:div w:id="1623026765">
              <w:marLeft w:val="0"/>
              <w:marRight w:val="0"/>
              <w:marTop w:val="0"/>
              <w:marBottom w:val="0"/>
              <w:divBdr>
                <w:top w:val="none" w:sz="0" w:space="0" w:color="auto"/>
                <w:left w:val="none" w:sz="0" w:space="0" w:color="auto"/>
                <w:bottom w:val="none" w:sz="0" w:space="0" w:color="auto"/>
                <w:right w:val="none" w:sz="0" w:space="0" w:color="auto"/>
              </w:divBdr>
            </w:div>
            <w:div w:id="1666204542">
              <w:marLeft w:val="0"/>
              <w:marRight w:val="0"/>
              <w:marTop w:val="0"/>
              <w:marBottom w:val="0"/>
              <w:divBdr>
                <w:top w:val="none" w:sz="0" w:space="0" w:color="auto"/>
                <w:left w:val="none" w:sz="0" w:space="0" w:color="auto"/>
                <w:bottom w:val="none" w:sz="0" w:space="0" w:color="auto"/>
                <w:right w:val="none" w:sz="0" w:space="0" w:color="auto"/>
              </w:divBdr>
            </w:div>
            <w:div w:id="1453478981">
              <w:marLeft w:val="0"/>
              <w:marRight w:val="0"/>
              <w:marTop w:val="0"/>
              <w:marBottom w:val="0"/>
              <w:divBdr>
                <w:top w:val="none" w:sz="0" w:space="0" w:color="auto"/>
                <w:left w:val="none" w:sz="0" w:space="0" w:color="auto"/>
                <w:bottom w:val="none" w:sz="0" w:space="0" w:color="auto"/>
                <w:right w:val="none" w:sz="0" w:space="0" w:color="auto"/>
              </w:divBdr>
            </w:div>
            <w:div w:id="246809391">
              <w:marLeft w:val="0"/>
              <w:marRight w:val="0"/>
              <w:marTop w:val="0"/>
              <w:marBottom w:val="0"/>
              <w:divBdr>
                <w:top w:val="none" w:sz="0" w:space="0" w:color="auto"/>
                <w:left w:val="none" w:sz="0" w:space="0" w:color="auto"/>
                <w:bottom w:val="none" w:sz="0" w:space="0" w:color="auto"/>
                <w:right w:val="none" w:sz="0" w:space="0" w:color="auto"/>
              </w:divBdr>
            </w:div>
            <w:div w:id="594826505">
              <w:marLeft w:val="0"/>
              <w:marRight w:val="0"/>
              <w:marTop w:val="0"/>
              <w:marBottom w:val="0"/>
              <w:divBdr>
                <w:top w:val="none" w:sz="0" w:space="0" w:color="auto"/>
                <w:left w:val="none" w:sz="0" w:space="0" w:color="auto"/>
                <w:bottom w:val="none" w:sz="0" w:space="0" w:color="auto"/>
                <w:right w:val="none" w:sz="0" w:space="0" w:color="auto"/>
              </w:divBdr>
            </w:div>
            <w:div w:id="1593198752">
              <w:marLeft w:val="0"/>
              <w:marRight w:val="0"/>
              <w:marTop w:val="0"/>
              <w:marBottom w:val="0"/>
              <w:divBdr>
                <w:top w:val="none" w:sz="0" w:space="0" w:color="auto"/>
                <w:left w:val="none" w:sz="0" w:space="0" w:color="auto"/>
                <w:bottom w:val="none" w:sz="0" w:space="0" w:color="auto"/>
                <w:right w:val="none" w:sz="0" w:space="0" w:color="auto"/>
              </w:divBdr>
            </w:div>
            <w:div w:id="1159881008">
              <w:marLeft w:val="0"/>
              <w:marRight w:val="0"/>
              <w:marTop w:val="0"/>
              <w:marBottom w:val="0"/>
              <w:divBdr>
                <w:top w:val="none" w:sz="0" w:space="0" w:color="auto"/>
                <w:left w:val="none" w:sz="0" w:space="0" w:color="auto"/>
                <w:bottom w:val="none" w:sz="0" w:space="0" w:color="auto"/>
                <w:right w:val="none" w:sz="0" w:space="0" w:color="auto"/>
              </w:divBdr>
            </w:div>
            <w:div w:id="458646365">
              <w:marLeft w:val="0"/>
              <w:marRight w:val="0"/>
              <w:marTop w:val="0"/>
              <w:marBottom w:val="0"/>
              <w:divBdr>
                <w:top w:val="none" w:sz="0" w:space="0" w:color="auto"/>
                <w:left w:val="none" w:sz="0" w:space="0" w:color="auto"/>
                <w:bottom w:val="none" w:sz="0" w:space="0" w:color="auto"/>
                <w:right w:val="none" w:sz="0" w:space="0" w:color="auto"/>
              </w:divBdr>
            </w:div>
            <w:div w:id="222105415">
              <w:marLeft w:val="0"/>
              <w:marRight w:val="0"/>
              <w:marTop w:val="0"/>
              <w:marBottom w:val="0"/>
              <w:divBdr>
                <w:top w:val="none" w:sz="0" w:space="0" w:color="auto"/>
                <w:left w:val="none" w:sz="0" w:space="0" w:color="auto"/>
                <w:bottom w:val="none" w:sz="0" w:space="0" w:color="auto"/>
                <w:right w:val="none" w:sz="0" w:space="0" w:color="auto"/>
              </w:divBdr>
            </w:div>
            <w:div w:id="768505362">
              <w:marLeft w:val="0"/>
              <w:marRight w:val="0"/>
              <w:marTop w:val="0"/>
              <w:marBottom w:val="0"/>
              <w:divBdr>
                <w:top w:val="none" w:sz="0" w:space="0" w:color="auto"/>
                <w:left w:val="none" w:sz="0" w:space="0" w:color="auto"/>
                <w:bottom w:val="none" w:sz="0" w:space="0" w:color="auto"/>
                <w:right w:val="none" w:sz="0" w:space="0" w:color="auto"/>
              </w:divBdr>
            </w:div>
            <w:div w:id="704983236">
              <w:marLeft w:val="0"/>
              <w:marRight w:val="0"/>
              <w:marTop w:val="0"/>
              <w:marBottom w:val="0"/>
              <w:divBdr>
                <w:top w:val="none" w:sz="0" w:space="0" w:color="auto"/>
                <w:left w:val="none" w:sz="0" w:space="0" w:color="auto"/>
                <w:bottom w:val="none" w:sz="0" w:space="0" w:color="auto"/>
                <w:right w:val="none" w:sz="0" w:space="0" w:color="auto"/>
              </w:divBdr>
            </w:div>
            <w:div w:id="1504592411">
              <w:marLeft w:val="0"/>
              <w:marRight w:val="0"/>
              <w:marTop w:val="0"/>
              <w:marBottom w:val="0"/>
              <w:divBdr>
                <w:top w:val="none" w:sz="0" w:space="0" w:color="auto"/>
                <w:left w:val="none" w:sz="0" w:space="0" w:color="auto"/>
                <w:bottom w:val="none" w:sz="0" w:space="0" w:color="auto"/>
                <w:right w:val="none" w:sz="0" w:space="0" w:color="auto"/>
              </w:divBdr>
            </w:div>
            <w:div w:id="749885331">
              <w:marLeft w:val="0"/>
              <w:marRight w:val="0"/>
              <w:marTop w:val="0"/>
              <w:marBottom w:val="0"/>
              <w:divBdr>
                <w:top w:val="none" w:sz="0" w:space="0" w:color="auto"/>
                <w:left w:val="none" w:sz="0" w:space="0" w:color="auto"/>
                <w:bottom w:val="none" w:sz="0" w:space="0" w:color="auto"/>
                <w:right w:val="none" w:sz="0" w:space="0" w:color="auto"/>
              </w:divBdr>
            </w:div>
            <w:div w:id="920678096">
              <w:marLeft w:val="0"/>
              <w:marRight w:val="0"/>
              <w:marTop w:val="0"/>
              <w:marBottom w:val="0"/>
              <w:divBdr>
                <w:top w:val="none" w:sz="0" w:space="0" w:color="auto"/>
                <w:left w:val="none" w:sz="0" w:space="0" w:color="auto"/>
                <w:bottom w:val="none" w:sz="0" w:space="0" w:color="auto"/>
                <w:right w:val="none" w:sz="0" w:space="0" w:color="auto"/>
              </w:divBdr>
            </w:div>
            <w:div w:id="1130711777">
              <w:marLeft w:val="0"/>
              <w:marRight w:val="0"/>
              <w:marTop w:val="0"/>
              <w:marBottom w:val="0"/>
              <w:divBdr>
                <w:top w:val="none" w:sz="0" w:space="0" w:color="auto"/>
                <w:left w:val="none" w:sz="0" w:space="0" w:color="auto"/>
                <w:bottom w:val="none" w:sz="0" w:space="0" w:color="auto"/>
                <w:right w:val="none" w:sz="0" w:space="0" w:color="auto"/>
              </w:divBdr>
            </w:div>
            <w:div w:id="1029991616">
              <w:marLeft w:val="0"/>
              <w:marRight w:val="0"/>
              <w:marTop w:val="0"/>
              <w:marBottom w:val="0"/>
              <w:divBdr>
                <w:top w:val="none" w:sz="0" w:space="0" w:color="auto"/>
                <w:left w:val="none" w:sz="0" w:space="0" w:color="auto"/>
                <w:bottom w:val="none" w:sz="0" w:space="0" w:color="auto"/>
                <w:right w:val="none" w:sz="0" w:space="0" w:color="auto"/>
              </w:divBdr>
            </w:div>
            <w:div w:id="547423773">
              <w:marLeft w:val="0"/>
              <w:marRight w:val="0"/>
              <w:marTop w:val="0"/>
              <w:marBottom w:val="0"/>
              <w:divBdr>
                <w:top w:val="none" w:sz="0" w:space="0" w:color="auto"/>
                <w:left w:val="none" w:sz="0" w:space="0" w:color="auto"/>
                <w:bottom w:val="none" w:sz="0" w:space="0" w:color="auto"/>
                <w:right w:val="none" w:sz="0" w:space="0" w:color="auto"/>
              </w:divBdr>
            </w:div>
            <w:div w:id="2129813595">
              <w:marLeft w:val="0"/>
              <w:marRight w:val="0"/>
              <w:marTop w:val="0"/>
              <w:marBottom w:val="0"/>
              <w:divBdr>
                <w:top w:val="none" w:sz="0" w:space="0" w:color="auto"/>
                <w:left w:val="none" w:sz="0" w:space="0" w:color="auto"/>
                <w:bottom w:val="none" w:sz="0" w:space="0" w:color="auto"/>
                <w:right w:val="none" w:sz="0" w:space="0" w:color="auto"/>
              </w:divBdr>
            </w:div>
            <w:div w:id="950628867">
              <w:marLeft w:val="0"/>
              <w:marRight w:val="0"/>
              <w:marTop w:val="0"/>
              <w:marBottom w:val="0"/>
              <w:divBdr>
                <w:top w:val="none" w:sz="0" w:space="0" w:color="auto"/>
                <w:left w:val="none" w:sz="0" w:space="0" w:color="auto"/>
                <w:bottom w:val="none" w:sz="0" w:space="0" w:color="auto"/>
                <w:right w:val="none" w:sz="0" w:space="0" w:color="auto"/>
              </w:divBdr>
            </w:div>
            <w:div w:id="69280879">
              <w:marLeft w:val="0"/>
              <w:marRight w:val="0"/>
              <w:marTop w:val="0"/>
              <w:marBottom w:val="0"/>
              <w:divBdr>
                <w:top w:val="none" w:sz="0" w:space="0" w:color="auto"/>
                <w:left w:val="none" w:sz="0" w:space="0" w:color="auto"/>
                <w:bottom w:val="none" w:sz="0" w:space="0" w:color="auto"/>
                <w:right w:val="none" w:sz="0" w:space="0" w:color="auto"/>
              </w:divBdr>
            </w:div>
            <w:div w:id="1327320021">
              <w:marLeft w:val="0"/>
              <w:marRight w:val="0"/>
              <w:marTop w:val="0"/>
              <w:marBottom w:val="0"/>
              <w:divBdr>
                <w:top w:val="none" w:sz="0" w:space="0" w:color="auto"/>
                <w:left w:val="none" w:sz="0" w:space="0" w:color="auto"/>
                <w:bottom w:val="none" w:sz="0" w:space="0" w:color="auto"/>
                <w:right w:val="none" w:sz="0" w:space="0" w:color="auto"/>
              </w:divBdr>
            </w:div>
            <w:div w:id="1430850215">
              <w:marLeft w:val="0"/>
              <w:marRight w:val="0"/>
              <w:marTop w:val="0"/>
              <w:marBottom w:val="0"/>
              <w:divBdr>
                <w:top w:val="none" w:sz="0" w:space="0" w:color="auto"/>
                <w:left w:val="none" w:sz="0" w:space="0" w:color="auto"/>
                <w:bottom w:val="none" w:sz="0" w:space="0" w:color="auto"/>
                <w:right w:val="none" w:sz="0" w:space="0" w:color="auto"/>
              </w:divBdr>
            </w:div>
            <w:div w:id="698165635">
              <w:marLeft w:val="0"/>
              <w:marRight w:val="0"/>
              <w:marTop w:val="0"/>
              <w:marBottom w:val="0"/>
              <w:divBdr>
                <w:top w:val="none" w:sz="0" w:space="0" w:color="auto"/>
                <w:left w:val="none" w:sz="0" w:space="0" w:color="auto"/>
                <w:bottom w:val="none" w:sz="0" w:space="0" w:color="auto"/>
                <w:right w:val="none" w:sz="0" w:space="0" w:color="auto"/>
              </w:divBdr>
            </w:div>
            <w:div w:id="252713548">
              <w:marLeft w:val="0"/>
              <w:marRight w:val="0"/>
              <w:marTop w:val="0"/>
              <w:marBottom w:val="0"/>
              <w:divBdr>
                <w:top w:val="none" w:sz="0" w:space="0" w:color="auto"/>
                <w:left w:val="none" w:sz="0" w:space="0" w:color="auto"/>
                <w:bottom w:val="none" w:sz="0" w:space="0" w:color="auto"/>
                <w:right w:val="none" w:sz="0" w:space="0" w:color="auto"/>
              </w:divBdr>
            </w:div>
            <w:div w:id="1949510633">
              <w:marLeft w:val="0"/>
              <w:marRight w:val="0"/>
              <w:marTop w:val="0"/>
              <w:marBottom w:val="0"/>
              <w:divBdr>
                <w:top w:val="none" w:sz="0" w:space="0" w:color="auto"/>
                <w:left w:val="none" w:sz="0" w:space="0" w:color="auto"/>
                <w:bottom w:val="none" w:sz="0" w:space="0" w:color="auto"/>
                <w:right w:val="none" w:sz="0" w:space="0" w:color="auto"/>
              </w:divBdr>
            </w:div>
            <w:div w:id="443042792">
              <w:marLeft w:val="0"/>
              <w:marRight w:val="0"/>
              <w:marTop w:val="0"/>
              <w:marBottom w:val="0"/>
              <w:divBdr>
                <w:top w:val="none" w:sz="0" w:space="0" w:color="auto"/>
                <w:left w:val="none" w:sz="0" w:space="0" w:color="auto"/>
                <w:bottom w:val="none" w:sz="0" w:space="0" w:color="auto"/>
                <w:right w:val="none" w:sz="0" w:space="0" w:color="auto"/>
              </w:divBdr>
            </w:div>
            <w:div w:id="371537988">
              <w:marLeft w:val="0"/>
              <w:marRight w:val="0"/>
              <w:marTop w:val="0"/>
              <w:marBottom w:val="0"/>
              <w:divBdr>
                <w:top w:val="none" w:sz="0" w:space="0" w:color="auto"/>
                <w:left w:val="none" w:sz="0" w:space="0" w:color="auto"/>
                <w:bottom w:val="none" w:sz="0" w:space="0" w:color="auto"/>
                <w:right w:val="none" w:sz="0" w:space="0" w:color="auto"/>
              </w:divBdr>
            </w:div>
            <w:div w:id="541524377">
              <w:marLeft w:val="0"/>
              <w:marRight w:val="0"/>
              <w:marTop w:val="0"/>
              <w:marBottom w:val="0"/>
              <w:divBdr>
                <w:top w:val="none" w:sz="0" w:space="0" w:color="auto"/>
                <w:left w:val="none" w:sz="0" w:space="0" w:color="auto"/>
                <w:bottom w:val="none" w:sz="0" w:space="0" w:color="auto"/>
                <w:right w:val="none" w:sz="0" w:space="0" w:color="auto"/>
              </w:divBdr>
            </w:div>
            <w:div w:id="1341545629">
              <w:marLeft w:val="0"/>
              <w:marRight w:val="0"/>
              <w:marTop w:val="0"/>
              <w:marBottom w:val="0"/>
              <w:divBdr>
                <w:top w:val="none" w:sz="0" w:space="0" w:color="auto"/>
                <w:left w:val="none" w:sz="0" w:space="0" w:color="auto"/>
                <w:bottom w:val="none" w:sz="0" w:space="0" w:color="auto"/>
                <w:right w:val="none" w:sz="0" w:space="0" w:color="auto"/>
              </w:divBdr>
            </w:div>
            <w:div w:id="378865823">
              <w:marLeft w:val="0"/>
              <w:marRight w:val="0"/>
              <w:marTop w:val="0"/>
              <w:marBottom w:val="0"/>
              <w:divBdr>
                <w:top w:val="none" w:sz="0" w:space="0" w:color="auto"/>
                <w:left w:val="none" w:sz="0" w:space="0" w:color="auto"/>
                <w:bottom w:val="none" w:sz="0" w:space="0" w:color="auto"/>
                <w:right w:val="none" w:sz="0" w:space="0" w:color="auto"/>
              </w:divBdr>
            </w:div>
            <w:div w:id="1432896523">
              <w:marLeft w:val="0"/>
              <w:marRight w:val="0"/>
              <w:marTop w:val="0"/>
              <w:marBottom w:val="0"/>
              <w:divBdr>
                <w:top w:val="none" w:sz="0" w:space="0" w:color="auto"/>
                <w:left w:val="none" w:sz="0" w:space="0" w:color="auto"/>
                <w:bottom w:val="none" w:sz="0" w:space="0" w:color="auto"/>
                <w:right w:val="none" w:sz="0" w:space="0" w:color="auto"/>
              </w:divBdr>
            </w:div>
            <w:div w:id="2019766296">
              <w:marLeft w:val="0"/>
              <w:marRight w:val="0"/>
              <w:marTop w:val="0"/>
              <w:marBottom w:val="0"/>
              <w:divBdr>
                <w:top w:val="none" w:sz="0" w:space="0" w:color="auto"/>
                <w:left w:val="none" w:sz="0" w:space="0" w:color="auto"/>
                <w:bottom w:val="none" w:sz="0" w:space="0" w:color="auto"/>
                <w:right w:val="none" w:sz="0" w:space="0" w:color="auto"/>
              </w:divBdr>
            </w:div>
            <w:div w:id="763377753">
              <w:marLeft w:val="0"/>
              <w:marRight w:val="0"/>
              <w:marTop w:val="0"/>
              <w:marBottom w:val="0"/>
              <w:divBdr>
                <w:top w:val="none" w:sz="0" w:space="0" w:color="auto"/>
                <w:left w:val="none" w:sz="0" w:space="0" w:color="auto"/>
                <w:bottom w:val="none" w:sz="0" w:space="0" w:color="auto"/>
                <w:right w:val="none" w:sz="0" w:space="0" w:color="auto"/>
              </w:divBdr>
            </w:div>
            <w:div w:id="1184708785">
              <w:marLeft w:val="0"/>
              <w:marRight w:val="0"/>
              <w:marTop w:val="0"/>
              <w:marBottom w:val="0"/>
              <w:divBdr>
                <w:top w:val="none" w:sz="0" w:space="0" w:color="auto"/>
                <w:left w:val="none" w:sz="0" w:space="0" w:color="auto"/>
                <w:bottom w:val="none" w:sz="0" w:space="0" w:color="auto"/>
                <w:right w:val="none" w:sz="0" w:space="0" w:color="auto"/>
              </w:divBdr>
            </w:div>
            <w:div w:id="2046631899">
              <w:marLeft w:val="0"/>
              <w:marRight w:val="0"/>
              <w:marTop w:val="0"/>
              <w:marBottom w:val="0"/>
              <w:divBdr>
                <w:top w:val="none" w:sz="0" w:space="0" w:color="auto"/>
                <w:left w:val="none" w:sz="0" w:space="0" w:color="auto"/>
                <w:bottom w:val="none" w:sz="0" w:space="0" w:color="auto"/>
                <w:right w:val="none" w:sz="0" w:space="0" w:color="auto"/>
              </w:divBdr>
            </w:div>
            <w:div w:id="683363366">
              <w:marLeft w:val="0"/>
              <w:marRight w:val="0"/>
              <w:marTop w:val="0"/>
              <w:marBottom w:val="0"/>
              <w:divBdr>
                <w:top w:val="none" w:sz="0" w:space="0" w:color="auto"/>
                <w:left w:val="none" w:sz="0" w:space="0" w:color="auto"/>
                <w:bottom w:val="none" w:sz="0" w:space="0" w:color="auto"/>
                <w:right w:val="none" w:sz="0" w:space="0" w:color="auto"/>
              </w:divBdr>
            </w:div>
            <w:div w:id="2086343919">
              <w:marLeft w:val="0"/>
              <w:marRight w:val="0"/>
              <w:marTop w:val="0"/>
              <w:marBottom w:val="0"/>
              <w:divBdr>
                <w:top w:val="none" w:sz="0" w:space="0" w:color="auto"/>
                <w:left w:val="none" w:sz="0" w:space="0" w:color="auto"/>
                <w:bottom w:val="none" w:sz="0" w:space="0" w:color="auto"/>
                <w:right w:val="none" w:sz="0" w:space="0" w:color="auto"/>
              </w:divBdr>
            </w:div>
            <w:div w:id="692418437">
              <w:marLeft w:val="0"/>
              <w:marRight w:val="0"/>
              <w:marTop w:val="0"/>
              <w:marBottom w:val="0"/>
              <w:divBdr>
                <w:top w:val="none" w:sz="0" w:space="0" w:color="auto"/>
                <w:left w:val="none" w:sz="0" w:space="0" w:color="auto"/>
                <w:bottom w:val="none" w:sz="0" w:space="0" w:color="auto"/>
                <w:right w:val="none" w:sz="0" w:space="0" w:color="auto"/>
              </w:divBdr>
            </w:div>
            <w:div w:id="1348482773">
              <w:marLeft w:val="0"/>
              <w:marRight w:val="0"/>
              <w:marTop w:val="0"/>
              <w:marBottom w:val="0"/>
              <w:divBdr>
                <w:top w:val="none" w:sz="0" w:space="0" w:color="auto"/>
                <w:left w:val="none" w:sz="0" w:space="0" w:color="auto"/>
                <w:bottom w:val="none" w:sz="0" w:space="0" w:color="auto"/>
                <w:right w:val="none" w:sz="0" w:space="0" w:color="auto"/>
              </w:divBdr>
            </w:div>
            <w:div w:id="812646850">
              <w:marLeft w:val="0"/>
              <w:marRight w:val="0"/>
              <w:marTop w:val="0"/>
              <w:marBottom w:val="0"/>
              <w:divBdr>
                <w:top w:val="none" w:sz="0" w:space="0" w:color="auto"/>
                <w:left w:val="none" w:sz="0" w:space="0" w:color="auto"/>
                <w:bottom w:val="none" w:sz="0" w:space="0" w:color="auto"/>
                <w:right w:val="none" w:sz="0" w:space="0" w:color="auto"/>
              </w:divBdr>
            </w:div>
            <w:div w:id="1814253677">
              <w:marLeft w:val="0"/>
              <w:marRight w:val="0"/>
              <w:marTop w:val="0"/>
              <w:marBottom w:val="0"/>
              <w:divBdr>
                <w:top w:val="none" w:sz="0" w:space="0" w:color="auto"/>
                <w:left w:val="none" w:sz="0" w:space="0" w:color="auto"/>
                <w:bottom w:val="none" w:sz="0" w:space="0" w:color="auto"/>
                <w:right w:val="none" w:sz="0" w:space="0" w:color="auto"/>
              </w:divBdr>
            </w:div>
            <w:div w:id="231090640">
              <w:marLeft w:val="0"/>
              <w:marRight w:val="0"/>
              <w:marTop w:val="0"/>
              <w:marBottom w:val="0"/>
              <w:divBdr>
                <w:top w:val="none" w:sz="0" w:space="0" w:color="auto"/>
                <w:left w:val="none" w:sz="0" w:space="0" w:color="auto"/>
                <w:bottom w:val="none" w:sz="0" w:space="0" w:color="auto"/>
                <w:right w:val="none" w:sz="0" w:space="0" w:color="auto"/>
              </w:divBdr>
            </w:div>
            <w:div w:id="658659833">
              <w:marLeft w:val="0"/>
              <w:marRight w:val="0"/>
              <w:marTop w:val="0"/>
              <w:marBottom w:val="0"/>
              <w:divBdr>
                <w:top w:val="none" w:sz="0" w:space="0" w:color="auto"/>
                <w:left w:val="none" w:sz="0" w:space="0" w:color="auto"/>
                <w:bottom w:val="none" w:sz="0" w:space="0" w:color="auto"/>
                <w:right w:val="none" w:sz="0" w:space="0" w:color="auto"/>
              </w:divBdr>
            </w:div>
            <w:div w:id="1204831027">
              <w:marLeft w:val="0"/>
              <w:marRight w:val="0"/>
              <w:marTop w:val="0"/>
              <w:marBottom w:val="0"/>
              <w:divBdr>
                <w:top w:val="none" w:sz="0" w:space="0" w:color="auto"/>
                <w:left w:val="none" w:sz="0" w:space="0" w:color="auto"/>
                <w:bottom w:val="none" w:sz="0" w:space="0" w:color="auto"/>
                <w:right w:val="none" w:sz="0" w:space="0" w:color="auto"/>
              </w:divBdr>
            </w:div>
            <w:div w:id="231238982">
              <w:marLeft w:val="0"/>
              <w:marRight w:val="0"/>
              <w:marTop w:val="0"/>
              <w:marBottom w:val="0"/>
              <w:divBdr>
                <w:top w:val="none" w:sz="0" w:space="0" w:color="auto"/>
                <w:left w:val="none" w:sz="0" w:space="0" w:color="auto"/>
                <w:bottom w:val="none" w:sz="0" w:space="0" w:color="auto"/>
                <w:right w:val="none" w:sz="0" w:space="0" w:color="auto"/>
              </w:divBdr>
            </w:div>
            <w:div w:id="1370105083">
              <w:marLeft w:val="0"/>
              <w:marRight w:val="0"/>
              <w:marTop w:val="0"/>
              <w:marBottom w:val="0"/>
              <w:divBdr>
                <w:top w:val="none" w:sz="0" w:space="0" w:color="auto"/>
                <w:left w:val="none" w:sz="0" w:space="0" w:color="auto"/>
                <w:bottom w:val="none" w:sz="0" w:space="0" w:color="auto"/>
                <w:right w:val="none" w:sz="0" w:space="0" w:color="auto"/>
              </w:divBdr>
            </w:div>
            <w:div w:id="1314598210">
              <w:marLeft w:val="0"/>
              <w:marRight w:val="0"/>
              <w:marTop w:val="0"/>
              <w:marBottom w:val="0"/>
              <w:divBdr>
                <w:top w:val="none" w:sz="0" w:space="0" w:color="auto"/>
                <w:left w:val="none" w:sz="0" w:space="0" w:color="auto"/>
                <w:bottom w:val="none" w:sz="0" w:space="0" w:color="auto"/>
                <w:right w:val="none" w:sz="0" w:space="0" w:color="auto"/>
              </w:divBdr>
            </w:div>
            <w:div w:id="1406613319">
              <w:marLeft w:val="0"/>
              <w:marRight w:val="0"/>
              <w:marTop w:val="0"/>
              <w:marBottom w:val="0"/>
              <w:divBdr>
                <w:top w:val="none" w:sz="0" w:space="0" w:color="auto"/>
                <w:left w:val="none" w:sz="0" w:space="0" w:color="auto"/>
                <w:bottom w:val="none" w:sz="0" w:space="0" w:color="auto"/>
                <w:right w:val="none" w:sz="0" w:space="0" w:color="auto"/>
              </w:divBdr>
            </w:div>
            <w:div w:id="651904723">
              <w:marLeft w:val="0"/>
              <w:marRight w:val="0"/>
              <w:marTop w:val="0"/>
              <w:marBottom w:val="0"/>
              <w:divBdr>
                <w:top w:val="none" w:sz="0" w:space="0" w:color="auto"/>
                <w:left w:val="none" w:sz="0" w:space="0" w:color="auto"/>
                <w:bottom w:val="none" w:sz="0" w:space="0" w:color="auto"/>
                <w:right w:val="none" w:sz="0" w:space="0" w:color="auto"/>
              </w:divBdr>
            </w:div>
            <w:div w:id="827944450">
              <w:marLeft w:val="0"/>
              <w:marRight w:val="0"/>
              <w:marTop w:val="0"/>
              <w:marBottom w:val="0"/>
              <w:divBdr>
                <w:top w:val="none" w:sz="0" w:space="0" w:color="auto"/>
                <w:left w:val="none" w:sz="0" w:space="0" w:color="auto"/>
                <w:bottom w:val="none" w:sz="0" w:space="0" w:color="auto"/>
                <w:right w:val="none" w:sz="0" w:space="0" w:color="auto"/>
              </w:divBdr>
            </w:div>
            <w:div w:id="1484933220">
              <w:marLeft w:val="0"/>
              <w:marRight w:val="0"/>
              <w:marTop w:val="0"/>
              <w:marBottom w:val="0"/>
              <w:divBdr>
                <w:top w:val="none" w:sz="0" w:space="0" w:color="auto"/>
                <w:left w:val="none" w:sz="0" w:space="0" w:color="auto"/>
                <w:bottom w:val="none" w:sz="0" w:space="0" w:color="auto"/>
                <w:right w:val="none" w:sz="0" w:space="0" w:color="auto"/>
              </w:divBdr>
            </w:div>
            <w:div w:id="1057892897">
              <w:marLeft w:val="0"/>
              <w:marRight w:val="0"/>
              <w:marTop w:val="0"/>
              <w:marBottom w:val="0"/>
              <w:divBdr>
                <w:top w:val="none" w:sz="0" w:space="0" w:color="auto"/>
                <w:left w:val="none" w:sz="0" w:space="0" w:color="auto"/>
                <w:bottom w:val="none" w:sz="0" w:space="0" w:color="auto"/>
                <w:right w:val="none" w:sz="0" w:space="0" w:color="auto"/>
              </w:divBdr>
            </w:div>
            <w:div w:id="1416778833">
              <w:marLeft w:val="0"/>
              <w:marRight w:val="0"/>
              <w:marTop w:val="0"/>
              <w:marBottom w:val="0"/>
              <w:divBdr>
                <w:top w:val="none" w:sz="0" w:space="0" w:color="auto"/>
                <w:left w:val="none" w:sz="0" w:space="0" w:color="auto"/>
                <w:bottom w:val="none" w:sz="0" w:space="0" w:color="auto"/>
                <w:right w:val="none" w:sz="0" w:space="0" w:color="auto"/>
              </w:divBdr>
            </w:div>
            <w:div w:id="1293712056">
              <w:marLeft w:val="0"/>
              <w:marRight w:val="0"/>
              <w:marTop w:val="0"/>
              <w:marBottom w:val="0"/>
              <w:divBdr>
                <w:top w:val="none" w:sz="0" w:space="0" w:color="auto"/>
                <w:left w:val="none" w:sz="0" w:space="0" w:color="auto"/>
                <w:bottom w:val="none" w:sz="0" w:space="0" w:color="auto"/>
                <w:right w:val="none" w:sz="0" w:space="0" w:color="auto"/>
              </w:divBdr>
            </w:div>
            <w:div w:id="459493947">
              <w:marLeft w:val="0"/>
              <w:marRight w:val="0"/>
              <w:marTop w:val="0"/>
              <w:marBottom w:val="0"/>
              <w:divBdr>
                <w:top w:val="none" w:sz="0" w:space="0" w:color="auto"/>
                <w:left w:val="none" w:sz="0" w:space="0" w:color="auto"/>
                <w:bottom w:val="none" w:sz="0" w:space="0" w:color="auto"/>
                <w:right w:val="none" w:sz="0" w:space="0" w:color="auto"/>
              </w:divBdr>
            </w:div>
            <w:div w:id="1409419290">
              <w:marLeft w:val="0"/>
              <w:marRight w:val="0"/>
              <w:marTop w:val="0"/>
              <w:marBottom w:val="0"/>
              <w:divBdr>
                <w:top w:val="none" w:sz="0" w:space="0" w:color="auto"/>
                <w:left w:val="none" w:sz="0" w:space="0" w:color="auto"/>
                <w:bottom w:val="none" w:sz="0" w:space="0" w:color="auto"/>
                <w:right w:val="none" w:sz="0" w:space="0" w:color="auto"/>
              </w:divBdr>
            </w:div>
            <w:div w:id="1444037918">
              <w:marLeft w:val="0"/>
              <w:marRight w:val="0"/>
              <w:marTop w:val="0"/>
              <w:marBottom w:val="0"/>
              <w:divBdr>
                <w:top w:val="none" w:sz="0" w:space="0" w:color="auto"/>
                <w:left w:val="none" w:sz="0" w:space="0" w:color="auto"/>
                <w:bottom w:val="none" w:sz="0" w:space="0" w:color="auto"/>
                <w:right w:val="none" w:sz="0" w:space="0" w:color="auto"/>
              </w:divBdr>
            </w:div>
            <w:div w:id="990524934">
              <w:marLeft w:val="0"/>
              <w:marRight w:val="0"/>
              <w:marTop w:val="0"/>
              <w:marBottom w:val="0"/>
              <w:divBdr>
                <w:top w:val="none" w:sz="0" w:space="0" w:color="auto"/>
                <w:left w:val="none" w:sz="0" w:space="0" w:color="auto"/>
                <w:bottom w:val="none" w:sz="0" w:space="0" w:color="auto"/>
                <w:right w:val="none" w:sz="0" w:space="0" w:color="auto"/>
              </w:divBdr>
            </w:div>
            <w:div w:id="439184065">
              <w:marLeft w:val="0"/>
              <w:marRight w:val="0"/>
              <w:marTop w:val="0"/>
              <w:marBottom w:val="0"/>
              <w:divBdr>
                <w:top w:val="none" w:sz="0" w:space="0" w:color="auto"/>
                <w:left w:val="none" w:sz="0" w:space="0" w:color="auto"/>
                <w:bottom w:val="none" w:sz="0" w:space="0" w:color="auto"/>
                <w:right w:val="none" w:sz="0" w:space="0" w:color="auto"/>
              </w:divBdr>
            </w:div>
            <w:div w:id="163474717">
              <w:marLeft w:val="0"/>
              <w:marRight w:val="0"/>
              <w:marTop w:val="0"/>
              <w:marBottom w:val="0"/>
              <w:divBdr>
                <w:top w:val="none" w:sz="0" w:space="0" w:color="auto"/>
                <w:left w:val="none" w:sz="0" w:space="0" w:color="auto"/>
                <w:bottom w:val="none" w:sz="0" w:space="0" w:color="auto"/>
                <w:right w:val="none" w:sz="0" w:space="0" w:color="auto"/>
              </w:divBdr>
            </w:div>
            <w:div w:id="461463288">
              <w:marLeft w:val="0"/>
              <w:marRight w:val="0"/>
              <w:marTop w:val="0"/>
              <w:marBottom w:val="0"/>
              <w:divBdr>
                <w:top w:val="none" w:sz="0" w:space="0" w:color="auto"/>
                <w:left w:val="none" w:sz="0" w:space="0" w:color="auto"/>
                <w:bottom w:val="none" w:sz="0" w:space="0" w:color="auto"/>
                <w:right w:val="none" w:sz="0" w:space="0" w:color="auto"/>
              </w:divBdr>
            </w:div>
            <w:div w:id="209971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6566">
      <w:marLeft w:val="0"/>
      <w:marRight w:val="0"/>
      <w:marTop w:val="0"/>
      <w:marBottom w:val="0"/>
      <w:divBdr>
        <w:top w:val="none" w:sz="0" w:space="0" w:color="auto"/>
        <w:left w:val="none" w:sz="0" w:space="0" w:color="auto"/>
        <w:bottom w:val="none" w:sz="0" w:space="0" w:color="auto"/>
        <w:right w:val="none" w:sz="0" w:space="0" w:color="auto"/>
      </w:divBdr>
      <w:divsChild>
        <w:div w:id="1273592226">
          <w:marLeft w:val="0"/>
          <w:marRight w:val="0"/>
          <w:marTop w:val="0"/>
          <w:marBottom w:val="0"/>
          <w:divBdr>
            <w:top w:val="none" w:sz="0" w:space="0" w:color="auto"/>
            <w:left w:val="none" w:sz="0" w:space="0" w:color="auto"/>
            <w:bottom w:val="none" w:sz="0" w:space="0" w:color="auto"/>
            <w:right w:val="none" w:sz="0" w:space="0" w:color="auto"/>
          </w:divBdr>
        </w:div>
      </w:divsChild>
    </w:div>
    <w:div w:id="2051417378">
      <w:bodyDiv w:val="1"/>
      <w:marLeft w:val="0"/>
      <w:marRight w:val="0"/>
      <w:marTop w:val="0"/>
      <w:marBottom w:val="0"/>
      <w:divBdr>
        <w:top w:val="none" w:sz="0" w:space="0" w:color="auto"/>
        <w:left w:val="none" w:sz="0" w:space="0" w:color="auto"/>
        <w:bottom w:val="none" w:sz="0" w:space="0" w:color="auto"/>
        <w:right w:val="none" w:sz="0" w:space="0" w:color="auto"/>
      </w:divBdr>
    </w:div>
    <w:div w:id="2051491891">
      <w:marLeft w:val="0"/>
      <w:marRight w:val="0"/>
      <w:marTop w:val="0"/>
      <w:marBottom w:val="0"/>
      <w:divBdr>
        <w:top w:val="none" w:sz="0" w:space="0" w:color="auto"/>
        <w:left w:val="none" w:sz="0" w:space="0" w:color="auto"/>
        <w:bottom w:val="none" w:sz="0" w:space="0" w:color="auto"/>
        <w:right w:val="none" w:sz="0" w:space="0" w:color="auto"/>
      </w:divBdr>
      <w:divsChild>
        <w:div w:id="209804654">
          <w:marLeft w:val="0"/>
          <w:marRight w:val="0"/>
          <w:marTop w:val="0"/>
          <w:marBottom w:val="0"/>
          <w:divBdr>
            <w:top w:val="none" w:sz="0" w:space="0" w:color="auto"/>
            <w:left w:val="none" w:sz="0" w:space="0" w:color="auto"/>
            <w:bottom w:val="none" w:sz="0" w:space="0" w:color="auto"/>
            <w:right w:val="none" w:sz="0" w:space="0" w:color="auto"/>
          </w:divBdr>
        </w:div>
      </w:divsChild>
    </w:div>
    <w:div w:id="2052529133">
      <w:bodyDiv w:val="1"/>
      <w:marLeft w:val="0"/>
      <w:marRight w:val="0"/>
      <w:marTop w:val="0"/>
      <w:marBottom w:val="0"/>
      <w:divBdr>
        <w:top w:val="none" w:sz="0" w:space="0" w:color="auto"/>
        <w:left w:val="none" w:sz="0" w:space="0" w:color="auto"/>
        <w:bottom w:val="none" w:sz="0" w:space="0" w:color="auto"/>
        <w:right w:val="none" w:sz="0" w:space="0" w:color="auto"/>
      </w:divBdr>
    </w:div>
    <w:div w:id="2053724717">
      <w:bodyDiv w:val="1"/>
      <w:marLeft w:val="0"/>
      <w:marRight w:val="0"/>
      <w:marTop w:val="0"/>
      <w:marBottom w:val="0"/>
      <w:divBdr>
        <w:top w:val="none" w:sz="0" w:space="0" w:color="auto"/>
        <w:left w:val="none" w:sz="0" w:space="0" w:color="auto"/>
        <w:bottom w:val="none" w:sz="0" w:space="0" w:color="auto"/>
        <w:right w:val="none" w:sz="0" w:space="0" w:color="auto"/>
      </w:divBdr>
    </w:div>
    <w:div w:id="2057927729">
      <w:bodyDiv w:val="1"/>
      <w:marLeft w:val="0"/>
      <w:marRight w:val="0"/>
      <w:marTop w:val="0"/>
      <w:marBottom w:val="0"/>
      <w:divBdr>
        <w:top w:val="none" w:sz="0" w:space="0" w:color="auto"/>
        <w:left w:val="none" w:sz="0" w:space="0" w:color="auto"/>
        <w:bottom w:val="none" w:sz="0" w:space="0" w:color="auto"/>
        <w:right w:val="none" w:sz="0" w:space="0" w:color="auto"/>
      </w:divBdr>
    </w:div>
    <w:div w:id="2061204941">
      <w:marLeft w:val="0"/>
      <w:marRight w:val="0"/>
      <w:marTop w:val="0"/>
      <w:marBottom w:val="0"/>
      <w:divBdr>
        <w:top w:val="none" w:sz="0" w:space="0" w:color="auto"/>
        <w:left w:val="none" w:sz="0" w:space="0" w:color="auto"/>
        <w:bottom w:val="none" w:sz="0" w:space="0" w:color="auto"/>
        <w:right w:val="none" w:sz="0" w:space="0" w:color="auto"/>
      </w:divBdr>
      <w:divsChild>
        <w:div w:id="325017063">
          <w:marLeft w:val="0"/>
          <w:marRight w:val="0"/>
          <w:marTop w:val="0"/>
          <w:marBottom w:val="0"/>
          <w:divBdr>
            <w:top w:val="none" w:sz="0" w:space="0" w:color="auto"/>
            <w:left w:val="none" w:sz="0" w:space="0" w:color="auto"/>
            <w:bottom w:val="none" w:sz="0" w:space="0" w:color="auto"/>
            <w:right w:val="none" w:sz="0" w:space="0" w:color="auto"/>
          </w:divBdr>
        </w:div>
      </w:divsChild>
    </w:div>
    <w:div w:id="2062558263">
      <w:marLeft w:val="0"/>
      <w:marRight w:val="0"/>
      <w:marTop w:val="0"/>
      <w:marBottom w:val="0"/>
      <w:divBdr>
        <w:top w:val="none" w:sz="0" w:space="0" w:color="auto"/>
        <w:left w:val="none" w:sz="0" w:space="0" w:color="auto"/>
        <w:bottom w:val="none" w:sz="0" w:space="0" w:color="auto"/>
        <w:right w:val="none" w:sz="0" w:space="0" w:color="auto"/>
      </w:divBdr>
      <w:divsChild>
        <w:div w:id="1261528001">
          <w:marLeft w:val="0"/>
          <w:marRight w:val="0"/>
          <w:marTop w:val="0"/>
          <w:marBottom w:val="0"/>
          <w:divBdr>
            <w:top w:val="none" w:sz="0" w:space="0" w:color="auto"/>
            <w:left w:val="none" w:sz="0" w:space="0" w:color="auto"/>
            <w:bottom w:val="none" w:sz="0" w:space="0" w:color="auto"/>
            <w:right w:val="none" w:sz="0" w:space="0" w:color="auto"/>
          </w:divBdr>
        </w:div>
      </w:divsChild>
    </w:div>
    <w:div w:id="2063013741">
      <w:bodyDiv w:val="1"/>
      <w:marLeft w:val="0"/>
      <w:marRight w:val="0"/>
      <w:marTop w:val="0"/>
      <w:marBottom w:val="0"/>
      <w:divBdr>
        <w:top w:val="none" w:sz="0" w:space="0" w:color="auto"/>
        <w:left w:val="none" w:sz="0" w:space="0" w:color="auto"/>
        <w:bottom w:val="none" w:sz="0" w:space="0" w:color="auto"/>
        <w:right w:val="none" w:sz="0" w:space="0" w:color="auto"/>
      </w:divBdr>
      <w:divsChild>
        <w:div w:id="523786696">
          <w:marLeft w:val="0"/>
          <w:marRight w:val="0"/>
          <w:marTop w:val="0"/>
          <w:marBottom w:val="0"/>
          <w:divBdr>
            <w:top w:val="none" w:sz="0" w:space="0" w:color="auto"/>
            <w:left w:val="none" w:sz="0" w:space="0" w:color="auto"/>
            <w:bottom w:val="none" w:sz="0" w:space="0" w:color="auto"/>
            <w:right w:val="none" w:sz="0" w:space="0" w:color="auto"/>
          </w:divBdr>
          <w:divsChild>
            <w:div w:id="141892325">
              <w:marLeft w:val="0"/>
              <w:marRight w:val="0"/>
              <w:marTop w:val="0"/>
              <w:marBottom w:val="0"/>
              <w:divBdr>
                <w:top w:val="none" w:sz="0" w:space="0" w:color="auto"/>
                <w:left w:val="none" w:sz="0" w:space="0" w:color="auto"/>
                <w:bottom w:val="none" w:sz="0" w:space="0" w:color="auto"/>
                <w:right w:val="none" w:sz="0" w:space="0" w:color="auto"/>
              </w:divBdr>
            </w:div>
            <w:div w:id="1375543103">
              <w:marLeft w:val="0"/>
              <w:marRight w:val="0"/>
              <w:marTop w:val="0"/>
              <w:marBottom w:val="0"/>
              <w:divBdr>
                <w:top w:val="none" w:sz="0" w:space="0" w:color="auto"/>
                <w:left w:val="none" w:sz="0" w:space="0" w:color="auto"/>
                <w:bottom w:val="none" w:sz="0" w:space="0" w:color="auto"/>
                <w:right w:val="none" w:sz="0" w:space="0" w:color="auto"/>
              </w:divBdr>
            </w:div>
            <w:div w:id="1097605402">
              <w:marLeft w:val="0"/>
              <w:marRight w:val="0"/>
              <w:marTop w:val="0"/>
              <w:marBottom w:val="0"/>
              <w:divBdr>
                <w:top w:val="none" w:sz="0" w:space="0" w:color="auto"/>
                <w:left w:val="none" w:sz="0" w:space="0" w:color="auto"/>
                <w:bottom w:val="none" w:sz="0" w:space="0" w:color="auto"/>
                <w:right w:val="none" w:sz="0" w:space="0" w:color="auto"/>
              </w:divBdr>
            </w:div>
            <w:div w:id="1674599616">
              <w:marLeft w:val="0"/>
              <w:marRight w:val="0"/>
              <w:marTop w:val="0"/>
              <w:marBottom w:val="0"/>
              <w:divBdr>
                <w:top w:val="none" w:sz="0" w:space="0" w:color="auto"/>
                <w:left w:val="none" w:sz="0" w:space="0" w:color="auto"/>
                <w:bottom w:val="none" w:sz="0" w:space="0" w:color="auto"/>
                <w:right w:val="none" w:sz="0" w:space="0" w:color="auto"/>
              </w:divBdr>
            </w:div>
            <w:div w:id="1131559990">
              <w:marLeft w:val="0"/>
              <w:marRight w:val="0"/>
              <w:marTop w:val="0"/>
              <w:marBottom w:val="0"/>
              <w:divBdr>
                <w:top w:val="none" w:sz="0" w:space="0" w:color="auto"/>
                <w:left w:val="none" w:sz="0" w:space="0" w:color="auto"/>
                <w:bottom w:val="none" w:sz="0" w:space="0" w:color="auto"/>
                <w:right w:val="none" w:sz="0" w:space="0" w:color="auto"/>
              </w:divBdr>
            </w:div>
            <w:div w:id="2043706740">
              <w:marLeft w:val="0"/>
              <w:marRight w:val="0"/>
              <w:marTop w:val="0"/>
              <w:marBottom w:val="0"/>
              <w:divBdr>
                <w:top w:val="none" w:sz="0" w:space="0" w:color="auto"/>
                <w:left w:val="none" w:sz="0" w:space="0" w:color="auto"/>
                <w:bottom w:val="none" w:sz="0" w:space="0" w:color="auto"/>
                <w:right w:val="none" w:sz="0" w:space="0" w:color="auto"/>
              </w:divBdr>
            </w:div>
            <w:div w:id="9647769">
              <w:marLeft w:val="0"/>
              <w:marRight w:val="0"/>
              <w:marTop w:val="0"/>
              <w:marBottom w:val="0"/>
              <w:divBdr>
                <w:top w:val="none" w:sz="0" w:space="0" w:color="auto"/>
                <w:left w:val="none" w:sz="0" w:space="0" w:color="auto"/>
                <w:bottom w:val="none" w:sz="0" w:space="0" w:color="auto"/>
                <w:right w:val="none" w:sz="0" w:space="0" w:color="auto"/>
              </w:divBdr>
            </w:div>
            <w:div w:id="380717670">
              <w:marLeft w:val="0"/>
              <w:marRight w:val="0"/>
              <w:marTop w:val="0"/>
              <w:marBottom w:val="0"/>
              <w:divBdr>
                <w:top w:val="none" w:sz="0" w:space="0" w:color="auto"/>
                <w:left w:val="none" w:sz="0" w:space="0" w:color="auto"/>
                <w:bottom w:val="none" w:sz="0" w:space="0" w:color="auto"/>
                <w:right w:val="none" w:sz="0" w:space="0" w:color="auto"/>
              </w:divBdr>
            </w:div>
            <w:div w:id="1100756073">
              <w:marLeft w:val="0"/>
              <w:marRight w:val="0"/>
              <w:marTop w:val="0"/>
              <w:marBottom w:val="0"/>
              <w:divBdr>
                <w:top w:val="none" w:sz="0" w:space="0" w:color="auto"/>
                <w:left w:val="none" w:sz="0" w:space="0" w:color="auto"/>
                <w:bottom w:val="none" w:sz="0" w:space="0" w:color="auto"/>
                <w:right w:val="none" w:sz="0" w:space="0" w:color="auto"/>
              </w:divBdr>
            </w:div>
            <w:div w:id="663510613">
              <w:marLeft w:val="0"/>
              <w:marRight w:val="0"/>
              <w:marTop w:val="0"/>
              <w:marBottom w:val="0"/>
              <w:divBdr>
                <w:top w:val="none" w:sz="0" w:space="0" w:color="auto"/>
                <w:left w:val="none" w:sz="0" w:space="0" w:color="auto"/>
                <w:bottom w:val="none" w:sz="0" w:space="0" w:color="auto"/>
                <w:right w:val="none" w:sz="0" w:space="0" w:color="auto"/>
              </w:divBdr>
            </w:div>
            <w:div w:id="155463352">
              <w:marLeft w:val="0"/>
              <w:marRight w:val="0"/>
              <w:marTop w:val="0"/>
              <w:marBottom w:val="0"/>
              <w:divBdr>
                <w:top w:val="none" w:sz="0" w:space="0" w:color="auto"/>
                <w:left w:val="none" w:sz="0" w:space="0" w:color="auto"/>
                <w:bottom w:val="none" w:sz="0" w:space="0" w:color="auto"/>
                <w:right w:val="none" w:sz="0" w:space="0" w:color="auto"/>
              </w:divBdr>
            </w:div>
            <w:div w:id="1306739558">
              <w:marLeft w:val="0"/>
              <w:marRight w:val="0"/>
              <w:marTop w:val="0"/>
              <w:marBottom w:val="0"/>
              <w:divBdr>
                <w:top w:val="none" w:sz="0" w:space="0" w:color="auto"/>
                <w:left w:val="none" w:sz="0" w:space="0" w:color="auto"/>
                <w:bottom w:val="none" w:sz="0" w:space="0" w:color="auto"/>
                <w:right w:val="none" w:sz="0" w:space="0" w:color="auto"/>
              </w:divBdr>
            </w:div>
            <w:div w:id="792864488">
              <w:marLeft w:val="0"/>
              <w:marRight w:val="0"/>
              <w:marTop w:val="0"/>
              <w:marBottom w:val="0"/>
              <w:divBdr>
                <w:top w:val="none" w:sz="0" w:space="0" w:color="auto"/>
                <w:left w:val="none" w:sz="0" w:space="0" w:color="auto"/>
                <w:bottom w:val="none" w:sz="0" w:space="0" w:color="auto"/>
                <w:right w:val="none" w:sz="0" w:space="0" w:color="auto"/>
              </w:divBdr>
            </w:div>
            <w:div w:id="835999462">
              <w:marLeft w:val="0"/>
              <w:marRight w:val="0"/>
              <w:marTop w:val="0"/>
              <w:marBottom w:val="0"/>
              <w:divBdr>
                <w:top w:val="none" w:sz="0" w:space="0" w:color="auto"/>
                <w:left w:val="none" w:sz="0" w:space="0" w:color="auto"/>
                <w:bottom w:val="none" w:sz="0" w:space="0" w:color="auto"/>
                <w:right w:val="none" w:sz="0" w:space="0" w:color="auto"/>
              </w:divBdr>
            </w:div>
            <w:div w:id="1584101192">
              <w:marLeft w:val="0"/>
              <w:marRight w:val="0"/>
              <w:marTop w:val="0"/>
              <w:marBottom w:val="0"/>
              <w:divBdr>
                <w:top w:val="none" w:sz="0" w:space="0" w:color="auto"/>
                <w:left w:val="none" w:sz="0" w:space="0" w:color="auto"/>
                <w:bottom w:val="none" w:sz="0" w:space="0" w:color="auto"/>
                <w:right w:val="none" w:sz="0" w:space="0" w:color="auto"/>
              </w:divBdr>
            </w:div>
            <w:div w:id="831606970">
              <w:marLeft w:val="0"/>
              <w:marRight w:val="0"/>
              <w:marTop w:val="0"/>
              <w:marBottom w:val="0"/>
              <w:divBdr>
                <w:top w:val="none" w:sz="0" w:space="0" w:color="auto"/>
                <w:left w:val="none" w:sz="0" w:space="0" w:color="auto"/>
                <w:bottom w:val="none" w:sz="0" w:space="0" w:color="auto"/>
                <w:right w:val="none" w:sz="0" w:space="0" w:color="auto"/>
              </w:divBdr>
            </w:div>
            <w:div w:id="159124442">
              <w:marLeft w:val="0"/>
              <w:marRight w:val="0"/>
              <w:marTop w:val="0"/>
              <w:marBottom w:val="0"/>
              <w:divBdr>
                <w:top w:val="none" w:sz="0" w:space="0" w:color="auto"/>
                <w:left w:val="none" w:sz="0" w:space="0" w:color="auto"/>
                <w:bottom w:val="none" w:sz="0" w:space="0" w:color="auto"/>
                <w:right w:val="none" w:sz="0" w:space="0" w:color="auto"/>
              </w:divBdr>
            </w:div>
            <w:div w:id="987173271">
              <w:marLeft w:val="0"/>
              <w:marRight w:val="0"/>
              <w:marTop w:val="0"/>
              <w:marBottom w:val="0"/>
              <w:divBdr>
                <w:top w:val="none" w:sz="0" w:space="0" w:color="auto"/>
                <w:left w:val="none" w:sz="0" w:space="0" w:color="auto"/>
                <w:bottom w:val="none" w:sz="0" w:space="0" w:color="auto"/>
                <w:right w:val="none" w:sz="0" w:space="0" w:color="auto"/>
              </w:divBdr>
            </w:div>
            <w:div w:id="1303272607">
              <w:marLeft w:val="0"/>
              <w:marRight w:val="0"/>
              <w:marTop w:val="0"/>
              <w:marBottom w:val="0"/>
              <w:divBdr>
                <w:top w:val="none" w:sz="0" w:space="0" w:color="auto"/>
                <w:left w:val="none" w:sz="0" w:space="0" w:color="auto"/>
                <w:bottom w:val="none" w:sz="0" w:space="0" w:color="auto"/>
                <w:right w:val="none" w:sz="0" w:space="0" w:color="auto"/>
              </w:divBdr>
            </w:div>
            <w:div w:id="1378435041">
              <w:marLeft w:val="0"/>
              <w:marRight w:val="0"/>
              <w:marTop w:val="0"/>
              <w:marBottom w:val="0"/>
              <w:divBdr>
                <w:top w:val="none" w:sz="0" w:space="0" w:color="auto"/>
                <w:left w:val="none" w:sz="0" w:space="0" w:color="auto"/>
                <w:bottom w:val="none" w:sz="0" w:space="0" w:color="auto"/>
                <w:right w:val="none" w:sz="0" w:space="0" w:color="auto"/>
              </w:divBdr>
            </w:div>
            <w:div w:id="1153989707">
              <w:marLeft w:val="0"/>
              <w:marRight w:val="0"/>
              <w:marTop w:val="0"/>
              <w:marBottom w:val="0"/>
              <w:divBdr>
                <w:top w:val="none" w:sz="0" w:space="0" w:color="auto"/>
                <w:left w:val="none" w:sz="0" w:space="0" w:color="auto"/>
                <w:bottom w:val="none" w:sz="0" w:space="0" w:color="auto"/>
                <w:right w:val="none" w:sz="0" w:space="0" w:color="auto"/>
              </w:divBdr>
            </w:div>
            <w:div w:id="19094485">
              <w:marLeft w:val="0"/>
              <w:marRight w:val="0"/>
              <w:marTop w:val="0"/>
              <w:marBottom w:val="0"/>
              <w:divBdr>
                <w:top w:val="none" w:sz="0" w:space="0" w:color="auto"/>
                <w:left w:val="none" w:sz="0" w:space="0" w:color="auto"/>
                <w:bottom w:val="none" w:sz="0" w:space="0" w:color="auto"/>
                <w:right w:val="none" w:sz="0" w:space="0" w:color="auto"/>
              </w:divBdr>
            </w:div>
            <w:div w:id="711735877">
              <w:marLeft w:val="0"/>
              <w:marRight w:val="0"/>
              <w:marTop w:val="0"/>
              <w:marBottom w:val="0"/>
              <w:divBdr>
                <w:top w:val="none" w:sz="0" w:space="0" w:color="auto"/>
                <w:left w:val="none" w:sz="0" w:space="0" w:color="auto"/>
                <w:bottom w:val="none" w:sz="0" w:space="0" w:color="auto"/>
                <w:right w:val="none" w:sz="0" w:space="0" w:color="auto"/>
              </w:divBdr>
            </w:div>
            <w:div w:id="207381739">
              <w:marLeft w:val="0"/>
              <w:marRight w:val="0"/>
              <w:marTop w:val="0"/>
              <w:marBottom w:val="0"/>
              <w:divBdr>
                <w:top w:val="none" w:sz="0" w:space="0" w:color="auto"/>
                <w:left w:val="none" w:sz="0" w:space="0" w:color="auto"/>
                <w:bottom w:val="none" w:sz="0" w:space="0" w:color="auto"/>
                <w:right w:val="none" w:sz="0" w:space="0" w:color="auto"/>
              </w:divBdr>
            </w:div>
            <w:div w:id="88460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2028">
      <w:bodyDiv w:val="1"/>
      <w:marLeft w:val="0"/>
      <w:marRight w:val="0"/>
      <w:marTop w:val="0"/>
      <w:marBottom w:val="0"/>
      <w:divBdr>
        <w:top w:val="none" w:sz="0" w:space="0" w:color="auto"/>
        <w:left w:val="none" w:sz="0" w:space="0" w:color="auto"/>
        <w:bottom w:val="none" w:sz="0" w:space="0" w:color="auto"/>
        <w:right w:val="none" w:sz="0" w:space="0" w:color="auto"/>
      </w:divBdr>
    </w:div>
    <w:div w:id="2078547504">
      <w:marLeft w:val="0"/>
      <w:marRight w:val="0"/>
      <w:marTop w:val="0"/>
      <w:marBottom w:val="0"/>
      <w:divBdr>
        <w:top w:val="none" w:sz="0" w:space="0" w:color="auto"/>
        <w:left w:val="none" w:sz="0" w:space="0" w:color="auto"/>
        <w:bottom w:val="none" w:sz="0" w:space="0" w:color="auto"/>
        <w:right w:val="none" w:sz="0" w:space="0" w:color="auto"/>
      </w:divBdr>
      <w:divsChild>
        <w:div w:id="594748732">
          <w:marLeft w:val="0"/>
          <w:marRight w:val="0"/>
          <w:marTop w:val="0"/>
          <w:marBottom w:val="0"/>
          <w:divBdr>
            <w:top w:val="none" w:sz="0" w:space="0" w:color="auto"/>
            <w:left w:val="none" w:sz="0" w:space="0" w:color="auto"/>
            <w:bottom w:val="none" w:sz="0" w:space="0" w:color="auto"/>
            <w:right w:val="none" w:sz="0" w:space="0" w:color="auto"/>
          </w:divBdr>
        </w:div>
      </w:divsChild>
    </w:div>
    <w:div w:id="2080862131">
      <w:bodyDiv w:val="1"/>
      <w:marLeft w:val="0"/>
      <w:marRight w:val="0"/>
      <w:marTop w:val="0"/>
      <w:marBottom w:val="0"/>
      <w:divBdr>
        <w:top w:val="none" w:sz="0" w:space="0" w:color="auto"/>
        <w:left w:val="none" w:sz="0" w:space="0" w:color="auto"/>
        <w:bottom w:val="none" w:sz="0" w:space="0" w:color="auto"/>
        <w:right w:val="none" w:sz="0" w:space="0" w:color="auto"/>
      </w:divBdr>
    </w:div>
    <w:div w:id="2084523352">
      <w:marLeft w:val="0"/>
      <w:marRight w:val="0"/>
      <w:marTop w:val="0"/>
      <w:marBottom w:val="0"/>
      <w:divBdr>
        <w:top w:val="none" w:sz="0" w:space="0" w:color="auto"/>
        <w:left w:val="none" w:sz="0" w:space="0" w:color="auto"/>
        <w:bottom w:val="none" w:sz="0" w:space="0" w:color="auto"/>
        <w:right w:val="none" w:sz="0" w:space="0" w:color="auto"/>
      </w:divBdr>
      <w:divsChild>
        <w:div w:id="1681007808">
          <w:marLeft w:val="0"/>
          <w:marRight w:val="0"/>
          <w:marTop w:val="0"/>
          <w:marBottom w:val="0"/>
          <w:divBdr>
            <w:top w:val="none" w:sz="0" w:space="0" w:color="auto"/>
            <w:left w:val="none" w:sz="0" w:space="0" w:color="auto"/>
            <w:bottom w:val="none" w:sz="0" w:space="0" w:color="auto"/>
            <w:right w:val="none" w:sz="0" w:space="0" w:color="auto"/>
          </w:divBdr>
        </w:div>
      </w:divsChild>
    </w:div>
    <w:div w:id="2088726773">
      <w:bodyDiv w:val="1"/>
      <w:marLeft w:val="0"/>
      <w:marRight w:val="0"/>
      <w:marTop w:val="0"/>
      <w:marBottom w:val="0"/>
      <w:divBdr>
        <w:top w:val="none" w:sz="0" w:space="0" w:color="auto"/>
        <w:left w:val="none" w:sz="0" w:space="0" w:color="auto"/>
        <w:bottom w:val="none" w:sz="0" w:space="0" w:color="auto"/>
        <w:right w:val="none" w:sz="0" w:space="0" w:color="auto"/>
      </w:divBdr>
    </w:div>
    <w:div w:id="2092071979">
      <w:marLeft w:val="0"/>
      <w:marRight w:val="0"/>
      <w:marTop w:val="0"/>
      <w:marBottom w:val="0"/>
      <w:divBdr>
        <w:top w:val="none" w:sz="0" w:space="0" w:color="auto"/>
        <w:left w:val="none" w:sz="0" w:space="0" w:color="auto"/>
        <w:bottom w:val="none" w:sz="0" w:space="0" w:color="auto"/>
        <w:right w:val="none" w:sz="0" w:space="0" w:color="auto"/>
      </w:divBdr>
      <w:divsChild>
        <w:div w:id="1838769212">
          <w:marLeft w:val="0"/>
          <w:marRight w:val="0"/>
          <w:marTop w:val="0"/>
          <w:marBottom w:val="0"/>
          <w:divBdr>
            <w:top w:val="none" w:sz="0" w:space="0" w:color="auto"/>
            <w:left w:val="none" w:sz="0" w:space="0" w:color="auto"/>
            <w:bottom w:val="none" w:sz="0" w:space="0" w:color="auto"/>
            <w:right w:val="none" w:sz="0" w:space="0" w:color="auto"/>
          </w:divBdr>
        </w:div>
      </w:divsChild>
    </w:div>
    <w:div w:id="2092315830">
      <w:bodyDiv w:val="1"/>
      <w:marLeft w:val="0"/>
      <w:marRight w:val="0"/>
      <w:marTop w:val="0"/>
      <w:marBottom w:val="0"/>
      <w:divBdr>
        <w:top w:val="none" w:sz="0" w:space="0" w:color="auto"/>
        <w:left w:val="none" w:sz="0" w:space="0" w:color="auto"/>
        <w:bottom w:val="none" w:sz="0" w:space="0" w:color="auto"/>
        <w:right w:val="none" w:sz="0" w:space="0" w:color="auto"/>
      </w:divBdr>
    </w:div>
    <w:div w:id="2098867437">
      <w:bodyDiv w:val="1"/>
      <w:marLeft w:val="0"/>
      <w:marRight w:val="0"/>
      <w:marTop w:val="0"/>
      <w:marBottom w:val="0"/>
      <w:divBdr>
        <w:top w:val="none" w:sz="0" w:space="0" w:color="auto"/>
        <w:left w:val="none" w:sz="0" w:space="0" w:color="auto"/>
        <w:bottom w:val="none" w:sz="0" w:space="0" w:color="auto"/>
        <w:right w:val="none" w:sz="0" w:space="0" w:color="auto"/>
      </w:divBdr>
    </w:div>
    <w:div w:id="2113896369">
      <w:marLeft w:val="0"/>
      <w:marRight w:val="0"/>
      <w:marTop w:val="0"/>
      <w:marBottom w:val="0"/>
      <w:divBdr>
        <w:top w:val="none" w:sz="0" w:space="0" w:color="auto"/>
        <w:left w:val="none" w:sz="0" w:space="0" w:color="auto"/>
        <w:bottom w:val="none" w:sz="0" w:space="0" w:color="auto"/>
        <w:right w:val="none" w:sz="0" w:space="0" w:color="auto"/>
      </w:divBdr>
      <w:divsChild>
        <w:div w:id="669721809">
          <w:marLeft w:val="0"/>
          <w:marRight w:val="0"/>
          <w:marTop w:val="0"/>
          <w:marBottom w:val="0"/>
          <w:divBdr>
            <w:top w:val="none" w:sz="0" w:space="0" w:color="auto"/>
            <w:left w:val="none" w:sz="0" w:space="0" w:color="auto"/>
            <w:bottom w:val="none" w:sz="0" w:space="0" w:color="auto"/>
            <w:right w:val="none" w:sz="0" w:space="0" w:color="auto"/>
          </w:divBdr>
        </w:div>
      </w:divsChild>
    </w:div>
    <w:div w:id="2117210188">
      <w:marLeft w:val="0"/>
      <w:marRight w:val="0"/>
      <w:marTop w:val="0"/>
      <w:marBottom w:val="0"/>
      <w:divBdr>
        <w:top w:val="none" w:sz="0" w:space="0" w:color="auto"/>
        <w:left w:val="none" w:sz="0" w:space="0" w:color="auto"/>
        <w:bottom w:val="none" w:sz="0" w:space="0" w:color="auto"/>
        <w:right w:val="none" w:sz="0" w:space="0" w:color="auto"/>
      </w:divBdr>
      <w:divsChild>
        <w:div w:id="1341085578">
          <w:marLeft w:val="0"/>
          <w:marRight w:val="0"/>
          <w:marTop w:val="0"/>
          <w:marBottom w:val="0"/>
          <w:divBdr>
            <w:top w:val="none" w:sz="0" w:space="0" w:color="auto"/>
            <w:left w:val="none" w:sz="0" w:space="0" w:color="auto"/>
            <w:bottom w:val="none" w:sz="0" w:space="0" w:color="auto"/>
            <w:right w:val="none" w:sz="0" w:space="0" w:color="auto"/>
          </w:divBdr>
        </w:div>
      </w:divsChild>
    </w:div>
    <w:div w:id="2121411574">
      <w:marLeft w:val="0"/>
      <w:marRight w:val="0"/>
      <w:marTop w:val="0"/>
      <w:marBottom w:val="0"/>
      <w:divBdr>
        <w:top w:val="none" w:sz="0" w:space="0" w:color="auto"/>
        <w:left w:val="none" w:sz="0" w:space="0" w:color="auto"/>
        <w:bottom w:val="none" w:sz="0" w:space="0" w:color="auto"/>
        <w:right w:val="none" w:sz="0" w:space="0" w:color="auto"/>
      </w:divBdr>
      <w:divsChild>
        <w:div w:id="2056076729">
          <w:marLeft w:val="0"/>
          <w:marRight w:val="0"/>
          <w:marTop w:val="0"/>
          <w:marBottom w:val="0"/>
          <w:divBdr>
            <w:top w:val="none" w:sz="0" w:space="0" w:color="auto"/>
            <w:left w:val="none" w:sz="0" w:space="0" w:color="auto"/>
            <w:bottom w:val="none" w:sz="0" w:space="0" w:color="auto"/>
            <w:right w:val="none" w:sz="0" w:space="0" w:color="auto"/>
          </w:divBdr>
        </w:div>
      </w:divsChild>
    </w:div>
    <w:div w:id="2123571670">
      <w:marLeft w:val="0"/>
      <w:marRight w:val="0"/>
      <w:marTop w:val="0"/>
      <w:marBottom w:val="0"/>
      <w:divBdr>
        <w:top w:val="none" w:sz="0" w:space="0" w:color="auto"/>
        <w:left w:val="none" w:sz="0" w:space="0" w:color="auto"/>
        <w:bottom w:val="none" w:sz="0" w:space="0" w:color="auto"/>
        <w:right w:val="none" w:sz="0" w:space="0" w:color="auto"/>
      </w:divBdr>
      <w:divsChild>
        <w:div w:id="1424570141">
          <w:marLeft w:val="0"/>
          <w:marRight w:val="0"/>
          <w:marTop w:val="0"/>
          <w:marBottom w:val="0"/>
          <w:divBdr>
            <w:top w:val="none" w:sz="0" w:space="0" w:color="auto"/>
            <w:left w:val="none" w:sz="0" w:space="0" w:color="auto"/>
            <w:bottom w:val="none" w:sz="0" w:space="0" w:color="auto"/>
            <w:right w:val="none" w:sz="0" w:space="0" w:color="auto"/>
          </w:divBdr>
        </w:div>
      </w:divsChild>
    </w:div>
    <w:div w:id="2129817714">
      <w:marLeft w:val="0"/>
      <w:marRight w:val="0"/>
      <w:marTop w:val="0"/>
      <w:marBottom w:val="0"/>
      <w:divBdr>
        <w:top w:val="none" w:sz="0" w:space="0" w:color="auto"/>
        <w:left w:val="none" w:sz="0" w:space="0" w:color="auto"/>
        <w:bottom w:val="none" w:sz="0" w:space="0" w:color="auto"/>
        <w:right w:val="none" w:sz="0" w:space="0" w:color="auto"/>
      </w:divBdr>
      <w:divsChild>
        <w:div w:id="412708351">
          <w:marLeft w:val="0"/>
          <w:marRight w:val="0"/>
          <w:marTop w:val="0"/>
          <w:marBottom w:val="0"/>
          <w:divBdr>
            <w:top w:val="none" w:sz="0" w:space="0" w:color="auto"/>
            <w:left w:val="none" w:sz="0" w:space="0" w:color="auto"/>
            <w:bottom w:val="none" w:sz="0" w:space="0" w:color="auto"/>
            <w:right w:val="none" w:sz="0" w:space="0" w:color="auto"/>
          </w:divBdr>
        </w:div>
      </w:divsChild>
    </w:div>
    <w:div w:id="2131317296">
      <w:marLeft w:val="0"/>
      <w:marRight w:val="0"/>
      <w:marTop w:val="0"/>
      <w:marBottom w:val="0"/>
      <w:divBdr>
        <w:top w:val="none" w:sz="0" w:space="0" w:color="auto"/>
        <w:left w:val="none" w:sz="0" w:space="0" w:color="auto"/>
        <w:bottom w:val="none" w:sz="0" w:space="0" w:color="auto"/>
        <w:right w:val="none" w:sz="0" w:space="0" w:color="auto"/>
      </w:divBdr>
      <w:divsChild>
        <w:div w:id="1615476439">
          <w:marLeft w:val="0"/>
          <w:marRight w:val="0"/>
          <w:marTop w:val="0"/>
          <w:marBottom w:val="0"/>
          <w:divBdr>
            <w:top w:val="none" w:sz="0" w:space="0" w:color="auto"/>
            <w:left w:val="none" w:sz="0" w:space="0" w:color="auto"/>
            <w:bottom w:val="none" w:sz="0" w:space="0" w:color="auto"/>
            <w:right w:val="none" w:sz="0" w:space="0" w:color="auto"/>
          </w:divBdr>
        </w:div>
      </w:divsChild>
    </w:div>
    <w:div w:id="2133133907">
      <w:marLeft w:val="0"/>
      <w:marRight w:val="0"/>
      <w:marTop w:val="0"/>
      <w:marBottom w:val="0"/>
      <w:divBdr>
        <w:top w:val="none" w:sz="0" w:space="0" w:color="auto"/>
        <w:left w:val="none" w:sz="0" w:space="0" w:color="auto"/>
        <w:bottom w:val="none" w:sz="0" w:space="0" w:color="auto"/>
        <w:right w:val="none" w:sz="0" w:space="0" w:color="auto"/>
      </w:divBdr>
      <w:divsChild>
        <w:div w:id="1279944898">
          <w:marLeft w:val="0"/>
          <w:marRight w:val="0"/>
          <w:marTop w:val="0"/>
          <w:marBottom w:val="0"/>
          <w:divBdr>
            <w:top w:val="none" w:sz="0" w:space="0" w:color="auto"/>
            <w:left w:val="none" w:sz="0" w:space="0" w:color="auto"/>
            <w:bottom w:val="none" w:sz="0" w:space="0" w:color="auto"/>
            <w:right w:val="none" w:sz="0" w:space="0" w:color="auto"/>
          </w:divBdr>
        </w:div>
      </w:divsChild>
    </w:div>
    <w:div w:id="2138599950">
      <w:marLeft w:val="0"/>
      <w:marRight w:val="0"/>
      <w:marTop w:val="0"/>
      <w:marBottom w:val="0"/>
      <w:divBdr>
        <w:top w:val="none" w:sz="0" w:space="0" w:color="auto"/>
        <w:left w:val="none" w:sz="0" w:space="0" w:color="auto"/>
        <w:bottom w:val="none" w:sz="0" w:space="0" w:color="auto"/>
        <w:right w:val="none" w:sz="0" w:space="0" w:color="auto"/>
      </w:divBdr>
      <w:divsChild>
        <w:div w:id="884830319">
          <w:marLeft w:val="0"/>
          <w:marRight w:val="0"/>
          <w:marTop w:val="0"/>
          <w:marBottom w:val="0"/>
          <w:divBdr>
            <w:top w:val="none" w:sz="0" w:space="0" w:color="auto"/>
            <w:left w:val="none" w:sz="0" w:space="0" w:color="auto"/>
            <w:bottom w:val="none" w:sz="0" w:space="0" w:color="auto"/>
            <w:right w:val="none" w:sz="0" w:space="0" w:color="auto"/>
          </w:divBdr>
        </w:div>
      </w:divsChild>
    </w:div>
    <w:div w:id="2142721779">
      <w:marLeft w:val="0"/>
      <w:marRight w:val="0"/>
      <w:marTop w:val="0"/>
      <w:marBottom w:val="0"/>
      <w:divBdr>
        <w:top w:val="none" w:sz="0" w:space="0" w:color="auto"/>
        <w:left w:val="none" w:sz="0" w:space="0" w:color="auto"/>
        <w:bottom w:val="none" w:sz="0" w:space="0" w:color="auto"/>
        <w:right w:val="none" w:sz="0" w:space="0" w:color="auto"/>
      </w:divBdr>
      <w:divsChild>
        <w:div w:id="1729455928">
          <w:marLeft w:val="0"/>
          <w:marRight w:val="0"/>
          <w:marTop w:val="0"/>
          <w:marBottom w:val="0"/>
          <w:divBdr>
            <w:top w:val="none" w:sz="0" w:space="0" w:color="auto"/>
            <w:left w:val="none" w:sz="0" w:space="0" w:color="auto"/>
            <w:bottom w:val="none" w:sz="0" w:space="0" w:color="auto"/>
            <w:right w:val="none" w:sz="0" w:space="0" w:color="auto"/>
          </w:divBdr>
        </w:div>
      </w:divsChild>
    </w:div>
    <w:div w:id="2144036151">
      <w:marLeft w:val="0"/>
      <w:marRight w:val="0"/>
      <w:marTop w:val="0"/>
      <w:marBottom w:val="0"/>
      <w:divBdr>
        <w:top w:val="none" w:sz="0" w:space="0" w:color="auto"/>
        <w:left w:val="none" w:sz="0" w:space="0" w:color="auto"/>
        <w:bottom w:val="none" w:sz="0" w:space="0" w:color="auto"/>
        <w:right w:val="none" w:sz="0" w:space="0" w:color="auto"/>
      </w:divBdr>
      <w:divsChild>
        <w:div w:id="1992441854">
          <w:marLeft w:val="0"/>
          <w:marRight w:val="0"/>
          <w:marTop w:val="0"/>
          <w:marBottom w:val="0"/>
          <w:divBdr>
            <w:top w:val="none" w:sz="0" w:space="0" w:color="auto"/>
            <w:left w:val="none" w:sz="0" w:space="0" w:color="auto"/>
            <w:bottom w:val="none" w:sz="0" w:space="0" w:color="auto"/>
            <w:right w:val="none" w:sz="0" w:space="0" w:color="auto"/>
          </w:divBdr>
        </w:div>
      </w:divsChild>
    </w:div>
    <w:div w:id="2144350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pmc.gov.au/government/commonwealth-coat-arms" TargetMode="Externa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31.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3.0/au" TargetMode="Externa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footer" Target="footer1.xml"/><Relationship Id="rId10" Type="http://schemas.openxmlformats.org/officeDocument/2006/relationships/hyperlink" Target="http://creativecommons.org/licenses/by/3.0/au" TargetMode="External"/><Relationship Id="rId19" Type="http://schemas.openxmlformats.org/officeDocument/2006/relationships/image" Target="media/image9.jpg"/><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eader" Target="header3.xm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C423B-F938-4112-B860-A4D5726F9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84</Pages>
  <Words>19989</Words>
  <Characters>113552</Characters>
  <Application>Microsoft Office Word</Application>
  <DocSecurity>0</DocSecurity>
  <Lines>946</Lines>
  <Paragraphs>266</Paragraphs>
  <ScaleCrop>false</ScaleCrop>
  <HeadingPairs>
    <vt:vector size="2" baseType="variant">
      <vt:variant>
        <vt:lpstr>Title</vt:lpstr>
      </vt:variant>
      <vt:variant>
        <vt:i4>1</vt:i4>
      </vt:variant>
    </vt:vector>
  </HeadingPairs>
  <TitlesOfParts>
    <vt:vector size="1" baseType="lpstr">
      <vt:lpstr>Technical supplement 8: Economies of scale in superannuation - Superannuation: Assessing Efficiency and Competitiveness Inquiry Report</vt:lpstr>
    </vt:vector>
  </TitlesOfParts>
  <Company/>
  <LinksUpToDate>false</LinksUpToDate>
  <CharactersWithSpaces>133275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supplement 8: Economies of scale in superannuation - Superannuation: Assessing Efficiency and Competitiveness Inquiry Report</dc:title>
  <dc:subject/>
  <dc:creator>Productivity Commission</dc:creator>
  <cp:keywords/>
  <dc:description/>
  <cp:lastModifiedBy>Quach, Ken</cp:lastModifiedBy>
  <cp:revision>19</cp:revision>
  <cp:lastPrinted>2019-01-09T04:11:00Z</cp:lastPrinted>
  <dcterms:created xsi:type="dcterms:W3CDTF">2018-05-24T14:31:00Z</dcterms:created>
  <dcterms:modified xsi:type="dcterms:W3CDTF">2019-01-09T04:53:00Z</dcterms:modified>
</cp:coreProperties>
</file>