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E4488A" w:rsidP="00CD5E6B">
      <w:pPr>
        <w:pStyle w:val="BodyText"/>
        <w:rPr>
          <w:b/>
          <w:szCs w:val="26"/>
        </w:rPr>
      </w:pPr>
      <w:r>
        <w:rPr>
          <w:noProof/>
          <w:lang w:eastAsia="en-AU"/>
        </w:rPr>
        <w:drawing>
          <wp:anchor distT="0" distB="0" distL="114300" distR="114300" simplePos="0" relativeHeight="251658240" behindDoc="1" locked="0" layoutInCell="1" allowOverlap="1">
            <wp:simplePos x="1152939" y="1049572"/>
            <wp:positionH relativeFrom="page">
              <wp:align>center</wp:align>
            </wp:positionH>
            <wp:positionV relativeFrom="page">
              <wp:align>bottom</wp:align>
            </wp:positionV>
            <wp:extent cx="7560000" cy="10126800"/>
            <wp:effectExtent l="0" t="0" r="3175" b="8255"/>
            <wp:wrapNone/>
            <wp:docPr id="2" name="Picture 2" descr="Cover for the Australian Government Productivity Commission report titled 'Tasmanian Shipping and Freight'. Inquiry report number 69, 7 March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smanian-shipping-final-WEB-cover.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60000" cy="10126800"/>
                    </a:xfrm>
                    <a:prstGeom prst="rect">
                      <a:avLst/>
                    </a:prstGeom>
                  </pic:spPr>
                </pic:pic>
              </a:graphicData>
            </a:graphic>
            <wp14:sizeRelH relativeFrom="margin">
              <wp14:pctWidth>0</wp14:pctWidth>
            </wp14:sizeRelH>
            <wp14:sizeRelV relativeFrom="margin">
              <wp14:pctHeight>0</wp14:pctHeight>
            </wp14:sizeRelV>
          </wp:anchor>
        </w:drawing>
      </w:r>
      <w:r w:rsidR="00B04D19">
        <w:br w:type="page"/>
      </w:r>
      <w:bookmarkStart w:id="0" w:name="_GoBack"/>
      <w:bookmarkEnd w:id="0"/>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2014</w:t>
      </w:r>
    </w:p>
    <w:p w:rsidR="00973BF5" w:rsidRPr="007809B8" w:rsidRDefault="00973BF5">
      <w:pPr>
        <w:pStyle w:val="BodyText"/>
        <w:tabs>
          <w:tab w:val="left" w:pos="851"/>
        </w:tabs>
        <w:spacing w:before="200" w:after="120"/>
        <w:jc w:val="left"/>
        <w:rPr>
          <w:b/>
          <w:sz w:val="24"/>
        </w:rPr>
      </w:pPr>
      <w:bookmarkStart w:id="1" w:name="ISSN"/>
      <w:bookmarkEnd w:id="1"/>
      <w:r w:rsidRPr="009A0508">
        <w:rPr>
          <w:b/>
          <w:sz w:val="24"/>
        </w:rPr>
        <w:t>ISSN</w:t>
      </w:r>
      <w:r w:rsidRPr="009A0508">
        <w:rPr>
          <w:b/>
          <w:sz w:val="24"/>
        </w:rPr>
        <w:tab/>
      </w:r>
      <w:r w:rsidR="003C2108" w:rsidRPr="009A0508">
        <w:rPr>
          <w:b/>
          <w:sz w:val="24"/>
        </w:rPr>
        <w:t>1447-1329</w:t>
      </w:r>
      <w:r w:rsidRPr="009A0508">
        <w:rPr>
          <w:b/>
          <w:sz w:val="24"/>
        </w:rPr>
        <w:br/>
        <w:t>ISBN</w:t>
      </w:r>
      <w:r w:rsidRPr="009A0508">
        <w:rPr>
          <w:b/>
          <w:sz w:val="24"/>
        </w:rPr>
        <w:tab/>
      </w:r>
      <w:r w:rsidR="003C2108" w:rsidRPr="009A0508">
        <w:rPr>
          <w:b/>
          <w:sz w:val="24"/>
        </w:rPr>
        <w:t>978-1-74037-477-4</w:t>
      </w:r>
    </w:p>
    <w:p w:rsidR="003E7802" w:rsidRPr="00F4234E" w:rsidRDefault="003E7802" w:rsidP="00F4234E">
      <w:pPr>
        <w:pStyle w:val="BodyText"/>
      </w:pPr>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Pr="00F4234E" w:rsidRDefault="003E7802" w:rsidP="00F4234E">
      <w:pPr>
        <w:pStyle w:val="BodyText"/>
        <w:rPr>
          <w:i/>
        </w:rPr>
      </w:pPr>
      <w:r w:rsidRPr="00F4234E">
        <w:rPr>
          <w:i/>
        </w:rPr>
        <w:t>This publication is available from the Productivity Commission website at www.pc.gov.au. If you require part or all of this publication in a different format, please contact Me</w:t>
      </w:r>
      <w:r w:rsidR="00734127" w:rsidRPr="00F4234E">
        <w:rPr>
          <w:i/>
        </w:rPr>
        <w:t>dia and Publications.</w:t>
      </w:r>
    </w:p>
    <w:p w:rsidR="003E7802" w:rsidRDefault="003E7802" w:rsidP="003E7802">
      <w:pPr>
        <w:pStyle w:val="BodyText"/>
        <w:spacing w:before="320"/>
        <w:rPr>
          <w:b/>
          <w:sz w:val="24"/>
        </w:rPr>
      </w:pPr>
      <w:r>
        <w:rPr>
          <w:b/>
          <w:sz w:val="24"/>
        </w:rPr>
        <w:t>Publications Inquiries:</w:t>
      </w:r>
    </w:p>
    <w:p w:rsidR="003E7802" w:rsidRDefault="003E7802" w:rsidP="003E7802">
      <w:pPr>
        <w:pStyle w:val="BodyText"/>
        <w:spacing w:before="0" w:line="240" w:lineRule="auto"/>
        <w:rPr>
          <w:sz w:val="24"/>
        </w:rPr>
      </w:pPr>
      <w:r>
        <w:rPr>
          <w:sz w:val="24"/>
        </w:rPr>
        <w:t xml:space="preserve">Media and </w:t>
      </w:r>
      <w:r w:rsidRPr="00FD4728">
        <w:rPr>
          <w:snapToGrid w:val="0"/>
          <w:sz w:val="24"/>
        </w:rPr>
        <w:t>Publications</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3E7802" w:rsidRDefault="003E7802" w:rsidP="003E7802">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r>
      <w:proofErr w:type="spellStart"/>
      <w:r w:rsidRPr="008F04C9">
        <w:rPr>
          <w:sz w:val="24"/>
          <w:szCs w:val="24"/>
        </w:rPr>
        <w:t>maps@pc.gov.au</w:t>
      </w:r>
      <w:proofErr w:type="spellEnd"/>
    </w:p>
    <w:p w:rsidR="003E7802" w:rsidRDefault="003E7802" w:rsidP="003E7802">
      <w:pPr>
        <w:pStyle w:val="BodyText"/>
        <w:spacing w:before="320"/>
        <w:rPr>
          <w:b/>
          <w:sz w:val="24"/>
        </w:rPr>
      </w:pPr>
      <w:r>
        <w:rPr>
          <w:b/>
          <w:sz w:val="24"/>
        </w:rPr>
        <w:t>General Inquiries:</w:t>
      </w:r>
    </w:p>
    <w:p w:rsidR="003E7802" w:rsidRPr="008F04C9" w:rsidRDefault="003E7802" w:rsidP="003E7802">
      <w:pPr>
        <w:pStyle w:val="BodyText"/>
        <w:tabs>
          <w:tab w:val="left" w:pos="1134"/>
        </w:tabs>
        <w:spacing w:before="0" w:line="240" w:lineRule="auto"/>
        <w:rPr>
          <w:sz w:val="24"/>
          <w:szCs w:val="24"/>
        </w:rPr>
      </w:pPr>
      <w:r w:rsidRPr="008F04C9">
        <w:rPr>
          <w:sz w:val="24"/>
          <w:szCs w:val="24"/>
        </w:rPr>
        <w:t>Tel:</w:t>
      </w:r>
      <w:r w:rsidRPr="008F04C9">
        <w:rPr>
          <w:sz w:val="24"/>
          <w:szCs w:val="24"/>
        </w:rPr>
        <w:tab/>
        <w:t>(03) 9653 2100 or (02) 6240 3200</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973BF5" w:rsidRDefault="00973BF5" w:rsidP="00973BF5">
      <w:pPr>
        <w:pStyle w:val="BodyText"/>
        <w:spacing w:before="160" w:after="120" w:line="240" w:lineRule="auto"/>
        <w:rPr>
          <w:sz w:val="24"/>
          <w:szCs w:val="24"/>
        </w:rPr>
      </w:pPr>
      <w:bookmarkStart w:id="2" w:name="JEL"/>
      <w:bookmarkEnd w:id="2"/>
      <w:r>
        <w:rPr>
          <w:sz w:val="24"/>
          <w:szCs w:val="24"/>
        </w:rPr>
        <w:t xml:space="preserve">Productivity Commission 2014, </w:t>
      </w:r>
      <w:r>
        <w:rPr>
          <w:i/>
          <w:sz w:val="24"/>
          <w:szCs w:val="24"/>
        </w:rPr>
        <w:t>Tasmanian Shipping and Freight</w:t>
      </w:r>
      <w:r>
        <w:rPr>
          <w:sz w:val="24"/>
          <w:szCs w:val="24"/>
        </w:rPr>
        <w:t xml:space="preserve">, </w:t>
      </w:r>
      <w:r w:rsidR="00792557">
        <w:rPr>
          <w:sz w:val="24"/>
          <w:szCs w:val="24"/>
        </w:rPr>
        <w:t xml:space="preserve">Report No. 69, </w:t>
      </w:r>
      <w:r>
        <w:rPr>
          <w:sz w:val="24"/>
          <w:szCs w:val="24"/>
        </w:rPr>
        <w:t>Inquiry Report, Canberra.</w:t>
      </w:r>
    </w:p>
    <w:p w:rsidR="00973BF5" w:rsidRPr="001568BB" w:rsidRDefault="00973BF5" w:rsidP="00973BF5">
      <w:pPr>
        <w:pStyle w:val="BodyText"/>
        <w:spacing w:before="160" w:after="120" w:line="240" w:lineRule="auto"/>
        <w:rPr>
          <w:sz w:val="24"/>
          <w:szCs w:val="24"/>
        </w:rPr>
      </w:pPr>
    </w:p>
    <w:p w:rsidR="003E7802" w:rsidRPr="00DC75C7" w:rsidRDefault="003E7802" w:rsidP="00F4234E">
      <w:pPr>
        <w:pStyle w:val="PCBoxHeading"/>
      </w:pPr>
      <w:r w:rsidRPr="00DC75C7">
        <w:t>The Productivity Commission</w:t>
      </w:r>
    </w:p>
    <w:p w:rsidR="003E7802" w:rsidRPr="00BB5DCF" w:rsidRDefault="003E7802" w:rsidP="00F4234E">
      <w:pPr>
        <w:pStyle w:val="PCBoxtext"/>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BB5DCF" w:rsidRDefault="003E7802" w:rsidP="00F4234E">
      <w:pPr>
        <w:pStyle w:val="PCBoxtext"/>
      </w:pPr>
      <w:r w:rsidRPr="00BB5DCF">
        <w:t>The Commission’s independence is underpinned by an Act of Parliament. Its processes and outputs are open to public scrutiny and are driven by concern for the wellbeing of the community as a whole.</w:t>
      </w:r>
    </w:p>
    <w:p w:rsidR="00973BF5" w:rsidRPr="00436A43" w:rsidRDefault="003E7802" w:rsidP="00436A43">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 xml:space="preserve">Further information on the Productivity Commission can be obtained from the Commission’s website (www.pc.gov.au) or by contacting Media and Publications on (03) 9653 2244 or email: </w:t>
      </w:r>
      <w:proofErr w:type="spellStart"/>
      <w:r w:rsidRPr="00BB5DCF">
        <w:rPr>
          <w:sz w:val="24"/>
          <w:szCs w:val="24"/>
        </w:rPr>
        <w:t>maps@pc.gov.au</w:t>
      </w:r>
      <w:bookmarkStart w:id="3" w:name="cov"/>
      <w:bookmarkEnd w:id="3"/>
      <w:proofErr w:type="spellEnd"/>
    </w:p>
    <w:tbl>
      <w:tblPr>
        <w:tblW w:w="9073" w:type="dxa"/>
        <w:tblInd w:w="-34" w:type="dxa"/>
        <w:tblLayout w:type="fixed"/>
        <w:tblLook w:val="0000" w:firstRow="0" w:lastRow="0" w:firstColumn="0" w:lastColumn="0" w:noHBand="0" w:noVBand="0"/>
      </w:tblPr>
      <w:tblGrid>
        <w:gridCol w:w="2434"/>
        <w:gridCol w:w="1824"/>
        <w:gridCol w:w="1696"/>
        <w:gridCol w:w="3119"/>
      </w:tblGrid>
      <w:tr w:rsidR="00973BF5" w:rsidTr="00537BB4">
        <w:trPr>
          <w:cantSplit/>
          <w:trHeight w:hRule="exact" w:val="996"/>
        </w:trPr>
        <w:tc>
          <w:tcPr>
            <w:tcW w:w="2434" w:type="dxa"/>
          </w:tcPr>
          <w:p w:rsidR="00973BF5" w:rsidRPr="00205C77" w:rsidRDefault="00973BF5">
            <w:pPr>
              <w:pStyle w:val="PCAddress"/>
              <w:ind w:left="709"/>
              <w:rPr>
                <w:rFonts w:ascii="Goudy Old Style" w:hAnsi="Goudy Old Style"/>
                <w:b/>
                <w:i/>
              </w:rPr>
            </w:pPr>
          </w:p>
        </w:tc>
        <w:tc>
          <w:tcPr>
            <w:tcW w:w="1824" w:type="dxa"/>
          </w:tcPr>
          <w:p w:rsidR="00973BF5" w:rsidRPr="00205C77" w:rsidRDefault="00973BF5">
            <w:pPr>
              <w:pStyle w:val="PCAddress"/>
              <w:ind w:left="709"/>
              <w:rPr>
                <w:rFonts w:ascii="Goudy Old Style" w:hAnsi="Goudy Old Style"/>
                <w:b/>
                <w:i/>
              </w:rPr>
            </w:pPr>
          </w:p>
        </w:tc>
        <w:tc>
          <w:tcPr>
            <w:tcW w:w="4815" w:type="dxa"/>
            <w:gridSpan w:val="2"/>
          </w:tcPr>
          <w:p w:rsidR="00973BF5" w:rsidRPr="00205C77" w:rsidRDefault="00973BF5" w:rsidP="00537BB4">
            <w:pPr>
              <w:pStyle w:val="PCAddress"/>
              <w:ind w:left="709" w:right="176"/>
              <w:jc w:val="right"/>
              <w:rPr>
                <w:rFonts w:ascii="Goudy Old Style" w:hAnsi="Goudy Old Style"/>
                <w:b/>
                <w:i/>
              </w:rPr>
            </w:pPr>
            <w:r w:rsidRPr="00205C77">
              <w:rPr>
                <w:rFonts w:ascii="Goudy Old Style" w:hAnsi="Goudy Old Style"/>
                <w:noProof/>
                <w:sz w:val="20"/>
              </w:rPr>
              <w:drawing>
                <wp:inline distT="0" distB="0" distL="0" distR="0" wp14:anchorId="668149BB" wp14:editId="08F670EA">
                  <wp:extent cx="2057400" cy="600075"/>
                  <wp:effectExtent l="0" t="0" r="0" b="9525"/>
                  <wp:docPr id="1" name="Picture 1" descr="PC_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_inlin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57400" cy="600075"/>
                          </a:xfrm>
                          <a:prstGeom prst="rect">
                            <a:avLst/>
                          </a:prstGeom>
                          <a:noFill/>
                          <a:ln>
                            <a:noFill/>
                          </a:ln>
                        </pic:spPr>
                      </pic:pic>
                    </a:graphicData>
                  </a:graphic>
                </wp:inline>
              </w:drawing>
            </w:r>
          </w:p>
        </w:tc>
      </w:tr>
      <w:tr w:rsidR="00973BF5" w:rsidTr="00537BB4">
        <w:trPr>
          <w:cantSplit/>
          <w:trHeight w:hRule="exact" w:val="2793"/>
        </w:trPr>
        <w:tc>
          <w:tcPr>
            <w:tcW w:w="5954" w:type="dxa"/>
            <w:gridSpan w:val="3"/>
            <w:vAlign w:val="bottom"/>
          </w:tcPr>
          <w:p w:rsidR="00973BF5" w:rsidRPr="00E61DA2" w:rsidRDefault="00973BF5" w:rsidP="00973BF5">
            <w:pPr>
              <w:pStyle w:val="LetterAddress"/>
              <w:ind w:left="-113"/>
            </w:pPr>
            <w:bookmarkStart w:id="4" w:name="YourRef"/>
            <w:bookmarkStart w:id="5" w:name="OurRef"/>
            <w:bookmarkStart w:id="6" w:name="graphics" w:colFirst="1" w:colLast="1"/>
            <w:bookmarkEnd w:id="4"/>
            <w:bookmarkEnd w:id="5"/>
            <w:r w:rsidRPr="00E61DA2">
              <w:cr/>
            </w:r>
            <w:r>
              <w:t>7 March 2014</w:t>
            </w:r>
          </w:p>
        </w:tc>
        <w:tc>
          <w:tcPr>
            <w:tcW w:w="3119" w:type="dxa"/>
            <w:vAlign w:val="center"/>
          </w:tcPr>
          <w:p w:rsidR="00973BF5" w:rsidRPr="00205C77" w:rsidRDefault="00973BF5">
            <w:pPr>
              <w:pStyle w:val="PCAddress"/>
              <w:ind w:left="709"/>
              <w:rPr>
                <w:rFonts w:ascii="Goudy Old Style" w:hAnsi="Goudy Old Style"/>
                <w:b/>
                <w:i/>
              </w:rPr>
            </w:pPr>
            <w:r>
              <w:rPr>
                <w:rFonts w:ascii="Goudy Old Style" w:hAnsi="Goudy Old Style"/>
                <w:b/>
                <w:i/>
              </w:rPr>
              <w:t xml:space="preserve">Canberra </w:t>
            </w:r>
            <w:r w:rsidRPr="00205C77">
              <w:rPr>
                <w:rFonts w:ascii="Goudy Old Style" w:hAnsi="Goudy Old Style"/>
                <w:b/>
                <w:i/>
              </w:rPr>
              <w:t>Office</w:t>
            </w:r>
          </w:p>
          <w:p w:rsidR="00973BF5" w:rsidRPr="00205C77" w:rsidRDefault="00973BF5">
            <w:pPr>
              <w:pStyle w:val="PCAddress"/>
              <w:spacing w:after="0"/>
              <w:ind w:left="709"/>
              <w:rPr>
                <w:rFonts w:ascii="Goudy Old Style" w:hAnsi="Goudy Old Style"/>
              </w:rPr>
            </w:pPr>
            <w:r>
              <w:rPr>
                <w:rFonts w:ascii="Goudy Old Style" w:hAnsi="Goudy Old Style"/>
              </w:rPr>
              <w:t xml:space="preserve">Level </w:t>
            </w:r>
            <w:r w:rsidRPr="00205C77">
              <w:rPr>
                <w:rFonts w:ascii="Goudy Old Style" w:hAnsi="Goudy Old Style"/>
              </w:rPr>
              <w:t xml:space="preserve">2, </w:t>
            </w:r>
            <w:r>
              <w:rPr>
                <w:rFonts w:ascii="Goudy Old Style" w:hAnsi="Goudy Old Style"/>
              </w:rPr>
              <w:t>15 Moore Street</w:t>
            </w:r>
          </w:p>
          <w:p w:rsidR="00973BF5" w:rsidRPr="00205C77" w:rsidRDefault="00973BF5">
            <w:pPr>
              <w:pStyle w:val="PCAddress"/>
              <w:ind w:left="709"/>
              <w:rPr>
                <w:rFonts w:ascii="Goudy Old Style" w:hAnsi="Goudy Old Style"/>
              </w:rPr>
            </w:pPr>
            <w:r>
              <w:rPr>
                <w:rFonts w:ascii="Goudy Old Style" w:hAnsi="Goudy Old Style"/>
              </w:rPr>
              <w:t>Canberra City  ACT  2600</w:t>
            </w:r>
          </w:p>
          <w:p w:rsidR="00973BF5" w:rsidRPr="00205C77" w:rsidRDefault="00973BF5">
            <w:pPr>
              <w:pStyle w:val="PCAddress"/>
              <w:spacing w:after="0"/>
              <w:ind w:left="709"/>
              <w:rPr>
                <w:rFonts w:ascii="Goudy Old Style" w:hAnsi="Goudy Old Style"/>
              </w:rPr>
            </w:pPr>
            <w:r>
              <w:rPr>
                <w:rFonts w:ascii="Goudy Old Style" w:hAnsi="Goudy Old Style"/>
              </w:rPr>
              <w:t>GPO Box 1428</w:t>
            </w:r>
          </w:p>
          <w:p w:rsidR="00973BF5" w:rsidRPr="00205C77" w:rsidRDefault="00973BF5">
            <w:pPr>
              <w:pStyle w:val="PCAddress"/>
              <w:ind w:left="709"/>
              <w:rPr>
                <w:rFonts w:ascii="Goudy Old Style" w:hAnsi="Goudy Old Style"/>
              </w:rPr>
            </w:pPr>
            <w:r>
              <w:rPr>
                <w:rFonts w:ascii="Goudy Old Style" w:hAnsi="Goudy Old Style"/>
              </w:rPr>
              <w:t>Canberra City  ACT  2601</w:t>
            </w:r>
          </w:p>
          <w:p w:rsidR="00973BF5" w:rsidRPr="00205C77" w:rsidRDefault="00973BF5" w:rsidP="00973BF5">
            <w:pPr>
              <w:pStyle w:val="PCAddress"/>
              <w:ind w:left="709"/>
              <w:rPr>
                <w:rFonts w:ascii="Goudy Old Style" w:hAnsi="Goudy Old Style"/>
              </w:rPr>
            </w:pPr>
            <w:r w:rsidRPr="00205C77">
              <w:rPr>
                <w:rFonts w:ascii="Goudy Old Style" w:hAnsi="Goudy Old Style"/>
              </w:rPr>
              <w:t>Telephone</w:t>
            </w:r>
            <w:r w:rsidRPr="00205C77">
              <w:rPr>
                <w:rFonts w:ascii="Goudy Old Style" w:hAnsi="Goudy Old Style"/>
              </w:rPr>
              <w:tab/>
              <w:t>02 6240 3200</w:t>
            </w:r>
          </w:p>
          <w:p w:rsidR="00973BF5" w:rsidRPr="00205C77" w:rsidRDefault="00973BF5">
            <w:pPr>
              <w:pStyle w:val="PCAddress"/>
              <w:ind w:left="709"/>
              <w:rPr>
                <w:rFonts w:ascii="Goudy Old Style" w:hAnsi="Goudy Old Style"/>
                <w:b/>
                <w:i/>
              </w:rPr>
            </w:pPr>
            <w:r>
              <w:rPr>
                <w:rFonts w:ascii="Goudy Old Style" w:hAnsi="Goudy Old Style"/>
                <w:b/>
                <w:i/>
              </w:rPr>
              <w:t>Melbourne</w:t>
            </w:r>
            <w:r w:rsidRPr="00205C77">
              <w:rPr>
                <w:rFonts w:ascii="Goudy Old Style" w:hAnsi="Goudy Old Style"/>
                <w:b/>
                <w:i/>
              </w:rPr>
              <w:t xml:space="preserve"> Office</w:t>
            </w:r>
          </w:p>
          <w:p w:rsidR="00973BF5" w:rsidRPr="00205C77" w:rsidRDefault="00973BF5" w:rsidP="00973BF5">
            <w:pPr>
              <w:pStyle w:val="PCAddress"/>
              <w:spacing w:after="0"/>
              <w:ind w:left="709"/>
              <w:rPr>
                <w:rFonts w:ascii="Goudy Old Style" w:hAnsi="Goudy Old Style"/>
              </w:rPr>
            </w:pPr>
            <w:r w:rsidRPr="00205C77">
              <w:rPr>
                <w:rFonts w:ascii="Goudy Old Style" w:hAnsi="Goudy Old Style"/>
              </w:rPr>
              <w:t>Telephone</w:t>
            </w:r>
            <w:r w:rsidRPr="00205C77">
              <w:rPr>
                <w:rFonts w:ascii="Goudy Old Style" w:hAnsi="Goudy Old Style"/>
              </w:rPr>
              <w:tab/>
              <w:t>03 9653 2100</w:t>
            </w:r>
          </w:p>
          <w:p w:rsidR="00973BF5" w:rsidRPr="00205C77" w:rsidRDefault="00973BF5">
            <w:pPr>
              <w:pStyle w:val="PCAddress"/>
              <w:ind w:left="709"/>
              <w:rPr>
                <w:rFonts w:ascii="Goudy Old Style" w:hAnsi="Goudy Old Style"/>
              </w:rPr>
            </w:pPr>
            <w:r w:rsidRPr="00205C77">
              <w:rPr>
                <w:rFonts w:ascii="Goudy Old Style" w:hAnsi="Goudy Old Style"/>
              </w:rPr>
              <w:t>www.pc.gov.au</w:t>
            </w:r>
          </w:p>
        </w:tc>
      </w:tr>
      <w:bookmarkEnd w:id="6"/>
    </w:tbl>
    <w:p w:rsidR="00973BF5" w:rsidRPr="00C76C25" w:rsidRDefault="00973BF5" w:rsidP="00537BB4">
      <w:pPr>
        <w:pStyle w:val="LetterAddress"/>
      </w:pPr>
    </w:p>
    <w:p w:rsidR="00CD6CE3" w:rsidRDefault="00CD6CE3">
      <w:pPr>
        <w:pStyle w:val="LetterAddress"/>
      </w:pPr>
    </w:p>
    <w:p w:rsidR="00CD6CE3" w:rsidRDefault="00CD6CE3">
      <w:pPr>
        <w:pStyle w:val="LetterAddress"/>
      </w:pPr>
    </w:p>
    <w:p w:rsidR="00CD6CE3" w:rsidRDefault="00CD6CE3">
      <w:pPr>
        <w:pStyle w:val="LetterAddress"/>
      </w:pPr>
    </w:p>
    <w:p w:rsidR="00973BF5" w:rsidRPr="00C76C25" w:rsidRDefault="00973BF5">
      <w:pPr>
        <w:pStyle w:val="LetterAddress"/>
      </w:pPr>
      <w:r>
        <w:t>T</w:t>
      </w:r>
      <w:r w:rsidRPr="00C76C25">
        <w:t xml:space="preserve">he Hon </w:t>
      </w:r>
      <w:r>
        <w:t>Joe Hockey MP</w:t>
      </w:r>
      <w:r w:rsidRPr="00C76C25">
        <w:br/>
        <w:t>Treasurer</w:t>
      </w:r>
    </w:p>
    <w:p w:rsidR="00973BF5" w:rsidRPr="00C76C25" w:rsidRDefault="00973BF5">
      <w:pPr>
        <w:pStyle w:val="LetterAddress"/>
      </w:pPr>
      <w:r w:rsidRPr="00C76C25">
        <w:t>Parliament House</w:t>
      </w:r>
    </w:p>
    <w:p w:rsidR="00973BF5" w:rsidRPr="00C76C25" w:rsidRDefault="00973BF5">
      <w:pPr>
        <w:pStyle w:val="LetterAddress"/>
      </w:pPr>
      <w:r w:rsidRPr="00C76C25">
        <w:t>CANBERRA  ACT  2600</w:t>
      </w:r>
    </w:p>
    <w:p w:rsidR="00973BF5" w:rsidRDefault="00973BF5">
      <w:pPr>
        <w:pStyle w:val="Salutation"/>
      </w:pPr>
      <w:bookmarkStart w:id="7" w:name="Salutation"/>
      <w:bookmarkEnd w:id="7"/>
    </w:p>
    <w:p w:rsidR="00973BF5" w:rsidRPr="00C76C25" w:rsidRDefault="00973BF5">
      <w:pPr>
        <w:pStyle w:val="Salutation"/>
      </w:pPr>
      <w:r w:rsidRPr="00C76C25">
        <w:t>Dear Treasurer</w:t>
      </w:r>
    </w:p>
    <w:p w:rsidR="00973BF5" w:rsidRPr="00C76C25" w:rsidRDefault="00973BF5" w:rsidP="00537BB4">
      <w:pPr>
        <w:pStyle w:val="BodyText"/>
        <w:ind w:right="142"/>
        <w:rPr>
          <w:sz w:val="24"/>
          <w:szCs w:val="24"/>
        </w:rPr>
      </w:pPr>
      <w:bookmarkStart w:id="8" w:name="Body"/>
      <w:bookmarkEnd w:id="8"/>
      <w:r w:rsidRPr="00C76C25">
        <w:rPr>
          <w:sz w:val="24"/>
          <w:szCs w:val="24"/>
        </w:rPr>
        <w:t xml:space="preserve">In accordance with Section 11 of the </w:t>
      </w:r>
      <w:r w:rsidRPr="00C76C25">
        <w:rPr>
          <w:i/>
          <w:sz w:val="24"/>
          <w:szCs w:val="24"/>
        </w:rPr>
        <w:t>Productivity Commission Act 1998</w:t>
      </w:r>
      <w:r w:rsidRPr="00C76C25">
        <w:rPr>
          <w:sz w:val="24"/>
          <w:szCs w:val="24"/>
        </w:rPr>
        <w:t xml:space="preserve">, we have pleasure in submitting to you the Commission’s final report into </w:t>
      </w:r>
      <w:r>
        <w:rPr>
          <w:sz w:val="24"/>
          <w:szCs w:val="24"/>
        </w:rPr>
        <w:t>Tasmania’s shipping costs and competitiveness of Tasmania’s freight industry</w:t>
      </w:r>
      <w:r w:rsidRPr="00C76C25">
        <w:rPr>
          <w:sz w:val="24"/>
          <w:szCs w:val="24"/>
        </w:rPr>
        <w:t>.</w:t>
      </w:r>
    </w:p>
    <w:p w:rsidR="00973BF5" w:rsidRPr="00C76C25" w:rsidRDefault="00973BF5">
      <w:pPr>
        <w:pStyle w:val="Signoff"/>
        <w:rPr>
          <w:szCs w:val="24"/>
        </w:rPr>
      </w:pPr>
      <w:bookmarkStart w:id="9" w:name="signoff"/>
      <w:bookmarkEnd w:id="9"/>
      <w:r w:rsidRPr="00C76C25">
        <w:rPr>
          <w:szCs w:val="24"/>
        </w:rPr>
        <w:t>Yours sincerely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1"/>
        <w:gridCol w:w="3002"/>
        <w:gridCol w:w="3002"/>
      </w:tblGrid>
      <w:tr w:rsidR="00973BF5" w:rsidTr="006817C9">
        <w:tc>
          <w:tcPr>
            <w:tcW w:w="3001" w:type="dxa"/>
          </w:tcPr>
          <w:p w:rsidR="00973BF5" w:rsidRPr="00C76C25" w:rsidRDefault="00973BF5" w:rsidP="00537BB4">
            <w:pPr>
              <w:pStyle w:val="BodyText"/>
              <w:rPr>
                <w:sz w:val="24"/>
                <w:szCs w:val="24"/>
              </w:rPr>
            </w:pPr>
            <w:bookmarkStart w:id="10" w:name="author"/>
            <w:bookmarkEnd w:id="10"/>
            <w:r>
              <w:rPr>
                <w:sz w:val="24"/>
                <w:szCs w:val="24"/>
              </w:rPr>
              <w:t>Karen Chester</w:t>
            </w:r>
          </w:p>
          <w:p w:rsidR="00973BF5" w:rsidRDefault="00973BF5" w:rsidP="00537BB4">
            <w:pPr>
              <w:pStyle w:val="LetterAddress"/>
              <w:rPr>
                <w:szCs w:val="24"/>
              </w:rPr>
            </w:pPr>
            <w:r w:rsidRPr="00C76C25">
              <w:t>Presiding Commissioner</w:t>
            </w:r>
          </w:p>
        </w:tc>
        <w:tc>
          <w:tcPr>
            <w:tcW w:w="3002" w:type="dxa"/>
          </w:tcPr>
          <w:p w:rsidR="00973BF5" w:rsidRDefault="00973BF5" w:rsidP="00537BB4">
            <w:pPr>
              <w:pStyle w:val="LetterAddress"/>
              <w:rPr>
                <w:szCs w:val="24"/>
              </w:rPr>
            </w:pPr>
          </w:p>
        </w:tc>
        <w:tc>
          <w:tcPr>
            <w:tcW w:w="3002" w:type="dxa"/>
          </w:tcPr>
          <w:p w:rsidR="00973BF5" w:rsidRDefault="00973BF5" w:rsidP="00537BB4">
            <w:pPr>
              <w:pStyle w:val="LetterAddress"/>
              <w:rPr>
                <w:szCs w:val="24"/>
              </w:rPr>
            </w:pPr>
          </w:p>
        </w:tc>
      </w:tr>
    </w:tbl>
    <w:p w:rsidR="00973BF5" w:rsidRDefault="00973BF5"/>
    <w:p w:rsidR="00735FEA" w:rsidRDefault="00735FEA">
      <w:pPr>
        <w:pStyle w:val="BodyText"/>
        <w:sectPr w:rsidR="00735FEA" w:rsidSect="008F7C50">
          <w:type w:val="oddPage"/>
          <w:pgSz w:w="11907" w:h="16840" w:code="9"/>
          <w:pgMar w:top="1418" w:right="1304" w:bottom="567" w:left="1814" w:header="1701" w:footer="567" w:gutter="0"/>
          <w:pgNumType w:fmt="lowerRoman" w:start="1"/>
          <w:cols w:space="720"/>
          <w:titlePg/>
        </w:sectPr>
      </w:pPr>
    </w:p>
    <w:p w:rsidR="00973BF5" w:rsidRDefault="00973BF5" w:rsidP="00537BB4">
      <w:pPr>
        <w:pStyle w:val="Heading1"/>
      </w:pPr>
      <w:bookmarkStart w:id="11" w:name="_Toc381880578"/>
      <w:r>
        <w:lastRenderedPageBreak/>
        <w:t>Terms of reference</w:t>
      </w:r>
      <w:bookmarkEnd w:id="11"/>
    </w:p>
    <w:p w:rsidR="00973BF5" w:rsidRDefault="00973BF5" w:rsidP="00973BF5">
      <w:pPr>
        <w:pStyle w:val="BodyText"/>
      </w:pPr>
      <w:r>
        <w:t xml:space="preserve">I, Joseph Benedict Hockey, Treasurer, pursuant to Parts 2 and 3 of the Productivity Commission Act 1998, hereby request that the Productivity Commission undertake an inquiry into the current arrangements for supporting freight and passenger services between the mainland and Tasmania. </w:t>
      </w:r>
    </w:p>
    <w:p w:rsidR="00973BF5" w:rsidRDefault="00973BF5" w:rsidP="00973BF5">
      <w:pPr>
        <w:pStyle w:val="Heading3"/>
      </w:pPr>
      <w:r>
        <w:t xml:space="preserve">Background </w:t>
      </w:r>
    </w:p>
    <w:p w:rsidR="00973BF5" w:rsidRDefault="00973BF5" w:rsidP="00973BF5">
      <w:pPr>
        <w:pStyle w:val="BodyText"/>
      </w:pPr>
      <w:r>
        <w:t xml:space="preserve">Tasmania is a small economy that relies heavily on sea trade.  The shipping costs associated with getting goods to market are a concern for Tasmanian businesses and consumers.  These transport costs create an additional cost burden for Tasmanian businesses compared to businesses on the mainland, which may be placing them at a disadvantage.  While the Government operates three schemes to address the freight cost disadvantage, there is a concern that these are not delivering an efficient outcome or achieving the stated objectives. </w:t>
      </w:r>
    </w:p>
    <w:p w:rsidR="00973BF5" w:rsidRDefault="00973BF5" w:rsidP="00973BF5">
      <w:pPr>
        <w:pStyle w:val="Heading3"/>
      </w:pPr>
      <w:r>
        <w:t>Scope of Inquiry</w:t>
      </w:r>
    </w:p>
    <w:p w:rsidR="00973BF5" w:rsidRDefault="00973BF5" w:rsidP="00973BF5">
      <w:pPr>
        <w:pStyle w:val="ListNumber"/>
        <w:numPr>
          <w:ilvl w:val="0"/>
          <w:numId w:val="25"/>
        </w:numPr>
      </w:pPr>
      <w:r>
        <w:t>Examine shipping costs, competition and shipping industry competitive structures across Bass Strait.</w:t>
      </w:r>
    </w:p>
    <w:p w:rsidR="00973BF5" w:rsidRDefault="00973BF5" w:rsidP="00973BF5">
      <w:pPr>
        <w:pStyle w:val="ListNumber"/>
        <w:numPr>
          <w:ilvl w:val="0"/>
          <w:numId w:val="25"/>
        </w:numPr>
      </w:pPr>
      <w:r>
        <w:t xml:space="preserve">Identify the factors inhibiting the provision of international shipping services to Tasmania. </w:t>
      </w:r>
    </w:p>
    <w:p w:rsidR="00973BF5" w:rsidRDefault="00973BF5" w:rsidP="00973BF5">
      <w:pPr>
        <w:pStyle w:val="ListNumber"/>
        <w:numPr>
          <w:ilvl w:val="0"/>
          <w:numId w:val="25"/>
        </w:numPr>
      </w:pPr>
      <w:r>
        <w:t>Examine the competitiveness of Tasmania’s freight industry, economic infrastructure and possible reforms that would assist in enhancing effective competition, investment and productivity growth.</w:t>
      </w:r>
    </w:p>
    <w:p w:rsidR="00973BF5" w:rsidRDefault="00973BF5" w:rsidP="00973BF5">
      <w:pPr>
        <w:pStyle w:val="ListNumber"/>
        <w:numPr>
          <w:ilvl w:val="0"/>
          <w:numId w:val="25"/>
        </w:numPr>
      </w:pPr>
      <w:r>
        <w:t>Assess the merits and weaknesses of the current arrangements for supporting freight and passenger services between the mainland and Tasmania and provide recommendations on an appropriate future approach and/or arrangements.</w:t>
      </w:r>
    </w:p>
    <w:p w:rsidR="00973BF5" w:rsidRDefault="00973BF5" w:rsidP="00973BF5">
      <w:pPr>
        <w:pStyle w:val="ListNumber"/>
        <w:numPr>
          <w:ilvl w:val="0"/>
          <w:numId w:val="25"/>
        </w:numPr>
      </w:pPr>
      <w:r>
        <w:t>In making assessments in relation to matters in paragraph 4, the inquiry should:</w:t>
      </w:r>
    </w:p>
    <w:p w:rsidR="00973BF5" w:rsidRPr="009908F8" w:rsidRDefault="00973BF5" w:rsidP="00973BF5">
      <w:pPr>
        <w:pStyle w:val="ToRlistno2"/>
      </w:pPr>
      <w:r w:rsidRPr="009908F8">
        <w:t>report on the freight and passenger tasks and their costs between Tasmania, Flinders and King Islands and the mainland of Australia; and between Tasmania and international ports;</w:t>
      </w:r>
    </w:p>
    <w:p w:rsidR="00973BF5" w:rsidRDefault="00973BF5" w:rsidP="00973BF5">
      <w:pPr>
        <w:pStyle w:val="ToRlistno2"/>
      </w:pPr>
      <w:r>
        <w:lastRenderedPageBreak/>
        <w:t>quantify any freight cost disadvantages for goods eligible under the Tasmanian Freight Equalisation Scheme and the Tasmanian Wheat Freight Scheme, identify their primary causes and assess the impact of that disadvantage on Tasmanian business;</w:t>
      </w:r>
    </w:p>
    <w:p w:rsidR="00973BF5" w:rsidRDefault="00973BF5" w:rsidP="00973BF5">
      <w:pPr>
        <w:pStyle w:val="ToRlistno2"/>
      </w:pPr>
      <w:r>
        <w:t>quantify any cost disadvantages for passengers travelling to Tasmania who are currently eligible for support through the Bass Strait Passenger Vehicle Equalisation Scheme;</w:t>
      </w:r>
    </w:p>
    <w:p w:rsidR="00973BF5" w:rsidRDefault="00973BF5" w:rsidP="00973BF5">
      <w:pPr>
        <w:pStyle w:val="ToRlistno2"/>
      </w:pPr>
      <w:r>
        <w:t>assess the effectiveness of the current schemes as a mechanism for addressing cost disadvantages, including identification of the costs and benefits, the impact on stakeholders, and any unintended consequences or distortionary effects of the current arrangements; and</w:t>
      </w:r>
    </w:p>
    <w:p w:rsidR="00973BF5" w:rsidRDefault="00973BF5" w:rsidP="00973BF5">
      <w:pPr>
        <w:pStyle w:val="ToRlistno2"/>
      </w:pPr>
      <w:r>
        <w:t>identify any alternative mechanisms that could more effectively address cost disadvantages, including assessing the full economic costs and benefits of any alternative mechanism.</w:t>
      </w:r>
    </w:p>
    <w:p w:rsidR="00973BF5" w:rsidRDefault="00973BF5" w:rsidP="00973BF5">
      <w:pPr>
        <w:pStyle w:val="Heading3"/>
      </w:pPr>
      <w:r>
        <w:t>Process</w:t>
      </w:r>
    </w:p>
    <w:p w:rsidR="00973BF5" w:rsidRDefault="00973BF5" w:rsidP="00973BF5">
      <w:pPr>
        <w:pStyle w:val="BodyText"/>
      </w:pPr>
      <w:r>
        <w:t>The Commission is to undertake an appropriate public consultation process including holding hearings, inviting public submissions and releasing a draft report to the public.</w:t>
      </w:r>
    </w:p>
    <w:p w:rsidR="00973BF5" w:rsidRDefault="00973BF5" w:rsidP="00973BF5">
      <w:pPr>
        <w:pStyle w:val="BodyText"/>
      </w:pPr>
      <w:r>
        <w:t>The inquiry will inform the broader ‘root and branch’ review of Australia’s competition laws and competition framework and will provide broad scope to identify areas where further competitive reforms of particular benefit to Tasmania could be introduced.</w:t>
      </w:r>
    </w:p>
    <w:p w:rsidR="00973BF5" w:rsidRDefault="00973BF5" w:rsidP="00973BF5">
      <w:pPr>
        <w:pStyle w:val="BodyText"/>
      </w:pPr>
      <w:r>
        <w:t>The Commission will conduct the inquiry in consultation with the Australian Competition and Consumer Commission.</w:t>
      </w:r>
    </w:p>
    <w:p w:rsidR="00973BF5" w:rsidRDefault="00973BF5" w:rsidP="00973BF5">
      <w:pPr>
        <w:pStyle w:val="BodyText"/>
      </w:pPr>
      <w:r>
        <w:t>The final report should be provided by 7 March 2014.</w:t>
      </w:r>
    </w:p>
    <w:p w:rsidR="00973BF5" w:rsidRDefault="00973BF5" w:rsidP="00973BF5">
      <w:pPr>
        <w:pStyle w:val="BodyText"/>
      </w:pPr>
      <w:r>
        <w:t xml:space="preserve">  </w:t>
      </w:r>
    </w:p>
    <w:p w:rsidR="00973BF5" w:rsidRDefault="00973BF5" w:rsidP="00973BF5">
      <w:pPr>
        <w:pStyle w:val="BodyText"/>
      </w:pPr>
      <w:r>
        <w:t>J. B. HOCKEY</w:t>
      </w:r>
    </w:p>
    <w:p w:rsidR="00973BF5" w:rsidRDefault="00973BF5" w:rsidP="00973BF5">
      <w:pPr>
        <w:pStyle w:val="BodyText"/>
      </w:pPr>
      <w:r>
        <w:t>Treasurer</w:t>
      </w:r>
    </w:p>
    <w:p w:rsidR="00973BF5" w:rsidRDefault="00973BF5" w:rsidP="00973BF5">
      <w:pPr>
        <w:pStyle w:val="BodyText"/>
      </w:pPr>
      <w:r>
        <w:t>[Received 29 November 2013]</w:t>
      </w:r>
    </w:p>
    <w:p w:rsidR="00973BF5" w:rsidRDefault="00973BF5" w:rsidP="006817C9">
      <w:pPr>
        <w:pStyle w:val="BodyText"/>
      </w:pPr>
    </w:p>
    <w:p w:rsidR="00973BF5" w:rsidRDefault="00973BF5" w:rsidP="006817C9">
      <w:pPr>
        <w:pStyle w:val="BodyText"/>
        <w:sectPr w:rsidR="00973BF5" w:rsidSect="006817C9">
          <w:headerReference w:type="even" r:id="rId10"/>
          <w:headerReference w:type="default" r:id="rId11"/>
          <w:footerReference w:type="even" r:id="rId12"/>
          <w:footerReference w:type="default" r:id="rId13"/>
          <w:type w:val="oddPage"/>
          <w:pgSz w:w="11907" w:h="16840" w:code="9"/>
          <w:pgMar w:top="1985" w:right="1304" w:bottom="1418" w:left="1814" w:header="1701" w:footer="567" w:gutter="0"/>
          <w:pgNumType w:fmt="lowerRoman"/>
          <w:cols w:space="720"/>
        </w:sectPr>
      </w:pPr>
    </w:p>
    <w:p w:rsidR="00BC743C" w:rsidRDefault="00735FEA" w:rsidP="008206EE">
      <w:pPr>
        <w:pStyle w:val="Heading1NotTOC"/>
        <w:rPr>
          <w:noProof/>
        </w:rPr>
      </w:pPr>
      <w:bookmarkStart w:id="12" w:name="Contents"/>
      <w:bookmarkEnd w:id="12"/>
      <w:r w:rsidRPr="00B153C3">
        <w:lastRenderedPageBreak/>
        <w:t>Contents</w:t>
      </w:r>
      <w:bookmarkStart w:id="13" w:name="InsertContents"/>
      <w:bookmarkEnd w:id="13"/>
    </w:p>
    <w:p w:rsidR="00BC743C" w:rsidRDefault="00BC743C">
      <w:pPr>
        <w:pStyle w:val="TOC1"/>
        <w:rPr>
          <w:rFonts w:asciiTheme="minorHAnsi" w:eastAsiaTheme="minorEastAsia" w:hAnsiTheme="minorHAnsi" w:cstheme="minorBidi"/>
          <w:b w:val="0"/>
          <w:noProof/>
          <w:sz w:val="22"/>
          <w:szCs w:val="22"/>
          <w:lang w:eastAsia="en-AU"/>
        </w:rPr>
      </w:pPr>
      <w:r>
        <w:rPr>
          <w:noProof/>
        </w:rPr>
        <w:t>Terms of reference</w:t>
      </w:r>
      <w:r>
        <w:rPr>
          <w:noProof/>
        </w:rPr>
        <w:tab/>
        <w:t>v</w:t>
      </w:r>
    </w:p>
    <w:p w:rsidR="00BC743C" w:rsidRDefault="00BC743C">
      <w:pPr>
        <w:pStyle w:val="TOC1"/>
        <w:rPr>
          <w:rFonts w:asciiTheme="minorHAnsi" w:eastAsiaTheme="minorEastAsia" w:hAnsiTheme="minorHAnsi" w:cstheme="minorBidi"/>
          <w:b w:val="0"/>
          <w:noProof/>
          <w:sz w:val="22"/>
          <w:szCs w:val="22"/>
          <w:lang w:eastAsia="en-AU"/>
        </w:rPr>
      </w:pPr>
      <w:r>
        <w:rPr>
          <w:noProof/>
        </w:rPr>
        <w:t>Abbreviations</w:t>
      </w:r>
      <w:r>
        <w:rPr>
          <w:noProof/>
        </w:rPr>
        <w:tab/>
        <w:t>ix</w:t>
      </w:r>
    </w:p>
    <w:p w:rsidR="00BC743C" w:rsidRDefault="00BC743C">
      <w:pPr>
        <w:pStyle w:val="TOC1"/>
        <w:rPr>
          <w:rFonts w:asciiTheme="minorHAnsi" w:eastAsiaTheme="minorEastAsia" w:hAnsiTheme="minorHAnsi" w:cstheme="minorBidi"/>
          <w:b w:val="0"/>
          <w:noProof/>
          <w:sz w:val="22"/>
          <w:szCs w:val="22"/>
          <w:lang w:eastAsia="en-AU"/>
        </w:rPr>
      </w:pPr>
      <w:r>
        <w:rPr>
          <w:noProof/>
        </w:rPr>
        <w:t>Overview</w:t>
      </w:r>
      <w:r>
        <w:rPr>
          <w:noProof/>
        </w:rPr>
        <w:tab/>
        <w:t>1</w:t>
      </w:r>
    </w:p>
    <w:p w:rsidR="00BC743C" w:rsidRDefault="00BC743C">
      <w:pPr>
        <w:pStyle w:val="TOC2"/>
        <w:rPr>
          <w:rFonts w:asciiTheme="minorHAnsi" w:eastAsiaTheme="minorEastAsia" w:hAnsiTheme="minorHAnsi" w:cstheme="minorBidi"/>
          <w:noProof/>
          <w:sz w:val="22"/>
          <w:szCs w:val="22"/>
          <w:lang w:eastAsia="en-AU"/>
        </w:rPr>
      </w:pPr>
      <w:r>
        <w:rPr>
          <w:noProof/>
        </w:rPr>
        <w:t>The broader context</w:t>
      </w:r>
      <w:r>
        <w:rPr>
          <w:noProof/>
        </w:rPr>
        <w:tab/>
        <w:t>3</w:t>
      </w:r>
    </w:p>
    <w:p w:rsidR="00BC743C" w:rsidRDefault="00BC743C">
      <w:pPr>
        <w:pStyle w:val="TOC2"/>
        <w:rPr>
          <w:rFonts w:asciiTheme="minorHAnsi" w:eastAsiaTheme="minorEastAsia" w:hAnsiTheme="minorHAnsi" w:cstheme="minorBidi"/>
          <w:noProof/>
          <w:sz w:val="22"/>
          <w:szCs w:val="22"/>
          <w:lang w:eastAsia="en-AU"/>
        </w:rPr>
      </w:pPr>
      <w:r>
        <w:rPr>
          <w:noProof/>
        </w:rPr>
        <w:t>Shipping and freight</w:t>
      </w:r>
      <w:r>
        <w:rPr>
          <w:noProof/>
        </w:rPr>
        <w:tab/>
        <w:t>7</w:t>
      </w:r>
    </w:p>
    <w:p w:rsidR="00BC743C" w:rsidRDefault="00BC743C">
      <w:pPr>
        <w:pStyle w:val="TOC2"/>
        <w:rPr>
          <w:rFonts w:asciiTheme="minorHAnsi" w:eastAsiaTheme="minorEastAsia" w:hAnsiTheme="minorHAnsi" w:cstheme="minorBidi"/>
          <w:noProof/>
          <w:sz w:val="22"/>
          <w:szCs w:val="22"/>
          <w:lang w:eastAsia="en-AU"/>
        </w:rPr>
      </w:pPr>
      <w:r>
        <w:rPr>
          <w:noProof/>
        </w:rPr>
        <w:t>Offsetting a cost ‘disadvantage’?</w:t>
      </w:r>
      <w:r>
        <w:rPr>
          <w:noProof/>
        </w:rPr>
        <w:tab/>
        <w:t>15</w:t>
      </w:r>
    </w:p>
    <w:p w:rsidR="00BC743C" w:rsidRDefault="00BC743C">
      <w:pPr>
        <w:pStyle w:val="TOC2"/>
        <w:rPr>
          <w:rFonts w:asciiTheme="minorHAnsi" w:eastAsiaTheme="minorEastAsia" w:hAnsiTheme="minorHAnsi" w:cstheme="minorBidi"/>
          <w:noProof/>
          <w:sz w:val="22"/>
          <w:szCs w:val="22"/>
          <w:lang w:eastAsia="en-AU"/>
        </w:rPr>
      </w:pPr>
      <w:r>
        <w:rPr>
          <w:noProof/>
        </w:rPr>
        <w:t>Removing some anomalies but others remain</w:t>
      </w:r>
      <w:r>
        <w:rPr>
          <w:noProof/>
        </w:rPr>
        <w:tab/>
        <w:t>19</w:t>
      </w:r>
    </w:p>
    <w:p w:rsidR="00BC743C" w:rsidRDefault="00BC743C">
      <w:pPr>
        <w:pStyle w:val="TOC2"/>
        <w:rPr>
          <w:rFonts w:asciiTheme="minorHAnsi" w:eastAsiaTheme="minorEastAsia" w:hAnsiTheme="minorHAnsi" w:cstheme="minorBidi"/>
          <w:noProof/>
          <w:sz w:val="22"/>
          <w:szCs w:val="22"/>
          <w:lang w:eastAsia="en-AU"/>
        </w:rPr>
      </w:pPr>
      <w:r>
        <w:rPr>
          <w:noProof/>
        </w:rPr>
        <w:t>Tackling the fundamentals</w:t>
      </w:r>
      <w:r>
        <w:rPr>
          <w:noProof/>
        </w:rPr>
        <w:tab/>
        <w:t>26</w:t>
      </w:r>
    </w:p>
    <w:p w:rsidR="00BC743C" w:rsidRDefault="00BC743C">
      <w:pPr>
        <w:pStyle w:val="TOC1"/>
        <w:rPr>
          <w:rFonts w:asciiTheme="minorHAnsi" w:eastAsiaTheme="minorEastAsia" w:hAnsiTheme="minorHAnsi" w:cstheme="minorBidi"/>
          <w:b w:val="0"/>
          <w:noProof/>
          <w:sz w:val="22"/>
          <w:szCs w:val="22"/>
          <w:lang w:eastAsia="en-AU"/>
        </w:rPr>
      </w:pPr>
      <w:r>
        <w:rPr>
          <w:noProof/>
        </w:rPr>
        <w:t>Findings and recommendations</w:t>
      </w:r>
      <w:r>
        <w:rPr>
          <w:noProof/>
        </w:rPr>
        <w:tab/>
        <w:t>29</w:t>
      </w:r>
    </w:p>
    <w:p w:rsidR="00BC743C" w:rsidRDefault="00BC743C">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Introduction and scope</w:t>
      </w:r>
      <w:r>
        <w:rPr>
          <w:noProof/>
        </w:rPr>
        <w:tab/>
        <w:t>37</w:t>
      </w:r>
    </w:p>
    <w:p w:rsidR="00BC743C" w:rsidRDefault="00BC743C">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A matter of geography</w:t>
      </w:r>
      <w:r>
        <w:rPr>
          <w:noProof/>
        </w:rPr>
        <w:tab/>
        <w:t>37</w:t>
      </w:r>
    </w:p>
    <w:p w:rsidR="00BC743C" w:rsidRDefault="00BC743C">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What the Commission has been asked to do</w:t>
      </w:r>
      <w:r>
        <w:rPr>
          <w:noProof/>
        </w:rPr>
        <w:tab/>
        <w:t>38</w:t>
      </w:r>
    </w:p>
    <w:p w:rsidR="00BC743C" w:rsidRDefault="00BC743C">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Conduct of the inquiry</w:t>
      </w:r>
      <w:r>
        <w:rPr>
          <w:noProof/>
        </w:rPr>
        <w:tab/>
        <w:t>39</w:t>
      </w:r>
    </w:p>
    <w:p w:rsidR="00BC743C" w:rsidRDefault="00BC743C">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Tasmania’s freight in context</w:t>
      </w:r>
      <w:r>
        <w:rPr>
          <w:noProof/>
        </w:rPr>
        <w:tab/>
        <w:t>41</w:t>
      </w:r>
    </w:p>
    <w:p w:rsidR="00BC743C" w:rsidRDefault="00BC743C">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Tasmania’s economy at a glance</w:t>
      </w:r>
      <w:r>
        <w:rPr>
          <w:noProof/>
        </w:rPr>
        <w:tab/>
        <w:t>42</w:t>
      </w:r>
    </w:p>
    <w:p w:rsidR="00BC743C" w:rsidRDefault="00BC743C">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Tasmania’s freight task</w:t>
      </w:r>
      <w:r>
        <w:rPr>
          <w:noProof/>
        </w:rPr>
        <w:tab/>
        <w:t>47</w:t>
      </w:r>
    </w:p>
    <w:p w:rsidR="00BC743C" w:rsidRDefault="00BC743C">
      <w:pPr>
        <w:pStyle w:val="TOC2"/>
        <w:tabs>
          <w:tab w:val="left" w:pos="1190"/>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Freight cost disadvantage</w:t>
      </w:r>
      <w:r>
        <w:rPr>
          <w:noProof/>
        </w:rPr>
        <w:tab/>
        <w:t>53</w:t>
      </w:r>
    </w:p>
    <w:p w:rsidR="00BC743C" w:rsidRDefault="00BC743C">
      <w:pPr>
        <w:pStyle w:val="TOC2"/>
        <w:tabs>
          <w:tab w:val="left" w:pos="1190"/>
        </w:tabs>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Tasmania’s passenger vehicle task</w:t>
      </w:r>
      <w:r>
        <w:rPr>
          <w:noProof/>
        </w:rPr>
        <w:tab/>
        <w:t>76</w:t>
      </w:r>
    </w:p>
    <w:p w:rsidR="00BC743C" w:rsidRDefault="00BC743C">
      <w:pPr>
        <w:pStyle w:val="TOC2"/>
        <w:tabs>
          <w:tab w:val="left" w:pos="1190"/>
        </w:tabs>
        <w:rPr>
          <w:rFonts w:asciiTheme="minorHAnsi" w:eastAsiaTheme="minorEastAsia" w:hAnsiTheme="minorHAnsi" w:cstheme="minorBidi"/>
          <w:noProof/>
          <w:sz w:val="22"/>
          <w:szCs w:val="22"/>
          <w:lang w:eastAsia="en-AU"/>
        </w:rPr>
      </w:pPr>
      <w:r>
        <w:rPr>
          <w:noProof/>
        </w:rPr>
        <w:t>2.5</w:t>
      </w:r>
      <w:r>
        <w:rPr>
          <w:rFonts w:asciiTheme="minorHAnsi" w:eastAsiaTheme="minorEastAsia" w:hAnsiTheme="minorHAnsi" w:cstheme="minorBidi"/>
          <w:noProof/>
          <w:sz w:val="22"/>
          <w:szCs w:val="22"/>
          <w:lang w:eastAsia="en-AU"/>
        </w:rPr>
        <w:tab/>
      </w:r>
      <w:r>
        <w:rPr>
          <w:noProof/>
        </w:rPr>
        <w:t>The cost for passenger vehicles</w:t>
      </w:r>
      <w:r>
        <w:rPr>
          <w:noProof/>
        </w:rPr>
        <w:tab/>
        <w:t>77</w:t>
      </w:r>
    </w:p>
    <w:p w:rsidR="00BC743C" w:rsidRDefault="00BC743C">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Current and alternative arrangements</w:t>
      </w:r>
      <w:r>
        <w:rPr>
          <w:noProof/>
        </w:rPr>
        <w:tab/>
        <w:t>83</w:t>
      </w:r>
    </w:p>
    <w:p w:rsidR="00062B2C" w:rsidRDefault="00062B2C" w:rsidP="00062B2C">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About the schemes</w:t>
      </w:r>
      <w:r>
        <w:rPr>
          <w:noProof/>
        </w:rPr>
        <w:tab/>
        <w:t>84</w:t>
      </w:r>
    </w:p>
    <w:p w:rsidR="00062B2C" w:rsidRDefault="00062B2C" w:rsidP="00062B2C">
      <w:pPr>
        <w:pStyle w:val="TOC2"/>
        <w:tabs>
          <w:tab w:val="left" w:pos="1190"/>
        </w:tabs>
        <w:rPr>
          <w:noProof/>
        </w:rPr>
      </w:pPr>
      <w:r>
        <w:rPr>
          <w:noProof/>
        </w:rPr>
        <w:t>3.2</w:t>
      </w:r>
      <w:r>
        <w:rPr>
          <w:rFonts w:asciiTheme="minorHAnsi" w:eastAsiaTheme="minorEastAsia" w:hAnsiTheme="minorHAnsi" w:cstheme="minorBidi"/>
          <w:noProof/>
          <w:sz w:val="22"/>
          <w:szCs w:val="22"/>
          <w:lang w:eastAsia="en-AU"/>
        </w:rPr>
        <w:tab/>
      </w:r>
      <w:r>
        <w:rPr>
          <w:noProof/>
        </w:rPr>
        <w:t>Impacts of the schemes</w:t>
      </w:r>
      <w:r>
        <w:rPr>
          <w:noProof/>
        </w:rPr>
        <w:tab/>
        <w:t>89</w:t>
      </w:r>
    </w:p>
    <w:p w:rsidR="005A0F80" w:rsidRDefault="00062B2C" w:rsidP="00062B2C">
      <w:pPr>
        <w:pStyle w:val="TOC2"/>
        <w:tabs>
          <w:tab w:val="left" w:pos="1190"/>
        </w:tabs>
        <w:rPr>
          <w:noProof/>
        </w:rPr>
      </w:pPr>
      <w:r>
        <w:rPr>
          <w:noProof/>
        </w:rPr>
        <w:t>3.3</w:t>
      </w:r>
      <w:r>
        <w:rPr>
          <w:noProof/>
        </w:rPr>
        <w:tab/>
      </w:r>
      <w:r w:rsidR="005A0F80">
        <w:rPr>
          <w:noProof/>
        </w:rPr>
        <w:t>Effectiveness of the schemes</w:t>
      </w:r>
      <w:r w:rsidR="005A0F80">
        <w:rPr>
          <w:noProof/>
        </w:rPr>
        <w:tab/>
        <w:t>98</w:t>
      </w:r>
    </w:p>
    <w:p w:rsidR="0084684A" w:rsidRDefault="0084684A" w:rsidP="00062B2C">
      <w:pPr>
        <w:pStyle w:val="TOC2"/>
        <w:tabs>
          <w:tab w:val="left" w:pos="1190"/>
        </w:tabs>
        <w:rPr>
          <w:noProof/>
        </w:rPr>
      </w:pPr>
    </w:p>
    <w:p w:rsidR="0084684A" w:rsidRPr="005A0F80" w:rsidRDefault="0084684A" w:rsidP="00062B2C">
      <w:pPr>
        <w:pStyle w:val="TOC2"/>
        <w:tabs>
          <w:tab w:val="left" w:pos="1190"/>
        </w:tabs>
        <w:rPr>
          <w:noProof/>
        </w:rPr>
      </w:pPr>
    </w:p>
    <w:p w:rsidR="00BC743C" w:rsidRDefault="00BC743C">
      <w:pPr>
        <w:pStyle w:val="TOC1"/>
        <w:rPr>
          <w:rFonts w:asciiTheme="minorHAnsi" w:eastAsiaTheme="minorEastAsia" w:hAnsiTheme="minorHAnsi" w:cstheme="minorBidi"/>
          <w:b w:val="0"/>
          <w:noProof/>
          <w:sz w:val="22"/>
          <w:szCs w:val="22"/>
          <w:lang w:eastAsia="en-AU"/>
        </w:rPr>
      </w:pPr>
      <w:r>
        <w:rPr>
          <w:noProof/>
        </w:rPr>
        <w:lastRenderedPageBreak/>
        <w:t>4</w:t>
      </w:r>
      <w:r>
        <w:rPr>
          <w:rFonts w:asciiTheme="minorHAnsi" w:eastAsiaTheme="minorEastAsia" w:hAnsiTheme="minorHAnsi" w:cstheme="minorBidi"/>
          <w:b w:val="0"/>
          <w:noProof/>
          <w:sz w:val="22"/>
          <w:szCs w:val="22"/>
          <w:lang w:eastAsia="en-AU"/>
        </w:rPr>
        <w:tab/>
      </w:r>
      <w:r>
        <w:rPr>
          <w:noProof/>
        </w:rPr>
        <w:t>Sea freight</w:t>
      </w:r>
      <w:r>
        <w:rPr>
          <w:noProof/>
        </w:rPr>
        <w:tab/>
        <w:t>125</w:t>
      </w:r>
    </w:p>
    <w:p w:rsidR="00BC743C" w:rsidRDefault="00BC743C">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Key features of Tasmania’s domestic and international shipping</w:t>
      </w:r>
      <w:r>
        <w:rPr>
          <w:noProof/>
        </w:rPr>
        <w:tab/>
        <w:t>126</w:t>
      </w:r>
    </w:p>
    <w:p w:rsidR="00BC743C" w:rsidRDefault="00BC743C">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Efficiency drivers of Tasmania’s shipping</w:t>
      </w:r>
      <w:r>
        <w:rPr>
          <w:noProof/>
        </w:rPr>
        <w:tab/>
        <w:t>136</w:t>
      </w:r>
    </w:p>
    <w:p w:rsidR="00BC743C" w:rsidRDefault="00BC743C">
      <w:pPr>
        <w:pStyle w:val="TOC2"/>
        <w:tabs>
          <w:tab w:val="left" w:pos="1190"/>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Key features of Tasmanian ports</w:t>
      </w:r>
      <w:r>
        <w:rPr>
          <w:noProof/>
        </w:rPr>
        <w:tab/>
        <w:t>157</w:t>
      </w:r>
    </w:p>
    <w:p w:rsidR="00BC743C" w:rsidRDefault="00BC743C">
      <w:pPr>
        <w:pStyle w:val="TOC2"/>
        <w:tabs>
          <w:tab w:val="left" w:pos="1190"/>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Efficiency drivers of ports</w:t>
      </w:r>
      <w:r>
        <w:rPr>
          <w:noProof/>
        </w:rPr>
        <w:tab/>
        <w:t>161</w:t>
      </w:r>
    </w:p>
    <w:p w:rsidR="00BC743C" w:rsidRDefault="00BC743C">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Land freight</w:t>
      </w:r>
      <w:r>
        <w:rPr>
          <w:noProof/>
        </w:rPr>
        <w:tab/>
        <w:t>177</w:t>
      </w:r>
    </w:p>
    <w:p w:rsidR="00BC743C" w:rsidRDefault="00BC743C">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Land freight movements</w:t>
      </w:r>
      <w:r>
        <w:rPr>
          <w:noProof/>
        </w:rPr>
        <w:tab/>
        <w:t>178</w:t>
      </w:r>
    </w:p>
    <w:p w:rsidR="00BC743C" w:rsidRDefault="00BC743C">
      <w:pPr>
        <w:pStyle w:val="TOC2"/>
        <w:tabs>
          <w:tab w:val="left" w:pos="1190"/>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Road freight</w:t>
      </w:r>
      <w:r>
        <w:rPr>
          <w:noProof/>
        </w:rPr>
        <w:tab/>
        <w:t>179</w:t>
      </w:r>
    </w:p>
    <w:p w:rsidR="00BC743C" w:rsidRDefault="00BC743C">
      <w:pPr>
        <w:pStyle w:val="TOC2"/>
        <w:tabs>
          <w:tab w:val="left" w:pos="1190"/>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Rail freight</w:t>
      </w:r>
      <w:r>
        <w:rPr>
          <w:noProof/>
        </w:rPr>
        <w:tab/>
        <w:t>187</w:t>
      </w:r>
    </w:p>
    <w:p w:rsidR="00BC743C" w:rsidRDefault="00BC743C">
      <w:pPr>
        <w:pStyle w:val="TOC2"/>
        <w:tabs>
          <w:tab w:val="left" w:pos="1190"/>
        </w:tabs>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An integrated Tasmanian freight strategy</w:t>
      </w:r>
      <w:r>
        <w:rPr>
          <w:noProof/>
        </w:rPr>
        <w:tab/>
        <w:t>193</w:t>
      </w:r>
    </w:p>
    <w:p w:rsidR="00BC743C" w:rsidRDefault="00BC743C">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An economic development approach</w:t>
      </w:r>
      <w:r>
        <w:rPr>
          <w:noProof/>
        </w:rPr>
        <w:tab/>
        <w:t>199</w:t>
      </w:r>
    </w:p>
    <w:p w:rsidR="00BC743C" w:rsidRDefault="00BC743C">
      <w:pPr>
        <w:pStyle w:val="TOC2"/>
        <w:tabs>
          <w:tab w:val="left" w:pos="1190"/>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Policies to improve economic and social development</w:t>
      </w:r>
      <w:r>
        <w:rPr>
          <w:noProof/>
        </w:rPr>
        <w:tab/>
        <w:t>200</w:t>
      </w:r>
    </w:p>
    <w:p w:rsidR="00BC743C" w:rsidRDefault="00BC743C">
      <w:pPr>
        <w:pStyle w:val="TOC2"/>
        <w:tabs>
          <w:tab w:val="left" w:pos="1190"/>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Meshing with existing plans and programs</w:t>
      </w:r>
      <w:r>
        <w:rPr>
          <w:noProof/>
        </w:rPr>
        <w:tab/>
        <w:t>207</w:t>
      </w:r>
    </w:p>
    <w:p w:rsidR="00BC743C" w:rsidRDefault="00BC743C">
      <w:pPr>
        <w:pStyle w:val="TOC2"/>
        <w:tabs>
          <w:tab w:val="left" w:pos="1190"/>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Review and evaluation</w:t>
      </w:r>
      <w:r>
        <w:rPr>
          <w:noProof/>
        </w:rPr>
        <w:tab/>
        <w:t>208</w:t>
      </w:r>
    </w:p>
    <w:p w:rsidR="00BC743C" w:rsidRDefault="00BC743C">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Conduct of the inquiry</w:t>
      </w:r>
      <w:r>
        <w:rPr>
          <w:noProof/>
        </w:rPr>
        <w:tab/>
        <w:t>211</w:t>
      </w:r>
    </w:p>
    <w:p w:rsidR="00BC743C" w:rsidRDefault="00BC743C">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Recommendations of the PC 2006 inquiry into Tasmanian freight subsidy arrangements</w:t>
      </w:r>
      <w:r>
        <w:rPr>
          <w:noProof/>
        </w:rPr>
        <w:tab/>
        <w:t>219</w:t>
      </w:r>
    </w:p>
    <w:p w:rsidR="00BC743C" w:rsidRDefault="00BC743C">
      <w:pPr>
        <w:pStyle w:val="TOC1"/>
        <w:rPr>
          <w:rFonts w:asciiTheme="minorHAnsi" w:eastAsiaTheme="minorEastAsia" w:hAnsiTheme="minorHAnsi" w:cstheme="minorBidi"/>
          <w:b w:val="0"/>
          <w:noProof/>
          <w:sz w:val="22"/>
          <w:szCs w:val="22"/>
          <w:lang w:eastAsia="en-AU"/>
        </w:rPr>
      </w:pPr>
      <w:r>
        <w:rPr>
          <w:noProof/>
        </w:rPr>
        <w:t>References</w:t>
      </w:r>
      <w:r>
        <w:rPr>
          <w:noProof/>
        </w:rPr>
        <w:tab/>
        <w:t>221</w:t>
      </w:r>
    </w:p>
    <w:p w:rsidR="001B7F1E" w:rsidRDefault="001B7F1E" w:rsidP="008206EE">
      <w:pPr>
        <w:pStyle w:val="Heading1NotTOC"/>
      </w:pPr>
    </w:p>
    <w:p w:rsidR="00BC743C" w:rsidRPr="00BC743C" w:rsidRDefault="00BC743C" w:rsidP="00BC743C">
      <w:pPr>
        <w:pStyle w:val="BodyText"/>
      </w:pPr>
    </w:p>
    <w:p w:rsidR="00735FEA" w:rsidRDefault="00735FEA">
      <w:pPr>
        <w:pStyle w:val="BodyText"/>
        <w:sectPr w:rsidR="00735FEA" w:rsidSect="005537F6">
          <w:headerReference w:type="even" r:id="rId14"/>
          <w:headerReference w:type="default" r:id="rId15"/>
          <w:footerReference w:type="even" r:id="rId16"/>
          <w:footerReference w:type="default" r:id="rId17"/>
          <w:type w:val="oddPage"/>
          <w:pgSz w:w="11907" w:h="16840" w:code="9"/>
          <w:pgMar w:top="1985" w:right="1304" w:bottom="1418" w:left="1814" w:header="1701" w:footer="567" w:gutter="0"/>
          <w:pgNumType w:fmt="lowerRoman"/>
          <w:cols w:space="720"/>
        </w:sectPr>
      </w:pPr>
    </w:p>
    <w:p w:rsidR="00735FEA" w:rsidRDefault="00E10800" w:rsidP="00F7477E">
      <w:pPr>
        <w:pStyle w:val="Heading1"/>
      </w:pPr>
      <w:bookmarkStart w:id="14" w:name="Abbreviations"/>
      <w:bookmarkStart w:id="15" w:name="EndContents"/>
      <w:bookmarkStart w:id="16" w:name="RDnote"/>
      <w:bookmarkStart w:id="17" w:name="_Toc381880579"/>
      <w:bookmarkEnd w:id="14"/>
      <w:bookmarkEnd w:id="15"/>
      <w:bookmarkEnd w:id="16"/>
      <w:r>
        <w:lastRenderedPageBreak/>
        <w:t>Abbreviations</w:t>
      </w:r>
      <w:bookmarkEnd w:id="17"/>
    </w:p>
    <w:p w:rsidR="004C14D5" w:rsidRDefault="004C14D5" w:rsidP="00BC743C">
      <w:pPr>
        <w:pStyle w:val="Abbreviation"/>
        <w:spacing w:before="0"/>
      </w:pPr>
      <w:r>
        <w:t>ABS</w:t>
      </w:r>
      <w:r>
        <w:tab/>
        <w:t>Australian Bureau of Statistics</w:t>
      </w:r>
    </w:p>
    <w:p w:rsidR="00735FEA" w:rsidRDefault="00E10800">
      <w:pPr>
        <w:pStyle w:val="Abbreviation"/>
      </w:pPr>
      <w:proofErr w:type="spellStart"/>
      <w:r>
        <w:t>ACCC</w:t>
      </w:r>
      <w:proofErr w:type="spellEnd"/>
      <w:r w:rsidR="00735FEA">
        <w:tab/>
      </w:r>
      <w:r>
        <w:t>Australian Competition and Consumer Commission</w:t>
      </w:r>
    </w:p>
    <w:p w:rsidR="00A72D85" w:rsidRDefault="00A72D85">
      <w:pPr>
        <w:pStyle w:val="Abbreviation"/>
      </w:pPr>
      <w:proofErr w:type="spellStart"/>
      <w:r>
        <w:t>ANAO</w:t>
      </w:r>
      <w:proofErr w:type="spellEnd"/>
      <w:r>
        <w:tab/>
        <w:t>Australian National Audit Office</w:t>
      </w:r>
    </w:p>
    <w:p w:rsidR="002F79F8" w:rsidRDefault="002F79F8">
      <w:pPr>
        <w:pStyle w:val="Abbreviation"/>
      </w:pPr>
      <w:proofErr w:type="spellStart"/>
      <w:r>
        <w:t>ANZSIC</w:t>
      </w:r>
      <w:proofErr w:type="spellEnd"/>
      <w:r>
        <w:tab/>
        <w:t>Australian and New Zealand Standard Industry Classification</w:t>
      </w:r>
    </w:p>
    <w:p w:rsidR="00735FEA" w:rsidRDefault="00E10800">
      <w:pPr>
        <w:pStyle w:val="Abbreviation"/>
      </w:pPr>
      <w:proofErr w:type="spellStart"/>
      <w:r>
        <w:t>BITRE</w:t>
      </w:r>
      <w:proofErr w:type="spellEnd"/>
      <w:r w:rsidR="00735FEA">
        <w:tab/>
      </w:r>
      <w:r>
        <w:t>Bureau of Infrastructure, Transport and Regional Economics</w:t>
      </w:r>
    </w:p>
    <w:p w:rsidR="00E10800" w:rsidRDefault="00E10800">
      <w:pPr>
        <w:pStyle w:val="Abbreviation"/>
      </w:pPr>
      <w:proofErr w:type="spellStart"/>
      <w:r>
        <w:t>BSPVES</w:t>
      </w:r>
      <w:proofErr w:type="spellEnd"/>
      <w:r>
        <w:tab/>
        <w:t>Bass Strait Passenger Vehicle Equalisation Scheme</w:t>
      </w:r>
    </w:p>
    <w:p w:rsidR="00C348E0" w:rsidRDefault="00C348E0">
      <w:pPr>
        <w:pStyle w:val="Abbreviation"/>
      </w:pPr>
      <w:r>
        <w:t>CPI</w:t>
      </w:r>
      <w:r>
        <w:tab/>
        <w:t>consumer price index</w:t>
      </w:r>
    </w:p>
    <w:p w:rsidR="004C14D5" w:rsidRDefault="004C14D5">
      <w:pPr>
        <w:pStyle w:val="Abbreviation"/>
      </w:pPr>
      <w:proofErr w:type="spellStart"/>
      <w:r>
        <w:t>DHS</w:t>
      </w:r>
      <w:proofErr w:type="spellEnd"/>
      <w:r>
        <w:tab/>
        <w:t>Department of Human Services</w:t>
      </w:r>
      <w:r w:rsidR="004205A6">
        <w:t xml:space="preserve"> (Australian Government)</w:t>
      </w:r>
    </w:p>
    <w:p w:rsidR="002E4431" w:rsidRDefault="002E4431">
      <w:pPr>
        <w:pStyle w:val="Abbreviation"/>
      </w:pPr>
      <w:proofErr w:type="spellStart"/>
      <w:r>
        <w:t>DIER</w:t>
      </w:r>
      <w:proofErr w:type="spellEnd"/>
      <w:r>
        <w:tab/>
        <w:t>Department of Infrastructure, Energy and Resources (Tasmania)</w:t>
      </w:r>
    </w:p>
    <w:p w:rsidR="00E10800" w:rsidRDefault="00E10800">
      <w:pPr>
        <w:pStyle w:val="Abbreviation"/>
      </w:pPr>
      <w:proofErr w:type="spellStart"/>
      <w:r>
        <w:t>DIRD</w:t>
      </w:r>
      <w:proofErr w:type="spellEnd"/>
      <w:r>
        <w:tab/>
        <w:t>Department of Infrastructure and Regional Development</w:t>
      </w:r>
    </w:p>
    <w:p w:rsidR="00C41503" w:rsidRDefault="00C41503">
      <w:pPr>
        <w:pStyle w:val="Abbreviation"/>
      </w:pPr>
      <w:proofErr w:type="spellStart"/>
      <w:r>
        <w:t>FCL</w:t>
      </w:r>
      <w:proofErr w:type="spellEnd"/>
      <w:r>
        <w:tab/>
        <w:t>full container load</w:t>
      </w:r>
    </w:p>
    <w:p w:rsidR="00807A65" w:rsidRDefault="00807A65">
      <w:pPr>
        <w:pStyle w:val="Abbreviation"/>
      </w:pPr>
      <w:proofErr w:type="spellStart"/>
      <w:r>
        <w:t>FLCT</w:t>
      </w:r>
      <w:proofErr w:type="spellEnd"/>
      <w:r>
        <w:tab/>
        <w:t>Freight Logistics Coordination Team</w:t>
      </w:r>
    </w:p>
    <w:p w:rsidR="008E3D97" w:rsidRDefault="008E3D97">
      <w:pPr>
        <w:pStyle w:val="Abbreviation"/>
      </w:pPr>
      <w:r>
        <w:t>GTE</w:t>
      </w:r>
      <w:r>
        <w:tab/>
        <w:t>Government Trading Enterprise</w:t>
      </w:r>
    </w:p>
    <w:p w:rsidR="007F60CD" w:rsidRDefault="007F60CD">
      <w:pPr>
        <w:pStyle w:val="Abbreviation"/>
      </w:pPr>
      <w:proofErr w:type="spellStart"/>
      <w:r>
        <w:t>HPV</w:t>
      </w:r>
      <w:proofErr w:type="spellEnd"/>
      <w:r>
        <w:tab/>
        <w:t>high productivity vehicle</w:t>
      </w:r>
    </w:p>
    <w:p w:rsidR="00B63293" w:rsidRDefault="00B63293" w:rsidP="00B63293">
      <w:pPr>
        <w:pStyle w:val="Abbreviation"/>
      </w:pPr>
      <w:proofErr w:type="spellStart"/>
      <w:r>
        <w:t>LCL</w:t>
      </w:r>
      <w:proofErr w:type="spellEnd"/>
      <w:r>
        <w:tab/>
        <w:t>less than full container load</w:t>
      </w:r>
    </w:p>
    <w:p w:rsidR="00D20299" w:rsidRDefault="00D20299">
      <w:pPr>
        <w:pStyle w:val="Abbreviation"/>
      </w:pPr>
      <w:r>
        <w:t>MFP</w:t>
      </w:r>
      <w:r>
        <w:tab/>
        <w:t>multifactor productivity</w:t>
      </w:r>
    </w:p>
    <w:p w:rsidR="00C41503" w:rsidRDefault="00C41503">
      <w:pPr>
        <w:pStyle w:val="Abbreviation"/>
      </w:pPr>
      <w:r>
        <w:t>OECD</w:t>
      </w:r>
      <w:r>
        <w:tab/>
        <w:t>Organisation for Economic Cooperation and Development</w:t>
      </w:r>
    </w:p>
    <w:p w:rsidR="00807A65" w:rsidRDefault="00807A65">
      <w:pPr>
        <w:pStyle w:val="Abbreviation"/>
      </w:pPr>
      <w:r>
        <w:t>PC</w:t>
      </w:r>
      <w:r>
        <w:tab/>
        <w:t>Productivity Commission</w:t>
      </w:r>
    </w:p>
    <w:p w:rsidR="00E017C6" w:rsidRDefault="00E017C6">
      <w:pPr>
        <w:pStyle w:val="Abbreviation"/>
      </w:pPr>
      <w:proofErr w:type="spellStart"/>
      <w:r>
        <w:t>PLF</w:t>
      </w:r>
      <w:proofErr w:type="spellEnd"/>
      <w:r>
        <w:tab/>
        <w:t>port licence fee</w:t>
      </w:r>
    </w:p>
    <w:p w:rsidR="00E017C6" w:rsidRDefault="00E017C6">
      <w:pPr>
        <w:pStyle w:val="Abbreviation"/>
      </w:pPr>
      <w:proofErr w:type="spellStart"/>
      <w:r>
        <w:t>PoMC</w:t>
      </w:r>
      <w:proofErr w:type="spellEnd"/>
      <w:r>
        <w:tab/>
        <w:t>Port of Melbourne Corporation</w:t>
      </w:r>
    </w:p>
    <w:p w:rsidR="00D935FD" w:rsidRDefault="00D935FD">
      <w:pPr>
        <w:pStyle w:val="Abbreviation"/>
      </w:pPr>
      <w:proofErr w:type="spellStart"/>
      <w:r>
        <w:t>RFE</w:t>
      </w:r>
      <w:proofErr w:type="spellEnd"/>
      <w:r>
        <w:tab/>
        <w:t>road freight equivalent</w:t>
      </w:r>
    </w:p>
    <w:p w:rsidR="009D2E15" w:rsidRDefault="009D2E15">
      <w:pPr>
        <w:pStyle w:val="Abbreviation"/>
      </w:pPr>
      <w:proofErr w:type="spellStart"/>
      <w:r>
        <w:t>RORO</w:t>
      </w:r>
      <w:proofErr w:type="spellEnd"/>
      <w:r>
        <w:tab/>
        <w:t>roll-on roll-off</w:t>
      </w:r>
    </w:p>
    <w:p w:rsidR="00735FEA" w:rsidRDefault="00E10800">
      <w:pPr>
        <w:pStyle w:val="Abbreviation"/>
      </w:pPr>
      <w:proofErr w:type="spellStart"/>
      <w:r>
        <w:t>TEU</w:t>
      </w:r>
      <w:proofErr w:type="spellEnd"/>
      <w:r w:rsidR="00735FEA">
        <w:tab/>
      </w:r>
      <w:r>
        <w:t>twenty foot equivalent unit</w:t>
      </w:r>
    </w:p>
    <w:p w:rsidR="00E10800" w:rsidRDefault="00E10800">
      <w:pPr>
        <w:pStyle w:val="Abbreviation"/>
      </w:pPr>
      <w:proofErr w:type="spellStart"/>
      <w:r>
        <w:t>TFES</w:t>
      </w:r>
      <w:proofErr w:type="spellEnd"/>
      <w:r>
        <w:tab/>
        <w:t>Tasmanian Freight Equalisation Scheme</w:t>
      </w:r>
    </w:p>
    <w:p w:rsidR="00BC743C" w:rsidRPr="00A2425F" w:rsidRDefault="00E10800" w:rsidP="00B613ED">
      <w:pPr>
        <w:pStyle w:val="Abbreviation"/>
        <w:rPr>
          <w:rStyle w:val="CommentReference"/>
          <w:vanish w:val="0"/>
          <w:color w:val="auto"/>
        </w:rPr>
      </w:pPr>
      <w:proofErr w:type="spellStart"/>
      <w:r>
        <w:t>TWFS</w:t>
      </w:r>
      <w:proofErr w:type="spellEnd"/>
      <w:r>
        <w:tab/>
        <w:t>Tasmanian Wheat Freight Scheme</w:t>
      </w:r>
      <w:bookmarkStart w:id="18" w:name="Glossary"/>
      <w:bookmarkEnd w:id="18"/>
    </w:p>
    <w:sectPr w:rsidR="00BC743C" w:rsidRPr="00A2425F" w:rsidSect="00C55A45">
      <w:headerReference w:type="even" r:id="rId18"/>
      <w:headerReference w:type="default" r:id="rId19"/>
      <w:footerReference w:type="even" r:id="rId20"/>
      <w:footerReference w:type="default" r:id="rId21"/>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3BF5" w:rsidRDefault="00973BF5">
      <w:r>
        <w:separator/>
      </w:r>
    </w:p>
    <w:p w:rsidR="00973BF5" w:rsidRDefault="00973BF5"/>
    <w:p w:rsidR="00973BF5" w:rsidRDefault="00973BF5"/>
  </w:endnote>
  <w:endnote w:type="continuationSeparator" w:id="0">
    <w:p w:rsidR="00973BF5" w:rsidRDefault="00973BF5">
      <w:r>
        <w:continuationSeparator/>
      </w:r>
    </w:p>
    <w:p w:rsidR="00973BF5" w:rsidRDefault="00973BF5"/>
    <w:p w:rsidR="00973BF5" w:rsidRDefault="00973B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OlSt BT">
    <w:altName w:val="Georgia"/>
    <w:charset w:val="00"/>
    <w:family w:val="roman"/>
    <w:pitch w:val="variable"/>
    <w:sig w:usb0="00000087" w:usb1="00000000" w:usb2="00000000" w:usb3="00000000" w:csb0="0000001B" w:csb1="00000000"/>
  </w:font>
  <w:font w:name="Goudy Old Style">
    <w:panose1 w:val="02020502050305020303"/>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973BF5">
      <w:trPr>
        <w:trHeight w:hRule="exact" w:val="740"/>
      </w:trPr>
      <w:tc>
        <w:tcPr>
          <w:tcW w:w="510" w:type="dxa"/>
          <w:tcBorders>
            <w:top w:val="single" w:sz="6" w:space="0" w:color="auto"/>
          </w:tcBorders>
        </w:tcPr>
        <w:p w:rsidR="00973BF5" w:rsidRPr="008206EE" w:rsidRDefault="00973BF5">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BF7AF4">
            <w:rPr>
              <w:rStyle w:val="PageNumber"/>
              <w:caps w:val="0"/>
              <w:noProof/>
            </w:rPr>
            <w:t>vi</w:t>
          </w:r>
          <w:r w:rsidRPr="008206EE">
            <w:rPr>
              <w:rStyle w:val="PageNumber"/>
              <w:caps w:val="0"/>
              <w:noProof/>
            </w:rPr>
            <w:fldChar w:fldCharType="end"/>
          </w:r>
        </w:p>
      </w:tc>
      <w:tc>
        <w:tcPr>
          <w:tcW w:w="1644" w:type="dxa"/>
          <w:tcBorders>
            <w:top w:val="single" w:sz="6" w:space="0" w:color="auto"/>
          </w:tcBorders>
        </w:tcPr>
        <w:p w:rsidR="00973BF5" w:rsidRPr="00603344" w:rsidRDefault="003C2108" w:rsidP="006817C9">
          <w:pPr>
            <w:pStyle w:val="Footer"/>
          </w:pPr>
          <w:fldSimple w:instr=" STYLEREF &quot;Heading 1&quot; \* MERGEFORMAT ">
            <w:r w:rsidR="00BF7AF4" w:rsidRPr="00BF7AF4">
              <w:rPr>
                <w:bCs/>
                <w:noProof/>
                <w:lang w:val="en-US"/>
              </w:rPr>
              <w:t>Terms of reference</w:t>
            </w:r>
          </w:fldSimple>
        </w:p>
      </w:tc>
      <w:tc>
        <w:tcPr>
          <w:tcW w:w="6634" w:type="dxa"/>
        </w:tcPr>
        <w:p w:rsidR="00973BF5" w:rsidRPr="00603344" w:rsidRDefault="00973BF5">
          <w:pPr>
            <w:pStyle w:val="Footer"/>
            <w:rPr>
              <w:caps w:val="0"/>
            </w:rPr>
          </w:pPr>
        </w:p>
      </w:tc>
    </w:tr>
  </w:tbl>
  <w:p w:rsidR="00973BF5" w:rsidRDefault="00973BF5">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973BF5" w:rsidTr="006817C9">
      <w:trPr>
        <w:trHeight w:hRule="exact" w:val="740"/>
      </w:trPr>
      <w:tc>
        <w:tcPr>
          <w:tcW w:w="6634" w:type="dxa"/>
        </w:tcPr>
        <w:p w:rsidR="00973BF5" w:rsidRPr="00B3203C" w:rsidRDefault="00973BF5">
          <w:pPr>
            <w:pStyle w:val="Footer"/>
          </w:pPr>
        </w:p>
      </w:tc>
      <w:tc>
        <w:tcPr>
          <w:tcW w:w="1644" w:type="dxa"/>
          <w:tcBorders>
            <w:top w:val="single" w:sz="6" w:space="0" w:color="auto"/>
          </w:tcBorders>
        </w:tcPr>
        <w:p w:rsidR="00973BF5" w:rsidRPr="00B3203C" w:rsidRDefault="00973BF5" w:rsidP="006817C9">
          <w:pPr>
            <w:pStyle w:val="Footer"/>
            <w:rPr>
              <w:rStyle w:val="PageNumber"/>
              <w:noProof/>
            </w:rPr>
          </w:pPr>
          <w:r w:rsidRPr="00B3203C">
            <w:rPr>
              <w:noProof/>
            </w:rPr>
            <w:fldChar w:fldCharType="begin"/>
          </w:r>
          <w:r w:rsidRPr="00B3203C">
            <w:rPr>
              <w:noProof/>
            </w:rPr>
            <w:instrText xml:space="preserve"> STYLEREF "Heading 1" \* MERGEFORMAT </w:instrText>
          </w:r>
          <w:r w:rsidRPr="00B3203C">
            <w:rPr>
              <w:noProof/>
            </w:rPr>
            <w:fldChar w:fldCharType="separate"/>
          </w:r>
          <w:r w:rsidR="00BF7AF4" w:rsidRPr="00BF7AF4">
            <w:rPr>
              <w:bCs/>
              <w:noProof/>
              <w:lang w:val="en-US"/>
            </w:rPr>
            <w:t>Terms of reference</w:t>
          </w:r>
          <w:r w:rsidRPr="00B3203C">
            <w:rPr>
              <w:noProof/>
            </w:rPr>
            <w:fldChar w:fldCharType="end"/>
          </w:r>
        </w:p>
      </w:tc>
      <w:tc>
        <w:tcPr>
          <w:tcW w:w="510" w:type="dxa"/>
          <w:tcBorders>
            <w:top w:val="single" w:sz="6" w:space="0" w:color="auto"/>
          </w:tcBorders>
        </w:tcPr>
        <w:p w:rsidR="00973BF5" w:rsidRPr="00C55A45" w:rsidRDefault="00973BF5">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BF7AF4">
            <w:rPr>
              <w:rStyle w:val="PageNumber"/>
              <w:caps w:val="0"/>
              <w:noProof/>
            </w:rPr>
            <w:t>v</w:t>
          </w:r>
          <w:r w:rsidRPr="00C55A45">
            <w:rPr>
              <w:rStyle w:val="PageNumber"/>
              <w:caps w:val="0"/>
              <w:noProof/>
            </w:rPr>
            <w:fldChar w:fldCharType="end"/>
          </w:r>
        </w:p>
      </w:tc>
    </w:tr>
  </w:tbl>
  <w:p w:rsidR="00973BF5" w:rsidRDefault="00973BF5">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D37AC2">
      <w:trPr>
        <w:trHeight w:hRule="exact" w:val="740"/>
      </w:trPr>
      <w:tc>
        <w:tcPr>
          <w:tcW w:w="510" w:type="dxa"/>
          <w:tcBorders>
            <w:top w:val="single" w:sz="6" w:space="0" w:color="auto"/>
          </w:tcBorders>
        </w:tcPr>
        <w:p w:rsidR="00D37AC2" w:rsidRPr="008206EE" w:rsidRDefault="00D37AC2">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BF7AF4">
            <w:rPr>
              <w:rStyle w:val="PageNumber"/>
              <w:caps w:val="0"/>
              <w:noProof/>
            </w:rPr>
            <w:t>viii</w:t>
          </w:r>
          <w:r w:rsidRPr="008206EE">
            <w:rPr>
              <w:rStyle w:val="PageNumber"/>
              <w:caps w:val="0"/>
              <w:noProof/>
            </w:rPr>
            <w:fldChar w:fldCharType="end"/>
          </w:r>
        </w:p>
      </w:tc>
      <w:tc>
        <w:tcPr>
          <w:tcW w:w="1644" w:type="dxa"/>
          <w:tcBorders>
            <w:top w:val="single" w:sz="6" w:space="0" w:color="auto"/>
          </w:tcBorders>
        </w:tcPr>
        <w:p w:rsidR="00D37AC2" w:rsidRDefault="00E9348B">
          <w:pPr>
            <w:pStyle w:val="Footer"/>
          </w:pPr>
          <w:r>
            <w:t>contents</w:t>
          </w:r>
          <w:r w:rsidR="009A0508">
            <w:fldChar w:fldCharType="begin"/>
          </w:r>
          <w:r w:rsidR="009A0508">
            <w:instrText xml:space="preserve"> STYLEREF "Heading 1 Not TOC" \* MERGEFORMAT </w:instrText>
          </w:r>
          <w:r w:rsidR="009A0508">
            <w:rPr>
              <w:noProof/>
            </w:rPr>
            <w:fldChar w:fldCharType="end"/>
          </w:r>
        </w:p>
      </w:tc>
      <w:tc>
        <w:tcPr>
          <w:tcW w:w="6634" w:type="dxa"/>
        </w:tcPr>
        <w:p w:rsidR="00D37AC2" w:rsidRDefault="00D37AC2">
          <w:pPr>
            <w:pStyle w:val="Footer"/>
            <w:rPr>
              <w:caps w:val="0"/>
            </w:rPr>
          </w:pPr>
        </w:p>
      </w:tc>
    </w:tr>
  </w:tbl>
  <w:p w:rsidR="00D37AC2" w:rsidRDefault="00D37AC2">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D37AC2" w:rsidTr="008F7DB7">
      <w:trPr>
        <w:trHeight w:hRule="exact" w:val="740"/>
      </w:trPr>
      <w:tc>
        <w:tcPr>
          <w:tcW w:w="6634" w:type="dxa"/>
        </w:tcPr>
        <w:p w:rsidR="00D37AC2" w:rsidRDefault="00D37AC2">
          <w:pPr>
            <w:pStyle w:val="Footer"/>
          </w:pPr>
        </w:p>
      </w:tc>
      <w:tc>
        <w:tcPr>
          <w:tcW w:w="1644" w:type="dxa"/>
          <w:tcBorders>
            <w:top w:val="single" w:sz="6" w:space="0" w:color="auto"/>
          </w:tcBorders>
        </w:tcPr>
        <w:p w:rsidR="00D37AC2" w:rsidRPr="008F7DB7" w:rsidRDefault="00D37AC2">
          <w:pPr>
            <w:pStyle w:val="Footer"/>
            <w:rPr>
              <w:rStyle w:val="PageNumber"/>
              <w:noProof/>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BF7AF4" w:rsidRPr="00BF7AF4">
            <w:rPr>
              <w:bCs/>
              <w:noProof/>
            </w:rPr>
            <w:t>Contents</w:t>
          </w:r>
          <w:r w:rsidRPr="008F7DB7">
            <w:rPr>
              <w:noProof/>
            </w:rPr>
            <w:fldChar w:fldCharType="end"/>
          </w:r>
        </w:p>
      </w:tc>
      <w:tc>
        <w:tcPr>
          <w:tcW w:w="510" w:type="dxa"/>
          <w:tcBorders>
            <w:top w:val="single" w:sz="6" w:space="0" w:color="auto"/>
          </w:tcBorders>
        </w:tcPr>
        <w:p w:rsidR="00D37AC2" w:rsidRPr="00C55A45" w:rsidRDefault="00D37AC2">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BF7AF4">
            <w:rPr>
              <w:rStyle w:val="PageNumber"/>
              <w:caps w:val="0"/>
              <w:noProof/>
            </w:rPr>
            <w:t>vii</w:t>
          </w:r>
          <w:r w:rsidRPr="00C55A45">
            <w:rPr>
              <w:rStyle w:val="PageNumber"/>
              <w:caps w:val="0"/>
              <w:noProof/>
            </w:rPr>
            <w:fldChar w:fldCharType="end"/>
          </w:r>
        </w:p>
      </w:tc>
    </w:tr>
  </w:tbl>
  <w:p w:rsidR="00D37AC2" w:rsidRDefault="00D37AC2">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D37AC2" w:rsidTr="008F7DB7">
      <w:trPr>
        <w:trHeight w:hRule="exact" w:val="740"/>
      </w:trPr>
      <w:tc>
        <w:tcPr>
          <w:tcW w:w="510" w:type="dxa"/>
          <w:tcBorders>
            <w:top w:val="single" w:sz="6" w:space="0" w:color="auto"/>
          </w:tcBorders>
        </w:tcPr>
        <w:p w:rsidR="00D37AC2" w:rsidRPr="00C55A45" w:rsidRDefault="00D37AC2">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436A43">
            <w:rPr>
              <w:rStyle w:val="PageNumber"/>
              <w:caps w:val="0"/>
              <w:noProof/>
            </w:rPr>
            <w:t>x</w:t>
          </w:r>
          <w:r w:rsidRPr="00C55A45">
            <w:rPr>
              <w:rStyle w:val="PageNumber"/>
              <w:caps w:val="0"/>
              <w:noProof/>
            </w:rPr>
            <w:fldChar w:fldCharType="end"/>
          </w:r>
        </w:p>
      </w:tc>
      <w:tc>
        <w:tcPr>
          <w:tcW w:w="1758" w:type="dxa"/>
          <w:tcBorders>
            <w:top w:val="single" w:sz="6" w:space="0" w:color="auto"/>
          </w:tcBorders>
        </w:tcPr>
        <w:p w:rsidR="00D37AC2" w:rsidRDefault="00D37AC2">
          <w:pPr>
            <w:pStyle w:val="Footer"/>
            <w:rPr>
              <w:noProof/>
            </w:rPr>
          </w:pPr>
          <w:r>
            <w:rPr>
              <w:noProof/>
            </w:rPr>
            <w:fldChar w:fldCharType="begin"/>
          </w:r>
          <w:r>
            <w:rPr>
              <w:noProof/>
            </w:rPr>
            <w:instrText xml:space="preserve"> STYLEREF "Heading 1" \* MERGEFORMAT </w:instrText>
          </w:r>
          <w:r>
            <w:rPr>
              <w:noProof/>
            </w:rPr>
            <w:fldChar w:fldCharType="separate"/>
          </w:r>
          <w:r w:rsidR="00365383">
            <w:rPr>
              <w:noProof/>
            </w:rPr>
            <w:t>Terms of reference</w:t>
          </w:r>
          <w:r>
            <w:rPr>
              <w:noProof/>
            </w:rPr>
            <w:fldChar w:fldCharType="end"/>
          </w:r>
        </w:p>
      </w:tc>
      <w:tc>
        <w:tcPr>
          <w:tcW w:w="6634" w:type="dxa"/>
        </w:tcPr>
        <w:p w:rsidR="00D37AC2" w:rsidRDefault="00D37AC2">
          <w:pPr>
            <w:pStyle w:val="Footer"/>
            <w:rPr>
              <w:caps w:val="0"/>
            </w:rPr>
          </w:pPr>
        </w:p>
      </w:tc>
    </w:tr>
  </w:tbl>
  <w:p w:rsidR="00D37AC2" w:rsidRDefault="00D37AC2">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D37AC2">
      <w:trPr>
        <w:trHeight w:hRule="exact" w:val="740"/>
      </w:trPr>
      <w:tc>
        <w:tcPr>
          <w:tcW w:w="6663" w:type="dxa"/>
        </w:tcPr>
        <w:p w:rsidR="00D37AC2" w:rsidRDefault="00D37AC2">
          <w:pPr>
            <w:pStyle w:val="Footer"/>
          </w:pPr>
        </w:p>
      </w:tc>
      <w:tc>
        <w:tcPr>
          <w:tcW w:w="1615" w:type="dxa"/>
          <w:tcBorders>
            <w:top w:val="single" w:sz="6" w:space="0" w:color="auto"/>
          </w:tcBorders>
        </w:tcPr>
        <w:p w:rsidR="00D37AC2" w:rsidRDefault="003C2108">
          <w:pPr>
            <w:pStyle w:val="Footer"/>
            <w:rPr>
              <w:rStyle w:val="PageNumber"/>
              <w:b w:val="0"/>
            </w:rPr>
          </w:pPr>
          <w:fldSimple w:instr=" STYLEREF &quot;Heading 1&quot; \* MERGEFORMAT ">
            <w:r w:rsidR="00BF7AF4">
              <w:rPr>
                <w:noProof/>
              </w:rPr>
              <w:t>Abbreviations</w:t>
            </w:r>
          </w:fldSimple>
        </w:p>
      </w:tc>
      <w:tc>
        <w:tcPr>
          <w:tcW w:w="510" w:type="dxa"/>
          <w:tcBorders>
            <w:top w:val="single" w:sz="6" w:space="0" w:color="auto"/>
          </w:tcBorders>
        </w:tcPr>
        <w:p w:rsidR="00D37AC2" w:rsidRPr="00E15FDC" w:rsidRDefault="00D37AC2">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BF7AF4">
            <w:rPr>
              <w:rStyle w:val="PageNumber"/>
              <w:caps w:val="0"/>
              <w:noProof/>
            </w:rPr>
            <w:t>ix</w:t>
          </w:r>
          <w:r w:rsidRPr="00E15FDC">
            <w:rPr>
              <w:rStyle w:val="PageNumber"/>
              <w:caps w:val="0"/>
              <w:noProof/>
            </w:rPr>
            <w:fldChar w:fldCharType="end"/>
          </w:r>
        </w:p>
      </w:tc>
    </w:tr>
  </w:tbl>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3BF5" w:rsidRDefault="00973BF5">
      <w:r>
        <w:separator/>
      </w:r>
    </w:p>
    <w:p w:rsidR="00973BF5" w:rsidRDefault="00973BF5"/>
    <w:p w:rsidR="00973BF5" w:rsidRDefault="00973BF5"/>
  </w:footnote>
  <w:footnote w:type="continuationSeparator" w:id="0">
    <w:p w:rsidR="00973BF5" w:rsidRDefault="00973BF5">
      <w:r>
        <w:continuationSeparator/>
      </w:r>
    </w:p>
    <w:p w:rsidR="00973BF5" w:rsidRDefault="00973BF5"/>
    <w:p w:rsidR="00973BF5" w:rsidRDefault="00973BF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973BF5">
      <w:tc>
        <w:tcPr>
          <w:tcW w:w="2155" w:type="dxa"/>
          <w:tcBorders>
            <w:top w:val="single" w:sz="24" w:space="0" w:color="auto"/>
          </w:tcBorders>
        </w:tcPr>
        <w:p w:rsidR="00973BF5" w:rsidRDefault="00973BF5">
          <w:pPr>
            <w:pStyle w:val="Header"/>
          </w:pPr>
        </w:p>
      </w:tc>
      <w:tc>
        <w:tcPr>
          <w:tcW w:w="6634" w:type="dxa"/>
          <w:tcBorders>
            <w:top w:val="single" w:sz="6" w:space="0" w:color="auto"/>
          </w:tcBorders>
        </w:tcPr>
        <w:p w:rsidR="00973BF5" w:rsidRDefault="00973BF5">
          <w:pPr>
            <w:pStyle w:val="Header"/>
          </w:pPr>
        </w:p>
      </w:tc>
    </w:tr>
  </w:tbl>
  <w:p w:rsidR="00973BF5" w:rsidRDefault="00973BF5">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73BF5" w:rsidTr="006817C9">
      <w:tc>
        <w:tcPr>
          <w:tcW w:w="6634" w:type="dxa"/>
          <w:tcBorders>
            <w:top w:val="single" w:sz="6" w:space="0" w:color="auto"/>
          </w:tcBorders>
        </w:tcPr>
        <w:p w:rsidR="00973BF5" w:rsidRDefault="00973BF5" w:rsidP="006817C9">
          <w:pPr>
            <w:pStyle w:val="HeaderOdd"/>
          </w:pPr>
        </w:p>
      </w:tc>
      <w:tc>
        <w:tcPr>
          <w:tcW w:w="2155" w:type="dxa"/>
          <w:tcBorders>
            <w:top w:val="single" w:sz="24" w:space="0" w:color="auto"/>
          </w:tcBorders>
        </w:tcPr>
        <w:p w:rsidR="00973BF5" w:rsidRDefault="00973BF5" w:rsidP="006817C9">
          <w:pPr>
            <w:pStyle w:val="HeaderOdd"/>
          </w:pPr>
        </w:p>
      </w:tc>
    </w:tr>
  </w:tbl>
  <w:p w:rsidR="00973BF5" w:rsidRPr="005C68FE" w:rsidRDefault="00973BF5" w:rsidP="006817C9">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tc>
        <w:tcPr>
          <w:tcW w:w="2155" w:type="dxa"/>
          <w:tcBorders>
            <w:top w:val="single" w:sz="24" w:space="0" w:color="auto"/>
          </w:tcBorders>
        </w:tcPr>
        <w:p w:rsidR="00D37AC2" w:rsidRDefault="00D37AC2">
          <w:pPr>
            <w:pStyle w:val="Header"/>
          </w:pPr>
        </w:p>
      </w:tc>
      <w:tc>
        <w:tcPr>
          <w:tcW w:w="6634" w:type="dxa"/>
          <w:tcBorders>
            <w:top w:val="single" w:sz="6" w:space="0" w:color="auto"/>
          </w:tcBorders>
        </w:tcPr>
        <w:p w:rsidR="00D37AC2" w:rsidRDefault="00D37AC2">
          <w:pPr>
            <w:pStyle w:val="Header"/>
          </w:pPr>
        </w:p>
      </w:tc>
    </w:tr>
  </w:tbl>
  <w:p w:rsidR="00D37AC2" w:rsidRDefault="00D37AC2">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rsidTr="005C68FE">
      <w:tc>
        <w:tcPr>
          <w:tcW w:w="6634" w:type="dxa"/>
          <w:tcBorders>
            <w:top w:val="single" w:sz="6" w:space="0" w:color="auto"/>
          </w:tcBorders>
        </w:tcPr>
        <w:p w:rsidR="00D37AC2" w:rsidRDefault="00D37AC2" w:rsidP="005C68FE">
          <w:pPr>
            <w:pStyle w:val="HeaderOdd"/>
          </w:pPr>
        </w:p>
      </w:tc>
      <w:tc>
        <w:tcPr>
          <w:tcW w:w="2155" w:type="dxa"/>
          <w:tcBorders>
            <w:top w:val="single" w:sz="24" w:space="0" w:color="auto"/>
          </w:tcBorders>
        </w:tcPr>
        <w:p w:rsidR="00D37AC2" w:rsidRDefault="00D37AC2" w:rsidP="005C68FE">
          <w:pPr>
            <w:pStyle w:val="HeaderOdd"/>
          </w:pPr>
        </w:p>
      </w:tc>
    </w:tr>
  </w:tbl>
  <w:p w:rsidR="00D37AC2" w:rsidRPr="005C68FE" w:rsidRDefault="00D37AC2"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0">
    <w:nsid w:val="6B740744"/>
    <w:multiLevelType w:val="singleLevel"/>
    <w:tmpl w:val="B4744B66"/>
    <w:lvl w:ilvl="0">
      <w:start w:val="1"/>
      <w:numFmt w:val="decimal"/>
      <w:lvlText w:val="%1."/>
      <w:legacy w:legacy="1" w:legacySpace="0" w:legacyIndent="340"/>
      <w:lvlJc w:val="left"/>
      <w:pPr>
        <w:ind w:left="340" w:hanging="340"/>
      </w:pPr>
    </w:lvl>
  </w:abstractNum>
  <w:abstractNum w:abstractNumId="21">
    <w:nsid w:val="74216A80"/>
    <w:multiLevelType w:val="hybridMultilevel"/>
    <w:tmpl w:val="F482C54C"/>
    <w:lvl w:ilvl="0" w:tplc="7728CA0A">
      <w:start w:val="1"/>
      <w:numFmt w:val="lowerLetter"/>
      <w:pStyle w:val="ToRlistno2"/>
      <w:lvlText w:val="%1."/>
      <w:lvlJc w:val="left"/>
      <w:pPr>
        <w:ind w:left="1060" w:hanging="360"/>
      </w:pPr>
    </w:lvl>
    <w:lvl w:ilvl="1" w:tplc="0C090019" w:tentative="1">
      <w:start w:val="1"/>
      <w:numFmt w:val="lowerLetter"/>
      <w:lvlText w:val="%2."/>
      <w:lvlJc w:val="left"/>
      <w:pPr>
        <w:ind w:left="1780" w:hanging="360"/>
      </w:pPr>
    </w:lvl>
    <w:lvl w:ilvl="2" w:tplc="0C09001B" w:tentative="1">
      <w:start w:val="1"/>
      <w:numFmt w:val="lowerRoman"/>
      <w:lvlText w:val="%3."/>
      <w:lvlJc w:val="right"/>
      <w:pPr>
        <w:ind w:left="2500" w:hanging="180"/>
      </w:pPr>
    </w:lvl>
    <w:lvl w:ilvl="3" w:tplc="0C09000F" w:tentative="1">
      <w:start w:val="1"/>
      <w:numFmt w:val="decimal"/>
      <w:lvlText w:val="%4."/>
      <w:lvlJc w:val="left"/>
      <w:pPr>
        <w:ind w:left="3220" w:hanging="360"/>
      </w:pPr>
    </w:lvl>
    <w:lvl w:ilvl="4" w:tplc="0C090019" w:tentative="1">
      <w:start w:val="1"/>
      <w:numFmt w:val="lowerLetter"/>
      <w:lvlText w:val="%5."/>
      <w:lvlJc w:val="left"/>
      <w:pPr>
        <w:ind w:left="3940" w:hanging="360"/>
      </w:pPr>
    </w:lvl>
    <w:lvl w:ilvl="5" w:tplc="0C09001B" w:tentative="1">
      <w:start w:val="1"/>
      <w:numFmt w:val="lowerRoman"/>
      <w:lvlText w:val="%6."/>
      <w:lvlJc w:val="right"/>
      <w:pPr>
        <w:ind w:left="4660" w:hanging="180"/>
      </w:pPr>
    </w:lvl>
    <w:lvl w:ilvl="6" w:tplc="0C09000F" w:tentative="1">
      <w:start w:val="1"/>
      <w:numFmt w:val="decimal"/>
      <w:lvlText w:val="%7."/>
      <w:lvlJc w:val="left"/>
      <w:pPr>
        <w:ind w:left="5380" w:hanging="360"/>
      </w:pPr>
    </w:lvl>
    <w:lvl w:ilvl="7" w:tplc="0C090019" w:tentative="1">
      <w:start w:val="1"/>
      <w:numFmt w:val="lowerLetter"/>
      <w:lvlText w:val="%8."/>
      <w:lvlJc w:val="left"/>
      <w:pPr>
        <w:ind w:left="6100" w:hanging="360"/>
      </w:pPr>
    </w:lvl>
    <w:lvl w:ilvl="8" w:tplc="0C09001B" w:tentative="1">
      <w:start w:val="1"/>
      <w:numFmt w:val="lowerRoman"/>
      <w:lvlText w:val="%9."/>
      <w:lvlJc w:val="right"/>
      <w:pPr>
        <w:ind w:left="6820" w:hanging="180"/>
      </w:pPr>
    </w:lvl>
  </w:abstractNum>
  <w:abstractNum w:abstractNumId="22">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3">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0"/>
  </w:num>
  <w:num w:numId="13">
    <w:abstractNumId w:val="15"/>
  </w:num>
  <w:num w:numId="14">
    <w:abstractNumId w:val="8"/>
  </w:num>
  <w:num w:numId="15">
    <w:abstractNumId w:val="22"/>
  </w:num>
  <w:num w:numId="16">
    <w:abstractNumId w:val="16"/>
  </w:num>
  <w:num w:numId="17">
    <w:abstractNumId w:val="7"/>
  </w:num>
  <w:num w:numId="18">
    <w:abstractNumId w:val="19"/>
  </w:num>
  <w:num w:numId="19">
    <w:abstractNumId w:val="18"/>
  </w:num>
  <w:num w:numId="20">
    <w:abstractNumId w:val="23"/>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6"/>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mirrorMargins/>
  <w:proofState w:spelling="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BF5"/>
    <w:rsid w:val="00017AFC"/>
    <w:rsid w:val="00025878"/>
    <w:rsid w:val="00026B38"/>
    <w:rsid w:val="000502D3"/>
    <w:rsid w:val="00060ACB"/>
    <w:rsid w:val="000623BF"/>
    <w:rsid w:val="00062B2C"/>
    <w:rsid w:val="00095EEA"/>
    <w:rsid w:val="00097C15"/>
    <w:rsid w:val="000B416E"/>
    <w:rsid w:val="000F185F"/>
    <w:rsid w:val="000F2F5F"/>
    <w:rsid w:val="00106041"/>
    <w:rsid w:val="0013399B"/>
    <w:rsid w:val="00181F4B"/>
    <w:rsid w:val="00196FB3"/>
    <w:rsid w:val="001A5071"/>
    <w:rsid w:val="001A67AB"/>
    <w:rsid w:val="001B4E73"/>
    <w:rsid w:val="001B7F1E"/>
    <w:rsid w:val="001D4B1F"/>
    <w:rsid w:val="001D6629"/>
    <w:rsid w:val="001F2270"/>
    <w:rsid w:val="00205A82"/>
    <w:rsid w:val="00211BEE"/>
    <w:rsid w:val="002179C6"/>
    <w:rsid w:val="00261607"/>
    <w:rsid w:val="00263DD1"/>
    <w:rsid w:val="00264D3B"/>
    <w:rsid w:val="00265685"/>
    <w:rsid w:val="00281D5F"/>
    <w:rsid w:val="002923AD"/>
    <w:rsid w:val="00296592"/>
    <w:rsid w:val="002A0A4B"/>
    <w:rsid w:val="002B636E"/>
    <w:rsid w:val="002B64D6"/>
    <w:rsid w:val="002C12F5"/>
    <w:rsid w:val="002D6FCE"/>
    <w:rsid w:val="002E4431"/>
    <w:rsid w:val="002F79F8"/>
    <w:rsid w:val="00365383"/>
    <w:rsid w:val="003B41E0"/>
    <w:rsid w:val="003C2108"/>
    <w:rsid w:val="003D624D"/>
    <w:rsid w:val="003E7802"/>
    <w:rsid w:val="004205A6"/>
    <w:rsid w:val="00432336"/>
    <w:rsid w:val="00433C81"/>
    <w:rsid w:val="00436A43"/>
    <w:rsid w:val="00446D6B"/>
    <w:rsid w:val="00457B3F"/>
    <w:rsid w:val="00463022"/>
    <w:rsid w:val="00481CF0"/>
    <w:rsid w:val="004B492A"/>
    <w:rsid w:val="004C0B0C"/>
    <w:rsid w:val="004C14D5"/>
    <w:rsid w:val="004E52E2"/>
    <w:rsid w:val="004E6BB4"/>
    <w:rsid w:val="00515D43"/>
    <w:rsid w:val="0052544D"/>
    <w:rsid w:val="00551FB8"/>
    <w:rsid w:val="005537F6"/>
    <w:rsid w:val="00560F43"/>
    <w:rsid w:val="005654D0"/>
    <w:rsid w:val="005947B7"/>
    <w:rsid w:val="005A0F80"/>
    <w:rsid w:val="005B17AB"/>
    <w:rsid w:val="005B4C7A"/>
    <w:rsid w:val="005C68FE"/>
    <w:rsid w:val="00602523"/>
    <w:rsid w:val="00604351"/>
    <w:rsid w:val="00607D8A"/>
    <w:rsid w:val="0061590F"/>
    <w:rsid w:val="00636497"/>
    <w:rsid w:val="00641AE2"/>
    <w:rsid w:val="0064456A"/>
    <w:rsid w:val="00650DDA"/>
    <w:rsid w:val="0065126A"/>
    <w:rsid w:val="006802D4"/>
    <w:rsid w:val="00683849"/>
    <w:rsid w:val="00691AB5"/>
    <w:rsid w:val="006E1E6B"/>
    <w:rsid w:val="006F0EAC"/>
    <w:rsid w:val="006F6A85"/>
    <w:rsid w:val="0070328D"/>
    <w:rsid w:val="00731F96"/>
    <w:rsid w:val="00734127"/>
    <w:rsid w:val="00735FEA"/>
    <w:rsid w:val="00743460"/>
    <w:rsid w:val="00743A27"/>
    <w:rsid w:val="00753DC6"/>
    <w:rsid w:val="0075578C"/>
    <w:rsid w:val="00766DFB"/>
    <w:rsid w:val="007734B5"/>
    <w:rsid w:val="007809B8"/>
    <w:rsid w:val="00792557"/>
    <w:rsid w:val="007F60CD"/>
    <w:rsid w:val="00806E54"/>
    <w:rsid w:val="00807A65"/>
    <w:rsid w:val="008206EE"/>
    <w:rsid w:val="008214B1"/>
    <w:rsid w:val="00836ED7"/>
    <w:rsid w:val="008453AC"/>
    <w:rsid w:val="0084660B"/>
    <w:rsid w:val="0084684A"/>
    <w:rsid w:val="00860D09"/>
    <w:rsid w:val="00862044"/>
    <w:rsid w:val="008C305F"/>
    <w:rsid w:val="008C3AD2"/>
    <w:rsid w:val="008C7C3D"/>
    <w:rsid w:val="008D6F66"/>
    <w:rsid w:val="008E1BEA"/>
    <w:rsid w:val="008E3D97"/>
    <w:rsid w:val="008E43D2"/>
    <w:rsid w:val="008F04C9"/>
    <w:rsid w:val="008F7C50"/>
    <w:rsid w:val="008F7DB7"/>
    <w:rsid w:val="009064D3"/>
    <w:rsid w:val="00915300"/>
    <w:rsid w:val="00933B0C"/>
    <w:rsid w:val="00935676"/>
    <w:rsid w:val="00973BF5"/>
    <w:rsid w:val="0098401D"/>
    <w:rsid w:val="009A0508"/>
    <w:rsid w:val="009A789F"/>
    <w:rsid w:val="009B12EF"/>
    <w:rsid w:val="009B6185"/>
    <w:rsid w:val="009D08B8"/>
    <w:rsid w:val="009D2E15"/>
    <w:rsid w:val="009E1E78"/>
    <w:rsid w:val="00A1597D"/>
    <w:rsid w:val="00A2425F"/>
    <w:rsid w:val="00A46989"/>
    <w:rsid w:val="00A71CE9"/>
    <w:rsid w:val="00A72A19"/>
    <w:rsid w:val="00A72D85"/>
    <w:rsid w:val="00A75A30"/>
    <w:rsid w:val="00A93C82"/>
    <w:rsid w:val="00A947E9"/>
    <w:rsid w:val="00AB2A48"/>
    <w:rsid w:val="00AB5033"/>
    <w:rsid w:val="00AC3236"/>
    <w:rsid w:val="00AD4874"/>
    <w:rsid w:val="00AE1F8A"/>
    <w:rsid w:val="00B036B2"/>
    <w:rsid w:val="00B04D19"/>
    <w:rsid w:val="00B153C3"/>
    <w:rsid w:val="00B22087"/>
    <w:rsid w:val="00B613ED"/>
    <w:rsid w:val="00B63293"/>
    <w:rsid w:val="00B722F2"/>
    <w:rsid w:val="00B80D78"/>
    <w:rsid w:val="00B95339"/>
    <w:rsid w:val="00BB334E"/>
    <w:rsid w:val="00BB5DCF"/>
    <w:rsid w:val="00BC743C"/>
    <w:rsid w:val="00BF59EA"/>
    <w:rsid w:val="00BF79CD"/>
    <w:rsid w:val="00BF7AF4"/>
    <w:rsid w:val="00C0721B"/>
    <w:rsid w:val="00C348E0"/>
    <w:rsid w:val="00C34C8C"/>
    <w:rsid w:val="00C41503"/>
    <w:rsid w:val="00C50792"/>
    <w:rsid w:val="00C55A45"/>
    <w:rsid w:val="00C904D9"/>
    <w:rsid w:val="00C94C06"/>
    <w:rsid w:val="00CA48BF"/>
    <w:rsid w:val="00CB3ACC"/>
    <w:rsid w:val="00CB4745"/>
    <w:rsid w:val="00CD2163"/>
    <w:rsid w:val="00CD4FE7"/>
    <w:rsid w:val="00CD5E6B"/>
    <w:rsid w:val="00CD6CE3"/>
    <w:rsid w:val="00CE5D96"/>
    <w:rsid w:val="00CE7344"/>
    <w:rsid w:val="00CF26EE"/>
    <w:rsid w:val="00D20299"/>
    <w:rsid w:val="00D310F0"/>
    <w:rsid w:val="00D37AC2"/>
    <w:rsid w:val="00D500A9"/>
    <w:rsid w:val="00D64121"/>
    <w:rsid w:val="00D732FE"/>
    <w:rsid w:val="00D74E25"/>
    <w:rsid w:val="00D772E9"/>
    <w:rsid w:val="00D935FD"/>
    <w:rsid w:val="00DA31AB"/>
    <w:rsid w:val="00DA3281"/>
    <w:rsid w:val="00DA6D3E"/>
    <w:rsid w:val="00DB2894"/>
    <w:rsid w:val="00DC02E8"/>
    <w:rsid w:val="00DC75C7"/>
    <w:rsid w:val="00DC78D3"/>
    <w:rsid w:val="00DF4592"/>
    <w:rsid w:val="00E017C6"/>
    <w:rsid w:val="00E10800"/>
    <w:rsid w:val="00E15FDC"/>
    <w:rsid w:val="00E2651B"/>
    <w:rsid w:val="00E4488A"/>
    <w:rsid w:val="00E6632E"/>
    <w:rsid w:val="00E840ED"/>
    <w:rsid w:val="00E90CF2"/>
    <w:rsid w:val="00E9348B"/>
    <w:rsid w:val="00ED0F61"/>
    <w:rsid w:val="00EE73E1"/>
    <w:rsid w:val="00F06217"/>
    <w:rsid w:val="00F12107"/>
    <w:rsid w:val="00F13165"/>
    <w:rsid w:val="00F4234E"/>
    <w:rsid w:val="00F7477E"/>
    <w:rsid w:val="00F85393"/>
    <w:rsid w:val="00FA02BC"/>
    <w:rsid w:val="00FA4A24"/>
    <w:rsid w:val="00FC41B4"/>
    <w:rsid w:val="00FC5A6B"/>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rsid w:val="00973B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973BF5"/>
    <w:rPr>
      <w:caps/>
      <w:spacing w:val="-4"/>
      <w:sz w:val="16"/>
      <w:lang w:eastAsia="en-US"/>
    </w:rPr>
  </w:style>
  <w:style w:type="character" w:customStyle="1" w:styleId="Heading1Char">
    <w:name w:val="Heading 1 Char"/>
    <w:basedOn w:val="DefaultParagraphFont"/>
    <w:link w:val="Heading1"/>
    <w:rsid w:val="00973BF5"/>
    <w:rPr>
      <w:kern w:val="28"/>
      <w:sz w:val="52"/>
      <w:lang w:eastAsia="en-US"/>
    </w:rPr>
  </w:style>
  <w:style w:type="paragraph" w:customStyle="1" w:styleId="ToRlistno2">
    <w:name w:val="ToR list no 2"/>
    <w:basedOn w:val="ListNumber2"/>
    <w:qFormat/>
    <w:rsid w:val="00973BF5"/>
    <w:pPr>
      <w:numPr>
        <w:ilvl w:val="0"/>
        <w:numId w:val="32"/>
      </w:numPr>
      <w:tabs>
        <w:tab w:val="clear" w:pos="794"/>
      </w:tabs>
      <w:ind w:left="851" w:hanging="425"/>
    </w:pPr>
  </w:style>
  <w:style w:type="character" w:customStyle="1" w:styleId="Heading3Char">
    <w:name w:val="Heading 3 Char"/>
    <w:basedOn w:val="DefaultParagraphFont"/>
    <w:link w:val="Heading3"/>
    <w:rsid w:val="00973BF5"/>
    <w:rPr>
      <w:rFonts w:ascii="Arial" w:hAnsi="Arial"/>
      <w:b/>
      <w:kern w:val="28"/>
      <w:sz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table" w:styleId="TableGrid">
    <w:name w:val="Table Grid"/>
    <w:basedOn w:val="TableNormal"/>
    <w:rsid w:val="00973B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rsid w:val="00973BF5"/>
    <w:rPr>
      <w:caps/>
      <w:spacing w:val="-4"/>
      <w:sz w:val="16"/>
      <w:lang w:eastAsia="en-US"/>
    </w:rPr>
  </w:style>
  <w:style w:type="character" w:customStyle="1" w:styleId="Heading1Char">
    <w:name w:val="Heading 1 Char"/>
    <w:basedOn w:val="DefaultParagraphFont"/>
    <w:link w:val="Heading1"/>
    <w:rsid w:val="00973BF5"/>
    <w:rPr>
      <w:kern w:val="28"/>
      <w:sz w:val="52"/>
      <w:lang w:eastAsia="en-US"/>
    </w:rPr>
  </w:style>
  <w:style w:type="paragraph" w:customStyle="1" w:styleId="ToRlistno2">
    <w:name w:val="ToR list no 2"/>
    <w:basedOn w:val="ListNumber2"/>
    <w:qFormat/>
    <w:rsid w:val="00973BF5"/>
    <w:pPr>
      <w:numPr>
        <w:ilvl w:val="0"/>
        <w:numId w:val="32"/>
      </w:numPr>
      <w:tabs>
        <w:tab w:val="clear" w:pos="794"/>
      </w:tabs>
      <w:ind w:left="851" w:hanging="425"/>
    </w:pPr>
  </w:style>
  <w:style w:type="character" w:customStyle="1" w:styleId="Heading3Char">
    <w:name w:val="Heading 3 Char"/>
    <w:basedOn w:val="DefaultParagraphFont"/>
    <w:link w:val="Heading3"/>
    <w:rsid w:val="00973BF5"/>
    <w:rPr>
      <w:rFonts w:ascii="Arial" w:hAnsi="Arial"/>
      <w:b/>
      <w:kern w:val="28"/>
      <w:sz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5.xml"/><Relationship Id="rId3" Type="http://schemas.microsoft.com/office/2007/relationships/stylesWithEffects" Target="stylesWithEffect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1189</Words>
  <Characters>6969</Characters>
  <Application>Microsoft Office Word</Application>
  <DocSecurity>0</DocSecurity>
  <Lines>211</Lines>
  <Paragraphs>148</Paragraphs>
  <ScaleCrop>false</ScaleCrop>
  <HeadingPairs>
    <vt:vector size="2" baseType="variant">
      <vt:variant>
        <vt:lpstr>Title</vt:lpstr>
      </vt:variant>
      <vt:variant>
        <vt:i4>1</vt:i4>
      </vt:variant>
    </vt:vector>
  </HeadingPairs>
  <TitlesOfParts>
    <vt:vector size="1" baseType="lpstr">
      <vt:lpstr/>
    </vt:vector>
  </TitlesOfParts>
  <Company>Productivity Commission</Company>
  <LinksUpToDate>false</LinksUpToDate>
  <CharactersWithSpaces>8010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Productivity Commission</dc:creator>
  <cp:lastModifiedBy>Productivity Commission</cp:lastModifiedBy>
  <cp:revision>2</cp:revision>
  <dcterms:created xsi:type="dcterms:W3CDTF">2014-03-14T03:27:00Z</dcterms:created>
  <dcterms:modified xsi:type="dcterms:W3CDTF">2014-03-14T03:27:00Z</dcterms:modified>
</cp:coreProperties>
</file>