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charts/chart8.xml" ContentType="application/vnd.openxmlformats-officedocument.drawingml.chart+xml"/>
  <Override PartName="/word/drawings/drawing3.xml" ContentType="application/vnd.openxmlformats-officedocument.drawingml.chartshapes+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theme/themeOverride6.xml" ContentType="application/vnd.openxmlformats-officedocument.themeOverride+xml"/>
  <Override PartName="/word/drawings/drawing4.xml" ContentType="application/vnd.openxmlformats-officedocument.drawingml.chartshapes+xml"/>
  <Override PartName="/word/charts/chart12.xml" ContentType="application/vnd.openxmlformats-officedocument.drawingml.chart+xml"/>
  <Override PartName="/word/theme/themeOverride7.xml" ContentType="application/vnd.openxmlformats-officedocument.themeOverride+xml"/>
  <Override PartName="/word/drawings/drawing5.xml" ContentType="application/vnd.openxmlformats-officedocument.drawingml.chartshapes+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13.xml" ContentType="application/vnd.openxmlformats-officedocument.drawingml.chart+xml"/>
  <Override PartName="/word/theme/themeOverride8.xml" ContentType="application/vnd.openxmlformats-officedocument.themeOverride+xml"/>
  <Override PartName="/word/drawings/drawing6.xml" ContentType="application/vnd.openxmlformats-officedocument.drawingml.chartshapes+xml"/>
  <Override PartName="/word/charts/chart14.xml" ContentType="application/vnd.openxmlformats-officedocument.drawingml.chart+xml"/>
  <Override PartName="/word/theme/themeOverride9.xml" ContentType="application/vnd.openxmlformats-officedocument.themeOverride+xml"/>
  <Override PartName="/word/drawings/drawing7.xml" ContentType="application/vnd.openxmlformats-officedocument.drawingml.chartshapes+xml"/>
  <Override PartName="/word/charts/chart15.xml" ContentType="application/vnd.openxmlformats-officedocument.drawingml.chart+xml"/>
  <Override PartName="/word/charts/chart16.xml" ContentType="application/vnd.openxmlformats-officedocument.drawingml.chart+xml"/>
  <Override PartName="/word/theme/themeOverride10.xml" ContentType="application/vnd.openxmlformats-officedocument.themeOverride+xml"/>
  <Override PartName="/word/charts/chart17.xml" ContentType="application/vnd.openxmlformats-officedocument.drawingml.chart+xml"/>
  <Override PartName="/word/theme/themeOverride11.xml" ContentType="application/vnd.openxmlformats-officedocument.themeOverride+xml"/>
  <Override PartName="/word/charts/chart18.xml" ContentType="application/vnd.openxmlformats-officedocument.drawingml.chart+xml"/>
  <Override PartName="/word/theme/themeOverride12.xml" ContentType="application/vnd.openxmlformats-officedocument.themeOverride+xml"/>
  <Override PartName="/word/charts/chart19.xml" ContentType="application/vnd.openxmlformats-officedocument.drawingml.chart+xml"/>
  <Override PartName="/word/theme/themeOverride13.xml" ContentType="application/vnd.openxmlformats-officedocument.themeOverride+xml"/>
  <Override PartName="/word/drawings/drawing8.xml" ContentType="application/vnd.openxmlformats-officedocument.drawingml.chartshapes+xml"/>
  <Override PartName="/word/charts/chart20.xml" ContentType="application/vnd.openxmlformats-officedocument.drawingml.chart+xml"/>
  <Override PartName="/word/theme/themeOverride14.xml" ContentType="application/vnd.openxmlformats-officedocument.themeOverride+xml"/>
  <Override PartName="/word/drawings/drawing9.xml" ContentType="application/vnd.openxmlformats-officedocument.drawingml.chartshapes+xml"/>
  <Override PartName="/word/charts/chart21.xml" ContentType="application/vnd.openxmlformats-officedocument.drawingml.chart+xml"/>
  <Override PartName="/word/theme/themeOverride15.xml" ContentType="application/vnd.openxmlformats-officedocument.themeOverride+xml"/>
  <Override PartName="/word/drawings/drawing10.xml" ContentType="application/vnd.openxmlformats-officedocument.drawingml.chartshapes+xml"/>
  <Override PartName="/word/charts/chart22.xml" ContentType="application/vnd.openxmlformats-officedocument.drawingml.chart+xml"/>
  <Override PartName="/word/theme/themeOverride16.xml" ContentType="application/vnd.openxmlformats-officedocument.themeOverride+xml"/>
  <Override PartName="/word/drawings/drawing11.xml" ContentType="application/vnd.openxmlformats-officedocument.drawingml.chartshapes+xml"/>
  <Override PartName="/word/charts/chart23.xml" ContentType="application/vnd.openxmlformats-officedocument.drawingml.chart+xml"/>
  <Override PartName="/word/theme/themeOverride17.xml" ContentType="application/vnd.openxmlformats-officedocument.themeOverride+xml"/>
  <Override PartName="/word/drawings/drawing12.xml" ContentType="application/vnd.openxmlformats-officedocument.drawingml.chartshapes+xml"/>
  <Override PartName="/word/charts/chart24.xml" ContentType="application/vnd.openxmlformats-officedocument.drawingml.chart+xml"/>
  <Override PartName="/word/theme/themeOverride18.xml" ContentType="application/vnd.openxmlformats-officedocument.themeOverride+xml"/>
  <Override PartName="/word/drawings/drawing13.xml" ContentType="application/vnd.openxmlformats-officedocument.drawingml.chartshapes+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29.xml" ContentType="application/vnd.openxmlformats-officedocument.drawingml.chart+xml"/>
  <Override PartName="/word/drawings/drawing14.xml" ContentType="application/vnd.openxmlformats-officedocument.drawingml.chartshapes+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36.xml" ContentType="application/vnd.openxmlformats-officedocument.drawingml.chart+xml"/>
  <Override PartName="/word/charts/chart37.xml" ContentType="application/vnd.openxmlformats-officedocument.drawingml.chart+xml"/>
  <Override PartName="/word/drawings/drawing15.xml" ContentType="application/vnd.openxmlformats-officedocument.drawingml.chartshapes+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customUI/images/document-check-icon.png" ContentType="image/.png"/>
  <Override PartName="/customUI/images/counter-icon.png" ContentType="image/.png"/>
  <Override PartName="/customUI/images/CS.png" ContentType="image/.png"/>
</Types>
</file>

<file path=_rels/.rels><?xml version="1.0" encoding="UTF-8" standalone="yes"?>
<Relationships xmlns="http://schemas.openxmlformats.org/package/2006/relationships"><Relationship Id="R8de15e5a91304a99" Type="http://schemas.microsoft.com/office/2007/relationships/ui/extensibility" Target="customUI/customUI14.xml"/><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4D5A" w:rsidRPr="005C647B" w:rsidRDefault="00AE4D5A" w:rsidP="00832EC1">
      <w:pPr>
        <w:pStyle w:val="PartNumber"/>
      </w:pPr>
    </w:p>
    <w:tbl>
      <w:tblPr>
        <w:tblW w:w="0" w:type="auto"/>
        <w:tblLayout w:type="fixed"/>
        <w:tblCellMar>
          <w:left w:w="0" w:type="dxa"/>
          <w:right w:w="0" w:type="dxa"/>
        </w:tblCellMar>
        <w:tblLook w:val="0000" w:firstRow="0" w:lastRow="0" w:firstColumn="0" w:lastColumn="0" w:noHBand="0" w:noVBand="0"/>
      </w:tblPr>
      <w:tblGrid>
        <w:gridCol w:w="6634"/>
        <w:gridCol w:w="2155"/>
      </w:tblGrid>
      <w:tr w:rsidR="00AE4D5A" w:rsidTr="008E5E01">
        <w:tc>
          <w:tcPr>
            <w:tcW w:w="6634" w:type="dxa"/>
            <w:tcBorders>
              <w:top w:val="single" w:sz="6" w:space="0" w:color="auto"/>
            </w:tcBorders>
          </w:tcPr>
          <w:p w:rsidR="00AE4D5A" w:rsidRDefault="00AE4D5A" w:rsidP="008E5E01">
            <w:pPr>
              <w:pStyle w:val="PartDivider"/>
            </w:pPr>
          </w:p>
        </w:tc>
        <w:tc>
          <w:tcPr>
            <w:tcW w:w="2155" w:type="dxa"/>
            <w:tcBorders>
              <w:top w:val="single" w:sz="24" w:space="0" w:color="auto"/>
            </w:tcBorders>
          </w:tcPr>
          <w:p w:rsidR="00AE4D5A" w:rsidRDefault="00AE4D5A" w:rsidP="008E5E01">
            <w:pPr>
              <w:pStyle w:val="PartDivider"/>
            </w:pPr>
          </w:p>
        </w:tc>
      </w:tr>
    </w:tbl>
    <w:p w:rsidR="00AE4D5A" w:rsidRDefault="00AE4D5A" w:rsidP="008E5E01">
      <w:pPr>
        <w:pStyle w:val="PartDivider"/>
      </w:pPr>
    </w:p>
    <w:p w:rsidR="00AE4D5A" w:rsidRDefault="00AE4D5A" w:rsidP="008E5E01">
      <w:pPr>
        <w:pStyle w:val="PartTitle"/>
      </w:pPr>
      <w:bookmarkStart w:id="0" w:name="_Toc377975144"/>
      <w:r>
        <w:t>Overview</w:t>
      </w:r>
      <w:bookmarkEnd w:id="0"/>
    </w:p>
    <w:p w:rsidR="00AE4D5A" w:rsidRDefault="00AE4D5A" w:rsidP="008E5E01">
      <w:r>
        <w:br w:type="page"/>
      </w:r>
    </w:p>
    <w:p w:rsidR="00AE4D5A" w:rsidRDefault="00AE4D5A" w:rsidP="008E5E01">
      <w:pPr>
        <w:pStyle w:val="Chapter"/>
        <w:ind w:left="907" w:hanging="907"/>
        <w:sectPr w:rsidR="00AE4D5A" w:rsidSect="008E5E01">
          <w:headerReference w:type="even" r:id="rId9"/>
          <w:headerReference w:type="default" r:id="rId10"/>
          <w:footerReference w:type="even" r:id="rId11"/>
          <w:footerReference w:type="default" r:id="rId12"/>
          <w:pgSz w:w="11907" w:h="16840" w:code="9"/>
          <w:pgMar w:top="1985" w:right="1304" w:bottom="1418" w:left="1814" w:header="1701" w:footer="567" w:gutter="0"/>
          <w:pgNumType w:chapSep="period"/>
          <w:cols w:space="720"/>
          <w:titlePg/>
          <w:docGrid w:linePitch="354"/>
        </w:sect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Pr="00A04D5C" w:rsidRDefault="00AE4D5A" w:rsidP="008E5E01">
            <w:pPr>
              <w:pStyle w:val="BoxTitle"/>
              <w:rPr>
                <w:b w:val="0"/>
              </w:rPr>
            </w:pPr>
            <w:r w:rsidRPr="00A04D5C">
              <w:lastRenderedPageBreak/>
              <w:t>Key points</w:t>
            </w:r>
          </w:p>
        </w:tc>
      </w:tr>
      <w:tr w:rsidR="00AE4D5A" w:rsidRPr="00824E71" w:rsidTr="008E5E01">
        <w:trPr>
          <w:cantSplit/>
        </w:trPr>
        <w:tc>
          <w:tcPr>
            <w:tcW w:w="8771" w:type="dxa"/>
            <w:tcBorders>
              <w:top w:val="nil"/>
              <w:left w:val="single" w:sz="6" w:space="0" w:color="auto"/>
              <w:bottom w:val="nil"/>
              <w:right w:val="single" w:sz="6" w:space="0" w:color="auto"/>
            </w:tcBorders>
          </w:tcPr>
          <w:p w:rsidR="00AE4D5A" w:rsidRPr="005F3631" w:rsidRDefault="00AE4D5A" w:rsidP="008E5E01">
            <w:pPr>
              <w:pStyle w:val="BoxListBullet"/>
              <w:rPr>
                <w:sz w:val="20"/>
              </w:rPr>
            </w:pPr>
            <w:r w:rsidRPr="00056B48">
              <w:rPr>
                <w:szCs w:val="22"/>
              </w:rPr>
              <w:t>T</w:t>
            </w:r>
            <w:r w:rsidRPr="005F3631">
              <w:rPr>
                <w:sz w:val="20"/>
              </w:rPr>
              <w:t xml:space="preserve">asmania, like mainland Australia, is an island economy. It is serviced by high quality but relatively high cost containerised domestic shipping services. </w:t>
            </w:r>
            <w:r>
              <w:rPr>
                <w:sz w:val="20"/>
              </w:rPr>
              <w:t>The</w:t>
            </w:r>
            <w:r w:rsidRPr="005F3631">
              <w:rPr>
                <w:sz w:val="20"/>
              </w:rPr>
              <w:t xml:space="preserve"> viability of direct international shipping services is affected by the cost of coastal </w:t>
            </w:r>
            <w:r>
              <w:rPr>
                <w:sz w:val="20"/>
              </w:rPr>
              <w:t>shipping</w:t>
            </w:r>
            <w:r w:rsidRPr="005F3631">
              <w:rPr>
                <w:sz w:val="20"/>
              </w:rPr>
              <w:t xml:space="preserve">. Given its reliance on sea transport, Tasmania is particularly </w:t>
            </w:r>
            <w:r>
              <w:rPr>
                <w:sz w:val="20"/>
              </w:rPr>
              <w:t>affected by</w:t>
            </w:r>
            <w:r w:rsidRPr="005F3631">
              <w:rPr>
                <w:sz w:val="20"/>
              </w:rPr>
              <w:t xml:space="preserve"> inefficiencies embedded in coastal shipping regulation. This regulation should be reviewed and reformed as a matter of priority. </w:t>
            </w:r>
          </w:p>
          <w:p w:rsidR="00AE4D5A" w:rsidRPr="00E43717" w:rsidRDefault="00AE4D5A" w:rsidP="008E5E01">
            <w:pPr>
              <w:pStyle w:val="BoxListBullet"/>
              <w:rPr>
                <w:spacing w:val="-2"/>
                <w:sz w:val="20"/>
              </w:rPr>
            </w:pPr>
            <w:r w:rsidRPr="00E43717">
              <w:rPr>
                <w:spacing w:val="-2"/>
                <w:sz w:val="20"/>
              </w:rPr>
              <w:t xml:space="preserve">Tasmania uniquely receives (Federally) subsidised freight services via longstanding arrangements in recognition of the relative cost ‘disadvantage’ of Bass Strait transit. The Tasmanian Freight Equalisation Scheme (TFES), Tasmanian Wheat Freight Scheme (TWFS), and Bass Strait Passenger Vehicle Equalisation Scheme (BSPVES) were designed to partially offset these costs. The </w:t>
            </w:r>
            <w:r>
              <w:rPr>
                <w:spacing w:val="-2"/>
                <w:sz w:val="20"/>
              </w:rPr>
              <w:t>term</w:t>
            </w:r>
            <w:r w:rsidRPr="00E43717">
              <w:rPr>
                <w:spacing w:val="-2"/>
                <w:sz w:val="20"/>
              </w:rPr>
              <w:t xml:space="preserve"> equalisation misleadingly implies ‘full’ compensation for the cost disadvantage </w:t>
            </w:r>
            <w:r>
              <w:rPr>
                <w:spacing w:val="-2"/>
                <w:sz w:val="20"/>
              </w:rPr>
              <w:t>but that</w:t>
            </w:r>
            <w:r w:rsidRPr="00E43717">
              <w:rPr>
                <w:spacing w:val="-2"/>
                <w:sz w:val="20"/>
              </w:rPr>
              <w:t xml:space="preserve"> is not inherent in the design and operation</w:t>
            </w:r>
            <w:r>
              <w:rPr>
                <w:spacing w:val="-2"/>
                <w:sz w:val="20"/>
              </w:rPr>
              <w:t xml:space="preserve"> of the schemes</w:t>
            </w:r>
            <w:r w:rsidRPr="00E43717">
              <w:rPr>
                <w:spacing w:val="-2"/>
                <w:sz w:val="20"/>
              </w:rPr>
              <w:t>.</w:t>
            </w:r>
            <w:r>
              <w:rPr>
                <w:spacing w:val="-2"/>
                <w:sz w:val="20"/>
              </w:rPr>
              <w:t xml:space="preserve"> Further, securing ‘true’ equalisation is inevitably a policy chimera.</w:t>
            </w:r>
          </w:p>
          <w:p w:rsidR="00AE4D5A" w:rsidRDefault="00AE4D5A" w:rsidP="008E5E01">
            <w:pPr>
              <w:pStyle w:val="BoxListBullet"/>
              <w:rPr>
                <w:sz w:val="20"/>
              </w:rPr>
            </w:pPr>
            <w:r w:rsidRPr="005F3631">
              <w:rPr>
                <w:sz w:val="20"/>
              </w:rPr>
              <w:t>The Australian Government has outlaid more than $2 billion since the inception</w:t>
            </w:r>
            <w:r>
              <w:rPr>
                <w:sz w:val="20"/>
              </w:rPr>
              <w:t xml:space="preserve"> of the schemes</w:t>
            </w:r>
            <w:r w:rsidRPr="005F3631">
              <w:rPr>
                <w:sz w:val="20"/>
              </w:rPr>
              <w:t>, and without change a further $2 billion can be expected over the next 15 years. In 2011</w:t>
            </w:r>
            <w:r w:rsidRPr="005F3631">
              <w:rPr>
                <w:sz w:val="20"/>
              </w:rPr>
              <w:noBreakHyphen/>
              <w:t>12 total outlays for the schemes were $128 million.</w:t>
            </w:r>
          </w:p>
          <w:p w:rsidR="00AE4D5A" w:rsidRDefault="00AE4D5A" w:rsidP="008E5E01">
            <w:pPr>
              <w:pStyle w:val="BoxListBullet"/>
              <w:rPr>
                <w:sz w:val="20"/>
              </w:rPr>
            </w:pPr>
            <w:r>
              <w:rPr>
                <w:sz w:val="20"/>
              </w:rPr>
              <w:t xml:space="preserve">There is no coherent economic </w:t>
            </w:r>
            <w:r w:rsidRPr="00B567EE">
              <w:rPr>
                <w:sz w:val="20"/>
              </w:rPr>
              <w:t>rationale</w:t>
            </w:r>
            <w:r>
              <w:rPr>
                <w:sz w:val="20"/>
              </w:rPr>
              <w:t xml:space="preserve"> for the TFES and it </w:t>
            </w:r>
            <w:r w:rsidRPr="00403CF2">
              <w:rPr>
                <w:sz w:val="20"/>
              </w:rPr>
              <w:t>fall</w:t>
            </w:r>
            <w:r>
              <w:rPr>
                <w:sz w:val="20"/>
              </w:rPr>
              <w:t>s</w:t>
            </w:r>
            <w:r w:rsidRPr="00403CF2">
              <w:rPr>
                <w:sz w:val="20"/>
              </w:rPr>
              <w:t xml:space="preserve"> well short of what is needed to</w:t>
            </w:r>
            <w:r w:rsidRPr="00992FCD">
              <w:rPr>
                <w:sz w:val="20"/>
              </w:rPr>
              <w:t xml:space="preserve"> improve the </w:t>
            </w:r>
            <w:r>
              <w:rPr>
                <w:sz w:val="20"/>
              </w:rPr>
              <w:t xml:space="preserve">lagging </w:t>
            </w:r>
            <w:r w:rsidRPr="00992FCD">
              <w:rPr>
                <w:sz w:val="20"/>
              </w:rPr>
              <w:t xml:space="preserve">competitiveness of the Tasmanian </w:t>
            </w:r>
            <w:r w:rsidRPr="00EC43BB">
              <w:rPr>
                <w:sz w:val="20"/>
              </w:rPr>
              <w:t>economy</w:t>
            </w:r>
            <w:r>
              <w:rPr>
                <w:sz w:val="20"/>
              </w:rPr>
              <w:t xml:space="preserve"> </w:t>
            </w:r>
            <w:r w:rsidRPr="005F3631">
              <w:rPr>
                <w:sz w:val="20"/>
              </w:rPr>
              <w:t xml:space="preserve">— which the Commission considers should be the policy imperative. </w:t>
            </w:r>
            <w:r>
              <w:rPr>
                <w:sz w:val="20"/>
              </w:rPr>
              <w:t>It has</w:t>
            </w:r>
            <w:r w:rsidRPr="00300D0A">
              <w:rPr>
                <w:sz w:val="20"/>
              </w:rPr>
              <w:t xml:space="preserve"> a </w:t>
            </w:r>
            <w:r w:rsidRPr="00DD5567">
              <w:rPr>
                <w:sz w:val="20"/>
              </w:rPr>
              <w:t xml:space="preserve">high fiscal cost, </w:t>
            </w:r>
            <w:r w:rsidRPr="00363DC0">
              <w:rPr>
                <w:sz w:val="20"/>
              </w:rPr>
              <w:t xml:space="preserve">eligibility is arbitrary; </w:t>
            </w:r>
            <w:r>
              <w:rPr>
                <w:sz w:val="20"/>
              </w:rPr>
              <w:t xml:space="preserve">and </w:t>
            </w:r>
            <w:r w:rsidRPr="00363DC0">
              <w:rPr>
                <w:sz w:val="20"/>
              </w:rPr>
              <w:t xml:space="preserve">the </w:t>
            </w:r>
            <w:r w:rsidRPr="00FA1EAB">
              <w:rPr>
                <w:sz w:val="20"/>
              </w:rPr>
              <w:t xml:space="preserve">direct </w:t>
            </w:r>
            <w:r>
              <w:rPr>
                <w:sz w:val="20"/>
              </w:rPr>
              <w:t>recipients</w:t>
            </w:r>
            <w:r w:rsidRPr="003E0FC9">
              <w:rPr>
                <w:sz w:val="20"/>
              </w:rPr>
              <w:t xml:space="preserve"> are concentrated</w:t>
            </w:r>
            <w:r>
              <w:rPr>
                <w:sz w:val="20"/>
              </w:rPr>
              <w:t xml:space="preserve"> notwithstanding the</w:t>
            </w:r>
            <w:r w:rsidRPr="003E0FC9">
              <w:rPr>
                <w:sz w:val="20"/>
              </w:rPr>
              <w:t xml:space="preserve"> unclear</w:t>
            </w:r>
            <w:r>
              <w:rPr>
                <w:sz w:val="20"/>
              </w:rPr>
              <w:t xml:space="preserve"> incidence of the subsidy</w:t>
            </w:r>
            <w:r w:rsidRPr="003E0FC9">
              <w:rPr>
                <w:sz w:val="20"/>
              </w:rPr>
              <w:t>. Fu</w:t>
            </w:r>
            <w:r>
              <w:rPr>
                <w:sz w:val="20"/>
              </w:rPr>
              <w:t>rther, the TFES</w:t>
            </w:r>
            <w:r w:rsidRPr="003E0FC9">
              <w:rPr>
                <w:sz w:val="20"/>
              </w:rPr>
              <w:t xml:space="preserve"> is inherently complex and leads to unintended consequences. </w:t>
            </w:r>
          </w:p>
          <w:p w:rsidR="00AE4D5A" w:rsidRPr="003E0FC9" w:rsidRDefault="00AE4D5A" w:rsidP="008E5E01">
            <w:pPr>
              <w:pStyle w:val="BoxListBullet"/>
              <w:rPr>
                <w:sz w:val="20"/>
              </w:rPr>
            </w:pPr>
            <w:r>
              <w:rPr>
                <w:sz w:val="20"/>
              </w:rPr>
              <w:t>There is no clearly articulated objective for the BSPVES. At least some of the subsidy is being captured by the Tasmanian Government-owned and sole provider of Bass Strait passenger and vehicle shipping services — TT</w:t>
            </w:r>
            <w:r>
              <w:rPr>
                <w:sz w:val="20"/>
              </w:rPr>
              <w:noBreakHyphen/>
              <w:t>Line.</w:t>
            </w:r>
          </w:p>
          <w:p w:rsidR="00AE4D5A" w:rsidRPr="00661C51" w:rsidRDefault="00AE4D5A" w:rsidP="008E5E01">
            <w:pPr>
              <w:pStyle w:val="BoxListBullet"/>
              <w:rPr>
                <w:spacing w:val="-2"/>
                <w:sz w:val="20"/>
              </w:rPr>
            </w:pPr>
            <w:r w:rsidRPr="00661C51">
              <w:rPr>
                <w:spacing w:val="-2"/>
                <w:sz w:val="20"/>
              </w:rPr>
              <w:t xml:space="preserve">The Australian Government has stated its current intention to retain the TFES and the BSPVES. The recommendations related to the schemes in this report are made on that basis. </w:t>
            </w:r>
          </w:p>
          <w:p w:rsidR="00AE4D5A" w:rsidRPr="00E43717" w:rsidRDefault="00AE4D5A" w:rsidP="008E5E01">
            <w:pPr>
              <w:pStyle w:val="BoxListBullet"/>
              <w:rPr>
                <w:spacing w:val="-4"/>
                <w:sz w:val="20"/>
              </w:rPr>
            </w:pPr>
            <w:r w:rsidRPr="00E43717">
              <w:rPr>
                <w:spacing w:val="-4"/>
                <w:sz w:val="20"/>
              </w:rPr>
              <w:t>A flat rate of subsidy per container (adjusted for King Island and the Furneaux Group of islands) would offer significant advantages over the current parameter</w:t>
            </w:r>
            <w:r w:rsidRPr="00E43717">
              <w:rPr>
                <w:spacing w:val="-4"/>
                <w:sz w:val="20"/>
              </w:rPr>
              <w:noBreakHyphen/>
              <w:t xml:space="preserve">based regime — increasing incentives to minimise transport costs, </w:t>
            </w:r>
            <w:r>
              <w:rPr>
                <w:spacing w:val="-4"/>
                <w:sz w:val="20"/>
              </w:rPr>
              <w:t>improving</w:t>
            </w:r>
            <w:r w:rsidRPr="00E43717">
              <w:rPr>
                <w:spacing w:val="-4"/>
                <w:sz w:val="20"/>
              </w:rPr>
              <w:t xml:space="preserve"> transparency and simplifying administration.</w:t>
            </w:r>
          </w:p>
          <w:p w:rsidR="00AE4D5A" w:rsidRPr="005F3631" w:rsidRDefault="00AE4D5A" w:rsidP="008E5E01">
            <w:pPr>
              <w:pStyle w:val="BoxListBullet"/>
              <w:rPr>
                <w:sz w:val="20"/>
              </w:rPr>
            </w:pPr>
            <w:r w:rsidRPr="005F3631">
              <w:rPr>
                <w:sz w:val="20"/>
              </w:rPr>
              <w:t xml:space="preserve">The Tasmanian Government has initiated a process to secure the return of a commercially viable direct international container service, albeit involving some transitional assistance. This raises an intractable sequencing obstacle for considering the relative merit of moving now to extend the scope of the TFES to all eligible northbound commodities transhipped through the Port of Melbourne. </w:t>
            </w:r>
          </w:p>
          <w:p w:rsidR="00AE4D5A" w:rsidRPr="005F3631" w:rsidRDefault="00AE4D5A" w:rsidP="008E5E01">
            <w:pPr>
              <w:pStyle w:val="BoxListBullet"/>
              <w:rPr>
                <w:sz w:val="20"/>
              </w:rPr>
            </w:pPr>
            <w:r w:rsidRPr="005F3631">
              <w:rPr>
                <w:sz w:val="20"/>
              </w:rPr>
              <w:t xml:space="preserve">Several efficiency </w:t>
            </w:r>
            <w:r>
              <w:rPr>
                <w:sz w:val="20"/>
              </w:rPr>
              <w:t>issues relating to</w:t>
            </w:r>
            <w:r w:rsidRPr="005F3631">
              <w:rPr>
                <w:sz w:val="20"/>
              </w:rPr>
              <w:t xml:space="preserve"> Tasmania’s shipping and freight are the responsibility of the Tasmanian Government. These include: rationalising infrastructure assets such as ports and rail; private operation and ownership of freight infrastructure assets where this would improve their efficiency; and developing a sustainable integrated freight strategy.</w:t>
            </w:r>
          </w:p>
          <w:p w:rsidR="00AE4D5A" w:rsidRPr="00824E71" w:rsidRDefault="00AE4D5A" w:rsidP="008E5E01">
            <w:pPr>
              <w:pStyle w:val="BoxListBullet"/>
              <w:rPr>
                <w:szCs w:val="22"/>
              </w:rPr>
            </w:pPr>
            <w:r w:rsidRPr="005F3631">
              <w:rPr>
                <w:sz w:val="20"/>
              </w:rPr>
              <w:t xml:space="preserve">Tasmania faces broader economic and social challenges and the Australian Government should put less emphasis on freight subsidy schemes in favour of reforms </w:t>
            </w:r>
            <w:r>
              <w:rPr>
                <w:sz w:val="20"/>
              </w:rPr>
              <w:t>that</w:t>
            </w:r>
            <w:r w:rsidRPr="005F3631">
              <w:rPr>
                <w:sz w:val="20"/>
              </w:rPr>
              <w:t xml:space="preserve"> have national and Tasmanian benefits (such as coastal shipping reform) and those </w:t>
            </w:r>
            <w:r>
              <w:rPr>
                <w:sz w:val="20"/>
              </w:rPr>
              <w:t>that</w:t>
            </w:r>
            <w:r w:rsidRPr="005F3631">
              <w:rPr>
                <w:sz w:val="20"/>
              </w:rPr>
              <w:t xml:space="preserve"> directly enhance the competitiveness and productivity of the Tasmanian economy. </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7A441E" w:rsidTr="008E5E01">
        <w:tc>
          <w:tcPr>
            <w:tcW w:w="8771" w:type="dxa"/>
            <w:tcBorders>
              <w:top w:val="nil"/>
              <w:left w:val="nil"/>
              <w:bottom w:val="nil"/>
              <w:right w:val="nil"/>
            </w:tcBorders>
          </w:tcPr>
          <w:p w:rsidR="00AE4D5A" w:rsidRPr="007A441E" w:rsidRDefault="00AE4D5A" w:rsidP="008E5E01">
            <w:pPr>
              <w:pStyle w:val="BoxSpaceBelow"/>
            </w:pPr>
          </w:p>
        </w:tc>
      </w:tr>
    </w:tbl>
    <w:p w:rsidR="00AE4D5A" w:rsidRDefault="00AE4D5A" w:rsidP="008E5E01">
      <w:pPr>
        <w:pStyle w:val="Chapter"/>
        <w:ind w:left="907" w:hanging="907"/>
      </w:pPr>
      <w:r>
        <w:lastRenderedPageBreak/>
        <w:t>Overview</w:t>
      </w:r>
    </w:p>
    <w:p w:rsidR="00AE4D5A" w:rsidRPr="00392901" w:rsidRDefault="00AE4D5A" w:rsidP="008E5E01">
      <w:pPr>
        <w:pStyle w:val="Heading2"/>
      </w:pPr>
      <w:r>
        <w:t>The broader context</w:t>
      </w:r>
    </w:p>
    <w:p w:rsidR="00AE4D5A" w:rsidRDefault="00AE4D5A" w:rsidP="008E5E01">
      <w:pPr>
        <w:pStyle w:val="BodyText"/>
      </w:pPr>
      <w:r>
        <w:t>Tasmania is an island state, home to around half a million people. It has a host of natural advantages compared to many regional areas of Australia, but also shares the difficulties of many regional and remote Australian communities in accessing markets and services. It accounts for less than 2 per cent of Australia’s gross domestic product, with a small ‘domestic’ market for producers who must look to mainland and overseas markets.</w:t>
      </w:r>
    </w:p>
    <w:p w:rsidR="00AE4D5A" w:rsidRDefault="00AE4D5A" w:rsidP="008E5E01">
      <w:pPr>
        <w:pStyle w:val="BodyText"/>
      </w:pPr>
      <w:r>
        <w:t>Tasmania has consistently lagged other states and territories on most economic indicators including income and employment, as well as social metrics such as educational attainment and welfare dependency (figure 1). These factors have contributed to the current net outward migration from Tasmania, exacerbating the small and steadily ageing nature of its population. Recent projections suggest that Tasmania is likely to have the lowest population growth to 2040 and remain the</w:t>
      </w:r>
      <w:r w:rsidRPr="00281F79">
        <w:t xml:space="preserve"> </w:t>
      </w:r>
      <w:r>
        <w:t>jurisdiction with the oldest population.</w:t>
      </w:r>
    </w:p>
    <w:p w:rsidR="00AE4D5A" w:rsidRDefault="00AE4D5A" w:rsidP="008E5E01">
      <w:pPr>
        <w:pStyle w:val="BodyText"/>
      </w:pPr>
      <w:r>
        <w:t>A number of interconnected drivers influence the performance of Tasmania’s economy. Some are a matter of geography —</w:t>
      </w:r>
      <w:r w:rsidR="00482747">
        <w:rPr>
          <w:rFonts w:ascii="Arial" w:hAnsi="Arial" w:cs="Arial"/>
          <w:color w:val="555555"/>
          <w:sz w:val="19"/>
          <w:szCs w:val="19"/>
          <w:shd w:val="clear" w:color="auto" w:fill="FFFFFF"/>
        </w:rPr>
        <w:t xml:space="preserve"> </w:t>
      </w:r>
      <w:r w:rsidRPr="005B4C45">
        <w:t>natural</w:t>
      </w:r>
      <w:r>
        <w:rPr>
          <w:rFonts w:ascii="Arial" w:hAnsi="Arial" w:cs="Arial"/>
          <w:color w:val="555555"/>
          <w:sz w:val="19"/>
          <w:szCs w:val="19"/>
          <w:shd w:val="clear" w:color="auto" w:fill="FFFFFF"/>
        </w:rPr>
        <w:t xml:space="preserve"> </w:t>
      </w:r>
      <w:r w:rsidRPr="002077F6">
        <w:t>resource endowments</w:t>
      </w:r>
      <w:r>
        <w:t>, distance from key markets, and small and dispersed population settlement. Others have more to do with the policy environment within which Tasmanian businesses operate</w:t>
      </w:r>
      <w:r w:rsidRPr="0087473A">
        <w:t>. A key feature is the pervasive involvement of govern</w:t>
      </w:r>
      <w:r>
        <w:t xml:space="preserve">ment in </w:t>
      </w:r>
      <w:r w:rsidRPr="0087473A">
        <w:t>the Tasmanian economy</w:t>
      </w:r>
      <w:r>
        <w:t xml:space="preserve"> (figure 1). </w:t>
      </w:r>
      <w:r w:rsidRPr="0087473A">
        <w:t>This is particularly evident in the freight industry where the Tasmanian Government owns and operates major freight infrastructure assets including shipping, ports, road</w:t>
      </w:r>
      <w:r>
        <w:t>s,</w:t>
      </w:r>
      <w:r w:rsidRPr="0087473A">
        <w:t xml:space="preserve"> and rail.</w:t>
      </w:r>
      <w:r>
        <w:t xml:space="preserve"> A key issue is whether these settings</w:t>
      </w:r>
      <w:r w:rsidRPr="00DA5045">
        <w:t xml:space="preserve"> </w:t>
      </w:r>
      <w:r>
        <w:t xml:space="preserve">stifle innovation and private sector involvement. The Commission heard evidence that supported this concern. </w:t>
      </w:r>
      <w:r w:rsidRPr="00B1562C">
        <w:t xml:space="preserve">In particular, the issue of Local Government </w:t>
      </w:r>
      <w:r>
        <w:t xml:space="preserve">scale and structure </w:t>
      </w:r>
      <w:r w:rsidRPr="00B1562C">
        <w:t>was raised by several inquiry participants</w:t>
      </w:r>
      <w:r>
        <w:t xml:space="preserve"> as a cost impost on business. </w:t>
      </w:r>
    </w:p>
    <w:p w:rsidR="00AE4D5A" w:rsidRDefault="00AE4D5A" w:rsidP="008E5E01">
      <w:pPr>
        <w:pStyle w:val="BodyText"/>
      </w:pPr>
      <w:r>
        <w:t xml:space="preserve">Tasmania has received substantial support through a wide array of Australian Government policy measures over the years. These have included subsidy schemes specifically designed to alleviate the costs faced by Tasmanian businesses and residents in accessing the Australian mainland. </w:t>
      </w:r>
    </w:p>
    <w:p w:rsidR="00AE4D5A" w:rsidRDefault="00AE4D5A" w:rsidP="008E5E01">
      <w:pPr>
        <w:pStyle w:val="FigureTitle"/>
      </w:pPr>
      <w:r>
        <w:rPr>
          <w:b w:val="0"/>
        </w:rPr>
        <w:lastRenderedPageBreak/>
        <w:t>Figure 1</w:t>
      </w:r>
      <w:r>
        <w:tab/>
        <w:t>Tasmania’s relative economic performance, selected indicators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AE4D5A" w:rsidTr="008E5E01">
        <w:tc>
          <w:tcPr>
            <w:tcW w:w="4388" w:type="dxa"/>
            <w:tcBorders>
              <w:top w:val="single" w:sz="4" w:space="0" w:color="auto"/>
              <w:bottom w:val="nil"/>
            </w:tcBorders>
          </w:tcPr>
          <w:p w:rsidR="00AE4D5A" w:rsidRPr="000615DE" w:rsidRDefault="00AE4D5A" w:rsidP="008E5E01">
            <w:pPr>
              <w:pStyle w:val="Heading9"/>
              <w:spacing w:after="120"/>
              <w:jc w:val="center"/>
            </w:pPr>
            <w:r>
              <w:t>A: GDP/GSP real annual growth rates</w:t>
            </w:r>
          </w:p>
        </w:tc>
        <w:tc>
          <w:tcPr>
            <w:tcW w:w="4389" w:type="dxa"/>
            <w:tcBorders>
              <w:top w:val="single" w:sz="4" w:space="0" w:color="auto"/>
              <w:bottom w:val="nil"/>
            </w:tcBorders>
          </w:tcPr>
          <w:p w:rsidR="00AE4D5A" w:rsidRPr="004C6D49" w:rsidRDefault="00AE4D5A" w:rsidP="008E5E01">
            <w:pPr>
              <w:pStyle w:val="Heading9"/>
              <w:spacing w:after="120"/>
              <w:jc w:val="center"/>
            </w:pPr>
            <w:r>
              <w:t>B: Unemployment rate (trend)</w:t>
            </w:r>
          </w:p>
        </w:tc>
      </w:tr>
      <w:tr w:rsidR="00AE4D5A" w:rsidTr="008E5E01">
        <w:tc>
          <w:tcPr>
            <w:tcW w:w="4388" w:type="dxa"/>
            <w:tcBorders>
              <w:top w:val="nil"/>
              <w:bottom w:val="nil"/>
            </w:tcBorders>
          </w:tcPr>
          <w:p w:rsidR="00AE4D5A" w:rsidRDefault="00AE4D5A" w:rsidP="008E5E01">
            <w:pPr>
              <w:pStyle w:val="Figure"/>
              <w:spacing w:before="0" w:after="0"/>
            </w:pPr>
            <w:r w:rsidRPr="00DA10BA">
              <w:rPr>
                <w:noProof/>
              </w:rPr>
              <w:drawing>
                <wp:inline distT="0" distB="0" distL="0" distR="0" wp14:anchorId="6DE91632" wp14:editId="22055B40">
                  <wp:extent cx="2520000" cy="2160000"/>
                  <wp:effectExtent l="0" t="0" r="0" b="0"/>
                  <wp:docPr id="1" name="Chart 1" descr="Figure 1 Tasmania's relative economic performance, selected indicators. Chart A shows real annual growth rates for GDP for Tasmania compared with Australia since 1992-9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4389" w:type="dxa"/>
            <w:tcBorders>
              <w:top w:val="nil"/>
              <w:bottom w:val="nil"/>
            </w:tcBorders>
          </w:tcPr>
          <w:p w:rsidR="00AE4D5A" w:rsidRDefault="00AE4D5A" w:rsidP="008E5E01">
            <w:pPr>
              <w:pStyle w:val="Figure"/>
              <w:spacing w:before="0" w:after="0"/>
            </w:pPr>
            <w:r w:rsidRPr="00DA10BA">
              <w:rPr>
                <w:noProof/>
              </w:rPr>
              <w:drawing>
                <wp:inline distT="0" distB="0" distL="0" distR="0" wp14:anchorId="428A6D0F" wp14:editId="5386A4E0">
                  <wp:extent cx="2520000" cy="2160000"/>
                  <wp:effectExtent l="0" t="0" r="0" b="0"/>
                  <wp:docPr id="12" name="Chart 12" descr="Chart B compares unemployment rates for Tasmania and Australia between January 2009 and January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AE4D5A" w:rsidTr="008E5E01">
        <w:tc>
          <w:tcPr>
            <w:tcW w:w="4388" w:type="dxa"/>
            <w:tcBorders>
              <w:top w:val="nil"/>
              <w:bottom w:val="nil"/>
            </w:tcBorders>
          </w:tcPr>
          <w:p w:rsidR="00AE4D5A" w:rsidRPr="004C6D49" w:rsidRDefault="00AE4D5A" w:rsidP="008E5E01">
            <w:pPr>
              <w:pStyle w:val="Heading9"/>
              <w:spacing w:after="0"/>
              <w:jc w:val="center"/>
            </w:pPr>
            <w:r>
              <w:t xml:space="preserve">C: </w:t>
            </w:r>
            <w:r w:rsidRPr="009E2C5D">
              <w:t>Gross valued added</w:t>
            </w:r>
            <w:r>
              <w:t xml:space="preserve"> shares</w:t>
            </w:r>
            <w:r w:rsidRPr="009E2C5D">
              <w:t>, 20</w:t>
            </w:r>
            <w:r>
              <w:t>12</w:t>
            </w:r>
            <w:r>
              <w:noBreakHyphen/>
            </w:r>
            <w:r w:rsidRPr="009E2C5D">
              <w:t>13</w:t>
            </w:r>
          </w:p>
        </w:tc>
        <w:tc>
          <w:tcPr>
            <w:tcW w:w="4389" w:type="dxa"/>
            <w:tcBorders>
              <w:top w:val="nil"/>
              <w:bottom w:val="nil"/>
            </w:tcBorders>
          </w:tcPr>
          <w:p w:rsidR="00AE4D5A" w:rsidRPr="005726DF" w:rsidRDefault="00AE4D5A" w:rsidP="008E5E01">
            <w:pPr>
              <w:pStyle w:val="Heading9"/>
              <w:spacing w:after="0"/>
              <w:jc w:val="center"/>
            </w:pPr>
            <w:r>
              <w:t>D: Households with g</w:t>
            </w:r>
            <w:r w:rsidRPr="00B71E83">
              <w:t xml:space="preserve">overnment payments </w:t>
            </w:r>
            <w:r>
              <w:t xml:space="preserve">and </w:t>
            </w:r>
            <w:r w:rsidRPr="00B71E83">
              <w:t>be</w:t>
            </w:r>
            <w:r>
              <w:t>nefits as main source of income, 2011</w:t>
            </w:r>
            <w:r>
              <w:noBreakHyphen/>
            </w:r>
            <w:proofErr w:type="spellStart"/>
            <w:r>
              <w:t>12</w:t>
            </w:r>
            <w:r w:rsidRPr="005A03CC">
              <w:rPr>
                <w:vertAlign w:val="superscript"/>
              </w:rPr>
              <w:t>a</w:t>
            </w:r>
            <w:proofErr w:type="spellEnd"/>
          </w:p>
        </w:tc>
      </w:tr>
      <w:tr w:rsidR="00AE4D5A" w:rsidTr="004B08A9">
        <w:tc>
          <w:tcPr>
            <w:tcW w:w="4388" w:type="dxa"/>
            <w:tcBorders>
              <w:top w:val="nil"/>
            </w:tcBorders>
          </w:tcPr>
          <w:p w:rsidR="00AE4D5A" w:rsidRDefault="004B08A9" w:rsidP="008E5E01">
            <w:pPr>
              <w:pStyle w:val="Figure"/>
              <w:spacing w:before="0" w:after="0"/>
            </w:pPr>
            <w:r w:rsidRPr="004B08A9">
              <w:rPr>
                <w:noProof/>
              </w:rPr>
              <w:drawing>
                <wp:inline distT="0" distB="0" distL="0" distR="0" wp14:anchorId="6F7009B4" wp14:editId="3831208C">
                  <wp:extent cx="2520000" cy="2160000"/>
                  <wp:effectExtent l="0" t="0" r="0" b="0"/>
                  <wp:docPr id="89" name="Chart 89" descr="Chart C shows relative shares of gross value added by main industry for Tasmania and Australia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4389" w:type="dxa"/>
            <w:tcBorders>
              <w:top w:val="nil"/>
            </w:tcBorders>
          </w:tcPr>
          <w:p w:rsidR="00AE4D5A" w:rsidRPr="00E46257" w:rsidRDefault="00AE4D5A" w:rsidP="008E5E01">
            <w:pPr>
              <w:pStyle w:val="Figure"/>
              <w:spacing w:before="0" w:after="0"/>
            </w:pPr>
            <w:r w:rsidRPr="00DA10BA">
              <w:rPr>
                <w:noProof/>
              </w:rPr>
              <w:drawing>
                <wp:inline distT="0" distB="0" distL="0" distR="0" wp14:anchorId="4FBA72C0" wp14:editId="3ED10C10">
                  <wp:extent cx="2514138" cy="2160000"/>
                  <wp:effectExtent l="0" t="0" r="0" b="0"/>
                  <wp:docPr id="15" name="Chart 15" descr="Chart D shows the percentage of all households for which government payments were the main source of income for all states and territories and for Australia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AE4D5A" w:rsidTr="008E5E01">
        <w:tc>
          <w:tcPr>
            <w:tcW w:w="4388" w:type="dxa"/>
            <w:tcBorders>
              <w:top w:val="nil"/>
              <w:bottom w:val="nil"/>
            </w:tcBorders>
          </w:tcPr>
          <w:p w:rsidR="00AE4D5A" w:rsidRPr="004C6D49" w:rsidRDefault="00AE4D5A" w:rsidP="008E5E01">
            <w:pPr>
              <w:pStyle w:val="Heading9"/>
              <w:spacing w:after="0"/>
              <w:jc w:val="center"/>
            </w:pPr>
            <w:r>
              <w:t>E: GDP/GSP per person</w:t>
            </w:r>
            <w:r w:rsidRPr="009E2C5D">
              <w:t xml:space="preserve">, </w:t>
            </w:r>
            <w:r>
              <w:t>2012</w:t>
            </w:r>
            <w:r>
              <w:noBreakHyphen/>
              <w:t>13</w:t>
            </w:r>
          </w:p>
        </w:tc>
        <w:tc>
          <w:tcPr>
            <w:tcW w:w="4389" w:type="dxa"/>
            <w:tcBorders>
              <w:top w:val="nil"/>
              <w:bottom w:val="nil"/>
            </w:tcBorders>
          </w:tcPr>
          <w:p w:rsidR="00AE4D5A" w:rsidRPr="005726DF" w:rsidRDefault="00AE4D5A" w:rsidP="000C756F">
            <w:pPr>
              <w:pStyle w:val="Heading9"/>
              <w:spacing w:after="0"/>
              <w:jc w:val="center"/>
            </w:pPr>
            <w:r>
              <w:t xml:space="preserve">F: Educational attainment </w:t>
            </w:r>
            <w:r w:rsidR="000C756F">
              <w:t>–</w:t>
            </w:r>
            <w:r>
              <w:t xml:space="preserve"> share of workforce with year 10 as highest qualification, 2013</w:t>
            </w:r>
          </w:p>
        </w:tc>
      </w:tr>
      <w:tr w:rsidR="00AE4D5A" w:rsidTr="008E5E01">
        <w:tc>
          <w:tcPr>
            <w:tcW w:w="4388" w:type="dxa"/>
            <w:tcBorders>
              <w:top w:val="nil"/>
            </w:tcBorders>
          </w:tcPr>
          <w:p w:rsidR="00AE4D5A" w:rsidRDefault="00AE4D5A" w:rsidP="008E5E01">
            <w:pPr>
              <w:pStyle w:val="Figure"/>
              <w:spacing w:before="0" w:after="240" w:line="40" w:lineRule="atLeast"/>
            </w:pPr>
            <w:r w:rsidRPr="00DA10BA">
              <w:rPr>
                <w:noProof/>
              </w:rPr>
              <w:drawing>
                <wp:inline distT="0" distB="0" distL="0" distR="0" wp14:anchorId="74C89342" wp14:editId="4DC635D3">
                  <wp:extent cx="2600325" cy="1852613"/>
                  <wp:effectExtent l="0" t="0" r="0" b="0"/>
                  <wp:docPr id="16" name="Chart 16" descr="Chart E shows gross domestic product (GDP) per person measured in thousands of dollars (current prices) for all states and territories and for Australia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4389" w:type="dxa"/>
            <w:tcBorders>
              <w:top w:val="nil"/>
            </w:tcBorders>
          </w:tcPr>
          <w:p w:rsidR="00AE4D5A" w:rsidRDefault="00AE4D5A" w:rsidP="008E5E01">
            <w:pPr>
              <w:pStyle w:val="Figure"/>
              <w:spacing w:before="0" w:after="0" w:line="40" w:lineRule="atLeast"/>
            </w:pPr>
            <w:r w:rsidRPr="00DA10BA">
              <w:rPr>
                <w:noProof/>
              </w:rPr>
              <w:drawing>
                <wp:inline distT="0" distB="0" distL="0" distR="0" wp14:anchorId="480BBA3E" wp14:editId="04F4A728">
                  <wp:extent cx="2514138" cy="1866534"/>
                  <wp:effectExtent l="0" t="0" r="0" b="0"/>
                  <wp:docPr id="17" name="Chart 17" descr="Chart F shows the share of the workforce with year 10 as the highest qualification for all states and territories and Australia in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AE4D5A" w:rsidRDefault="00AE4D5A" w:rsidP="008E5E01">
      <w:pPr>
        <w:pStyle w:val="Source"/>
      </w:pPr>
      <w:r w:rsidRPr="000C756F">
        <w:rPr>
          <w:rStyle w:val="NoteLabel"/>
        </w:rPr>
        <w:t>a</w:t>
      </w:r>
      <w:r>
        <w:t xml:space="preserve"> Households defined as ‘very remote’ (around 23 per cent of NT’s population) are excluded from the NT estimate. </w:t>
      </w:r>
    </w:p>
    <w:p w:rsidR="00AE4D5A" w:rsidRDefault="00AE4D5A" w:rsidP="008E5E01">
      <w:pPr>
        <w:pStyle w:val="BodyText"/>
      </w:pPr>
      <w:r>
        <w:lastRenderedPageBreak/>
        <w:t xml:space="preserve">However, the widening gap between Tasmania and mainland jurisdictions in terms of income growth and employment suggests these measures do not meaningfully address the fundamental issues underpinning Tasmania’s competitiveness. </w:t>
      </w:r>
    </w:p>
    <w:p w:rsidR="00AE4D5A" w:rsidRPr="00A70335" w:rsidRDefault="00AE4D5A" w:rsidP="008E5E01">
      <w:pPr>
        <w:pStyle w:val="BodyText"/>
      </w:pPr>
      <w:r w:rsidRPr="00DF0101">
        <w:t xml:space="preserve">The Commission considers that the Tasmanian Freight Equalisation Scheme </w:t>
      </w:r>
      <w:r>
        <w:t xml:space="preserve">(TFES), the Tasmanian Wheat Freight Scheme (TWFS) </w:t>
      </w:r>
      <w:r w:rsidRPr="00DF0101">
        <w:t>and the Bass Strait Passenger Ve</w:t>
      </w:r>
      <w:r w:rsidRPr="00F53174">
        <w:t xml:space="preserve">hicle Equalisation Scheme </w:t>
      </w:r>
      <w:r>
        <w:t xml:space="preserve">(BSPVES) </w:t>
      </w:r>
      <w:r w:rsidRPr="00E94035">
        <w:t>are not the best way to advance Ta</w:t>
      </w:r>
      <w:r w:rsidRPr="00A70335">
        <w:t xml:space="preserve">smania’s economic development. They fall well short of what is needed to improve the competitiveness of the Tasmanian economy: </w:t>
      </w:r>
    </w:p>
    <w:p w:rsidR="00AE4D5A" w:rsidRPr="00DF0101" w:rsidRDefault="00AE4D5A" w:rsidP="008E5E01">
      <w:pPr>
        <w:pStyle w:val="ListBullet"/>
      </w:pPr>
      <w:r w:rsidRPr="00A70335">
        <w:t xml:space="preserve">they </w:t>
      </w:r>
      <w:r w:rsidRPr="00DF0101">
        <w:t xml:space="preserve">have a high fiscal cost (collectively $2 billion since inception and without change a further $2 </w:t>
      </w:r>
      <w:r w:rsidR="00FD7C08">
        <w:t>billion over the next 15 years)</w:t>
      </w:r>
    </w:p>
    <w:p w:rsidR="00AE4D5A" w:rsidRPr="00DF0101" w:rsidRDefault="00AE4D5A" w:rsidP="008E5E01">
      <w:pPr>
        <w:pStyle w:val="ListBullet"/>
      </w:pPr>
      <w:r w:rsidRPr="00DF0101">
        <w:t xml:space="preserve">eligibility </w:t>
      </w:r>
      <w:r>
        <w:t>for</w:t>
      </w:r>
      <w:r w:rsidRPr="00DF0101">
        <w:t xml:space="preserve"> the </w:t>
      </w:r>
      <w:r>
        <w:t>TFES</w:t>
      </w:r>
      <w:r w:rsidRPr="00DF0101">
        <w:t xml:space="preserve"> is arbitrary and the </w:t>
      </w:r>
      <w:r>
        <w:t>direct recipients are</w:t>
      </w:r>
      <w:r w:rsidRPr="00DF0101">
        <w:t xml:space="preserve"> concentrated, with 50</w:t>
      </w:r>
      <w:r w:rsidRPr="00C176BA">
        <w:t xml:space="preserve"> per cent</w:t>
      </w:r>
      <w:r w:rsidRPr="00DF0101">
        <w:t xml:space="preserve"> of the total amount</w:t>
      </w:r>
      <w:r w:rsidR="00FD7C08">
        <w:t xml:space="preserve"> claimed going to 10 recipients</w:t>
      </w:r>
      <w:r w:rsidR="00482747">
        <w:t xml:space="preserve"> </w:t>
      </w:r>
    </w:p>
    <w:p w:rsidR="00AE4D5A" w:rsidRPr="00A70335" w:rsidRDefault="00AE4D5A" w:rsidP="008E5E01">
      <w:pPr>
        <w:pStyle w:val="ListBullet"/>
      </w:pPr>
      <w:r w:rsidRPr="00DF0101">
        <w:t xml:space="preserve">the incidence of the subsidies (who </w:t>
      </w:r>
      <w:r w:rsidRPr="00C176BA">
        <w:t xml:space="preserve">actually </w:t>
      </w:r>
      <w:r w:rsidRPr="00DF0101">
        <w:t xml:space="preserve">benefits) is not clear given the involvement of a monopoly </w:t>
      </w:r>
      <w:r w:rsidRPr="00C176BA">
        <w:t xml:space="preserve">service provider </w:t>
      </w:r>
      <w:r w:rsidRPr="00DF0101">
        <w:t>(TT</w:t>
      </w:r>
      <w:r>
        <w:noBreakHyphen/>
      </w:r>
      <w:r w:rsidRPr="00DF0101">
        <w:t xml:space="preserve">Line for passenger vehicle transit) and </w:t>
      </w:r>
      <w:r w:rsidRPr="00F53174">
        <w:t xml:space="preserve">concerns about the effectiveness of competition between the </w:t>
      </w:r>
      <w:r w:rsidRPr="00E94035">
        <w:t xml:space="preserve">three shipping lines </w:t>
      </w:r>
      <w:r w:rsidRPr="00A70335">
        <w:t>on the Bass Strait route (for non</w:t>
      </w:r>
      <w:r>
        <w:noBreakHyphen/>
      </w:r>
      <w:r w:rsidR="00FD7C08">
        <w:t>bulk freight)</w:t>
      </w:r>
    </w:p>
    <w:p w:rsidR="00AE4D5A" w:rsidRPr="00DF0101" w:rsidRDefault="00AE4D5A" w:rsidP="008E5E01">
      <w:pPr>
        <w:pStyle w:val="ListBullet"/>
      </w:pPr>
      <w:r>
        <w:t>as subsidies</w:t>
      </w:r>
      <w:r w:rsidRPr="00A70335">
        <w:t xml:space="preserve"> they </w:t>
      </w:r>
      <w:r w:rsidRPr="00C176BA">
        <w:t xml:space="preserve">have </w:t>
      </w:r>
      <w:r>
        <w:t>un</w:t>
      </w:r>
      <w:r w:rsidRPr="00C176BA">
        <w:t xml:space="preserve">intended consequences, including </w:t>
      </w:r>
      <w:r w:rsidRPr="00DF0101">
        <w:t>perversely increas</w:t>
      </w:r>
      <w:r w:rsidRPr="00C176BA">
        <w:t>ing</w:t>
      </w:r>
      <w:r w:rsidRPr="00DF0101">
        <w:t xml:space="preserve"> the costs of goods for Tasmanian consumers.</w:t>
      </w:r>
    </w:p>
    <w:p w:rsidR="00AE4D5A" w:rsidRPr="0063797D" w:rsidRDefault="00AE4D5A" w:rsidP="008E5E01">
      <w:pPr>
        <w:pStyle w:val="BodyText"/>
        <w:rPr>
          <w:spacing w:val="-4"/>
        </w:rPr>
      </w:pPr>
      <w:r w:rsidRPr="0063797D">
        <w:rPr>
          <w:spacing w:val="-4"/>
        </w:rPr>
        <w:t>These raise the question of whether more of the same policy measures can be expected to deliver different outcomes and reverse a generational trend of disparate performance.</w:t>
      </w:r>
    </w:p>
    <w:p w:rsidR="00AE4D5A" w:rsidRDefault="00AE4D5A" w:rsidP="008E5E01">
      <w:pPr>
        <w:pStyle w:val="BodyText"/>
      </w:pPr>
      <w:r w:rsidRPr="007C0711">
        <w:t xml:space="preserve">Further, Tasmania is an economy in transition. </w:t>
      </w:r>
      <w:r>
        <w:t>Largely i</w:t>
      </w:r>
      <w:r w:rsidRPr="007C0711">
        <w:t>n response to market forces, it is gradually moving away from traditional resource</w:t>
      </w:r>
      <w:r>
        <w:noBreakHyphen/>
      </w:r>
      <w:r w:rsidRPr="007C0711">
        <w:t>based manufacturing industries to higher</w:t>
      </w:r>
      <w:r>
        <w:noBreakHyphen/>
      </w:r>
      <w:r w:rsidRPr="007C0711">
        <w:t>value economic activities in agriculture, aquaculture, specialised manufacturing and tourism</w:t>
      </w:r>
      <w:r w:rsidRPr="007C0711">
        <w:rPr>
          <w:szCs w:val="24"/>
        </w:rPr>
        <w:t xml:space="preserve">. </w:t>
      </w:r>
      <w:r w:rsidRPr="007C0711">
        <w:t>As such, what may have been well</w:t>
      </w:r>
      <w:r w:rsidRPr="007C0711">
        <w:noBreakHyphen/>
        <w:t xml:space="preserve">intended policy initiatives a few decades ago are unlikely to be the best policy settings </w:t>
      </w:r>
      <w:r>
        <w:t>today.</w:t>
      </w:r>
    </w:p>
    <w:p w:rsidR="00AE4D5A" w:rsidRDefault="00AE4D5A" w:rsidP="008E5E01">
      <w:pPr>
        <w:pStyle w:val="BodyText"/>
      </w:pPr>
      <w:r>
        <w:t>Against this</w:t>
      </w:r>
      <w:r w:rsidRPr="002D75CE">
        <w:t xml:space="preserve"> backdrop</w:t>
      </w:r>
      <w:r>
        <w:t>,</w:t>
      </w:r>
      <w:r w:rsidRPr="002D75CE">
        <w:t xml:space="preserve"> </w:t>
      </w:r>
      <w:r>
        <w:t xml:space="preserve">the Australian Government asked the Commission to: </w:t>
      </w:r>
    </w:p>
    <w:p w:rsidR="00AE4D5A" w:rsidRDefault="00AE4D5A" w:rsidP="008E5E01">
      <w:pPr>
        <w:pStyle w:val="ListBullet"/>
      </w:pPr>
      <w:r>
        <w:t>Examine shipping costs, competition and shipping industry competitive structures</w:t>
      </w:r>
      <w:r w:rsidRPr="004B1241">
        <w:t xml:space="preserve"> </w:t>
      </w:r>
      <w:r>
        <w:t>across Bass Strait;</w:t>
      </w:r>
    </w:p>
    <w:p w:rsidR="00AE4D5A" w:rsidRDefault="00AE4D5A" w:rsidP="008E5E01">
      <w:pPr>
        <w:pStyle w:val="ListBullet"/>
      </w:pPr>
      <w:r>
        <w:t>Identify the factors inhibiting the provision of international shipping services to Tasmania;</w:t>
      </w:r>
    </w:p>
    <w:p w:rsidR="00AE4D5A" w:rsidRDefault="00AE4D5A" w:rsidP="008E5E01">
      <w:pPr>
        <w:pStyle w:val="ListBullet"/>
      </w:pPr>
      <w:r>
        <w:t>Examine</w:t>
      </w:r>
      <w:r w:rsidRPr="00957170">
        <w:t xml:space="preserve"> the competitiveness of Tasmania’s freight industry</w:t>
      </w:r>
      <w:r>
        <w:t xml:space="preserve">, economic infrastructure and possible </w:t>
      </w:r>
      <w:r w:rsidRPr="00957170">
        <w:t xml:space="preserve">reforms </w:t>
      </w:r>
      <w:r>
        <w:t xml:space="preserve">that would assist in </w:t>
      </w:r>
      <w:r w:rsidRPr="00957170">
        <w:t>enhancing effective competition, investment and productivity growth</w:t>
      </w:r>
      <w:r>
        <w:t>; and</w:t>
      </w:r>
    </w:p>
    <w:p w:rsidR="00AE4D5A" w:rsidRDefault="00AE4D5A" w:rsidP="008E5E01">
      <w:pPr>
        <w:pStyle w:val="ListBullet"/>
      </w:pPr>
      <w:r>
        <w:lastRenderedPageBreak/>
        <w:t>Assess</w:t>
      </w:r>
      <w:r w:rsidRPr="006241B5">
        <w:t xml:space="preserve"> the merits and weaknesses of the current arrangements for </w:t>
      </w:r>
      <w:r>
        <w:t xml:space="preserve">supporting </w:t>
      </w:r>
      <w:r w:rsidRPr="006241B5">
        <w:t>freight and passenger services between the mainland and Tasmania and provide recommendations on an appropriate future approach and/or arrangements.</w:t>
      </w:r>
    </w:p>
    <w:p w:rsidR="00AE4D5A" w:rsidRDefault="00AE4D5A" w:rsidP="008E5E01">
      <w:pPr>
        <w:pStyle w:val="BodyText"/>
      </w:pPr>
      <w:r>
        <w:t>In responding to the terms of reference, the Commission has examined the issues affecting the competitiveness of Tasmanian business as they relate to shipping, port, road, and rail infrastructure and services. The Commission has examined how these may be addressed, noting that several of the potential policy responses are the responsibility of the Tasmanian Government.</w:t>
      </w:r>
    </w:p>
    <w:p w:rsidR="00AE4D5A" w:rsidRDefault="00AE4D5A" w:rsidP="008E5E01">
      <w:pPr>
        <w:pStyle w:val="BodyText"/>
      </w:pPr>
      <w:r>
        <w:t>This report also focuses on the effectiveness of the freight and passenger subsidy schemes and assesses the alignment of their objectives and outcomes. Acknowledging the Australian Government’s stated intention to retain the schemes, the Commission has considered amendments within their current design. In light of the material anomalies inherent in the current schemes’ design, the Commission has also canvassed other options to mitigate some of these anomalies.</w:t>
      </w:r>
    </w:p>
    <w:p w:rsidR="00AE4D5A" w:rsidRDefault="00AE4D5A" w:rsidP="008E5E01">
      <w:pPr>
        <w:pStyle w:val="BodyText"/>
      </w:pPr>
      <w:r>
        <w:t>Some stakeholders expressed their sensitivity to the schemes’ payments being referred to as ‘subsidies’ which they believe has a pejorative connotation for a payment they consider to be a reasonable entitlement to offset their locational disadvantage within a Federation of states. The Commission, as conveyed during its public hearings, uses the term ‘subsidy’ in this report as a technically correct reference that does not prejudge the policy analysis and review.</w:t>
      </w:r>
    </w:p>
    <w:p w:rsidR="00AE4D5A" w:rsidRDefault="00AE4D5A" w:rsidP="008E5E01">
      <w:pPr>
        <w:pStyle w:val="BodyText"/>
      </w:pPr>
      <w:r w:rsidRPr="001C7EBC">
        <w:t xml:space="preserve">Recognising the broader economic challenges faced by Tasmania, the Commission considers that simply addressing the anomalies in the subsidy schemes </w:t>
      </w:r>
      <w:r>
        <w:t>will not meaningfully</w:t>
      </w:r>
      <w:r w:rsidRPr="001C7EBC">
        <w:t xml:space="preserve"> </w:t>
      </w:r>
      <w:r>
        <w:t>improve the competitiveness</w:t>
      </w:r>
      <w:r w:rsidRPr="001C7EBC">
        <w:t xml:space="preserve"> of the Tasmanian economy —</w:t>
      </w:r>
      <w:r>
        <w:t xml:space="preserve"> </w:t>
      </w:r>
      <w:r w:rsidRPr="001C7EBC">
        <w:t xml:space="preserve">which the Commission considers should </w:t>
      </w:r>
      <w:r>
        <w:t xml:space="preserve">be the policy imperative. Successfully addressing the endemic problems of comparatively lower income growth, higher rates of unemployment, </w:t>
      </w:r>
      <w:r w:rsidRPr="00783938">
        <w:t>lower labour productivity</w:t>
      </w:r>
      <w:r>
        <w:t xml:space="preserve"> and social disadvantage is likely to require policies and programs that better target the underlying impediments. </w:t>
      </w:r>
    </w:p>
    <w:p w:rsidR="00AE4D5A" w:rsidRPr="00B069A3" w:rsidRDefault="00AE4D5A" w:rsidP="008E5E01">
      <w:pPr>
        <w:pStyle w:val="BodyText"/>
        <w:rPr>
          <w:spacing w:val="-2"/>
        </w:rPr>
      </w:pPr>
      <w:r w:rsidRPr="00B069A3">
        <w:rPr>
          <w:spacing w:val="-2"/>
        </w:rPr>
        <w:t>The key policy levers to increase the competitiveness of the Tasmanian economy revolve around: improved employment and educational outcomes; greater cohere</w:t>
      </w:r>
      <w:r>
        <w:rPr>
          <w:spacing w:val="-2"/>
        </w:rPr>
        <w:t>nce in infrastructure provision;</w:t>
      </w:r>
      <w:r w:rsidRPr="00B069A3">
        <w:rPr>
          <w:spacing w:val="-2"/>
        </w:rPr>
        <w:t xml:space="preserve"> private operation and ownership of infrastructure assets where this is both feasible and would improve their efficiency; coastal shipping reforms that will have positive </w:t>
      </w:r>
      <w:proofErr w:type="spellStart"/>
      <w:r w:rsidRPr="00B069A3">
        <w:rPr>
          <w:spacing w:val="-2"/>
        </w:rPr>
        <w:t>spillovers</w:t>
      </w:r>
      <w:proofErr w:type="spellEnd"/>
      <w:r w:rsidRPr="00B069A3">
        <w:rPr>
          <w:spacing w:val="-2"/>
        </w:rPr>
        <w:t xml:space="preserve"> for an economy that is highly dependent on shipping; </w:t>
      </w:r>
      <w:r>
        <w:rPr>
          <w:spacing w:val="-2"/>
        </w:rPr>
        <w:t>the removal of</w:t>
      </w:r>
      <w:r w:rsidRPr="00B069A3">
        <w:rPr>
          <w:spacing w:val="-2"/>
        </w:rPr>
        <w:t xml:space="preserve"> subs</w:t>
      </w:r>
      <w:r>
        <w:rPr>
          <w:spacing w:val="-2"/>
        </w:rPr>
        <w:t>idies to inefficient industries; and</w:t>
      </w:r>
      <w:r w:rsidRPr="00B069A3">
        <w:rPr>
          <w:spacing w:val="-2"/>
        </w:rPr>
        <w:t xml:space="preserve"> more generally, a regulatory environment that lowers the cost of doing business in Tasmania.</w:t>
      </w:r>
    </w:p>
    <w:p w:rsidR="00AE4D5A" w:rsidRPr="000A516D" w:rsidRDefault="00AE4D5A" w:rsidP="008E5E01">
      <w:pPr>
        <w:pStyle w:val="BodyText"/>
      </w:pPr>
      <w:r>
        <w:t xml:space="preserve">The report therefore canvasses elements of an economic development approach as a future and better alternative to the subsidy schemes. </w:t>
      </w:r>
    </w:p>
    <w:p w:rsidR="00AE4D5A" w:rsidRDefault="00AE4D5A" w:rsidP="008E5E01">
      <w:pPr>
        <w:pStyle w:val="BodyText"/>
      </w:pPr>
      <w:r>
        <w:lastRenderedPageBreak/>
        <w:t xml:space="preserve">Owing to the short timeframe for this inquiry, the Commission has not been in a position to examine all the issues within scope of the terms of reference with the same level of depth. Data limitations have also constrained the Commission’s ability to review in detail issues such as the commercial aspects of Bass Strait shipping services and the commercial viability of direct international container shipping services to and from Tasmania. </w:t>
      </w:r>
    </w:p>
    <w:p w:rsidR="00AE4D5A" w:rsidRDefault="00AE4D5A" w:rsidP="008E5E01">
      <w:pPr>
        <w:pStyle w:val="BodyText"/>
      </w:pPr>
      <w:r>
        <w:t xml:space="preserve">As an important input to this inquiry, the Commission has drawn on the substantial body of work undertaken by the Freight Logistics Coordination Team (FLCT) — an independent advisory body set up in November 2012 and funded by the Australian Government to inform a long term freight strategy for Tasmania. </w:t>
      </w:r>
    </w:p>
    <w:p w:rsidR="00AE4D5A" w:rsidRDefault="00AE4D5A" w:rsidP="008E5E01">
      <w:pPr>
        <w:pStyle w:val="Heading2"/>
      </w:pPr>
      <w:r>
        <w:t>Shipping and freight</w:t>
      </w:r>
    </w:p>
    <w:p w:rsidR="00AE4D5A" w:rsidRPr="00A024E4" w:rsidRDefault="00AE4D5A" w:rsidP="008E5E01">
      <w:pPr>
        <w:pStyle w:val="BodyText"/>
        <w:rPr>
          <w:spacing w:val="-2"/>
        </w:rPr>
      </w:pPr>
      <w:r w:rsidRPr="00A024E4">
        <w:rPr>
          <w:spacing w:val="-2"/>
        </w:rPr>
        <w:t>Tasmania will always be reliant on shipping and air services. With over 99 per cent of freight vo</w:t>
      </w:r>
      <w:r>
        <w:rPr>
          <w:spacing w:val="-2"/>
        </w:rPr>
        <w:t>lumes moving in and out of the S</w:t>
      </w:r>
      <w:r w:rsidRPr="00A024E4">
        <w:rPr>
          <w:spacing w:val="-2"/>
        </w:rPr>
        <w:t>tate by sea, the Bass Strait shipping link and its connectivity with land freight infrastructure and logistics is vital. Personal and business travel to and from Tasmania is now overwhelmingly by air, with around 90 per cent of travellers choosing to fly. The cost</w:t>
      </w:r>
      <w:r>
        <w:rPr>
          <w:spacing w:val="-2"/>
        </w:rPr>
        <w:t xml:space="preserve"> </w:t>
      </w:r>
      <w:r w:rsidRPr="00A024E4">
        <w:rPr>
          <w:spacing w:val="-2"/>
        </w:rPr>
        <w:t xml:space="preserve">and frequency of sea and air access </w:t>
      </w:r>
      <w:r>
        <w:rPr>
          <w:spacing w:val="-2"/>
        </w:rPr>
        <w:t>are</w:t>
      </w:r>
      <w:r w:rsidRPr="00A024E4">
        <w:rPr>
          <w:spacing w:val="-2"/>
        </w:rPr>
        <w:t xml:space="preserve"> even more critical for the sustainability of regional communities on King Island and the Furneaux Group of islands.</w:t>
      </w:r>
    </w:p>
    <w:p w:rsidR="00AE4D5A" w:rsidRDefault="00AE4D5A" w:rsidP="008E5E01">
      <w:pPr>
        <w:pStyle w:val="BodyText"/>
      </w:pPr>
      <w:r>
        <w:t>The economics of shipping relative to other transport modes improve as the distance traversed increases. As such, shipping is typically not cost-effective relative to road transport for distances comparable to Bass Strait.</w:t>
      </w:r>
    </w:p>
    <w:p w:rsidR="00AE4D5A" w:rsidRDefault="00AE4D5A" w:rsidP="008E5E01">
      <w:pPr>
        <w:pStyle w:val="BodyText"/>
      </w:pPr>
      <w:r>
        <w:t xml:space="preserve">The efficiency of Tasmanian shipping and freight is driven by several direct and interrelated factors: limited competition; scale; and investment. </w:t>
      </w:r>
    </w:p>
    <w:p w:rsidR="00AE4D5A" w:rsidRPr="003E6746" w:rsidRDefault="00AE4D5A" w:rsidP="00DD59EE">
      <w:pPr>
        <w:pStyle w:val="Heading3"/>
      </w:pPr>
      <w:r>
        <w:t>Coastal shipping reform can make a difference</w:t>
      </w:r>
    </w:p>
    <w:p w:rsidR="00AE4D5A" w:rsidRDefault="00AE4D5A" w:rsidP="008E5E01">
      <w:pPr>
        <w:pStyle w:val="BodyText"/>
      </w:pPr>
      <w:r>
        <w:t xml:space="preserve">As an island state, Tasmania is especially vulnerable to regulation and regulatory change that increases the cost of engaging in coastal trade. Foreign flagged vessels currently servicing Tasmania predominantly transport dry and liquid bulk freight. </w:t>
      </w:r>
    </w:p>
    <w:p w:rsidR="00AE4D5A" w:rsidRDefault="00AE4D5A" w:rsidP="008E5E01">
      <w:pPr>
        <w:pStyle w:val="BodyText"/>
      </w:pPr>
      <w:r>
        <w:t>Most inquiry participants raised concerns about the anticompetitive effects of Australian cabotage regulation and its impacts on the costs of shipping borne by Tasmanian businesses. Various studies have concluded that cabotage restrictions are likely to have a greater effect on Tasmania than other Australian jurisdictions. Recent amendments to the Fair Work</w:t>
      </w:r>
      <w:r w:rsidRPr="00EB0504">
        <w:t xml:space="preserve"> </w:t>
      </w:r>
      <w:r>
        <w:t xml:space="preserve">Regulations in 2009 and the introduction of </w:t>
      </w:r>
      <w:r>
        <w:lastRenderedPageBreak/>
        <w:t xml:space="preserve">the </w:t>
      </w:r>
      <w:r w:rsidRPr="00AA4354">
        <w:rPr>
          <w:i/>
        </w:rPr>
        <w:t>Coastal Trading (Revitalising Australian Shipping) Act 2012</w:t>
      </w:r>
      <w:r>
        <w:t xml:space="preserve"> (Cwlth) have added further restrictions.</w:t>
      </w:r>
    </w:p>
    <w:p w:rsidR="00AE4D5A" w:rsidRDefault="00AE4D5A" w:rsidP="008E5E01">
      <w:pPr>
        <w:pStyle w:val="BodyText"/>
      </w:pPr>
      <w:r>
        <w:t xml:space="preserve">The 2009 changes extended the application of the </w:t>
      </w:r>
      <w:r w:rsidRPr="00B55547">
        <w:rPr>
          <w:i/>
        </w:rPr>
        <w:t>Fair Work Act 2009</w:t>
      </w:r>
      <w:r>
        <w:t xml:space="preserve"> (Cwlth) to workers on foreign flagged vessels engaged in coastal shipping. The 2012 changes introduced new hiring, licensing and registration regimes, and tax concessions for certain ship operators.</w:t>
      </w:r>
    </w:p>
    <w:p w:rsidR="00AE4D5A" w:rsidRDefault="00AE4D5A" w:rsidP="008E5E01">
      <w:pPr>
        <w:pStyle w:val="BodyText"/>
      </w:pPr>
      <w:r>
        <w:t>The Regulatory Impact Statement (</w:t>
      </w:r>
      <w:proofErr w:type="spellStart"/>
      <w:r>
        <w:t>RIS</w:t>
      </w:r>
      <w:proofErr w:type="spellEnd"/>
      <w:r>
        <w:t xml:space="preserve">) that found a net benefit from the 2012 changes (and informed the parliamentary consideration and decision to introduce them) appears flawed. It assumed substantial benefits from the productivity compact (not in existence for the </w:t>
      </w:r>
      <w:proofErr w:type="spellStart"/>
      <w:r>
        <w:t>RIS</w:t>
      </w:r>
      <w:proofErr w:type="spellEnd"/>
      <w:r>
        <w:t xml:space="preserve"> preparation) that appear unrealistic. </w:t>
      </w:r>
    </w:p>
    <w:p w:rsidR="00AE4D5A" w:rsidRDefault="00AE4D5A" w:rsidP="008E5E01">
      <w:pPr>
        <w:pStyle w:val="BodyText"/>
      </w:pPr>
      <w:r>
        <w:t>Overwhelmingly, inquiry participants agreed that coastal shipping regulation is an important factor in reducing competition and increasing shipping costs for Tasmanian business. Additional costs imposed on foreign flagged vessels discourage these vessels from competing in the market for Australian coastal shipping. Further, where</w:t>
      </w:r>
      <w:r w:rsidRPr="004B6A70">
        <w:t xml:space="preserve"> domestic trade </w:t>
      </w:r>
      <w:r>
        <w:t>assists in defraying costs of international shipping</w:t>
      </w:r>
      <w:r w:rsidRPr="004B6A70">
        <w:t xml:space="preserve"> </w:t>
      </w:r>
      <w:r>
        <w:t xml:space="preserve">— as was evident for the previous direct international container service to Tasmania by the AAA consortium — </w:t>
      </w:r>
      <w:r w:rsidRPr="004B6A70">
        <w:t xml:space="preserve">any additional costs or regulatory requirements </w:t>
      </w:r>
      <w:r>
        <w:t>for</w:t>
      </w:r>
      <w:r w:rsidRPr="004B6A70">
        <w:t xml:space="preserve"> </w:t>
      </w:r>
      <w:r>
        <w:t xml:space="preserve">carrying such </w:t>
      </w:r>
      <w:r w:rsidRPr="004B6A70">
        <w:t xml:space="preserve">cargo </w:t>
      </w:r>
      <w:r>
        <w:t xml:space="preserve">adversely impact the viability of international shipping services, particularly to marginal ports such as those in Tasmania. </w:t>
      </w:r>
    </w:p>
    <w:p w:rsidR="00AE4D5A" w:rsidRDefault="00AE4D5A" w:rsidP="008E5E01">
      <w:pPr>
        <w:pStyle w:val="BodyText"/>
      </w:pPr>
      <w:r>
        <w:t xml:space="preserve">The existing regulatory framework clearly affects Australian coastal shipping more broadly. The cumulative effect of the 2009 and 2012 changes has been a reduced interest from international vessels engaging in the Australian coastal trade and, consequently, reduced shipping options for users of domestic and international shipping services. They also increase the costs of providing domestic coastal services, to which Tasmania remains especially exposed. </w:t>
      </w:r>
    </w:p>
    <w:p w:rsidR="00AE4D5A" w:rsidRDefault="00AE4D5A" w:rsidP="008E5E01">
      <w:pPr>
        <w:pStyle w:val="BodyText"/>
      </w:pPr>
      <w:r>
        <w:t>In view of the higher shipping costs evident in Tasmania, the evolving economics of international shipping, and the likely impacts on Australian business generally, the Commission recommended in its draft report that the foreshadowed Australian Government review of coastal shipping be expedited with the objective of increasing the competitiveness of Australia’s coastal shipping. This draft recommendation received strong support by most inquiry participants throughout the public hearings and in supplementary submissions. The foreshadowed review should be broad in scope, and include an examination of cabotage. It should recommend the removal of any anticompetitive provisions from relevant legislation, unless a clear case publicly demonstrates that there is a net benefit to the community as a whole.</w:t>
      </w:r>
    </w:p>
    <w:p w:rsidR="00AE4D5A" w:rsidRPr="00A40542" w:rsidRDefault="00AE4D5A" w:rsidP="008E5E01">
      <w:pPr>
        <w:pStyle w:val="Heading3"/>
      </w:pPr>
      <w:r w:rsidRPr="00A40542">
        <w:lastRenderedPageBreak/>
        <w:t>Competition</w:t>
      </w:r>
      <w:r>
        <w:t xml:space="preserve"> in Bass Strait shipping</w:t>
      </w:r>
    </w:p>
    <w:p w:rsidR="00AE4D5A" w:rsidRDefault="00AE4D5A" w:rsidP="008E5E01">
      <w:pPr>
        <w:pStyle w:val="BodyText"/>
      </w:pPr>
      <w:r>
        <w:t>A defining feature of Tasmania’s economic infrastructure is limited competition between transport service providers. This is not dissimilar to many regional and remote production and population centres in Australia. However, the greater operational engagement of government in Tasmania is a distinctive feature.</w:t>
      </w:r>
    </w:p>
    <w:p w:rsidR="00AE4D5A" w:rsidRDefault="00AE4D5A" w:rsidP="008E5E01">
      <w:pPr>
        <w:pStyle w:val="BodyText"/>
      </w:pPr>
      <w:r>
        <w:t>Tasmania has a comparable level of competition for air freight and passenger travel to regional areas on the mainland, with low cost carriers servicing Hobart and Launceston airports.</w:t>
      </w:r>
    </w:p>
    <w:p w:rsidR="00AE4D5A" w:rsidRDefault="00AE4D5A" w:rsidP="008E5E01">
      <w:pPr>
        <w:pStyle w:val="BodyText"/>
      </w:pPr>
      <w:r>
        <w:t>The characteristics of Bass Strait shipping constrain competition for container traffic and effectively isolate Tasmania from international container services. Bass Strait shipping faces no competition from road and rail alternatives. A</w:t>
      </w:r>
      <w:r w:rsidRPr="0097098D">
        <w:t xml:space="preserve">ir transport provides a potential substitute, </w:t>
      </w:r>
      <w:r>
        <w:t>but only for time</w:t>
      </w:r>
      <w:r>
        <w:noBreakHyphen/>
        <w:t>sensitive and/or</w:t>
      </w:r>
      <w:r w:rsidRPr="0097098D">
        <w:t xml:space="preserve"> high</w:t>
      </w:r>
      <w:r w:rsidRPr="0097098D">
        <w:noBreakHyphen/>
        <w:t xml:space="preserve">value </w:t>
      </w:r>
      <w:r>
        <w:t>commodities in small consignments.</w:t>
      </w:r>
    </w:p>
    <w:p w:rsidR="00AE4D5A" w:rsidRDefault="00AE4D5A" w:rsidP="008E5E01">
      <w:pPr>
        <w:pStyle w:val="BodyText"/>
      </w:pPr>
      <w:r>
        <w:t xml:space="preserve">There are three shipping lines providing overnight daily services between Tasmania’s northern ports and the Port of Melbourne: </w:t>
      </w:r>
      <w:r w:rsidRPr="00837D07">
        <w:t xml:space="preserve">Toll ANL, SeaRoad Holdings, and </w:t>
      </w:r>
      <w:r>
        <w:t>the Tasmanian Government</w:t>
      </w:r>
      <w:r>
        <w:noBreakHyphen/>
        <w:t xml:space="preserve">owned </w:t>
      </w:r>
      <w:r w:rsidRPr="00837D07">
        <w:t>TT</w:t>
      </w:r>
      <w:r>
        <w:noBreakHyphen/>
      </w:r>
      <w:r w:rsidRPr="00837D07">
        <w:t>Line.</w:t>
      </w:r>
      <w:r>
        <w:t xml:space="preserve"> Toll has over 50 per cent market share, with the other two providers holding roughly equal shares of the remainder. The later daily departure time and faster speed of the TT</w:t>
      </w:r>
      <w:r>
        <w:noBreakHyphen/>
        <w:t xml:space="preserve">Line service and its greater capacity for handling </w:t>
      </w:r>
      <w:proofErr w:type="spellStart"/>
      <w:r>
        <w:t>trailerised</w:t>
      </w:r>
      <w:proofErr w:type="spellEnd"/>
      <w:r>
        <w:t xml:space="preserve"> fresh freight means that it offers a distinct service. Notably, ANL also provides international shipping services. In the absence of a direct international container service, other international shipping lines servicing Tasmanian importers and exporters must utilise one of the three Bass Strait shipping lines. </w:t>
      </w:r>
    </w:p>
    <w:p w:rsidR="00AE4D5A" w:rsidRPr="007D11D0" w:rsidRDefault="00AE4D5A" w:rsidP="008E5E01">
      <w:pPr>
        <w:pStyle w:val="BodyText"/>
        <w:rPr>
          <w:spacing w:val="-2"/>
        </w:rPr>
      </w:pPr>
      <w:r w:rsidRPr="007D11D0">
        <w:rPr>
          <w:spacing w:val="-2"/>
        </w:rPr>
        <w:t>Overall, and as supported by participants’ submissions and evidence, the existing shipping lines provide high quality — but high cost — services to Tasmanian shippers</w:t>
      </w:r>
      <w:r>
        <w:rPr>
          <w:spacing w:val="-2"/>
        </w:rPr>
        <w:t xml:space="preserve"> (users of shipping services)</w:t>
      </w:r>
      <w:r w:rsidRPr="007D11D0">
        <w:rPr>
          <w:spacing w:val="-2"/>
        </w:rPr>
        <w:t>. While producers in Tasmania have diverse needs and many would prefer a lower</w:t>
      </w:r>
      <w:r w:rsidRPr="007D11D0">
        <w:rPr>
          <w:spacing w:val="-2"/>
        </w:rPr>
        <w:noBreakHyphen/>
        <w:t>priced and less frequent service, they have mostly adapted their business operations to the current level and cost of service. Only 15 per cent of Tasmanian northbound products require an overnight service, yet up to half of all goods transported have logistic chains built around the immediate flow of product after production.</w:t>
      </w:r>
    </w:p>
    <w:p w:rsidR="00AE4D5A" w:rsidRDefault="00AE4D5A" w:rsidP="008E5E01">
      <w:pPr>
        <w:pStyle w:val="BodyText"/>
      </w:pPr>
      <w:r>
        <w:t xml:space="preserve">Whether the current shipping industry structure provides for effective competition and efficient shipping services is unclear. Some participants, primarily ship owners and larger shippers, consider that the three shipping lines compete for volume on price and service offerings. However, many of these same participants expressed concerns about ‘excessive’ Bass Strait shipping costs. Others, especially smaller shippers, also contended that there is an inherent lack of competition on what is </w:t>
      </w:r>
      <w:r>
        <w:lastRenderedPageBreak/>
        <w:t>essentially a niche route. In their view, there are essentially the two commercial shipping firms operating with high levels of capacity utilisation and limited necessity to compete aggressively on that route, with limited influence from the Tasmanian Government</w:t>
      </w:r>
      <w:r>
        <w:noBreakHyphen/>
        <w:t>operated TT</w:t>
      </w:r>
      <w:r>
        <w:noBreakHyphen/>
        <w:t>line.</w:t>
      </w:r>
    </w:p>
    <w:p w:rsidR="00AE4D5A" w:rsidRDefault="00AE4D5A" w:rsidP="008E5E01">
      <w:pPr>
        <w:pStyle w:val="FigureTitle"/>
      </w:pPr>
      <w:r>
        <w:rPr>
          <w:b w:val="0"/>
        </w:rPr>
        <w:t>Figure 2</w:t>
      </w:r>
      <w:r>
        <w:tab/>
        <w:t>Tasmanian freight movements (major ports), 2012</w:t>
      </w:r>
      <w:r>
        <w:noBreakHyphen/>
        <w:t>13</w:t>
      </w:r>
    </w:p>
    <w:p w:rsidR="004B08A9" w:rsidRPr="00312AD1" w:rsidRDefault="004B08A9" w:rsidP="004B08A9">
      <w:pPr>
        <w:pStyle w:val="Subtitle"/>
      </w:pPr>
      <w:r w:rsidRPr="00312AD1">
        <w:t>mt = million tonnes</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AE4D5A" w:rsidTr="008E5E01">
        <w:trPr>
          <w:trHeight w:val="6279"/>
        </w:trPr>
        <w:tc>
          <w:tcPr>
            <w:tcW w:w="8777" w:type="dxa"/>
            <w:tcBorders>
              <w:top w:val="single" w:sz="6" w:space="0" w:color="auto"/>
              <w:left w:val="nil"/>
              <w:bottom w:val="single" w:sz="6" w:space="0" w:color="auto"/>
              <w:right w:val="nil"/>
            </w:tcBorders>
            <w:hideMark/>
          </w:tcPr>
          <w:p w:rsidR="00AE4D5A" w:rsidRDefault="00B52BBA" w:rsidP="008E5E01">
            <w:pPr>
              <w:pStyle w:val="Figure"/>
              <w:spacing w:before="20" w:after="20"/>
            </w:pPr>
            <w:r>
              <w:rPr>
                <w:noProof/>
              </w:rPr>
              <w:drawing>
                <wp:inline distT="0" distB="0" distL="0" distR="0" wp14:anchorId="38BD59B6" wp14:editId="53276D17">
                  <wp:extent cx="4410075" cy="5152906"/>
                  <wp:effectExtent l="0" t="0" r="0" b="0"/>
                  <wp:docPr id="88" name="Picture 88" descr="Figure 2 Tasmanian freight movements (major ports), 2012-13. This chart shows freight movements through Tasmania's major ports as well as major roads and rail links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6925" b="1800"/>
                          <a:stretch/>
                        </pic:blipFill>
                        <pic:spPr bwMode="auto">
                          <a:xfrm>
                            <a:off x="0" y="0"/>
                            <a:ext cx="4413459" cy="515686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4D5A" w:rsidRDefault="00AE4D5A" w:rsidP="008E5E01">
      <w:pPr>
        <w:pStyle w:val="BodyText"/>
        <w:rPr>
          <w:sz w:val="24"/>
        </w:rPr>
      </w:pPr>
      <w:r>
        <w:t>Importantly, Commission estimates suggest that TT</w:t>
      </w:r>
      <w:r>
        <w:noBreakHyphen/>
        <w:t>Line has not earned a commercial rate of return over the past five years, which raises the substantive issue of whether the principles of competitive neutrality are being satisfied. A failure to satisfy these principles can result in a distorted market and potentially and perversely reduce the level of competition.</w:t>
      </w:r>
    </w:p>
    <w:p w:rsidR="00AE4D5A" w:rsidRDefault="00AE4D5A" w:rsidP="008E5E01">
      <w:pPr>
        <w:pStyle w:val="BodyText"/>
      </w:pPr>
      <w:r>
        <w:t xml:space="preserve">Benchmarking of shipping costs is intrinsically difficult and therefore typically subject to caveats. </w:t>
      </w:r>
      <w:r w:rsidRPr="007C0711">
        <w:t xml:space="preserve">That said, benchmarking work by Aurecon (commissioned by the </w:t>
      </w:r>
      <w:r w:rsidRPr="007C0711">
        <w:lastRenderedPageBreak/>
        <w:t xml:space="preserve">FLCT) </w:t>
      </w:r>
      <w:r>
        <w:t xml:space="preserve">suggests that </w:t>
      </w:r>
      <w:r w:rsidRPr="007C0711">
        <w:t xml:space="preserve">Bass Strait shipping </w:t>
      </w:r>
      <w:r>
        <w:t xml:space="preserve">is </w:t>
      </w:r>
      <w:r w:rsidRPr="007C0711">
        <w:t xml:space="preserve">24 per cent more expensive than comparable European services, which </w:t>
      </w:r>
      <w:r>
        <w:t>it</w:t>
      </w:r>
      <w:r w:rsidRPr="007C0711">
        <w:t xml:space="preserve"> </w:t>
      </w:r>
      <w:r>
        <w:t>partly</w:t>
      </w:r>
      <w:r w:rsidRPr="007C0711">
        <w:t xml:space="preserve"> attribute</w:t>
      </w:r>
      <w:r>
        <w:t>d</w:t>
      </w:r>
      <w:r w:rsidRPr="007C0711">
        <w:t xml:space="preserve"> to relatively higher input costs for Bass Strait providers (</w:t>
      </w:r>
      <w:r w:rsidR="000C756F">
        <w:t xml:space="preserve">particularly </w:t>
      </w:r>
      <w:r w:rsidRPr="007C0711">
        <w:t>labour and fuel).</w:t>
      </w:r>
    </w:p>
    <w:p w:rsidR="00AE4D5A" w:rsidRPr="00B86865" w:rsidRDefault="00AE4D5A" w:rsidP="008E5E01">
      <w:pPr>
        <w:pStyle w:val="BodyText"/>
        <w:rPr>
          <w:spacing w:val="-2"/>
        </w:rPr>
      </w:pPr>
      <w:r w:rsidRPr="00B86865">
        <w:rPr>
          <w:spacing w:val="-2"/>
        </w:rPr>
        <w:t xml:space="preserve">The cost of container shipping across Bass Strait is also an issue for international shippers. Compared to direct international shipping </w:t>
      </w:r>
      <w:r>
        <w:rPr>
          <w:spacing w:val="-2"/>
        </w:rPr>
        <w:t>from</w:t>
      </w:r>
      <w:r w:rsidRPr="00B86865">
        <w:rPr>
          <w:spacing w:val="-2"/>
        </w:rPr>
        <w:t xml:space="preserve"> Bell Bay, transhipping through the Port of Melbourne adds additional costs of about $800–$1500 per container. For international shipping lines servicing this freight, this additional transhipment cost </w:t>
      </w:r>
      <w:r>
        <w:rPr>
          <w:spacing w:val="-2"/>
        </w:rPr>
        <w:t>is largely a direct cost-pass-</w:t>
      </w:r>
      <w:r w:rsidRPr="00B86865">
        <w:rPr>
          <w:spacing w:val="-2"/>
        </w:rPr>
        <w:t>through to their shipper clients, albeit potentially less transparent for clients using an integrated service.</w:t>
      </w:r>
    </w:p>
    <w:p w:rsidR="00AE4D5A" w:rsidRDefault="00AE4D5A" w:rsidP="008E5E01">
      <w:pPr>
        <w:pStyle w:val="BodyText"/>
      </w:pPr>
      <w:r>
        <w:t>Scale is a major factor (figure 2). The total volume of Tasmanian freight shipped in 2011</w:t>
      </w:r>
      <w:r>
        <w:noBreakHyphen/>
        <w:t xml:space="preserve">12 (the latest available data at a disaggregated level) was just under </w:t>
      </w:r>
      <w:r w:rsidRPr="00282B6C">
        <w:t>13</w:t>
      </w:r>
      <w:r>
        <w:t xml:space="preserve"> million tonnes. </w:t>
      </w:r>
      <w:r w:rsidRPr="004D4A89">
        <w:rPr>
          <w:spacing w:val="-2"/>
        </w:rPr>
        <w:t>Non</w:t>
      </w:r>
      <w:r>
        <w:rPr>
          <w:spacing w:val="-2"/>
        </w:rPr>
        <w:noBreakHyphen/>
      </w:r>
      <w:r w:rsidRPr="004D4A89">
        <w:rPr>
          <w:spacing w:val="-2"/>
        </w:rPr>
        <w:t>bulk freight</w:t>
      </w:r>
      <w:r>
        <w:rPr>
          <w:spacing w:val="-2"/>
        </w:rPr>
        <w:t xml:space="preserve">, which is the main freight task across Bass Strait, </w:t>
      </w:r>
      <w:r w:rsidRPr="004D4A89">
        <w:rPr>
          <w:spacing w:val="-2"/>
        </w:rPr>
        <w:t xml:space="preserve">accounted for </w:t>
      </w:r>
      <w:r>
        <w:rPr>
          <w:spacing w:val="-2"/>
        </w:rPr>
        <w:t>around 5 </w:t>
      </w:r>
      <w:r w:rsidRPr="004D4A89">
        <w:rPr>
          <w:spacing w:val="-2"/>
        </w:rPr>
        <w:t>million tonnes</w:t>
      </w:r>
      <w:r>
        <w:rPr>
          <w:spacing w:val="-2"/>
        </w:rPr>
        <w:t xml:space="preserve"> or around </w:t>
      </w:r>
      <w:r w:rsidRPr="0070309D">
        <w:rPr>
          <w:spacing w:val="-2"/>
        </w:rPr>
        <w:t>380 000 TEU</w:t>
      </w:r>
      <w:r>
        <w:rPr>
          <w:spacing w:val="-2"/>
        </w:rPr>
        <w:t>s (twenty foot equivalent units)</w:t>
      </w:r>
      <w:r w:rsidRPr="004D4A89">
        <w:rPr>
          <w:spacing w:val="-2"/>
        </w:rPr>
        <w:t xml:space="preserve">. </w:t>
      </w:r>
      <w:r>
        <w:rPr>
          <w:spacing w:val="-2"/>
        </w:rPr>
        <w:t>From a peak in 2003</w:t>
      </w:r>
      <w:r>
        <w:noBreakHyphen/>
      </w:r>
      <w:r>
        <w:rPr>
          <w:spacing w:val="-2"/>
        </w:rPr>
        <w:t>04, total trade volumes across Bass Strait have fallen by around 22 per cent over the period to 2011</w:t>
      </w:r>
      <w:r>
        <w:rPr>
          <w:spacing w:val="-2"/>
        </w:rPr>
        <w:noBreakHyphen/>
        <w:t>12, partly driven by</w:t>
      </w:r>
      <w:r w:rsidRPr="004D2E2D">
        <w:t xml:space="preserve"> </w:t>
      </w:r>
      <w:r>
        <w:t>declines</w:t>
      </w:r>
      <w:r w:rsidRPr="004D2E2D">
        <w:t xml:space="preserve"> in forestry </w:t>
      </w:r>
      <w:r>
        <w:t>and paper products. The relatively low volumes are compounded by the diverse and highly seasonal nature of the non</w:t>
      </w:r>
      <w:r>
        <w:noBreakHyphen/>
        <w:t>bulk freight task.</w:t>
      </w:r>
    </w:p>
    <w:p w:rsidR="00AE4D5A" w:rsidRDefault="00AE4D5A" w:rsidP="008E5E01">
      <w:pPr>
        <w:pStyle w:val="BodyText"/>
      </w:pPr>
      <w:r>
        <w:t xml:space="preserve">Nonetheless, all three existing shipping operators are understood to be considering new investments which would materially increase capacity. </w:t>
      </w:r>
    </w:p>
    <w:p w:rsidR="00AE4D5A" w:rsidRPr="001159F4" w:rsidRDefault="00AE4D5A" w:rsidP="008E5E01">
      <w:pPr>
        <w:pStyle w:val="BodyText"/>
        <w:rPr>
          <w:spacing w:val="-2"/>
        </w:rPr>
      </w:pPr>
      <w:r w:rsidRPr="001159F4">
        <w:rPr>
          <w:spacing w:val="-2"/>
        </w:rPr>
        <w:t xml:space="preserve">The Commission does not have access to data on operating costs and revenues of the commercial shipping lines and, therefore, cannot reach an informed view about the effectiveness of competition on that route. Fixed costs for a new entrant would be high. In the event of coastal shipping reform, the Commission notes the possible provision of other service options for shippers who do not require an overnight service. </w:t>
      </w:r>
    </w:p>
    <w:p w:rsidR="00AE4D5A" w:rsidRPr="00161955" w:rsidRDefault="00AE4D5A" w:rsidP="008E5E01">
      <w:pPr>
        <w:pStyle w:val="Heading3"/>
      </w:pPr>
      <w:r w:rsidRPr="0011112C">
        <w:t>Investment</w:t>
      </w:r>
    </w:p>
    <w:p w:rsidR="00AE4D5A" w:rsidRDefault="00AE4D5A" w:rsidP="008E5E01">
      <w:pPr>
        <w:pStyle w:val="BodyText"/>
      </w:pPr>
      <w:r>
        <w:t>Tasmania’s economic performance is also impacted by its limited ability to attract private capital. There is a perception amongst stakeholders that government sector involvement, combined with unclear infrastructure strategies, has stifled private sector investment. The purported lack of capital is exacerbated by current and growing constraints on public sector budgets. Most freight</w:t>
      </w:r>
      <w:r>
        <w:noBreakHyphen/>
        <w:t>related assets in Tasmania are owned by the state government including TT</w:t>
      </w:r>
      <w:r>
        <w:noBreakHyphen/>
        <w:t>Line, TasPorts, TasRail and Tasmania’s road authorities. None are earning a sustainable rate of return on assets, which constrains new investment.</w:t>
      </w:r>
    </w:p>
    <w:p w:rsidR="00AE4D5A" w:rsidRPr="00807BA9" w:rsidRDefault="00AE4D5A" w:rsidP="008E5E01">
      <w:pPr>
        <w:pStyle w:val="Heading4"/>
      </w:pPr>
      <w:r w:rsidRPr="00807BA9">
        <w:lastRenderedPageBreak/>
        <w:t>Tasmanian ports</w:t>
      </w:r>
    </w:p>
    <w:p w:rsidR="00AE4D5A" w:rsidRDefault="00AE4D5A" w:rsidP="008E5E01">
      <w:pPr>
        <w:pStyle w:val="BodyText"/>
      </w:pPr>
      <w:r>
        <w:t>Ports are an integral link in supply chains and, in a capital constrained environment, it is critical that investment decisions are made commercially.</w:t>
      </w:r>
    </w:p>
    <w:p w:rsidR="00AE4D5A" w:rsidRDefault="00AE4D5A" w:rsidP="008E5E01">
      <w:pPr>
        <w:pStyle w:val="BodyText"/>
      </w:pPr>
      <w:r>
        <w:t>TasPorts, a state</w:t>
      </w:r>
      <w:r>
        <w:noBreakHyphen/>
        <w:t>owned enterprise established in 2006, is responsible for the management of 12 Tasmanian ports, including the four major ports: Burnie, Devonport, Bell Bay and Hobart. The majority of freight moves through the three northern ports.</w:t>
      </w:r>
    </w:p>
    <w:p w:rsidR="00AE4D5A" w:rsidRDefault="00AE4D5A" w:rsidP="008E5E01">
      <w:pPr>
        <w:pStyle w:val="BodyText"/>
      </w:pPr>
      <w:r>
        <w:t>For the three northern ports, the Tasmanian Government has a strategy of ‘one port, three locations’. In 2012</w:t>
      </w:r>
      <w:r>
        <w:noBreakHyphen/>
        <w:t xml:space="preserve">13, the total throughput (including empty containers) of Tasmania’s three northern ports was around </w:t>
      </w:r>
      <w:r w:rsidRPr="0070309D">
        <w:t>451 000 TEU</w:t>
      </w:r>
      <w:r>
        <w:t xml:space="preserve">s, of which Burnie and Devonport accounted for around </w:t>
      </w:r>
      <w:r w:rsidRPr="00501656">
        <w:t>56</w:t>
      </w:r>
      <w:r>
        <w:t xml:space="preserve"> per cent and </w:t>
      </w:r>
      <w:r w:rsidRPr="00501656">
        <w:t>43</w:t>
      </w:r>
      <w:r>
        <w:t> per cent of container traffic respectively. Bell Bay is predominantly a bulk port.</w:t>
      </w:r>
    </w:p>
    <w:p w:rsidR="00AE4D5A" w:rsidRPr="00280505" w:rsidRDefault="00AE4D5A" w:rsidP="008E5E01">
      <w:pPr>
        <w:pStyle w:val="BodyText"/>
        <w:rPr>
          <w:spacing w:val="-2"/>
        </w:rPr>
      </w:pPr>
      <w:r w:rsidRPr="00280505">
        <w:rPr>
          <w:spacing w:val="-2"/>
        </w:rPr>
        <w:t>However, there are competing perspectives on the future development of Tasmanian ports. TasPorts is currently in the process of developing a long term plan based largely on retaining the three ports through a strategy of port specialisation and incremental investment in infrastructure. A number of submissions argued that a focus on port rationalisation would allow greater economies of scale to be achieved through consolidation of the freight task, and greater certainty and potentially lower costs for users.</w:t>
      </w:r>
    </w:p>
    <w:p w:rsidR="00AE4D5A" w:rsidRDefault="00AE4D5A" w:rsidP="008E5E01">
      <w:pPr>
        <w:pStyle w:val="BodyText"/>
      </w:pPr>
      <w:r>
        <w:t xml:space="preserve">There was some evidence put forward by inquiry participants to suggest that TasPorts costs are high relative to other Australian ports. It is difficult to determine whether the cost differences are due to scale or to other factors such as ageing and inefficient infrastructure, or the exercise of strategic behaviour by TasPorts. The fact that TasPorts is not generating a commercial rate of return on its assets, as required in its statement of expectations, could be the legacy of leasing arrangements it inherited when it was established in 2006, or it could suggest that TasPorts is not </w:t>
      </w:r>
      <w:r w:rsidRPr="00C04A2A">
        <w:t xml:space="preserve">charging users the full cost of </w:t>
      </w:r>
      <w:r>
        <w:t xml:space="preserve">the </w:t>
      </w:r>
      <w:r w:rsidRPr="00C04A2A">
        <w:t>services it provides</w:t>
      </w:r>
      <w:r>
        <w:t>. The current approach to pricing adopted by TasPorts — statewide uniform pricing — is likely to reduce flexible cost management and investment and involve cross</w:t>
      </w:r>
      <w:r>
        <w:noBreakHyphen/>
        <w:t>subsidies across ports and port activities. The Commission did hear evidence from port users to this effect. Against this background, there is an urgent need to articulate and implement a clear port strategy for Tasmania.</w:t>
      </w:r>
    </w:p>
    <w:p w:rsidR="00AE4D5A" w:rsidRDefault="00AE4D5A" w:rsidP="008E5E01">
      <w:pPr>
        <w:pStyle w:val="BodyText"/>
      </w:pPr>
      <w:r>
        <w:t>T</w:t>
      </w:r>
      <w:r w:rsidRPr="00D84983">
        <w:t>he Commission considers that the Tasmanian Government</w:t>
      </w:r>
      <w:r>
        <w:t>, as an essential precursor to considering such a strategy,</w:t>
      </w:r>
      <w:r w:rsidRPr="00D84983">
        <w:t xml:space="preserve"> </w:t>
      </w:r>
      <w:r>
        <w:t xml:space="preserve">should </w:t>
      </w:r>
      <w:r w:rsidRPr="00D84983">
        <w:t xml:space="preserve">direct the </w:t>
      </w:r>
      <w:r w:rsidRPr="00EC43BB">
        <w:t xml:space="preserve">Office of the </w:t>
      </w:r>
      <w:r w:rsidRPr="00300D0A">
        <w:t xml:space="preserve">Tasmanian Economic Regulator (OTTER) </w:t>
      </w:r>
      <w:r w:rsidRPr="001305DD">
        <w:t xml:space="preserve">to conduct an </w:t>
      </w:r>
      <w:r w:rsidRPr="003D380A">
        <w:t>inquiry</w:t>
      </w:r>
      <w:r w:rsidRPr="00D84983">
        <w:t xml:space="preserve"> </w:t>
      </w:r>
      <w:r w:rsidRPr="00EC43BB">
        <w:t>into the pricing policies of TasPorts. I</w:t>
      </w:r>
      <w:r w:rsidRPr="00300D0A">
        <w:t xml:space="preserve">n carrying out the </w:t>
      </w:r>
      <w:r w:rsidRPr="003D380A">
        <w:t>inquiry</w:t>
      </w:r>
      <w:r w:rsidRPr="00D84983">
        <w:t xml:space="preserve">, </w:t>
      </w:r>
      <w:r w:rsidRPr="00EC43BB">
        <w:t>OTTER</w:t>
      </w:r>
      <w:r w:rsidRPr="00300D0A">
        <w:t xml:space="preserve"> should consider and make </w:t>
      </w:r>
      <w:r w:rsidRPr="00300D0A">
        <w:lastRenderedPageBreak/>
        <w:t>recommendations on the extent to which pricing at the three northern ports is efficient and, where appropriate, cost reflective of individual ports.</w:t>
      </w:r>
    </w:p>
    <w:p w:rsidR="00AE4D5A" w:rsidRPr="00197164" w:rsidRDefault="00AE4D5A" w:rsidP="008E5E01">
      <w:pPr>
        <w:pStyle w:val="BodyText"/>
      </w:pPr>
      <w:r>
        <w:t xml:space="preserve">To ensure that Tasmanian ports have access to adequate capital to enhance efficiency and competitiveness, opportunities and other models for private sector involvement should be considered by the Tasmanian Government. Privatisation and long term leasing of ports is a growing component of structural reform programs in most mainland jurisdictions, with the Port of Melbourne the only major capital city port on the east coast still owned/operated by a state government. The NSW Government is also further advancing the privatisation of regional ports. Such a move would provide an opportunity to reprioritise and redirect scarce public sector capital. It would also provide an opportunity to ensure that future capital investment decisions are underpinned by commercial imperatives. Further, it may be an opportune time for the Tasmanian </w:t>
      </w:r>
      <w:r w:rsidR="00040750">
        <w:t>G</w:t>
      </w:r>
      <w:r>
        <w:t>overnment to seek commercial third party advice on the merit of testing the market for interest in TasPorts.</w:t>
      </w:r>
    </w:p>
    <w:p w:rsidR="00AE4D5A" w:rsidRPr="00161955" w:rsidRDefault="00AE4D5A" w:rsidP="008E5E01">
      <w:pPr>
        <w:pStyle w:val="Heading4"/>
      </w:pPr>
      <w:r w:rsidRPr="00807BA9">
        <w:t>Tasmanian roads and rail</w:t>
      </w:r>
    </w:p>
    <w:p w:rsidR="00AE4D5A" w:rsidRDefault="00AE4D5A" w:rsidP="008E5E01">
      <w:pPr>
        <w:pStyle w:val="BodyText"/>
      </w:pPr>
      <w:r>
        <w:t>Competitive and cost</w:t>
      </w:r>
      <w:r>
        <w:noBreakHyphen/>
        <w:t>effective freight connectivity between ports and land freight corridors is an essential enabler for the Tasmanian economy.</w:t>
      </w:r>
    </w:p>
    <w:p w:rsidR="00AE4D5A" w:rsidRDefault="00AE4D5A" w:rsidP="008E5E01">
      <w:pPr>
        <w:pStyle w:val="BodyText"/>
      </w:pPr>
      <w:r>
        <w:t>The road network in Tasmania accounts for the majority of the freight task to and from ports. As such, the efficiency of road freight networks has significant implications for other modes of freight infrastructure.</w:t>
      </w:r>
    </w:p>
    <w:p w:rsidR="00AE4D5A" w:rsidRDefault="00AE4D5A" w:rsidP="008E5E01">
      <w:pPr>
        <w:pStyle w:val="BodyText"/>
      </w:pPr>
      <w:r>
        <w:t>While Tasmania has an extensive road network, there are regulatory limitations on the use of high productivity vehicles such as B</w:t>
      </w:r>
      <w:r>
        <w:noBreakHyphen/>
        <w:t>Doubles. On balance though, road accessibility does not appear to be a significant constraint on the Tasmanian freight task. However, as is the case nationally, there is a disconnect between road funding and the pricing of, and demand for, road use services.</w:t>
      </w:r>
    </w:p>
    <w:p w:rsidR="00AE4D5A" w:rsidRPr="001159F4" w:rsidRDefault="00AE4D5A" w:rsidP="008E5E01">
      <w:pPr>
        <w:pStyle w:val="BodyText"/>
        <w:rPr>
          <w:spacing w:val="-2"/>
        </w:rPr>
      </w:pPr>
      <w:r w:rsidRPr="001159F4">
        <w:rPr>
          <w:spacing w:val="-2"/>
        </w:rPr>
        <w:t>In its final report to the Tasmanian Government, the FLCT noted the need to prioritise road investment on the main freight corridor linking Hobart to Burnie</w:t>
      </w:r>
      <w:r w:rsidRPr="001159F4">
        <w:rPr>
          <w:spacing w:val="-2"/>
        </w:rPr>
        <w:noBreakHyphen/>
        <w:t>Devonport and on the key regional freight roads that connect to this corridor.</w:t>
      </w:r>
    </w:p>
    <w:p w:rsidR="00AE4D5A" w:rsidRDefault="00AE4D5A" w:rsidP="008E5E01">
      <w:pPr>
        <w:pStyle w:val="BodyText"/>
      </w:pPr>
      <w:r>
        <w:t>Road funding is provided by all three levels of government — Commonwealth, state and local.</w:t>
      </w:r>
      <w:r w:rsidRPr="00B074BF">
        <w:t xml:space="preserve"> </w:t>
      </w:r>
      <w:r>
        <w:t>Over the period 1998</w:t>
      </w:r>
      <w:r>
        <w:noBreakHyphen/>
        <w:t>99 to 2011</w:t>
      </w:r>
      <w:r>
        <w:noBreakHyphen/>
        <w:t xml:space="preserve">12, the Australian Government’s share of road funding in Tasmania averaged 43 per cent, significantly above the national average of 27 per cent. Australia’s </w:t>
      </w:r>
      <w:r w:rsidRPr="00FA595C">
        <w:t>fragmented model for road funding leads to a less than optimal allocation of investment, with funding not necessarily targeted to where it would deliver the greatest net benefits.</w:t>
      </w:r>
    </w:p>
    <w:p w:rsidR="00AE4D5A" w:rsidRDefault="00AE4D5A" w:rsidP="008E5E01">
      <w:pPr>
        <w:pStyle w:val="BodyText"/>
      </w:pPr>
      <w:r>
        <w:lastRenderedPageBreak/>
        <w:t>A notable feature of Tasmania’s land freight infrastructure is the duplication of important elements of the road and rail networks — providing some substitutability between the two modes. Rail accounts for a small share of the Tasmanian land freight task (18 per cent on a tonne kilometre basis in 2011</w:t>
      </w:r>
      <w:r>
        <w:noBreakHyphen/>
        <w:t>12 compared to more than 50 per cent nationally in 2009</w:t>
      </w:r>
      <w:r>
        <w:noBreakHyphen/>
        <w:t>10), with cement, coal and mineral ores accounting for the bulk of rail freight.</w:t>
      </w:r>
    </w:p>
    <w:p w:rsidR="00AE4D5A" w:rsidRDefault="00AE4D5A" w:rsidP="008E5E01">
      <w:pPr>
        <w:pStyle w:val="BodyText"/>
      </w:pPr>
      <w:r>
        <w:t>Rail has had a chequered history in Tasmania under Tasmanian and Australian Government ownership, and part</w:t>
      </w:r>
      <w:r>
        <w:noBreakHyphen/>
        <w:t>private operation. The rail network returned to full Tasmanian Government ownership in 2009, and has continued to operate at a loss. Rail is generally profitable for long</w:t>
      </w:r>
      <w:r>
        <w:noBreakHyphen/>
        <w:t>distance routes, which do not exist in Tasmania.</w:t>
      </w:r>
    </w:p>
    <w:p w:rsidR="00AE4D5A" w:rsidRDefault="00AE4D5A" w:rsidP="008E5E01">
      <w:pPr>
        <w:pStyle w:val="BodyText"/>
      </w:pPr>
      <w:r>
        <w:t>A key issue for the Tasmanian Government to consider is the long term viability of its rail network. While substantial upgrades to tracks and rolling stock have recently been funded by the Australian and Tasmanian Governments, it is unclear whether these are justified on the basis of the expected rate of return on invested capital. The net benefits of rail investment and ongoing financial support for moving freight need to be judiciously considered from a long term and whole</w:t>
      </w:r>
      <w:r>
        <w:noBreakHyphen/>
        <w:t>of</w:t>
      </w:r>
      <w:r>
        <w:noBreakHyphen/>
        <w:t xml:space="preserve">Tasmania perspective, given the possible alternative use of these funds at a time when meeting other demands for infrastructure services is increasingly difficult. This is particularly pertinent in the context of </w:t>
      </w:r>
      <w:proofErr w:type="spellStart"/>
      <w:r>
        <w:t>TasRail’s</w:t>
      </w:r>
      <w:proofErr w:type="spellEnd"/>
      <w:r>
        <w:t xml:space="preserve"> poor financial performance.</w:t>
      </w:r>
    </w:p>
    <w:p w:rsidR="00AE4D5A" w:rsidRDefault="00AE4D5A" w:rsidP="008E5E01">
      <w:pPr>
        <w:pStyle w:val="BodyText"/>
      </w:pPr>
      <w:r>
        <w:t>The commercial sustainability of TasRail could be improved by increasing its revenue base, either through increased capacity utilisation and/or higher freight charges (although higher charges could reduce usage). There may also be some scope for</w:t>
      </w:r>
      <w:r w:rsidRPr="004F13F7">
        <w:t xml:space="preserve"> rationalis</w:t>
      </w:r>
      <w:r>
        <w:t>ing those sections of the network where there is insufficient demand to cover operating costs or to justify capital upgrades</w:t>
      </w:r>
      <w:r w:rsidRPr="004F13F7">
        <w:t>.</w:t>
      </w:r>
      <w:r>
        <w:t xml:space="preserve"> </w:t>
      </w:r>
    </w:p>
    <w:p w:rsidR="00AE4D5A" w:rsidRDefault="00AE4D5A" w:rsidP="008E5E01">
      <w:pPr>
        <w:pStyle w:val="BodyText"/>
      </w:pPr>
      <w:r>
        <w:t xml:space="preserve">Capital constraints and the importance of freight costs to Tasmanian businesses make rigorous comparative analysis of alternative future investment options imperative, including for recent funding commitments. The funds used for the recent rail investment are likely to have delivered a higher return if they had been directed to other Tasmanian transport infrastructure. The proposed Tasmanian Freight Strategy provides an avenue to establish a framework for such assessment. </w:t>
      </w:r>
    </w:p>
    <w:p w:rsidR="00AE4D5A" w:rsidRPr="00161955" w:rsidRDefault="00AE4D5A" w:rsidP="008E5E01">
      <w:pPr>
        <w:pStyle w:val="Heading4"/>
      </w:pPr>
      <w:r>
        <w:t>An integrated freight strategy</w:t>
      </w:r>
    </w:p>
    <w:p w:rsidR="00AE4D5A" w:rsidRDefault="00AE4D5A" w:rsidP="008E5E01">
      <w:pPr>
        <w:pStyle w:val="BodyText"/>
      </w:pPr>
      <w:r>
        <w:t xml:space="preserve">Tasmania suffers from a lack of an integrated freight strategy. This increases the risk of inefficient decision making in relation to road and rail corridors, connectivity to ports and duplicated infrastructure. In this context, the Commission supports the development of a long term integrated freight strategy for Tasmania which addresses the fundamental issues of productivity and effective capital allocation. A </w:t>
      </w:r>
      <w:r>
        <w:lastRenderedPageBreak/>
        <w:t>jurisdiction with a small population and tax base is unlikely to be able to maintain a full and duplicated array of transport assets.</w:t>
      </w:r>
      <w:r w:rsidRPr="00F41CC0">
        <w:t xml:space="preserve"> </w:t>
      </w:r>
      <w:r>
        <w:t xml:space="preserve">The development of such a strategy will help to ensure that developments in freight infrastructure are supportive of Tasmania’s long term economic growth. While governments should play a key role </w:t>
      </w:r>
      <w:r w:rsidRPr="001159F4">
        <w:rPr>
          <w:spacing w:val="-2"/>
        </w:rPr>
        <w:t xml:space="preserve">in developing a long </w:t>
      </w:r>
      <w:r>
        <w:rPr>
          <w:spacing w:val="-2"/>
        </w:rPr>
        <w:t>term integrated plan for the S</w:t>
      </w:r>
      <w:r w:rsidRPr="001159F4">
        <w:rPr>
          <w:spacing w:val="-2"/>
        </w:rPr>
        <w:t xml:space="preserve">tate, and the Tasmanian Government is currently undertaking such a process, </w:t>
      </w:r>
      <w:r>
        <w:rPr>
          <w:spacing w:val="-2"/>
        </w:rPr>
        <w:t>the</w:t>
      </w:r>
      <w:r w:rsidRPr="001159F4">
        <w:rPr>
          <w:spacing w:val="-2"/>
        </w:rPr>
        <w:t xml:space="preserve"> plan needs</w:t>
      </w:r>
      <w:r>
        <w:rPr>
          <w:spacing w:val="-2"/>
        </w:rPr>
        <w:t xml:space="preserve"> to be transparent and evidence</w:t>
      </w:r>
      <w:r>
        <w:rPr>
          <w:spacing w:val="-2"/>
        </w:rPr>
        <w:noBreakHyphen/>
      </w:r>
      <w:r w:rsidRPr="001159F4">
        <w:rPr>
          <w:spacing w:val="-2"/>
        </w:rPr>
        <w:t>based, include wide consultations with industry and the community at large, and provide opportunities for private sector investment and operations.</w:t>
      </w:r>
    </w:p>
    <w:p w:rsidR="00AE4D5A" w:rsidRPr="00B37094" w:rsidRDefault="00AE4D5A" w:rsidP="008E5E01">
      <w:pPr>
        <w:pStyle w:val="BodyText"/>
      </w:pPr>
      <w:r w:rsidRPr="00B37094">
        <w:t xml:space="preserve">As the Australian Government will retain a key role in funding Tasmanian infrastructure investments, the Commission views it as appropriate that the Australian Government (including through Infrastructure Australia) </w:t>
      </w:r>
      <w:r>
        <w:t xml:space="preserve">be consulted </w:t>
      </w:r>
      <w:r w:rsidRPr="00B37094">
        <w:t xml:space="preserve">in </w:t>
      </w:r>
      <w:r>
        <w:t xml:space="preserve">the </w:t>
      </w:r>
      <w:r w:rsidRPr="00B37094">
        <w:t>develop</w:t>
      </w:r>
      <w:r>
        <w:t xml:space="preserve">ment of </w:t>
      </w:r>
      <w:r w:rsidRPr="00B37094">
        <w:t xml:space="preserve">that strategy. </w:t>
      </w:r>
    </w:p>
    <w:p w:rsidR="00AE4D5A" w:rsidRPr="003E6746" w:rsidRDefault="00AE4D5A" w:rsidP="008E5E01">
      <w:pPr>
        <w:pStyle w:val="Heading2"/>
      </w:pPr>
      <w:r w:rsidRPr="003E6746">
        <w:t xml:space="preserve">Offsetting a cost </w:t>
      </w:r>
      <w:r>
        <w:t>‘</w:t>
      </w:r>
      <w:r w:rsidRPr="003E6746">
        <w:t>disadvantage</w:t>
      </w:r>
      <w:r>
        <w:t>’?</w:t>
      </w:r>
    </w:p>
    <w:p w:rsidR="00AE4D5A" w:rsidRPr="00943A8E" w:rsidRDefault="00AE4D5A" w:rsidP="008E5E01">
      <w:pPr>
        <w:pStyle w:val="BodyText"/>
        <w:rPr>
          <w:spacing w:val="-2"/>
        </w:rPr>
      </w:pPr>
      <w:r w:rsidRPr="00943A8E">
        <w:rPr>
          <w:spacing w:val="-2"/>
        </w:rPr>
        <w:t>Concerns about the costs incurred by Tasmanian business and residents for Bass Strait transit have been the basis for longstanding subsidies for sea freight and passenger</w:t>
      </w:r>
      <w:r>
        <w:rPr>
          <w:spacing w:val="-2"/>
        </w:rPr>
        <w:noBreakHyphen/>
      </w:r>
      <w:r w:rsidRPr="00943A8E">
        <w:rPr>
          <w:spacing w:val="-2"/>
        </w:rPr>
        <w:t xml:space="preserve">accompanied vehicle travel. The Tasmanian Freight Equalisation Scheme (TFES), the Tasmanian Wheat Freight Scheme (TWFS) and Bass Strait Passenger Vehicle Equalisation Scheme (BSPVES) </w:t>
      </w:r>
      <w:r>
        <w:rPr>
          <w:spacing w:val="-2"/>
        </w:rPr>
        <w:t>were</w:t>
      </w:r>
      <w:r w:rsidRPr="00943A8E">
        <w:rPr>
          <w:spacing w:val="-2"/>
        </w:rPr>
        <w:t xml:space="preserve"> designed to partly offset these costs (figure 3). The reference to equalisation in two of the schemes misleadingly implies ‘full’ compensation for the cost </w:t>
      </w:r>
      <w:r>
        <w:rPr>
          <w:spacing w:val="-2"/>
        </w:rPr>
        <w:t>‘</w:t>
      </w:r>
      <w:r w:rsidRPr="00943A8E">
        <w:rPr>
          <w:spacing w:val="-2"/>
        </w:rPr>
        <w:t>disadvantage</w:t>
      </w:r>
      <w:r>
        <w:rPr>
          <w:spacing w:val="-2"/>
        </w:rPr>
        <w:t>’,</w:t>
      </w:r>
      <w:r w:rsidRPr="00943A8E">
        <w:rPr>
          <w:spacing w:val="-2"/>
        </w:rPr>
        <w:t xml:space="preserve"> which is not inherent in the design and operation</w:t>
      </w:r>
      <w:r>
        <w:rPr>
          <w:spacing w:val="-2"/>
        </w:rPr>
        <w:t xml:space="preserve"> of the schemes</w:t>
      </w:r>
      <w:r w:rsidRPr="00943A8E">
        <w:rPr>
          <w:spacing w:val="-2"/>
        </w:rPr>
        <w:t>.</w:t>
      </w:r>
    </w:p>
    <w:p w:rsidR="00AE4D5A" w:rsidRDefault="00AE4D5A" w:rsidP="008E5E01">
      <w:pPr>
        <w:pStyle w:val="BodyText"/>
      </w:pPr>
      <w:r>
        <w:t>The current arrangements (which have been in place since the inception of the schemes) are selective in nature and involve paying subsidies to particular recipients on the basis of eligibility criteria that appear arbitrary. In addition, and by design, recipients are paid a per unit amount that is not intended to secure consistency between each recipient’s actual sea freight cost and the cost that would have applied if there were actually a road bridge across Bass Strait.</w:t>
      </w:r>
    </w:p>
    <w:p w:rsidR="00AE4D5A" w:rsidRDefault="00AE4D5A" w:rsidP="008E5E01">
      <w:pPr>
        <w:pStyle w:val="BodyText"/>
      </w:pPr>
      <w:r>
        <w:t>A genuine equalisation scheme on the grounds of a notional ‘land bridge’ would entail a significant widening of the scope, scale and cost of the current arrangements and exponentially increase not only the fiscal cost but also the cost to Tasmanian consumers and the Australian economy (as detailed in chapter 3). It would involve paying assistance to all freight and passengers transported by sea across Bass Strait</w:t>
      </w:r>
      <w:r w:rsidR="00DD59EE">
        <w:t> </w:t>
      </w:r>
      <w:r w:rsidR="00313C56">
        <w:t>—</w:t>
      </w:r>
      <w:r w:rsidR="00DD59EE">
        <w:t> </w:t>
      </w:r>
      <w:r>
        <w:t>encompassing inter alia additional volumes of around 250 000 TEUs for non</w:t>
      </w:r>
      <w:r>
        <w:noBreakHyphen/>
        <w:t xml:space="preserve">bulk freight and over </w:t>
      </w:r>
      <w:r w:rsidRPr="00E2228D">
        <w:t>40</w:t>
      </w:r>
      <w:r>
        <w:t> </w:t>
      </w:r>
      <w:r w:rsidRPr="00E2228D">
        <w:t>000</w:t>
      </w:r>
      <w:r>
        <w:t xml:space="preserve"> additional passengers in 2011</w:t>
      </w:r>
      <w:r>
        <w:noBreakHyphen/>
        <w:t>12.</w:t>
      </w:r>
    </w:p>
    <w:p w:rsidR="00AE4D5A" w:rsidRPr="00551935" w:rsidRDefault="00AE4D5A" w:rsidP="008E5E01">
      <w:pPr>
        <w:keepNext/>
        <w:keepLines/>
        <w:spacing w:before="360" w:after="80" w:line="280" w:lineRule="exact"/>
        <w:ind w:left="1474" w:hanging="1474"/>
        <w:rPr>
          <w:rFonts w:ascii="Arial" w:hAnsi="Arial"/>
          <w:b/>
          <w:sz w:val="24"/>
        </w:rPr>
      </w:pPr>
      <w:r w:rsidRPr="007C6FDE">
        <w:rPr>
          <w:rFonts w:ascii="Arial" w:hAnsi="Arial"/>
          <w:sz w:val="24"/>
        </w:rPr>
        <w:lastRenderedPageBreak/>
        <w:t>Figure</w:t>
      </w:r>
      <w:r>
        <w:rPr>
          <w:rFonts w:ascii="Arial" w:hAnsi="Arial"/>
          <w:sz w:val="24"/>
        </w:rPr>
        <w:t> 3</w:t>
      </w:r>
      <w:r>
        <w:rPr>
          <w:rFonts w:ascii="Arial" w:hAnsi="Arial"/>
          <w:b/>
          <w:sz w:val="24"/>
        </w:rPr>
        <w:tab/>
        <w:t>TFES, TWFS and</w:t>
      </w:r>
      <w:r w:rsidRPr="007C6FDE">
        <w:rPr>
          <w:rFonts w:ascii="Arial" w:hAnsi="Arial"/>
          <w:b/>
          <w:sz w:val="24"/>
        </w:rPr>
        <w:t xml:space="preserve"> BSPVES </w:t>
      </w:r>
      <w:r>
        <w:rPr>
          <w:rFonts w:ascii="Arial" w:hAnsi="Arial"/>
          <w:b/>
          <w:sz w:val="24"/>
        </w:rPr>
        <w:t>—</w:t>
      </w:r>
      <w:r w:rsidRPr="007C6FDE">
        <w:rPr>
          <w:rFonts w:ascii="Arial" w:hAnsi="Arial"/>
          <w:b/>
          <w:sz w:val="24"/>
        </w:rPr>
        <w:t xml:space="preserve"> key indicators</w:t>
      </w:r>
    </w:p>
    <w:tbl>
      <w:tblPr>
        <w:tblW w:w="0" w:type="auto"/>
        <w:tblInd w:w="11" w:type="dxa"/>
        <w:tblBorders>
          <w:top w:val="single" w:sz="6" w:space="0" w:color="auto"/>
          <w:bottom w:val="single" w:sz="6" w:space="0" w:color="auto"/>
        </w:tblBorders>
        <w:tblLayout w:type="fixed"/>
        <w:tblCellMar>
          <w:left w:w="0" w:type="dxa"/>
          <w:right w:w="0" w:type="dxa"/>
        </w:tblCellMar>
        <w:tblLook w:val="04A0" w:firstRow="1" w:lastRow="0" w:firstColumn="1" w:lastColumn="0" w:noHBand="0" w:noVBand="1"/>
      </w:tblPr>
      <w:tblGrid>
        <w:gridCol w:w="8777"/>
      </w:tblGrid>
      <w:tr w:rsidR="00AE4D5A" w:rsidTr="008E5E01">
        <w:tc>
          <w:tcPr>
            <w:tcW w:w="8777" w:type="dxa"/>
            <w:tcBorders>
              <w:top w:val="single" w:sz="6" w:space="0" w:color="auto"/>
              <w:left w:val="nil"/>
              <w:bottom w:val="single" w:sz="6" w:space="0" w:color="auto"/>
              <w:right w:val="nil"/>
            </w:tcBorders>
            <w:hideMark/>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AE4D5A" w:rsidTr="008E5E01">
              <w:tc>
                <w:tcPr>
                  <w:tcW w:w="4381" w:type="dxa"/>
                  <w:hideMark/>
                </w:tcPr>
                <w:p w:rsidR="00AE4D5A" w:rsidRDefault="00AE4D5A" w:rsidP="008E5E01">
                  <w:pPr>
                    <w:pStyle w:val="Figure"/>
                    <w:ind w:left="165"/>
                    <w:jc w:val="left"/>
                  </w:pPr>
                  <w:r>
                    <w:rPr>
                      <w:rFonts w:ascii="Arial" w:hAnsi="Arial" w:cs="Arial"/>
                      <w:b/>
                      <w:i/>
                      <w:sz w:val="18"/>
                      <w:szCs w:val="18"/>
                    </w:rPr>
                    <w:t>A: TFES and BSPVES funding</w:t>
                  </w:r>
                </w:p>
              </w:tc>
              <w:tc>
                <w:tcPr>
                  <w:tcW w:w="4381" w:type="dxa"/>
                  <w:hideMark/>
                </w:tcPr>
                <w:p w:rsidR="00AE4D5A" w:rsidRPr="00A744B2" w:rsidRDefault="00AE4D5A" w:rsidP="008E5E01">
                  <w:pPr>
                    <w:pStyle w:val="Figure"/>
                    <w:ind w:left="165"/>
                    <w:jc w:val="left"/>
                    <w:rPr>
                      <w:rFonts w:ascii="Arial" w:hAnsi="Arial" w:cs="Arial"/>
                      <w:b/>
                      <w:i/>
                      <w:sz w:val="18"/>
                      <w:szCs w:val="18"/>
                    </w:rPr>
                  </w:pPr>
                  <w:r>
                    <w:rPr>
                      <w:rFonts w:ascii="Arial" w:hAnsi="Arial" w:cs="Arial"/>
                      <w:b/>
                      <w:i/>
                      <w:sz w:val="18"/>
                      <w:szCs w:val="18"/>
                    </w:rPr>
                    <w:t>B: TFES assistance paid to the top 100 claimants, 2011</w:t>
                  </w:r>
                  <w:r>
                    <w:rPr>
                      <w:rFonts w:ascii="Arial" w:hAnsi="Arial" w:cs="Arial"/>
                      <w:b/>
                      <w:i/>
                      <w:sz w:val="18"/>
                      <w:szCs w:val="18"/>
                    </w:rPr>
                    <w:noBreakHyphen/>
                    <w:t>12</w:t>
                  </w:r>
                </w:p>
              </w:tc>
            </w:tr>
            <w:tr w:rsidR="00AE4D5A" w:rsidTr="008E5E01">
              <w:tc>
                <w:tcPr>
                  <w:tcW w:w="4381" w:type="dxa"/>
                  <w:hideMark/>
                </w:tcPr>
                <w:p w:rsidR="00AE4D5A" w:rsidRDefault="00AE4D5A" w:rsidP="008E5E01">
                  <w:pPr>
                    <w:pStyle w:val="Figure"/>
                    <w:spacing w:before="0" w:after="0"/>
                  </w:pPr>
                  <w:r w:rsidRPr="00D95288">
                    <w:rPr>
                      <w:noProof/>
                    </w:rPr>
                    <w:drawing>
                      <wp:inline distT="0" distB="0" distL="0" distR="0" wp14:anchorId="2A90DA42" wp14:editId="1211D3B8">
                        <wp:extent cx="2800350" cy="2105025"/>
                        <wp:effectExtent l="0" t="0" r="0" b="0"/>
                        <wp:docPr id="24" name="Chart 24" descr="Figure 3 TFES, TWFS and BSPVES – key indicators. This figure is comprised of six panels. Panel A shows that TFES funding rose between 2003-04 and 2012-13 from around $84 million a year to $111 million. Over the same period BSPVES funding was relatively stable, around $34 million in 2003-04 and $35 million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c>
                <w:tcPr>
                  <w:tcW w:w="4381" w:type="dxa"/>
                  <w:hideMark/>
                </w:tcPr>
                <w:p w:rsidR="00AE4D5A" w:rsidRDefault="00AE4D5A" w:rsidP="008E5E01">
                  <w:pPr>
                    <w:pStyle w:val="Figure"/>
                    <w:spacing w:before="0" w:after="0"/>
                  </w:pPr>
                  <w:r w:rsidRPr="00073C2F">
                    <w:rPr>
                      <w:noProof/>
                    </w:rPr>
                    <w:drawing>
                      <wp:inline distT="0" distB="0" distL="0" distR="0" wp14:anchorId="50F40718" wp14:editId="3CC107F9">
                        <wp:extent cx="2782885" cy="2177689"/>
                        <wp:effectExtent l="0" t="0" r="0" b="0"/>
                        <wp:docPr id="2" name="Chart 2" descr="Panel B of figure 3 shows 21 claimants received more than $1 million in TFES assistance in 2011-12 while the remainder received between $100,000 and $1 million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AE4D5A" w:rsidTr="008E5E01">
              <w:tc>
                <w:tcPr>
                  <w:tcW w:w="4381" w:type="dxa"/>
                  <w:hideMark/>
                </w:tcPr>
                <w:p w:rsidR="00AE4D5A" w:rsidRPr="00A744B2" w:rsidRDefault="00AE4D5A" w:rsidP="008E5E01">
                  <w:pPr>
                    <w:pStyle w:val="Figure"/>
                    <w:ind w:left="165"/>
                    <w:jc w:val="left"/>
                    <w:rPr>
                      <w:rFonts w:ascii="Arial" w:hAnsi="Arial" w:cs="Arial"/>
                      <w:b/>
                      <w:i/>
                      <w:sz w:val="18"/>
                      <w:szCs w:val="18"/>
                    </w:rPr>
                  </w:pPr>
                  <w:r>
                    <w:rPr>
                      <w:rFonts w:ascii="Arial" w:hAnsi="Arial" w:cs="Arial"/>
                      <w:b/>
                      <w:i/>
                      <w:sz w:val="18"/>
                      <w:szCs w:val="18"/>
                    </w:rPr>
                    <w:t>C: TFES assistance paid by direction, 2011</w:t>
                  </w:r>
                  <w:r>
                    <w:rPr>
                      <w:rFonts w:ascii="Arial" w:hAnsi="Arial" w:cs="Arial"/>
                      <w:b/>
                      <w:i/>
                      <w:sz w:val="18"/>
                      <w:szCs w:val="18"/>
                    </w:rPr>
                    <w:noBreakHyphen/>
                    <w:t>12</w:t>
                  </w:r>
                </w:p>
              </w:tc>
              <w:tc>
                <w:tcPr>
                  <w:tcW w:w="4381" w:type="dxa"/>
                  <w:hideMark/>
                </w:tcPr>
                <w:p w:rsidR="00AE4D5A" w:rsidRPr="00A744B2" w:rsidRDefault="00AE4D5A" w:rsidP="008E5E01">
                  <w:pPr>
                    <w:pStyle w:val="Figure"/>
                    <w:ind w:left="165"/>
                    <w:jc w:val="left"/>
                    <w:rPr>
                      <w:rFonts w:ascii="Arial" w:hAnsi="Arial" w:cs="Arial"/>
                      <w:b/>
                      <w:i/>
                      <w:sz w:val="18"/>
                      <w:szCs w:val="18"/>
                    </w:rPr>
                  </w:pPr>
                  <w:r>
                    <w:rPr>
                      <w:rFonts w:ascii="Arial" w:hAnsi="Arial" w:cs="Arial"/>
                      <w:b/>
                      <w:i/>
                      <w:sz w:val="18"/>
                      <w:szCs w:val="18"/>
                    </w:rPr>
                    <w:t>D: Wheat shipped to Tasmania</w:t>
                  </w:r>
                </w:p>
              </w:tc>
            </w:tr>
            <w:tr w:rsidR="00AE4D5A" w:rsidTr="008E5E01">
              <w:tc>
                <w:tcPr>
                  <w:tcW w:w="4381" w:type="dxa"/>
                  <w:hideMark/>
                </w:tcPr>
                <w:p w:rsidR="00AE4D5A" w:rsidRDefault="00AE4D5A" w:rsidP="008E5E01">
                  <w:pPr>
                    <w:pStyle w:val="Figure"/>
                    <w:spacing w:before="0" w:after="0"/>
                  </w:pPr>
                  <w:r w:rsidRPr="00073C2F">
                    <w:rPr>
                      <w:noProof/>
                    </w:rPr>
                    <w:drawing>
                      <wp:inline distT="0" distB="0" distL="0" distR="0" wp14:anchorId="545BB6A5" wp14:editId="5D7AB3F4">
                        <wp:extent cx="2772000" cy="2160000"/>
                        <wp:effectExtent l="0" t="0" r="0" b="0"/>
                        <wp:docPr id="3" name="Chart 3" descr="Panel C of figure 3 shows that around $67 million was paid under the northbound component and around $27 million paid under the southbound compon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c>
                <w:tcPr>
                  <w:tcW w:w="4381" w:type="dxa"/>
                  <w:hideMark/>
                </w:tcPr>
                <w:p w:rsidR="00AE4D5A" w:rsidRDefault="00AE4D5A" w:rsidP="008E5E01">
                  <w:pPr>
                    <w:pStyle w:val="Figure"/>
                    <w:spacing w:before="0" w:after="0"/>
                  </w:pPr>
                  <w:r w:rsidRPr="00D95288">
                    <w:rPr>
                      <w:noProof/>
                    </w:rPr>
                    <w:drawing>
                      <wp:inline distT="0" distB="0" distL="0" distR="0" wp14:anchorId="47567394" wp14:editId="5A9CC9BC">
                        <wp:extent cx="2743200" cy="2156604"/>
                        <wp:effectExtent l="0" t="0" r="0" b="0"/>
                        <wp:docPr id="25" name="Chart 25" descr="Panel D of figure 3 shows containerised shipments of wheat exceeded bulk wheat shipments to Tasmania between 2005-06 and 2011-12, and that no wheat was shipped in bulk in 2005-06 or after 2008-0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AE4D5A" w:rsidTr="008E5E01">
              <w:tc>
                <w:tcPr>
                  <w:tcW w:w="4381" w:type="dxa"/>
                  <w:hideMark/>
                </w:tcPr>
                <w:p w:rsidR="00AE4D5A" w:rsidRPr="00A744B2" w:rsidRDefault="00AE4D5A" w:rsidP="000C756F">
                  <w:pPr>
                    <w:pStyle w:val="Figure"/>
                    <w:ind w:left="165"/>
                    <w:jc w:val="left"/>
                    <w:rPr>
                      <w:rFonts w:ascii="Arial" w:hAnsi="Arial" w:cs="Arial"/>
                      <w:b/>
                      <w:i/>
                      <w:sz w:val="18"/>
                      <w:szCs w:val="18"/>
                    </w:rPr>
                  </w:pPr>
                  <w:r>
                    <w:rPr>
                      <w:rFonts w:ascii="Arial" w:hAnsi="Arial" w:cs="Arial"/>
                      <w:b/>
                      <w:i/>
                      <w:sz w:val="18"/>
                      <w:szCs w:val="18"/>
                    </w:rPr>
                    <w:t xml:space="preserve">E: TFES </w:t>
                  </w:r>
                  <w:r w:rsidR="000C756F">
                    <w:rPr>
                      <w:rFonts w:ascii="Arial" w:hAnsi="Arial" w:cs="Arial"/>
                      <w:b/>
                      <w:i/>
                      <w:sz w:val="18"/>
                      <w:szCs w:val="18"/>
                    </w:rPr>
                    <w:t>–</w:t>
                  </w:r>
                  <w:r>
                    <w:rPr>
                      <w:rFonts w:ascii="Arial" w:hAnsi="Arial" w:cs="Arial"/>
                      <w:b/>
                      <w:i/>
                      <w:sz w:val="18"/>
                      <w:szCs w:val="18"/>
                    </w:rPr>
                    <w:t xml:space="preserve"> sea freight cost disadvantage</w:t>
                  </w:r>
                </w:p>
              </w:tc>
              <w:tc>
                <w:tcPr>
                  <w:tcW w:w="4381" w:type="dxa"/>
                  <w:hideMark/>
                </w:tcPr>
                <w:p w:rsidR="00AE4D5A" w:rsidRPr="00A744B2" w:rsidRDefault="00AE4D5A" w:rsidP="000C756F">
                  <w:pPr>
                    <w:pStyle w:val="Figure"/>
                    <w:ind w:left="165"/>
                    <w:jc w:val="left"/>
                    <w:rPr>
                      <w:rFonts w:ascii="Arial" w:hAnsi="Arial" w:cs="Arial"/>
                      <w:b/>
                      <w:i/>
                      <w:sz w:val="18"/>
                      <w:szCs w:val="18"/>
                    </w:rPr>
                  </w:pPr>
                  <w:r>
                    <w:rPr>
                      <w:rFonts w:ascii="Arial" w:hAnsi="Arial" w:cs="Arial"/>
                      <w:b/>
                      <w:i/>
                      <w:sz w:val="18"/>
                      <w:szCs w:val="18"/>
                    </w:rPr>
                    <w:t xml:space="preserve">F: BSPVES </w:t>
                  </w:r>
                  <w:r w:rsidR="000C756F">
                    <w:rPr>
                      <w:rFonts w:ascii="Arial" w:hAnsi="Arial" w:cs="Arial"/>
                      <w:b/>
                      <w:i/>
                      <w:sz w:val="18"/>
                      <w:szCs w:val="18"/>
                    </w:rPr>
                    <w:t>–</w:t>
                  </w:r>
                  <w:r>
                    <w:rPr>
                      <w:rFonts w:ascii="Arial" w:hAnsi="Arial" w:cs="Arial"/>
                      <w:b/>
                      <w:i/>
                      <w:sz w:val="18"/>
                      <w:szCs w:val="18"/>
                    </w:rPr>
                    <w:t xml:space="preserve"> real sea package prices</w:t>
                  </w:r>
                </w:p>
              </w:tc>
            </w:tr>
            <w:tr w:rsidR="00AE4D5A" w:rsidTr="008E5E01">
              <w:tc>
                <w:tcPr>
                  <w:tcW w:w="4381" w:type="dxa"/>
                  <w:hideMark/>
                </w:tcPr>
                <w:p w:rsidR="00AE4D5A" w:rsidRDefault="00AE4D5A" w:rsidP="008E5E01">
                  <w:pPr>
                    <w:pStyle w:val="Figure"/>
                    <w:spacing w:before="0" w:after="0"/>
                  </w:pPr>
                  <w:r w:rsidRPr="00E30E09">
                    <w:rPr>
                      <w:noProof/>
                    </w:rPr>
                    <w:drawing>
                      <wp:inline distT="0" distB="0" distL="0" distR="0" wp14:anchorId="4BF40A63" wp14:editId="6C3F50AD">
                        <wp:extent cx="2779327" cy="2160000"/>
                        <wp:effectExtent l="0" t="0" r="0" b="0"/>
                        <wp:docPr id="21" name="Chart 21" descr="Panel E shows how estimated sea freight cost disadvantage measured in dollars per TEU of dry freight has varied between 1996-97 and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4381" w:type="dxa"/>
                  <w:hideMark/>
                </w:tcPr>
                <w:p w:rsidR="00AE4D5A" w:rsidRDefault="00AE4D5A" w:rsidP="008E5E01">
                  <w:pPr>
                    <w:pStyle w:val="Figure"/>
                    <w:spacing w:before="0" w:after="0"/>
                  </w:pPr>
                  <w:r w:rsidRPr="00E30E09">
                    <w:rPr>
                      <w:noProof/>
                    </w:rPr>
                    <w:drawing>
                      <wp:inline distT="0" distB="0" distL="0" distR="0" wp14:anchorId="5406FF72" wp14:editId="2B82A955">
                        <wp:extent cx="2653748" cy="2160000"/>
                        <wp:effectExtent l="0" t="0" r="0" b="0"/>
                        <wp:docPr id="20" name="Chart 20" descr="Panel F shows real sea package prices in thousands of dollars, both with and without the rebate, between 1982-83 and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AE4D5A" w:rsidRDefault="00AE4D5A" w:rsidP="008E5E01">
            <w:pPr>
              <w:pStyle w:val="Figure"/>
              <w:rPr>
                <w:lang w:eastAsia="en-US"/>
              </w:rPr>
            </w:pPr>
          </w:p>
        </w:tc>
      </w:tr>
    </w:tbl>
    <w:p w:rsidR="00AE4D5A" w:rsidRDefault="00AE4D5A" w:rsidP="008E5E01">
      <w:pPr>
        <w:pStyle w:val="Note"/>
      </w:pPr>
    </w:p>
    <w:p w:rsidR="00AE4D5A" w:rsidRPr="00CE4EA0" w:rsidRDefault="00AE4D5A" w:rsidP="008E5E01">
      <w:pPr>
        <w:pStyle w:val="BodyText"/>
        <w:rPr>
          <w:spacing w:val="-2"/>
        </w:rPr>
      </w:pPr>
      <w:r w:rsidRPr="001159F4">
        <w:rPr>
          <w:spacing w:val="-2"/>
        </w:rPr>
        <w:lastRenderedPageBreak/>
        <w:t>Many participants to this inquiry have highlighted the significance of the current subsidies for the viability of their Tasmanian business, albeit with limited and non</w:t>
      </w:r>
      <w:r w:rsidRPr="001159F4">
        <w:rPr>
          <w:spacing w:val="-2"/>
        </w:rPr>
        <w:noBreakHyphen/>
        <w:t>definitive evidence. A number of manufacturing enterprises, in particular, pointed out that their competitiveness against alternative production and investment</w:t>
      </w:r>
      <w:r>
        <w:rPr>
          <w:spacing w:val="-2"/>
        </w:rPr>
        <w:t xml:space="preserve"> </w:t>
      </w:r>
      <w:r w:rsidRPr="001159F4">
        <w:rPr>
          <w:spacing w:val="-2"/>
        </w:rPr>
        <w:t>locations</w:t>
      </w:r>
      <w:r w:rsidRPr="00CE4EA0">
        <w:rPr>
          <w:spacing w:val="-2"/>
        </w:rPr>
        <w:t xml:space="preserve"> is under regular review and that the TFES provides important assistance at the margin.</w:t>
      </w:r>
    </w:p>
    <w:p w:rsidR="00AE4D5A" w:rsidRDefault="00AE4D5A" w:rsidP="008E5E01">
      <w:pPr>
        <w:pStyle w:val="BodyText"/>
      </w:pPr>
      <w:r w:rsidRPr="007C0711">
        <w:t xml:space="preserve">For a range of reasons, </w:t>
      </w:r>
      <w:r>
        <w:t>including</w:t>
      </w:r>
      <w:r w:rsidRPr="007C0711">
        <w:t xml:space="preserve"> higher labour and fuel costs, low </w:t>
      </w:r>
      <w:r>
        <w:t xml:space="preserve">and volatile </w:t>
      </w:r>
      <w:r w:rsidRPr="007C0711">
        <w:t>freight volumes and limited competition, Bass Strait shipping is more costly relative to similar services in the North Sea in Europe.</w:t>
      </w:r>
      <w:r>
        <w:t xml:space="preserve"> Many businesses claim that it is the single largest transport cost in their supply chain, even for products subsequently sent to distant markets. </w:t>
      </w:r>
    </w:p>
    <w:p w:rsidR="00AE4D5A" w:rsidRDefault="00AE4D5A" w:rsidP="008E5E01">
      <w:pPr>
        <w:pStyle w:val="BodyText"/>
      </w:pPr>
      <w:r>
        <w:t xml:space="preserve">Further, the recent imposition of a Port Licence Fee by the Port of Melbourne ($75 million per year and indexed) as a revenue raising measure for the Victorian Government has added to the cost of the Bass Strait shipping task by around </w:t>
      </w:r>
      <w:r w:rsidRPr="00B850C0">
        <w:t>$20</w:t>
      </w:r>
      <w:r>
        <w:t xml:space="preserve"> million per year. </w:t>
      </w:r>
      <w:r w:rsidR="00DD59EE">
        <w:t xml:space="preserve">Taxes on business inputs are generally </w:t>
      </w:r>
      <w:r>
        <w:t>inefficient. It also negatively affects businesses in non</w:t>
      </w:r>
      <w:r>
        <w:noBreakHyphen/>
        <w:t xml:space="preserve">Victorian jurisdictions. Importantly, it effectively embodies a revenue transfer from the Federal Government to the Victorian State Government, at the expense of Tasmanian business through its effective and material dilution of the benefit of the TFES. </w:t>
      </w:r>
    </w:p>
    <w:p w:rsidR="00AE4D5A" w:rsidRPr="00CE4EA0" w:rsidRDefault="00AE4D5A" w:rsidP="008E5E01">
      <w:pPr>
        <w:pStyle w:val="BodyText"/>
        <w:rPr>
          <w:spacing w:val="2"/>
        </w:rPr>
      </w:pPr>
      <w:r w:rsidRPr="00CE4EA0">
        <w:rPr>
          <w:spacing w:val="2"/>
        </w:rPr>
        <w:t xml:space="preserve">It is clear that the purpose of the TFES is misunderstood by many participants as offsetting increasing or absolute freight costs, rather than mitigating the </w:t>
      </w:r>
      <w:r w:rsidRPr="00CE4EA0">
        <w:rPr>
          <w:i/>
          <w:spacing w:val="2"/>
        </w:rPr>
        <w:t>relative</w:t>
      </w:r>
      <w:r w:rsidRPr="00CE4EA0">
        <w:rPr>
          <w:spacing w:val="2"/>
        </w:rPr>
        <w:t xml:space="preserve"> and notional cost ‘disadvantage’ of moving freight by sea. The concept of a cost ‘disadvantage’ that can be measured and offset is in itself problematic. Similarly, the methodology used by the Bureau of Infrastructure, Transport and Regional Economics (BITRE) to calculate a cost ‘disadvantage’ is not intended to reflect the (widely disparate) experiences of individual firms. The design of the scheme is such that the parameter based calculation of the cost ‘disadvantage’ is based on median market benchmarks to avoid outcomes that are highly skewed by a few very large shippers.</w:t>
      </w:r>
    </w:p>
    <w:p w:rsidR="00AE4D5A" w:rsidRDefault="00AE4D5A" w:rsidP="008E5E01">
      <w:pPr>
        <w:pStyle w:val="BodyText"/>
        <w:rPr>
          <w:spacing w:val="-4"/>
          <w:szCs w:val="22"/>
        </w:rPr>
      </w:pPr>
      <w:r>
        <w:rPr>
          <w:spacing w:val="-4"/>
          <w:szCs w:val="22"/>
        </w:rPr>
        <w:t>The TFES treats the freight cost ‘disadvantage’ as the difference between:</w:t>
      </w:r>
    </w:p>
    <w:p w:rsidR="00AE4D5A" w:rsidRDefault="00AE4D5A" w:rsidP="008E5E01">
      <w:pPr>
        <w:pStyle w:val="ListBullet"/>
      </w:pPr>
      <w:r>
        <w:t>the costs incurred by shippers for moving freight across Bass Strait; and</w:t>
      </w:r>
    </w:p>
    <w:p w:rsidR="00AE4D5A" w:rsidRDefault="00AE4D5A" w:rsidP="008E5E01">
      <w:pPr>
        <w:pStyle w:val="ListBullet"/>
      </w:pPr>
      <w:r>
        <w:t xml:space="preserve">the notional cost incurred by moving freight an equivalent distance (approximately </w:t>
      </w:r>
      <w:r w:rsidRPr="00501656">
        <w:t>420</w:t>
      </w:r>
      <w:r>
        <w:t xml:space="preserve"> kilometres) on the mainland by road.</w:t>
      </w:r>
    </w:p>
    <w:p w:rsidR="00AE4D5A" w:rsidRDefault="00AE4D5A" w:rsidP="008E5E01">
      <w:pPr>
        <w:pStyle w:val="BodyText"/>
        <w:rPr>
          <w:spacing w:val="-4"/>
          <w:szCs w:val="22"/>
        </w:rPr>
      </w:pPr>
      <w:r>
        <w:rPr>
          <w:spacing w:val="-4"/>
          <w:szCs w:val="22"/>
        </w:rPr>
        <w:t xml:space="preserve">Inherent in this formula is the perverse outcome that, as the movement of freight on the mainland becomes more efficient, the cost ‘disadvantage’ is estimated to increase, leading to an increase in the rate of the subsidy, which dilutes the incentive to increase the efficiency of freight movements across Bass Strait to some extent. Conversely, if </w:t>
      </w:r>
      <w:r>
        <w:rPr>
          <w:spacing w:val="-4"/>
          <w:szCs w:val="22"/>
        </w:rPr>
        <w:lastRenderedPageBreak/>
        <w:t>road freight costs increase more than shipping, the relative ‘disadvantage’ is reduced. However, the scheme is structured so that it does not fully compensate all shippers for their notional ‘sea freight disadvantage’. The scheme phases out payments as the level of disadvantage increases to encourage shippers to seek lower freight costs, and therefore does not fully compensate all shippers for their parameter-determined ‘sea freight disadvantage’. This has been a design feature of the scheme since its inception, although not clearly articulated and not widely acknowledged by stakeholders.</w:t>
      </w:r>
    </w:p>
    <w:p w:rsidR="00AE4D5A" w:rsidRDefault="00AE4D5A" w:rsidP="008E5E01">
      <w:pPr>
        <w:pStyle w:val="BodyText"/>
      </w:pPr>
      <w:r>
        <w:rPr>
          <w:spacing w:val="-4"/>
          <w:szCs w:val="22"/>
        </w:rPr>
        <w:t xml:space="preserve">Further, this calculation is by no means straightforward. Freight rates can differ for a number of reasons — the nature and volume of the product, the source and destination of the freight task, the direction of travel, the timing and frequency of the service, and the degree of competition in the provision of freight services. </w:t>
      </w:r>
      <w:r>
        <w:t>I</w:t>
      </w:r>
      <w:r w:rsidRPr="00AD3C3C">
        <w:t xml:space="preserve">t </w:t>
      </w:r>
      <w:r>
        <w:t xml:space="preserve">remains </w:t>
      </w:r>
      <w:r w:rsidRPr="00AD3C3C">
        <w:t xml:space="preserve">unrealistic to suggest that any one ‘road freight equivalent’ </w:t>
      </w:r>
      <w:r>
        <w:t>is</w:t>
      </w:r>
      <w:r w:rsidRPr="00AD3C3C">
        <w:t xml:space="preserve"> truly representative of a comparable freight task</w:t>
      </w:r>
      <w:r>
        <w:t xml:space="preserve">. </w:t>
      </w:r>
    </w:p>
    <w:p w:rsidR="00AE4D5A" w:rsidRDefault="00AE4D5A" w:rsidP="008E5E01">
      <w:pPr>
        <w:pStyle w:val="BodyText"/>
      </w:pPr>
      <w:r>
        <w:t xml:space="preserve">Measuring the precise freight cost disadvantage at a particular point in time is therefore challenging, if not elusive. This reality, coupled with the misperception that the scheme is designed to fully offset the notional cost ‘disadvantage’ faced by all shippers and the lack of stakeholder engagement in the parameter review process, underpinned recipients’ contested </w:t>
      </w:r>
      <w:r w:rsidRPr="0086386E">
        <w:t>response</w:t>
      </w:r>
      <w:r>
        <w:t xml:space="preserve"> to the Commission’s draft recommendation that the TFES subsidy rate be adjusted (down) in accordance with the latest parameter review undertaken by BITRE. The 2011</w:t>
      </w:r>
      <w:r>
        <w:noBreakHyphen/>
        <w:t xml:space="preserve">12 parameter review undertaken by BITRE suggests that the current subsidy rate — which has not been updated since </w:t>
      </w:r>
      <w:r w:rsidRPr="005807E9">
        <w:t>1998</w:t>
      </w:r>
      <w:r>
        <w:t xml:space="preserve"> — is higher than the current notional cost ‘disadvantage’.</w:t>
      </w:r>
    </w:p>
    <w:p w:rsidR="00AE4D5A" w:rsidRDefault="00AE4D5A" w:rsidP="008E5E01">
      <w:pPr>
        <w:pStyle w:val="BodyText"/>
      </w:pPr>
      <w:r>
        <w:t xml:space="preserve">While the methodology adopted by BITRE in estimating and updating the TFES parameters appears sound and transparent overall, the Commission is of the view that the process for undertaking rate reviews by BITRE would be improved by the release of a draft report and a public submission process prior to the release of a final report. </w:t>
      </w:r>
    </w:p>
    <w:p w:rsidR="00AE4D5A" w:rsidRDefault="00AE4D5A" w:rsidP="008E5E01">
      <w:pPr>
        <w:pStyle w:val="BodyText"/>
      </w:pPr>
      <w:r w:rsidRPr="007B17A7">
        <w:t xml:space="preserve">Transparency about the scheme would be further improved by more comprehensive </w:t>
      </w:r>
      <w:r>
        <w:t xml:space="preserve">public </w:t>
      </w:r>
      <w:r w:rsidRPr="007B17A7">
        <w:t xml:space="preserve">reporting of </w:t>
      </w:r>
      <w:r>
        <w:t>administrative</w:t>
      </w:r>
      <w:r w:rsidRPr="007B17A7">
        <w:t xml:space="preserve"> data, including assistance paid to individual recipients. This would build on BITRE’s publication of </w:t>
      </w:r>
      <w:r>
        <w:t xml:space="preserve">information </w:t>
      </w:r>
      <w:r w:rsidRPr="007B17A7">
        <w:t>currently covered in its parameter reviews.</w:t>
      </w:r>
    </w:p>
    <w:p w:rsidR="00AE4D5A" w:rsidRDefault="00AE4D5A" w:rsidP="008E5E01">
      <w:pPr>
        <w:pStyle w:val="BodyText"/>
      </w:pPr>
      <w:r>
        <w:t xml:space="preserve">More fundamentally, the schemes create a myriad of distortions and anomalies. They are only available to some firms, and generate entrenched reliance on government support, which may of itself be having an adverse impact on the long term growth potential of the Tasmanian economy. </w:t>
      </w:r>
    </w:p>
    <w:p w:rsidR="00AE4D5A" w:rsidRDefault="00AE4D5A" w:rsidP="008E5E01">
      <w:pPr>
        <w:pStyle w:val="BodyText"/>
      </w:pPr>
      <w:r>
        <w:t xml:space="preserve">Further, the practical outcome of a subsidy (in terms of who actually benefits) depends on the relative responsiveness of supply and demand to a change in price. </w:t>
      </w:r>
      <w:r>
        <w:lastRenderedPageBreak/>
        <w:t xml:space="preserve">If supply is less responsive than demand, then suppliers will get relatively more of the subsidy than users or consumers — who in many cases are the intended beneficiaries. </w:t>
      </w:r>
    </w:p>
    <w:p w:rsidR="00AE4D5A" w:rsidRDefault="00AE4D5A" w:rsidP="008E5E01">
      <w:pPr>
        <w:pStyle w:val="BodyText"/>
      </w:pPr>
      <w:r>
        <w:t xml:space="preserve">In light of the lack of information about the incidence of the TFES, the Commission considers that BITRE should, as part of its rate review process, seek agreement with relevant shipping lines to provide their pricing and cost data. </w:t>
      </w:r>
    </w:p>
    <w:p w:rsidR="00AE4D5A" w:rsidRDefault="00AE4D5A" w:rsidP="008E5E01">
      <w:pPr>
        <w:pStyle w:val="Heading2"/>
      </w:pPr>
      <w:r w:rsidRPr="00FD0871">
        <w:t xml:space="preserve">Removing some </w:t>
      </w:r>
      <w:r>
        <w:t>anomalies but others remain</w:t>
      </w:r>
    </w:p>
    <w:p w:rsidR="00AE4D5A" w:rsidRPr="00A048E8" w:rsidRDefault="00AE4D5A" w:rsidP="008E5E01">
      <w:pPr>
        <w:pStyle w:val="Heading3"/>
      </w:pPr>
      <w:r>
        <w:t>The TFES</w:t>
      </w:r>
    </w:p>
    <w:p w:rsidR="00AE4D5A" w:rsidRDefault="00AE4D5A" w:rsidP="008E5E01">
      <w:pPr>
        <w:pStyle w:val="BodyText"/>
      </w:pPr>
      <w:r>
        <w:t>The Australian Government’s stated intention is to retain the TFES. As requested by the terms of reference, this report canvasses possible improvements to the scheme that would go some way to correcting the identified deficiencies. These are largely focused on addressing some of the perverse incentives created by the scheme while reducing complexity, and thereby lowering the compliance burden on businesses and administrative costs to government.</w:t>
      </w:r>
    </w:p>
    <w:p w:rsidR="00AE4D5A" w:rsidRDefault="00AE4D5A" w:rsidP="008E5E01">
      <w:pPr>
        <w:pStyle w:val="BodyText"/>
      </w:pPr>
      <w:r>
        <w:t>In particular, the Commission recommends that payments under the TFES should be made on the basis of a flat rate per TEU shipped. This would have significant advantages over the current parameter</w:t>
      </w:r>
      <w:r>
        <w:noBreakHyphen/>
        <w:t>based arrangements. It would provide increased incentives for businesses to minimise transport costs, make the scheme much simpler to administer, and increase transparency. Inquiry participants were generally supportive of a flat rate provided that the rate was set at the ‘right’ level. The Commission recommends that the flat rate of assistance be determined by BITRE, informed by a public consultation process and taking into account:</w:t>
      </w:r>
    </w:p>
    <w:p w:rsidR="00AE4D5A" w:rsidRDefault="00AE4D5A" w:rsidP="008E5E01">
      <w:pPr>
        <w:pStyle w:val="ListBullet"/>
      </w:pPr>
      <w:r>
        <w:t>the different circumstances pertinent to the Tasmanian mainland, King Island, and the Furneaux Group of islands</w:t>
      </w:r>
    </w:p>
    <w:p w:rsidR="00AE4D5A" w:rsidRDefault="00AE4D5A" w:rsidP="008E5E01">
      <w:pPr>
        <w:pStyle w:val="ListBullet"/>
      </w:pPr>
      <w:r>
        <w:t xml:space="preserve">a reasonable amount to </w:t>
      </w:r>
      <w:r w:rsidRPr="008371B4">
        <w:t xml:space="preserve">partially </w:t>
      </w:r>
      <w:r>
        <w:t>offset the freight cost disadvantage associated with Bass Strait shipping and informed by the Government’s overall budget commitment to the scheme</w:t>
      </w:r>
    </w:p>
    <w:p w:rsidR="00AE4D5A" w:rsidRDefault="00AE4D5A" w:rsidP="008E5E01">
      <w:pPr>
        <w:pStyle w:val="ListBullet"/>
      </w:pPr>
      <w:r>
        <w:t>a level of assistance that is compatible with the incentive to seek the lowest shipping cost</w:t>
      </w:r>
    </w:p>
    <w:p w:rsidR="00AE4D5A" w:rsidRDefault="00AE4D5A" w:rsidP="008E5E01">
      <w:pPr>
        <w:pStyle w:val="ListBullet"/>
      </w:pPr>
      <w:r>
        <w:t>an appropriate transition period.</w:t>
      </w:r>
    </w:p>
    <w:p w:rsidR="00AE4D5A" w:rsidRDefault="00AE4D5A" w:rsidP="008E5E01">
      <w:pPr>
        <w:pStyle w:val="BodyText"/>
      </w:pPr>
      <w:r>
        <w:t xml:space="preserve">The Commission’s view on the appropriate quantum of assistance under the TFES is discussed further below in the context of the scope of eligibility for northbound commodities under the scheme. </w:t>
      </w:r>
    </w:p>
    <w:p w:rsidR="00AE4D5A" w:rsidRPr="007161F0" w:rsidRDefault="00AE4D5A" w:rsidP="008E5E01">
      <w:pPr>
        <w:pStyle w:val="BodyText"/>
        <w:rPr>
          <w:spacing w:val="-2"/>
        </w:rPr>
      </w:pPr>
      <w:r w:rsidRPr="007161F0">
        <w:rPr>
          <w:spacing w:val="-2"/>
        </w:rPr>
        <w:lastRenderedPageBreak/>
        <w:t>However, some of the inherent deficiencies associated with the scheme do not lend themselves to mitigation or removal through redesigning the scheme. It is evident that the schemes are having a number of unintended consequences in terms of their effects on incentives. Despite past reviews recommending changes to address some of these problems, the freight subsidy scheme remains largely unchanged since its inception.</w:t>
      </w:r>
    </w:p>
    <w:p w:rsidR="00AE4D5A" w:rsidRDefault="00AE4D5A" w:rsidP="008E5E01">
      <w:pPr>
        <w:pStyle w:val="BodyText"/>
      </w:pPr>
      <w:r>
        <w:t>A subsidy inevitably induces behavioural change, albeit at the margin, to access the subsidy and maximise its value. Evidence provided by participants highlighted how the TFES is influencing firm behaviour in terms of the location of processing activities (perversely and notably in Victoria rather than in Tasmania), the way that goods are shipped (in containers or in bulk), or the way that businesses are structured (vertically integrated or separated).</w:t>
      </w:r>
    </w:p>
    <w:p w:rsidR="00AE4D5A" w:rsidRPr="00AB0B4E" w:rsidRDefault="00AE4D5A" w:rsidP="008E5E01">
      <w:pPr>
        <w:pStyle w:val="BodyText"/>
        <w:rPr>
          <w:spacing w:val="-2"/>
        </w:rPr>
      </w:pPr>
      <w:r w:rsidRPr="00AB0B4E">
        <w:rPr>
          <w:spacing w:val="-2"/>
        </w:rPr>
        <w:t xml:space="preserve">The Commission heard anecdotal evidence that some Tasmanian businesses are offshoring ‘processing’ activities to the mainland, mainly to Victoria, to access the TFES. The Commission has not been in a position to ascertain the magnitude of this distortion. However, given that the northbound component of the TFES is only available for goods that are intended for use or further transformation on the mainland, there is a clear incentive for doing so for goods ultimately </w:t>
      </w:r>
      <w:r>
        <w:rPr>
          <w:spacing w:val="-2"/>
        </w:rPr>
        <w:t>destined for export</w:t>
      </w:r>
      <w:r w:rsidRPr="00AB0B4E">
        <w:rPr>
          <w:spacing w:val="-2"/>
        </w:rPr>
        <w:t xml:space="preserve"> and otherwise not eligible for the subsidy. This is a rational commercial response to the existing incentives, but contrary to the outcome the scheme was designed to achieve.</w:t>
      </w:r>
    </w:p>
    <w:p w:rsidR="00AE4D5A" w:rsidRDefault="00AE4D5A" w:rsidP="008E5E01">
      <w:pPr>
        <w:pStyle w:val="BodyText"/>
      </w:pPr>
      <w:r>
        <w:t xml:space="preserve">A change in the eligibility criteria may mitigate current, material anomalies but would ultimately draw another ‘line in the sand’. There will always be winners and losers with any criteria changes, and anomalies and undesirable incentives will ultimately remain. </w:t>
      </w:r>
    </w:p>
    <w:p w:rsidR="00AE4D5A" w:rsidRDefault="00AE4D5A" w:rsidP="008E5E01">
      <w:pPr>
        <w:pStyle w:val="BodyText"/>
      </w:pPr>
      <w:r>
        <w:t>The TFES primarily benefits a small number of firms based in Tasmania, largely in the manufacturing sector (table 1). These firms are important to the Tasmanian economy, as large private sector employers. In 2011</w:t>
      </w:r>
      <w:r>
        <w:noBreakHyphen/>
        <w:t>12, the top 10 claimants (out of 1400 in total) received around half of the total payments. At the other end of the spectrum, the smallest 1000 claimants received 2.7 per cent of total assistance paid</w:t>
      </w:r>
      <w:r w:rsidRPr="00D758A9">
        <w:t>.</w:t>
      </w:r>
    </w:p>
    <w:p w:rsidR="00AE4D5A" w:rsidRDefault="00AE4D5A" w:rsidP="008E5E01">
      <w:pPr>
        <w:pStyle w:val="BodyText"/>
      </w:pPr>
      <w:r>
        <w:t xml:space="preserve">By value, the main commodities claimed under the northbound component were frozen and fresh vegetables, newsprint, wood products and beer. Under the southbound component, beer bottles and cans, wheat and animal feed were the main commodities claimed. The subsidy does not apply to goods intended for export. </w:t>
      </w:r>
    </w:p>
    <w:p w:rsidR="00AE4D5A" w:rsidRDefault="00AE4D5A" w:rsidP="008E5E01">
      <w:pPr>
        <w:pStyle w:val="BodyText"/>
      </w:pPr>
      <w:r>
        <w:t xml:space="preserve">The </w:t>
      </w:r>
      <w:r w:rsidRPr="001E28C7">
        <w:t>1998</w:t>
      </w:r>
      <w:r>
        <w:t xml:space="preserve"> (Nixon) review of the TFES recommended against extending the subsidy to exports given the then availability of direct international shipping services. Since May 2011, Tasmania has been without a direct regular international container shipping service following the AAA consortium’s withdrawal of its weekly service </w:t>
      </w:r>
      <w:r>
        <w:lastRenderedPageBreak/>
        <w:t xml:space="preserve">from Bell Bay (though Swire Shipping recently commenced a limited monthly service, albeit primarily bulk with some limited container capacity). </w:t>
      </w:r>
      <w:r w:rsidRPr="00AD286E">
        <w:t>The Commission understands that the AAA service</w:t>
      </w:r>
      <w:r>
        <w:t>,</w:t>
      </w:r>
      <w:r w:rsidRPr="00AD286E">
        <w:t xml:space="preserve"> </w:t>
      </w:r>
      <w:r>
        <w:t xml:space="preserve">which commenced in the late 1990s, </w:t>
      </w:r>
      <w:r w:rsidRPr="00AD286E">
        <w:t>catered for between one third to two thirds of Tasmania’s international containerised trade over the life of the service.</w:t>
      </w:r>
      <w:r>
        <w:t xml:space="preserve"> </w:t>
      </w:r>
    </w:p>
    <w:p w:rsidR="00AE4D5A" w:rsidRDefault="00AE4D5A" w:rsidP="008E5E01">
      <w:pPr>
        <w:pStyle w:val="TableTitle"/>
      </w:pPr>
      <w:r>
        <w:rPr>
          <w:b w:val="0"/>
        </w:rPr>
        <w:t>Table 1</w:t>
      </w:r>
      <w:r>
        <w:tab/>
        <w:t>TFES large claimants</w:t>
      </w:r>
    </w:p>
    <w:p w:rsidR="00AE4D5A" w:rsidRDefault="00AE4D5A" w:rsidP="008E5E01">
      <w:pPr>
        <w:pStyle w:val="Subtitle"/>
      </w:pPr>
      <w:r>
        <w:t>Top 10 claimants for commodities shipped in 2011</w:t>
      </w:r>
      <w:r>
        <w:noBreakHyphen/>
        <w:t>12</w:t>
      </w:r>
    </w:p>
    <w:tbl>
      <w:tblPr>
        <w:tblW w:w="5000" w:type="pct"/>
        <w:tblCellMar>
          <w:left w:w="0" w:type="dxa"/>
          <w:right w:w="0" w:type="dxa"/>
        </w:tblCellMar>
        <w:tblLook w:val="04A0" w:firstRow="1" w:lastRow="0" w:firstColumn="1" w:lastColumn="0" w:noHBand="0" w:noVBand="1"/>
      </w:tblPr>
      <w:tblGrid>
        <w:gridCol w:w="3289"/>
        <w:gridCol w:w="3686"/>
        <w:gridCol w:w="1814"/>
      </w:tblGrid>
      <w:tr w:rsidR="00AE4D5A" w:rsidTr="008E5E01">
        <w:trPr>
          <w:trHeight w:val="20"/>
        </w:trPr>
        <w:tc>
          <w:tcPr>
            <w:tcW w:w="1871" w:type="pct"/>
            <w:tcBorders>
              <w:top w:val="single" w:sz="6" w:space="0" w:color="auto"/>
              <w:left w:val="nil"/>
              <w:bottom w:val="nil"/>
              <w:right w:val="nil"/>
            </w:tcBorders>
            <w:hideMark/>
          </w:tcPr>
          <w:p w:rsidR="00AE4D5A" w:rsidRDefault="00AE4D5A">
            <w:pPr>
              <w:keepNext/>
              <w:keepLines/>
              <w:spacing w:before="80" w:after="80" w:line="220" w:lineRule="atLeast"/>
              <w:ind w:left="6" w:right="113"/>
              <w:rPr>
                <w:rFonts w:ascii="Arial" w:hAnsi="Arial"/>
                <w:i/>
                <w:sz w:val="20"/>
                <w:szCs w:val="20"/>
                <w:lang w:eastAsia="en-US"/>
              </w:rPr>
            </w:pPr>
            <w:r>
              <w:rPr>
                <w:rFonts w:ascii="Arial" w:hAnsi="Arial"/>
                <w:i/>
                <w:sz w:val="20"/>
                <w:szCs w:val="20"/>
                <w:lang w:eastAsia="en-US"/>
              </w:rPr>
              <w:t>Claimant</w:t>
            </w:r>
          </w:p>
        </w:tc>
        <w:tc>
          <w:tcPr>
            <w:tcW w:w="2097" w:type="pct"/>
            <w:tcBorders>
              <w:top w:val="single" w:sz="6" w:space="0" w:color="auto"/>
              <w:left w:val="nil"/>
              <w:bottom w:val="nil"/>
              <w:right w:val="nil"/>
            </w:tcBorders>
            <w:hideMark/>
          </w:tcPr>
          <w:p w:rsidR="00AE4D5A" w:rsidRDefault="00AE4D5A">
            <w:pPr>
              <w:keepNext/>
              <w:keepLines/>
              <w:spacing w:before="80" w:after="80" w:line="220" w:lineRule="atLeast"/>
              <w:ind w:left="6" w:right="113"/>
              <w:jc w:val="right"/>
              <w:rPr>
                <w:rFonts w:ascii="Arial" w:hAnsi="Arial"/>
                <w:i/>
                <w:sz w:val="20"/>
                <w:szCs w:val="20"/>
                <w:lang w:eastAsia="en-US"/>
              </w:rPr>
            </w:pPr>
            <w:r>
              <w:rPr>
                <w:rFonts w:ascii="Arial" w:hAnsi="Arial"/>
                <w:i/>
                <w:sz w:val="20"/>
                <w:szCs w:val="20"/>
                <w:lang w:eastAsia="en-US"/>
              </w:rPr>
              <w:t>Main commodity claimed</w:t>
            </w:r>
          </w:p>
        </w:tc>
        <w:tc>
          <w:tcPr>
            <w:tcW w:w="1032" w:type="pct"/>
            <w:tcBorders>
              <w:top w:val="single" w:sz="6" w:space="0" w:color="auto"/>
              <w:left w:val="nil"/>
              <w:bottom w:val="nil"/>
              <w:right w:val="nil"/>
            </w:tcBorders>
            <w:hideMark/>
          </w:tcPr>
          <w:p w:rsidR="00AE4D5A" w:rsidRDefault="00AE4D5A" w:rsidP="008E5E01">
            <w:pPr>
              <w:keepNext/>
              <w:keepLines/>
              <w:spacing w:before="80" w:after="80" w:line="220" w:lineRule="atLeast"/>
              <w:ind w:left="6" w:right="28"/>
              <w:jc w:val="right"/>
              <w:rPr>
                <w:rFonts w:ascii="Arial" w:hAnsi="Arial"/>
                <w:i/>
                <w:sz w:val="20"/>
                <w:szCs w:val="20"/>
                <w:lang w:eastAsia="en-US"/>
              </w:rPr>
            </w:pPr>
            <w:r>
              <w:rPr>
                <w:rFonts w:ascii="Arial" w:hAnsi="Arial"/>
                <w:i/>
                <w:sz w:val="20"/>
                <w:szCs w:val="20"/>
                <w:lang w:eastAsia="en-US"/>
              </w:rPr>
              <w:t>Amount paid ($m)</w:t>
            </w:r>
          </w:p>
        </w:tc>
      </w:tr>
      <w:tr w:rsidR="00AE4D5A" w:rsidTr="008E5E01">
        <w:trPr>
          <w:trHeight w:val="20"/>
        </w:trPr>
        <w:tc>
          <w:tcPr>
            <w:tcW w:w="1871" w:type="pct"/>
            <w:hideMark/>
          </w:tcPr>
          <w:p w:rsidR="00AE4D5A" w:rsidRDefault="00AE4D5A" w:rsidP="008E5E01">
            <w:pPr>
              <w:keepNext/>
              <w:keepLines/>
              <w:spacing w:after="40" w:line="220" w:lineRule="atLeast"/>
              <w:ind w:left="6" w:right="113"/>
              <w:rPr>
                <w:rFonts w:ascii="Arial" w:hAnsi="Arial"/>
                <w:sz w:val="20"/>
                <w:szCs w:val="20"/>
                <w:lang w:eastAsia="en-US"/>
              </w:rPr>
            </w:pPr>
            <w:r>
              <w:rPr>
                <w:rFonts w:ascii="Arial" w:hAnsi="Arial"/>
                <w:sz w:val="20"/>
                <w:szCs w:val="20"/>
                <w:lang w:eastAsia="en-US"/>
              </w:rPr>
              <w:t>Simplot Australia</w:t>
            </w:r>
          </w:p>
        </w:tc>
        <w:tc>
          <w:tcPr>
            <w:tcW w:w="2097" w:type="pct"/>
            <w:hideMark/>
          </w:tcPr>
          <w:p w:rsidR="00AE4D5A" w:rsidRDefault="00AE4D5A" w:rsidP="008E5E01">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Frozen/processed/prepared vegetables</w:t>
            </w:r>
          </w:p>
        </w:tc>
        <w:tc>
          <w:tcPr>
            <w:tcW w:w="1032" w:type="pct"/>
            <w:hideMark/>
          </w:tcPr>
          <w:p w:rsidR="00AE4D5A" w:rsidRDefault="00AE4D5A" w:rsidP="008E5E01">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10.7</w:t>
            </w:r>
          </w:p>
        </w:tc>
      </w:tr>
      <w:tr w:rsidR="00AE4D5A" w:rsidTr="008E5E01">
        <w:trPr>
          <w:trHeight w:val="20"/>
        </w:trPr>
        <w:tc>
          <w:tcPr>
            <w:tcW w:w="1871" w:type="pct"/>
            <w:hideMark/>
          </w:tcPr>
          <w:p w:rsidR="00AE4D5A" w:rsidRDefault="00AE4D5A" w:rsidP="008E5E01">
            <w:pPr>
              <w:keepNext/>
              <w:keepLines/>
              <w:spacing w:after="40" w:line="220" w:lineRule="atLeast"/>
              <w:ind w:left="6" w:right="113"/>
              <w:rPr>
                <w:rFonts w:ascii="Arial" w:hAnsi="Arial"/>
                <w:sz w:val="20"/>
                <w:szCs w:val="20"/>
                <w:lang w:eastAsia="en-US"/>
              </w:rPr>
            </w:pPr>
            <w:r>
              <w:rPr>
                <w:rFonts w:ascii="Arial" w:hAnsi="Arial"/>
                <w:sz w:val="20"/>
                <w:szCs w:val="20"/>
                <w:lang w:eastAsia="en-US"/>
              </w:rPr>
              <w:t>Norske Skog Boyer</w:t>
            </w:r>
          </w:p>
        </w:tc>
        <w:tc>
          <w:tcPr>
            <w:tcW w:w="2097" w:type="pct"/>
            <w:hideMark/>
          </w:tcPr>
          <w:p w:rsidR="00AE4D5A" w:rsidRDefault="00AE4D5A" w:rsidP="008E5E01">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Newsprint</w:t>
            </w:r>
          </w:p>
        </w:tc>
        <w:tc>
          <w:tcPr>
            <w:tcW w:w="1032" w:type="pct"/>
            <w:hideMark/>
          </w:tcPr>
          <w:p w:rsidR="00AE4D5A" w:rsidRDefault="00AE4D5A" w:rsidP="008E5E01">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7.8</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Net Sea Freight Tasmania Pty Ltd</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Various (freight administration services)</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7.1</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 xml:space="preserve">J </w:t>
            </w:r>
            <w:proofErr w:type="spellStart"/>
            <w:r>
              <w:rPr>
                <w:rFonts w:ascii="Arial" w:hAnsi="Arial"/>
                <w:sz w:val="20"/>
                <w:szCs w:val="20"/>
                <w:lang w:eastAsia="en-US"/>
              </w:rPr>
              <w:t>Boag</w:t>
            </w:r>
            <w:proofErr w:type="spellEnd"/>
            <w:r>
              <w:rPr>
                <w:rFonts w:ascii="Arial" w:hAnsi="Arial"/>
                <w:sz w:val="20"/>
                <w:szCs w:val="20"/>
                <w:lang w:eastAsia="en-US"/>
              </w:rPr>
              <w:t xml:space="preserve"> &amp; Son</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Beer</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6.2</w:t>
            </w:r>
          </w:p>
        </w:tc>
      </w:tr>
      <w:tr w:rsidR="00AE4D5A" w:rsidTr="008E5E01">
        <w:trPr>
          <w:trHeight w:val="20"/>
        </w:trPr>
        <w:tc>
          <w:tcPr>
            <w:tcW w:w="1871" w:type="pct"/>
            <w:hideMark/>
          </w:tcPr>
          <w:p w:rsidR="00AE4D5A" w:rsidRDefault="00AE4D5A" w:rsidP="008E5E01">
            <w:pPr>
              <w:keepNext/>
              <w:keepLines/>
              <w:spacing w:after="40" w:line="220" w:lineRule="atLeast"/>
              <w:ind w:left="6" w:right="113"/>
              <w:rPr>
                <w:rFonts w:ascii="Arial" w:hAnsi="Arial"/>
                <w:sz w:val="20"/>
                <w:szCs w:val="20"/>
                <w:lang w:eastAsia="en-US"/>
              </w:rPr>
            </w:pPr>
            <w:r>
              <w:rPr>
                <w:rFonts w:ascii="Arial" w:hAnsi="Arial"/>
                <w:sz w:val="20"/>
                <w:szCs w:val="20"/>
                <w:lang w:eastAsia="en-US"/>
              </w:rPr>
              <w:t>Cadbury Australia</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Confectionery and chocolate products</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4.8</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McCain</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Frozen/processed/prepared vegetable</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3.0</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 xml:space="preserve">Monson Shipping </w:t>
            </w:r>
            <w:r w:rsidR="000C756F">
              <w:rPr>
                <w:rFonts w:ascii="Arial" w:hAnsi="Arial"/>
                <w:sz w:val="20"/>
                <w:szCs w:val="20"/>
                <w:lang w:eastAsia="en-US"/>
              </w:rPr>
              <w:t xml:space="preserve">Tasmania </w:t>
            </w:r>
            <w:r>
              <w:rPr>
                <w:rFonts w:ascii="Arial" w:hAnsi="Arial"/>
                <w:sz w:val="20"/>
                <w:szCs w:val="20"/>
                <w:lang w:eastAsia="en-US"/>
              </w:rPr>
              <w:t>Pty Ltd</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Processed wood</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2.9</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Cascade Brewery Co</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Beer</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2.7</w:t>
            </w:r>
          </w:p>
        </w:tc>
      </w:tr>
      <w:tr w:rsidR="00AE4D5A" w:rsidTr="008E5E01">
        <w:trPr>
          <w:trHeight w:val="20"/>
        </w:trPr>
        <w:tc>
          <w:tcPr>
            <w:tcW w:w="1871" w:type="pct"/>
            <w:hideMark/>
          </w:tcPr>
          <w:p w:rsidR="00AE4D5A" w:rsidRDefault="00AE4D5A">
            <w:pPr>
              <w:keepNext/>
              <w:keepLines/>
              <w:spacing w:after="40" w:line="220" w:lineRule="atLeast"/>
              <w:ind w:left="6" w:right="113"/>
              <w:rPr>
                <w:rFonts w:ascii="Arial" w:hAnsi="Arial"/>
                <w:sz w:val="20"/>
                <w:szCs w:val="20"/>
                <w:lang w:eastAsia="en-US"/>
              </w:rPr>
            </w:pPr>
            <w:proofErr w:type="spellStart"/>
            <w:r>
              <w:rPr>
                <w:rFonts w:ascii="Arial" w:hAnsi="Arial"/>
                <w:sz w:val="20"/>
                <w:szCs w:val="20"/>
                <w:lang w:eastAsia="en-US"/>
              </w:rPr>
              <w:t>Ertler</w:t>
            </w:r>
            <w:proofErr w:type="spellEnd"/>
            <w:r>
              <w:rPr>
                <w:rFonts w:ascii="Arial" w:hAnsi="Arial"/>
                <w:sz w:val="20"/>
                <w:szCs w:val="20"/>
                <w:lang w:eastAsia="en-US"/>
              </w:rPr>
              <w:t xml:space="preserve"> Trading Pty Ltd</w:t>
            </w:r>
          </w:p>
        </w:tc>
        <w:tc>
          <w:tcPr>
            <w:tcW w:w="2097"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Fresh vegetables</w:t>
            </w:r>
          </w:p>
        </w:tc>
        <w:tc>
          <w:tcPr>
            <w:tcW w:w="1032" w:type="pct"/>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2.6</w:t>
            </w:r>
          </w:p>
        </w:tc>
      </w:tr>
      <w:tr w:rsidR="00AE4D5A" w:rsidTr="008E5E01">
        <w:trPr>
          <w:trHeight w:val="20"/>
        </w:trPr>
        <w:tc>
          <w:tcPr>
            <w:tcW w:w="1871" w:type="pct"/>
            <w:tcBorders>
              <w:top w:val="nil"/>
              <w:left w:val="nil"/>
              <w:bottom w:val="single" w:sz="4" w:space="0" w:color="auto"/>
              <w:right w:val="nil"/>
            </w:tcBorders>
            <w:hideMark/>
          </w:tcPr>
          <w:p w:rsidR="00AE4D5A" w:rsidRDefault="00AE4D5A">
            <w:pPr>
              <w:keepNext/>
              <w:keepLines/>
              <w:spacing w:after="40" w:line="220" w:lineRule="atLeast"/>
              <w:ind w:left="6" w:right="113"/>
              <w:rPr>
                <w:rFonts w:ascii="Arial" w:hAnsi="Arial"/>
                <w:sz w:val="20"/>
                <w:szCs w:val="20"/>
                <w:lang w:eastAsia="en-US"/>
              </w:rPr>
            </w:pPr>
            <w:r>
              <w:rPr>
                <w:rFonts w:ascii="Arial" w:hAnsi="Arial"/>
                <w:sz w:val="20"/>
                <w:szCs w:val="20"/>
                <w:lang w:eastAsia="en-US"/>
              </w:rPr>
              <w:t>Murray Goulburn Co</w:t>
            </w:r>
            <w:r>
              <w:rPr>
                <w:rFonts w:ascii="Arial" w:hAnsi="Arial"/>
                <w:sz w:val="20"/>
                <w:szCs w:val="20"/>
                <w:lang w:eastAsia="en-US"/>
              </w:rPr>
              <w:noBreakHyphen/>
              <w:t>op Co Ltd</w:t>
            </w:r>
          </w:p>
        </w:tc>
        <w:tc>
          <w:tcPr>
            <w:tcW w:w="2097" w:type="pct"/>
            <w:tcBorders>
              <w:top w:val="nil"/>
              <w:left w:val="nil"/>
              <w:bottom w:val="single" w:sz="4" w:space="0" w:color="auto"/>
              <w:right w:val="nil"/>
            </w:tcBorders>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Dairy</w:t>
            </w:r>
          </w:p>
        </w:tc>
        <w:tc>
          <w:tcPr>
            <w:tcW w:w="1032" w:type="pct"/>
            <w:tcBorders>
              <w:top w:val="nil"/>
              <w:left w:val="nil"/>
              <w:bottom w:val="single" w:sz="4" w:space="0" w:color="auto"/>
              <w:right w:val="nil"/>
            </w:tcBorders>
            <w:hideMark/>
          </w:tcPr>
          <w:p w:rsidR="00AE4D5A" w:rsidRDefault="00AE4D5A">
            <w:pPr>
              <w:keepNext/>
              <w:keepLines/>
              <w:spacing w:after="40" w:line="220" w:lineRule="atLeast"/>
              <w:ind w:left="6" w:right="113"/>
              <w:jc w:val="right"/>
              <w:rPr>
                <w:rFonts w:ascii="Arial" w:hAnsi="Arial"/>
                <w:sz w:val="20"/>
                <w:szCs w:val="20"/>
                <w:lang w:eastAsia="en-US"/>
              </w:rPr>
            </w:pPr>
            <w:r>
              <w:rPr>
                <w:rFonts w:ascii="Arial" w:hAnsi="Arial"/>
                <w:sz w:val="20"/>
                <w:szCs w:val="20"/>
                <w:lang w:eastAsia="en-US"/>
              </w:rPr>
              <w:t>2.5</w:t>
            </w:r>
          </w:p>
        </w:tc>
      </w:tr>
    </w:tbl>
    <w:p w:rsidR="00AE4D5A" w:rsidRPr="00F30AC4" w:rsidRDefault="00AE4D5A" w:rsidP="008E5E01">
      <w:pPr>
        <w:pStyle w:val="Subtitle"/>
        <w:rPr>
          <w:rStyle w:val="NoteLabel"/>
        </w:rPr>
      </w:pPr>
    </w:p>
    <w:p w:rsidR="00AE4D5A" w:rsidRDefault="00AE4D5A" w:rsidP="008E5E01">
      <w:pPr>
        <w:pStyle w:val="BodyText"/>
      </w:pPr>
      <w:r>
        <w:t xml:space="preserve">Consequently, containerised exports and imports are now transhipped mainly through the Port of Melbourne. In light of the shifts in shipping market dynamics that are seeing international maritime traffic with larger and more specialised vessels increasingly bypass smaller and shallower ports such as those in Tasmania, Adelaide and Fremantle, the Commission sought feedback in the draft report on the potential impacts of extending the TFES to include all eligible goods shipped from Tasmania to the Port of Melbourne. </w:t>
      </w:r>
    </w:p>
    <w:p w:rsidR="00AE4D5A" w:rsidRDefault="00AE4D5A" w:rsidP="008E5E01">
      <w:pPr>
        <w:pStyle w:val="BodyText"/>
      </w:pPr>
      <w:r>
        <w:t xml:space="preserve">However, contemporaneous developments relating to the potential resumption of regular international container shipping to Tasmania raise a critical policy sequencing issue. The Tasmanian Government, following a competitive selection process, announced that it had chosen Swire Shipping (a provider of niche, regional, multipurpose shipping services which already has an established bulk shipping service to Tasmania) as the preferred carrier for an international container shipping service from Bell Bay. It is envisaged that the potential new service could provide an export/import service on a regular (14–21 day) basis with connections to Asian hubs and calls to ports on the Australian east coast. It is expected to service a significant proportion of Tasmania’s export task. However, it is premised on some level of ‘transitional’ assistance </w:t>
      </w:r>
      <w:r w:rsidRPr="00461A45">
        <w:t>(reported to reside in a range of $4 million to $33 million)</w:t>
      </w:r>
      <w:r>
        <w:t xml:space="preserve"> funded by the Tasmanian Government until commercially viable volumes are established. The Commission understands that the requisite international volumes to and from Tasmania are in the order of 20 000 to 25 000 </w:t>
      </w:r>
      <w:r>
        <w:lastRenderedPageBreak/>
        <w:t xml:space="preserve">TEUs annually. However, the Commission notes a disparity between this view and that in the FLCT commissioned report by GPS Logistics which suggests materially higher minimum requisite volumes for a commercially viable regular direct service to Tasmania (a range with a minimum of 35 000 TEUs). </w:t>
      </w:r>
    </w:p>
    <w:p w:rsidR="00AE4D5A" w:rsidRDefault="00AE4D5A" w:rsidP="008E5E01">
      <w:pPr>
        <w:pStyle w:val="BodyText"/>
      </w:pPr>
      <w:r>
        <w:t xml:space="preserve">The commercial sustainability of a direct international container shipping service for Tasmania is not certain now or in the future given the characteristics of Tasmania’s containerised export task and the global trend towards larger vessels, which are constrained in accessing Tasmanian ports. Further, the highly concentrated nature of the Tasmanian export task suggests that the commercial sustainability of such a service is contingent on the transfer and retention of a small number of large exporters through a coordinated approach. Also relevant is the potential for strategic market behaviour by incumbent Bass Strait domestic shipping line operators, including those providing international services, who would have a strong commercial incentive to compete in the near term to retain the transhipped export volumes they currently service across Bass Strait. </w:t>
      </w:r>
    </w:p>
    <w:p w:rsidR="00AE4D5A" w:rsidRDefault="00AE4D5A" w:rsidP="008E5E01">
      <w:pPr>
        <w:pStyle w:val="BodyText"/>
      </w:pPr>
      <w:r>
        <w:t>Nonetheless, the possible return of direct international shipping services to Tasmania raises an intractable sequencing obstacle for considering the relative merit of moving now to extend the scope of the TFES to all eligible northbound commodities transhipped through the Port of Melbourne or other mainland ports, and destined for export. First, such an extension of the TFES would inevitably compromise the viability of a materially more cost effective international shipping service that would benefit a range of, but clearly not all, exporters and importers (and thereby Tasmanian consumers), and which arguably is in the best long term interest of Tasmania. Second, such a service would also add competitive pressure to the domestic Bass Strait route. Third, an extension of the TFES to exports at this point in time would also introduce the prospect of two subsidies (the Australian Government through an expanded TFES and the Tasmanian Government through the mooted transitional assistance) working at cross purposes. There will be some shippers who favour the status quo (and therefore an extension of the TFES to exports transhipped through the Port of Melbourne), and those who favour the direct international shipping option.</w:t>
      </w:r>
      <w:r w:rsidRPr="0022664F">
        <w:t xml:space="preserve"> </w:t>
      </w:r>
    </w:p>
    <w:p w:rsidR="00AE4D5A" w:rsidRDefault="00AE4D5A" w:rsidP="008E5E01">
      <w:pPr>
        <w:pStyle w:val="BodyText"/>
      </w:pPr>
      <w:r>
        <w:t xml:space="preserve">Importantly, and looking further ahead, comprehensive coastal shipping reform is likely to have a material impact on Tasmanian international shipping costs. The economics of a direct international service, given the commercially requisite adjunct of complementary coastal shipping revenues, are significantly enhanced in the absence of the additional cost burden imposed by coastal shipping regulation. </w:t>
      </w:r>
    </w:p>
    <w:p w:rsidR="00AE4D5A" w:rsidRDefault="00AE4D5A" w:rsidP="008E5E01">
      <w:pPr>
        <w:pStyle w:val="BodyText"/>
      </w:pPr>
      <w:r>
        <w:t xml:space="preserve">The Commission considers that in the absence of a regular direct international container service to Tasmania, there is a case for extending the TFES to all eligible </w:t>
      </w:r>
      <w:r>
        <w:lastRenderedPageBreak/>
        <w:t xml:space="preserve">commodities, including those transhipped through the Port of Melbourne or other mainland ports, and ultimately to export markets. The merit of this case is premised on no net increase in the overall quantum of assistance under the scheme. Broadening the scheme in such a way should improve allocative efficiency in Tasmania at least between producers that export internationally and those that sell to the Australian mainland. However, such an extension would not mitigate the negative impact of the current scheme on Tasmanian consumers more broadly. </w:t>
      </w:r>
    </w:p>
    <w:p w:rsidR="00AE4D5A" w:rsidRDefault="00AE4D5A" w:rsidP="008E5E01">
      <w:pPr>
        <w:pStyle w:val="BodyText"/>
      </w:pPr>
      <w:r>
        <w:t>Given the sequencing obstacles associated with recent and anticipated developments, t</w:t>
      </w:r>
      <w:r w:rsidRPr="00A20DF4">
        <w:t xml:space="preserve">he </w:t>
      </w:r>
      <w:r>
        <w:t xml:space="preserve">Commission recommends that the </w:t>
      </w:r>
      <w:r w:rsidRPr="00A20DF4">
        <w:t xml:space="preserve">Australian Government should determine the </w:t>
      </w:r>
      <w:r>
        <w:t xml:space="preserve">merit and </w:t>
      </w:r>
      <w:r w:rsidRPr="00A20DF4">
        <w:t xml:space="preserve">timing of such an extension following: </w:t>
      </w:r>
    </w:p>
    <w:p w:rsidR="00AE4D5A" w:rsidRDefault="00AE4D5A" w:rsidP="008E5E01">
      <w:pPr>
        <w:pStyle w:val="ListBullet"/>
      </w:pPr>
      <w:r w:rsidRPr="00A20DF4">
        <w:t>discussion with the Tasmanian Government to ensure a mutually consistent p</w:t>
      </w:r>
      <w:r>
        <w:t>olicy approach</w:t>
      </w:r>
    </w:p>
    <w:p w:rsidR="00AE4D5A" w:rsidRDefault="00AE4D5A" w:rsidP="008E5E01">
      <w:pPr>
        <w:pStyle w:val="ListBullet"/>
      </w:pPr>
      <w:r>
        <w:t>the extent to which</w:t>
      </w:r>
      <w:r w:rsidRPr="00A20DF4">
        <w:t xml:space="preserve"> the potential resumption of a commercially viable direct service would be compromised by such an extension of the scheme, and advanced by potential coastal shipping reform</w:t>
      </w:r>
    </w:p>
    <w:p w:rsidR="00AE4D5A" w:rsidRDefault="00AE4D5A" w:rsidP="008E5E01">
      <w:pPr>
        <w:pStyle w:val="ListBullet"/>
      </w:pPr>
      <w:r w:rsidRPr="00617D38">
        <w:t xml:space="preserve">agreement having been secured with the relevant shipping lines to provide pricing and cost data to </w:t>
      </w:r>
      <w:r>
        <w:t xml:space="preserve">BITRE </w:t>
      </w:r>
      <w:r w:rsidRPr="00617D38">
        <w:t>(as per recommendation 3).</w:t>
      </w:r>
    </w:p>
    <w:p w:rsidR="00AE4D5A" w:rsidRDefault="00AE4D5A" w:rsidP="008E5E01">
      <w:pPr>
        <w:pStyle w:val="BodyText"/>
      </w:pPr>
      <w:r>
        <w:t>The Commission considers that such a determination would need to be made by the Australian Government in 2014 given the anticipated timing of related processes.</w:t>
      </w:r>
    </w:p>
    <w:p w:rsidR="00AE4D5A" w:rsidRDefault="00AE4D5A" w:rsidP="008E5E01">
      <w:pPr>
        <w:pStyle w:val="BodyText"/>
      </w:pPr>
      <w:r>
        <w:t xml:space="preserve">The decision on the total quantum of assistance under the TFES is ultimately one for the Australian Government. The Commission views the appropriate and overall quantum of assistance afforded under the TFES with the aforementioned scope extension, to be initially around the current and anticipated total payments and then subject to review in four years. This view is premised on containing the negative economic impact of the scheme on Tasmanian consumers and the Australian economy more broadly whilst securing a modicum of allocative efficiency by broadening eligibility in a cost neutral way. A review at that time will also be informed by anticipated developments, both policy and investment decisions influencing shipping capacity, that will likely impact the cost of Bass Strait shipping. </w:t>
      </w:r>
    </w:p>
    <w:p w:rsidR="00AE4D5A" w:rsidRDefault="00AE4D5A" w:rsidP="008E5E01">
      <w:pPr>
        <w:pStyle w:val="BodyText"/>
      </w:pPr>
      <w:r>
        <w:t xml:space="preserve">The implied average flat rate of assistance under such an extension to the scheme is a function of the quantum of overall assistance and the number of eligible recipients and their volumes. As such, the implied average flat rate assistance could be around </w:t>
      </w:r>
      <w:r w:rsidRPr="00B7572D">
        <w:t>$</w:t>
      </w:r>
      <w:r>
        <w:t xml:space="preserve">735 per TEU (including intermodal costs) if the scheme is not extended to all eligible commodities transhipped through the Port of Melbourne, and within a range of </w:t>
      </w:r>
      <w:r w:rsidRPr="00B7572D">
        <w:t>$</w:t>
      </w:r>
      <w:r>
        <w:t>470</w:t>
      </w:r>
      <w:r w:rsidR="002221AC">
        <w:t>–</w:t>
      </w:r>
      <w:r w:rsidRPr="00B7572D">
        <w:t>$</w:t>
      </w:r>
      <w:r>
        <w:t xml:space="preserve">570 per TEU (depending on export volumes) if the scheme is extended. Importantly, these figures are purely indicative given the paucity of export data </w:t>
      </w:r>
      <w:r>
        <w:lastRenderedPageBreak/>
        <w:t xml:space="preserve">from Tasmania and the uncertainty surrounding the dynamic impacts of any changes, and would be subject to </w:t>
      </w:r>
      <w:proofErr w:type="spellStart"/>
      <w:r>
        <w:t>zonal</w:t>
      </w:r>
      <w:proofErr w:type="spellEnd"/>
      <w:r>
        <w:t xml:space="preserve"> arrangements and </w:t>
      </w:r>
      <w:proofErr w:type="spellStart"/>
      <w:r>
        <w:t>TEU</w:t>
      </w:r>
      <w:proofErr w:type="spellEnd"/>
      <w:r>
        <w:t xml:space="preserve"> equivalent calculations by BITRE informed by a public consultation process. There would inevitably be winners and losers across the existing and potentially new TFES recipients under such an extension of the scheme, which is further addressed in chapter 3.</w:t>
      </w:r>
    </w:p>
    <w:p w:rsidR="00AE4D5A" w:rsidRPr="00AA66B9" w:rsidRDefault="00AE4D5A" w:rsidP="008E5E01">
      <w:pPr>
        <w:pStyle w:val="Heading4"/>
      </w:pPr>
      <w:r w:rsidRPr="00AA66B9">
        <w:t xml:space="preserve">King </w:t>
      </w:r>
      <w:r>
        <w:t xml:space="preserve">Island </w:t>
      </w:r>
      <w:r w:rsidRPr="00AA66B9">
        <w:t xml:space="preserve">and </w:t>
      </w:r>
      <w:r>
        <w:t>the Furneaux Group of islands</w:t>
      </w:r>
    </w:p>
    <w:p w:rsidR="00AE4D5A" w:rsidRDefault="00AE4D5A" w:rsidP="008E5E01">
      <w:pPr>
        <w:pStyle w:val="BodyText"/>
      </w:pPr>
      <w:r>
        <w:t>By virtue of their size, population density and remoteness, the specific economic circumstances of the Bass Strait islands have been raised in submissions and through public hearings. Their economic sustainability is critically dependent on access to larger processing and end</w:t>
      </w:r>
      <w:r>
        <w:noBreakHyphen/>
        <w:t>product markets. In the area of transport logistics, they are clearly more exposed than the main island due to smaller volumes, high seasonality and both limited and tenuous shipping services.</w:t>
      </w:r>
    </w:p>
    <w:p w:rsidR="00AE4D5A" w:rsidRDefault="00AE4D5A" w:rsidP="008E5E01">
      <w:pPr>
        <w:pStyle w:val="BodyText"/>
      </w:pPr>
      <w:r>
        <w:t>Conversely, the islands’ remoteness provides niche market appeal as reflected in their brand image — which creates a platform for high</w:t>
      </w:r>
      <w:r>
        <w:noBreakHyphen/>
        <w:t>value low</w:t>
      </w:r>
      <w:r>
        <w:noBreakHyphen/>
        <w:t>volume products in agriculture, and to a lesser extent, tourism.</w:t>
      </w:r>
    </w:p>
    <w:p w:rsidR="00AE4D5A" w:rsidRDefault="00AE4D5A" w:rsidP="008E5E01">
      <w:pPr>
        <w:pStyle w:val="BodyText"/>
      </w:pPr>
      <w:r>
        <w:t>The economic viability of the communities on these islands is largely a matter for the Tasmanian Government, within the broader context of market drivers. The Australian Government, through the TFES, provides explicit and additional support to alleviate freight costs between King Island and the Furneaux Group of islands, and the main island of Tasmania.</w:t>
      </w:r>
    </w:p>
    <w:p w:rsidR="00AE4D5A" w:rsidRDefault="00AE4D5A" w:rsidP="008E5E01">
      <w:pPr>
        <w:pStyle w:val="BodyText"/>
      </w:pPr>
      <w:r>
        <w:t xml:space="preserve">The Commission considers that the continuation of a zone based approach to the TFES — reflected in differential flat rates of subsidy — would ensure that the relative freight cost disadvantage of the Bass Strait islands is appropriately considered and reflected in the future rates. </w:t>
      </w:r>
    </w:p>
    <w:p w:rsidR="00AE4D5A" w:rsidRDefault="00AE4D5A" w:rsidP="008E5E01">
      <w:pPr>
        <w:pStyle w:val="Heading3"/>
      </w:pPr>
      <w:r>
        <w:t>The TWFS</w:t>
      </w:r>
    </w:p>
    <w:p w:rsidR="00AE4D5A" w:rsidRDefault="00AE4D5A" w:rsidP="008E5E01">
      <w:pPr>
        <w:pStyle w:val="BodyText"/>
      </w:pPr>
      <w:r>
        <w:t xml:space="preserve">Wheat is the only bulk commodity that is eligible for a specific subsidy under the TWFS. The scheme dates back to the </w:t>
      </w:r>
      <w:proofErr w:type="spellStart"/>
      <w:r>
        <w:t>1950s</w:t>
      </w:r>
      <w:proofErr w:type="spellEnd"/>
      <w:r>
        <w:t xml:space="preserve"> when the price of bread affected the determination of the basic wage and it was thought that, as a basic commodity, bread should be available to all Australians at the same price. Over time, the policy objective appears to have evolved to provide support to Tasmania’s agri</w:t>
      </w:r>
      <w:r>
        <w:noBreakHyphen/>
        <w:t xml:space="preserve">businesses that use wheat as a feedstock. Expenditure on the TWFS has never reached its $1.05 million cap and there have been no claims since 2009. This reflects the </w:t>
      </w:r>
      <w:r>
        <w:lastRenderedPageBreak/>
        <w:t>incentive to ship wheat in containers to access a higher level of subsidy through the TFES. This highlights yet another distortion created by the TFES.</w:t>
      </w:r>
    </w:p>
    <w:p w:rsidR="00AE4D5A" w:rsidRDefault="00AE4D5A" w:rsidP="008E5E01">
      <w:pPr>
        <w:pStyle w:val="BodyText"/>
      </w:pPr>
      <w:r w:rsidRPr="00BC5F80">
        <w:t xml:space="preserve">Given its original purpose, the scheme is now redundant and the Commission recommends that the TWFS be terminated. </w:t>
      </w:r>
      <w:r>
        <w:t xml:space="preserve">This has been supported by most relevant inquiry participants. That said, the Commission </w:t>
      </w:r>
      <w:r w:rsidRPr="00BC5F80">
        <w:t>notes that shipping wheat to Tasmania in containers may not be the most efficient process available</w:t>
      </w:r>
      <w:r>
        <w:t>, highlighting</w:t>
      </w:r>
      <w:r w:rsidRPr="00BC5F80">
        <w:t xml:space="preserve"> how these schemes</w:t>
      </w:r>
      <w:r>
        <w:t xml:space="preserve"> have over time</w:t>
      </w:r>
      <w:r w:rsidRPr="00BC5F80">
        <w:t xml:space="preserve"> encourage</w:t>
      </w:r>
      <w:r>
        <w:t>d</w:t>
      </w:r>
      <w:r w:rsidRPr="00BC5F80">
        <w:t xml:space="preserve"> less efficient practices. In this context, the Commission recommends that the calculation of assistance for wheat and other grains shipped in containers under the TFES be based on the lowest </w:t>
      </w:r>
      <w:r>
        <w:t xml:space="preserve">feasible </w:t>
      </w:r>
      <w:r w:rsidRPr="00BC5F80">
        <w:t>cost option for transporting grain</w:t>
      </w:r>
      <w:r>
        <w:t>s</w:t>
      </w:r>
      <w:r w:rsidRPr="00BC5F80">
        <w:t xml:space="preserve"> to Tasmania.</w:t>
      </w:r>
      <w:r>
        <w:t xml:space="preserve"> </w:t>
      </w:r>
    </w:p>
    <w:p w:rsidR="00AE4D5A" w:rsidRDefault="00AE4D5A" w:rsidP="008E5E01">
      <w:pPr>
        <w:pStyle w:val="Heading3"/>
      </w:pPr>
      <w:r>
        <w:t>The BSPVES</w:t>
      </w:r>
    </w:p>
    <w:p w:rsidR="00AE4D5A" w:rsidRDefault="00AE4D5A" w:rsidP="008E5E01">
      <w:pPr>
        <w:pStyle w:val="BodyText"/>
      </w:pPr>
      <w:r>
        <w:t>The Australian Government has stated its current intention to retain the BSPVES. The scheme is designed to alleviate the cost of sea travel across Bass Strait for passengers accompanying an eligible vehicle. The scheme provides support to what is perceived by many inquiry participants to be its intended primary beneficiaries — Australian residents travelling between the mainland and Tasmania with their vehicle. From their perspective, the promotion of Tasmanian tourism is only an ancillary benefit of the scheme. However, there were other inquiry participants who viewed the scheme primarily through a tourism lens. That said, the Commission views the materially lower air fares to Tasmania as the single most important development to advance Tasmanian tourism.</w:t>
      </w:r>
    </w:p>
    <w:p w:rsidR="00AE4D5A" w:rsidRDefault="00AE4D5A" w:rsidP="008E5E01">
      <w:pPr>
        <w:pStyle w:val="BodyText"/>
      </w:pPr>
      <w:r>
        <w:t xml:space="preserve">The confusion around the purpose of the scheme suggests that there is merit in the Australian Government clearly articulating the scheme’s objective so that any future evaluation of the scheme can be assessed against that objective. </w:t>
      </w:r>
    </w:p>
    <w:p w:rsidR="00AE4D5A" w:rsidRDefault="00AE4D5A" w:rsidP="008E5E01">
      <w:pPr>
        <w:pStyle w:val="BodyText"/>
      </w:pPr>
      <w:r>
        <w:t>Irrespective of the intended primary beneficiaries of the BSPVES, the scheme provides only diluted support to them. Some of the BSPVES subsidy is inevitably captured by TT</w:t>
      </w:r>
      <w:r>
        <w:noBreakHyphen/>
        <w:t xml:space="preserve">Line as the main (virtually sole) carrier of passenger vehicles across Bass Strait. </w:t>
      </w:r>
    </w:p>
    <w:p w:rsidR="00AE4D5A" w:rsidRDefault="00AE4D5A" w:rsidP="008E5E01">
      <w:pPr>
        <w:pStyle w:val="BodyText"/>
      </w:pPr>
      <w:r>
        <w:t>The extent of this ‘leakage’ is difficult to assess without detailed modelling and access to commercial cost data. However, the characteristics of this specific market, combined with the pricing of this</w:t>
      </w:r>
      <w:r w:rsidR="000C756F">
        <w:t xml:space="preserve"> service over time (see figure </w:t>
      </w:r>
      <w:proofErr w:type="spellStart"/>
      <w:r w:rsidR="000C756F">
        <w:t>3</w:t>
      </w:r>
      <w:r>
        <w:t>F</w:t>
      </w:r>
      <w:proofErr w:type="spellEnd"/>
      <w:r>
        <w:t xml:space="preserve">), suggest that </w:t>
      </w:r>
      <w:proofErr w:type="spellStart"/>
      <w:r>
        <w:t>TT</w:t>
      </w:r>
      <w:proofErr w:type="spellEnd"/>
      <w:r>
        <w:noBreakHyphen/>
        <w:t>Line ultimately receives at least part of the subsidy through higher fares.</w:t>
      </w:r>
    </w:p>
    <w:p w:rsidR="00AE4D5A" w:rsidRDefault="00AE4D5A" w:rsidP="008E5E01">
      <w:pPr>
        <w:pStyle w:val="BodyText"/>
      </w:pPr>
      <w:r>
        <w:t>Further, given the operation of the schemes, and that TT</w:t>
      </w:r>
      <w:r>
        <w:noBreakHyphen/>
        <w:t xml:space="preserve">Line competes with commercial operators in the freight market, and the passenger and vehicle market is </w:t>
      </w:r>
      <w:r>
        <w:lastRenderedPageBreak/>
        <w:t>contestable, there is an imperative to ensure that TT</w:t>
      </w:r>
      <w:r>
        <w:noBreakHyphen/>
        <w:t xml:space="preserve">Line fully satisfies the principles of competitive neutrality across these services. </w:t>
      </w:r>
    </w:p>
    <w:p w:rsidR="00AE4D5A" w:rsidRDefault="00AE4D5A" w:rsidP="008E5E01">
      <w:pPr>
        <w:pStyle w:val="BodyText"/>
      </w:pPr>
      <w:r>
        <w:t>The Australian Government should also undertake discussions with the Tasmanian Government on a joint approach to ensuring greater transparency around TT</w:t>
      </w:r>
      <w:r>
        <w:noBreakHyphen/>
        <w:t>Line’s pricing, and an assessment of the extent to which the subsidy offered by the BSPVES is passed on to the intended recipients.</w:t>
      </w:r>
    </w:p>
    <w:p w:rsidR="00AE4D5A" w:rsidRPr="0027048B" w:rsidRDefault="00AE4D5A" w:rsidP="008E5E01">
      <w:pPr>
        <w:pStyle w:val="Heading2"/>
      </w:pPr>
      <w:r>
        <w:t>Tackling the fundamentals</w:t>
      </w:r>
    </w:p>
    <w:p w:rsidR="00AE4D5A" w:rsidRDefault="00AE4D5A" w:rsidP="008E5E01">
      <w:pPr>
        <w:pStyle w:val="BodyText"/>
      </w:pPr>
      <w:r>
        <w:t>The TFES and the BSPVES are understandably popular with many recipients and Tasmanian stakeholders. Many submissions to this inquiry have stressed that the TFES in particular is important to the economic viability of individual businesses, at least in the short term</w:t>
      </w:r>
      <w:r w:rsidRPr="003247B6">
        <w:t>.</w:t>
      </w:r>
      <w:r w:rsidR="00040750">
        <w:t xml:space="preserve"> The Tasmanian G</w:t>
      </w:r>
      <w:r>
        <w:t xml:space="preserve">overnment has linked the TFES to the broader economic health of the State. </w:t>
      </w:r>
    </w:p>
    <w:p w:rsidR="00AE4D5A" w:rsidRDefault="00AE4D5A" w:rsidP="008E5E01">
      <w:pPr>
        <w:pStyle w:val="BodyText"/>
      </w:pPr>
      <w:r>
        <w:t xml:space="preserve">On the other hand, the vast majority of Tasmanian businesses do not receive TFES payments, including many in the growing services sector that also have to operate within a high cost setting. </w:t>
      </w:r>
    </w:p>
    <w:p w:rsidR="00AE4D5A" w:rsidRDefault="00AE4D5A" w:rsidP="008E5E01">
      <w:pPr>
        <w:pStyle w:val="BodyText"/>
      </w:pPr>
      <w:r>
        <w:t xml:space="preserve">While clearly of significant benefit to recipient businesses, the TFES is not a meaningful instrument to address the economic and social challenges facing Tasmania, of which geography is just one. Policies and programs that directly target the causes of the underlying problems are likely to be more effective and efficient than narrowly focused freight subsidy schemes like the TFES. </w:t>
      </w:r>
    </w:p>
    <w:p w:rsidR="00AE4D5A" w:rsidRDefault="00AE4D5A" w:rsidP="008E5E01">
      <w:pPr>
        <w:pStyle w:val="BodyText"/>
      </w:pPr>
      <w:r>
        <w:t>As articulated in its draft report on geographic labour mobility, the Commission sees merit in policies which remove impediments to people moving in response to changing economic conditions. Where governments seek to sustain population in a particular region, approaches to make the region concerned more attractive to capital generally — such as improving infrastructure, upgrading labour force skills, removing inefficient taxes and improving administrative efficiency — are preferable to sponsoring selected firms or incentivising businesses to locate (or remain) there through subsidies. Importantly, such a strategy should be aligned with an overarching approach that is consistent with comparative advantages.</w:t>
      </w:r>
    </w:p>
    <w:p w:rsidR="00AE4D5A" w:rsidRDefault="00AE4D5A" w:rsidP="008E5E01">
      <w:pPr>
        <w:pStyle w:val="BodyText"/>
      </w:pPr>
      <w:r>
        <w:t>The draft report on geographic labour mobility also commented on labour market issues in Tasmania specifically.</w:t>
      </w:r>
      <w:r w:rsidRPr="00DA3E22">
        <w:t xml:space="preserve"> </w:t>
      </w:r>
      <w:r>
        <w:t>It identified high wages, combined with low skill levels, as a possible cause of persistently high unemployment levels in Tasmania.</w:t>
      </w:r>
    </w:p>
    <w:p w:rsidR="00AE4D5A" w:rsidRDefault="00AE4D5A" w:rsidP="008E5E01">
      <w:pPr>
        <w:pStyle w:val="BodyText"/>
      </w:pPr>
      <w:r>
        <w:t xml:space="preserve">In light of this, the Commission considers that the Australian Government should change its focus from freight subsidy schemes to policy reforms which have </w:t>
      </w:r>
      <w:r>
        <w:lastRenderedPageBreak/>
        <w:t>national and Tasmanian benefits (such as coastal shipping reform) and those that directly enhance the competitiveness and productivity of the Tasmanian economy.</w:t>
      </w:r>
    </w:p>
    <w:p w:rsidR="00AE4D5A" w:rsidRDefault="00AE4D5A" w:rsidP="008E5E01">
      <w:pPr>
        <w:pStyle w:val="BodyText"/>
      </w:pPr>
      <w:r>
        <w:t>Where governments nevertheless pursue direct expenditure</w:t>
      </w:r>
      <w:r>
        <w:noBreakHyphen/>
        <w:t>based programs, the costs and benefits of a range of options should be assessed. For example, funding of the existing freight and passenger schemes could require more than $2 billion in net present value terms over the next 15 years. Redirected effectively, this funding could provide the fiscal basis for more cost</w:t>
      </w:r>
      <w:r>
        <w:noBreakHyphen/>
        <w:t>effective policies and programs to form an overarching economic development strategy for Tasmania.</w:t>
      </w:r>
    </w:p>
    <w:p w:rsidR="00AE4D5A" w:rsidRDefault="00AE4D5A" w:rsidP="008E5E01">
      <w:pPr>
        <w:pStyle w:val="BodyText"/>
      </w:pPr>
      <w:r>
        <w:t>The Australian Government should work with the Tasmanian Government and other stakeholders to establish and implement an economic development strategy that maximises the long</w:t>
      </w:r>
      <w:r>
        <w:noBreakHyphen/>
        <w:t>term economic prospects of Tasmanian businesses and residents. This should address the underlying competitiveness and efficiency of the Tasmanian economy.</w:t>
      </w:r>
    </w:p>
    <w:p w:rsidR="00AE4D5A" w:rsidRDefault="00AE4D5A" w:rsidP="008E5E01">
      <w:pPr>
        <w:pStyle w:val="BodyText"/>
      </w:pPr>
      <w:r>
        <w:t>Successful economic development strategies give priority to policies and other initiatives (including targeted assistance measures) that remove impediments to industry and regional adjustment, and improve the productivity and underlying cost structure of each region. This is the most effective way of achieving positive outcomes for states or regions like Tasmania. It requires the active involvement of all levels of government in a number of key areas, including:</w:t>
      </w:r>
    </w:p>
    <w:p w:rsidR="00AE4D5A" w:rsidRDefault="00AE4D5A" w:rsidP="008E5E01">
      <w:pPr>
        <w:pStyle w:val="ListBullet"/>
      </w:pPr>
      <w:r w:rsidRPr="009B010C">
        <w:t xml:space="preserve">improving </w:t>
      </w:r>
      <w:r>
        <w:t xml:space="preserve">employment </w:t>
      </w:r>
      <w:r w:rsidRPr="009B010C">
        <w:t>outcomes</w:t>
      </w:r>
      <w:r>
        <w:t>, for example,</w:t>
      </w:r>
      <w:r w:rsidRPr="009B010C">
        <w:t xml:space="preserve"> through </w:t>
      </w:r>
      <w:r>
        <w:t xml:space="preserve">appropriate </w:t>
      </w:r>
      <w:r w:rsidRPr="009B010C">
        <w:t>skilling and training</w:t>
      </w:r>
    </w:p>
    <w:p w:rsidR="00AE4D5A" w:rsidRDefault="00AE4D5A" w:rsidP="008E5E01">
      <w:pPr>
        <w:pStyle w:val="ListBullet"/>
      </w:pPr>
      <w:r>
        <w:t>improving coherence in infrastructure provision — by developing and implementing an integrated long term strategy for investment based on economic returns</w:t>
      </w:r>
    </w:p>
    <w:p w:rsidR="00AE4D5A" w:rsidRDefault="00AE4D5A" w:rsidP="008E5E01">
      <w:pPr>
        <w:pStyle w:val="ListBullet"/>
      </w:pPr>
      <w:r>
        <w:t>creating an environment for more private sector involvement in infrastructure provision and operation</w:t>
      </w:r>
    </w:p>
    <w:p w:rsidR="00AE4D5A" w:rsidRDefault="00AE4D5A" w:rsidP="008E5E01">
      <w:pPr>
        <w:pStyle w:val="ListBullet"/>
      </w:pPr>
      <w:r>
        <w:t>removing subsidies to inefficient industries</w:t>
      </w:r>
    </w:p>
    <w:p w:rsidR="00AE4D5A" w:rsidRPr="007C0711" w:rsidRDefault="00AE4D5A" w:rsidP="008E5E01">
      <w:pPr>
        <w:pStyle w:val="ListBullet"/>
      </w:pPr>
      <w:r w:rsidRPr="007C0711">
        <w:t>creating a regulatory environment that reduces the cost of doing business in Tasmania and delivering efficient public services that make a lesser call on taxes and charges to fund them.</w:t>
      </w:r>
    </w:p>
    <w:p w:rsidR="00AE4D5A" w:rsidRPr="007C0711" w:rsidRDefault="00AE4D5A" w:rsidP="008E5E01">
      <w:pPr>
        <w:pStyle w:val="BodyText"/>
      </w:pPr>
      <w:r>
        <w:t xml:space="preserve">It is also clear that some regional economies experience very different labour market issues relative to the national economy generally. The Australian Government has foreshadowed an inquiry into the Fair Work Act and Australian labour markets. </w:t>
      </w:r>
      <w:r w:rsidRPr="007C0711">
        <w:t xml:space="preserve">This inquiry has seen indications that regional factors should be examined </w:t>
      </w:r>
      <w:r>
        <w:t>as part of</w:t>
      </w:r>
      <w:r w:rsidRPr="007C0711">
        <w:t xml:space="preserve"> that inquiry.</w:t>
      </w:r>
    </w:p>
    <w:p w:rsidR="00AE4D5A" w:rsidRPr="00721F9F" w:rsidRDefault="00AE4D5A" w:rsidP="008E5E01">
      <w:pPr>
        <w:pStyle w:val="Heading3"/>
      </w:pPr>
      <w:r w:rsidRPr="007C0711">
        <w:lastRenderedPageBreak/>
        <w:t>Meshing with existing plans</w:t>
      </w:r>
      <w:r w:rsidRPr="00721F9F">
        <w:t xml:space="preserve"> and programs</w:t>
      </w:r>
    </w:p>
    <w:p w:rsidR="00AE4D5A" w:rsidRDefault="00AE4D5A" w:rsidP="008E5E01">
      <w:pPr>
        <w:pStyle w:val="BodyText"/>
      </w:pPr>
      <w:r>
        <w:t xml:space="preserve">There is array </w:t>
      </w:r>
      <w:r w:rsidRPr="00721F9F">
        <w:t>of economic development plans and strategies for Tasmania. These include initiatives developed and funded by all levels of government</w:t>
      </w:r>
      <w:r>
        <w:t xml:space="preserve"> </w:t>
      </w:r>
      <w:r w:rsidRPr="00721F9F">
        <w:t xml:space="preserve">and covering a range of industries and activities. It is not clear that the existing suite of initiatives </w:t>
      </w:r>
      <w:r>
        <w:t>is</w:t>
      </w:r>
      <w:r w:rsidRPr="00721F9F">
        <w:t xml:space="preserve"> </w:t>
      </w:r>
      <w:r>
        <w:t xml:space="preserve">collectively </w:t>
      </w:r>
      <w:r w:rsidRPr="00721F9F">
        <w:t>coherent and optimal for Tasmani</w:t>
      </w:r>
      <w:r>
        <w:t xml:space="preserve">a as a whole. In particular, </w:t>
      </w:r>
      <w:r w:rsidRPr="00721F9F">
        <w:t>are the various plans consistent and compl</w:t>
      </w:r>
      <w:r>
        <w:t>e</w:t>
      </w:r>
      <w:r w:rsidRPr="00721F9F">
        <w:t>mentary in their design and intent?</w:t>
      </w:r>
    </w:p>
    <w:p w:rsidR="00AE4D5A" w:rsidRDefault="00AE4D5A" w:rsidP="008E5E01">
      <w:pPr>
        <w:pStyle w:val="BodyText"/>
      </w:pPr>
      <w:r>
        <w:t>In the limited time and evidence made available for this inquiry, it appears that most strategies are individually aimed at addressing some aspects of ‘disadvantage’. They do not appear informed by any genuine questioning of the value of retaining structures and measures that have not delivered improved outcomes for Tasmania over long periods.</w:t>
      </w:r>
    </w:p>
    <w:p w:rsidR="00AE4D5A" w:rsidRPr="00721F9F" w:rsidRDefault="00AE4D5A" w:rsidP="008E5E01">
      <w:pPr>
        <w:pStyle w:val="BodyText"/>
      </w:pPr>
      <w:r w:rsidRPr="00721F9F">
        <w:t xml:space="preserve">The Commission considers that an important first step in improving the existing approach to </w:t>
      </w:r>
      <w:r>
        <w:t xml:space="preserve">economic </w:t>
      </w:r>
      <w:r w:rsidRPr="00721F9F">
        <w:t xml:space="preserve">development in Tasmania is </w:t>
      </w:r>
      <w:r>
        <w:t>to</w:t>
      </w:r>
      <w:r w:rsidRPr="00721F9F">
        <w:t xml:space="preserve"> conduct a stocktake of existing </w:t>
      </w:r>
      <w:r>
        <w:t>programs</w:t>
      </w:r>
      <w:r w:rsidRPr="00721F9F">
        <w:t xml:space="preserve"> </w:t>
      </w:r>
      <w:r>
        <w:t xml:space="preserve">specific to Tasmania in order </w:t>
      </w:r>
      <w:r w:rsidRPr="00721F9F">
        <w:t xml:space="preserve">to clarify their nature, intent, timing, coverage, governance arrangements, and </w:t>
      </w:r>
      <w:r>
        <w:t xml:space="preserve">any </w:t>
      </w:r>
      <w:r w:rsidRPr="00721F9F">
        <w:t>areas of duplication.</w:t>
      </w:r>
    </w:p>
    <w:p w:rsidR="00AE4D5A" w:rsidRDefault="00AE4D5A" w:rsidP="008E5E01">
      <w:pPr>
        <w:pStyle w:val="BodyText"/>
      </w:pPr>
      <w:r>
        <w:t xml:space="preserve">The Australian and Tasmanian Governments should jointly undertake the stocktake with a view to having a publicly available report in 2015. The results should be used by the Australian and Tasmanian Governments to inform a fundamental and comprehensive policy strategy, to enhance </w:t>
      </w:r>
      <w:r w:rsidRPr="007C0711">
        <w:t>structural reform and the economic development</w:t>
      </w:r>
      <w:r>
        <w:t xml:space="preserve"> of Tasmania, and ensure related policies and programs generate the greatest net benefit to the State as a whole.</w:t>
      </w:r>
    </w:p>
    <w:p w:rsidR="00AE4D5A" w:rsidRPr="00721F9F" w:rsidRDefault="00AE4D5A" w:rsidP="008E5E01">
      <w:pPr>
        <w:pStyle w:val="BodyText"/>
      </w:pPr>
      <w:r w:rsidRPr="00721F9F">
        <w:t xml:space="preserve">The Commission notes that a Joint Commonwealth and Tasmanian Economic Council has recently been established to consider competitive reforms to enhance Tasmania’s long term economic growth prospects. This Council </w:t>
      </w:r>
      <w:r>
        <w:t>is</w:t>
      </w:r>
      <w:r w:rsidRPr="00721F9F">
        <w:t xml:space="preserve"> well placed to </w:t>
      </w:r>
      <w:r>
        <w:t xml:space="preserve">initiate </w:t>
      </w:r>
      <w:r w:rsidRPr="00721F9F">
        <w:t xml:space="preserve">such a </w:t>
      </w:r>
      <w:r>
        <w:t>stocktake</w:t>
      </w:r>
      <w:r w:rsidRPr="00721F9F">
        <w:t xml:space="preserve"> as part of its </w:t>
      </w:r>
      <w:r>
        <w:t xml:space="preserve">initial </w:t>
      </w:r>
      <w:r w:rsidRPr="00721F9F">
        <w:t>work program.</w:t>
      </w:r>
    </w:p>
    <w:p w:rsidR="00AE4D5A" w:rsidRPr="00721F9F" w:rsidRDefault="00AE4D5A" w:rsidP="008E5E01">
      <w:pPr>
        <w:pStyle w:val="Heading3"/>
      </w:pPr>
      <w:r w:rsidRPr="00721F9F">
        <w:t>Review and evaluation</w:t>
      </w:r>
    </w:p>
    <w:p w:rsidR="00AE4D5A" w:rsidRPr="00721F9F" w:rsidRDefault="00AE4D5A" w:rsidP="008E5E01">
      <w:pPr>
        <w:pStyle w:val="BodyText"/>
      </w:pPr>
      <w:r w:rsidRPr="00721F9F">
        <w:t xml:space="preserve">One of the deficiencies of the existing freight </w:t>
      </w:r>
      <w:r>
        <w:t xml:space="preserve">and passenger vehicle </w:t>
      </w:r>
      <w:r w:rsidRPr="00721F9F">
        <w:t xml:space="preserve">subsidy schemes </w:t>
      </w:r>
      <w:r>
        <w:t>has been</w:t>
      </w:r>
      <w:r w:rsidRPr="00721F9F">
        <w:t xml:space="preserve"> the lack of evaluation of their impacts over time. </w:t>
      </w:r>
    </w:p>
    <w:p w:rsidR="00AE4D5A" w:rsidRDefault="00AE4D5A" w:rsidP="008E5E01">
      <w:pPr>
        <w:pStyle w:val="BodyText"/>
      </w:pPr>
      <w:r w:rsidRPr="00721F9F">
        <w:t xml:space="preserve">The Commission </w:t>
      </w:r>
      <w:r>
        <w:t>considers</w:t>
      </w:r>
      <w:r w:rsidRPr="00721F9F">
        <w:t xml:space="preserve"> that programs</w:t>
      </w:r>
      <w:r>
        <w:t>, including those that are specific to Tasmania,</w:t>
      </w:r>
      <w:r w:rsidRPr="00721F9F">
        <w:t xml:space="preserve"> should be reviewed and evaluated </w:t>
      </w:r>
      <w:r>
        <w:t>periodically and transparently</w:t>
      </w:r>
      <w:r w:rsidRPr="00721F9F">
        <w:t>. Such reviews should be conducted by an appropriate independent body and, apart from an ex</w:t>
      </w:r>
      <w:r>
        <w:noBreakHyphen/>
      </w:r>
      <w:r w:rsidRPr="00721F9F">
        <w:t xml:space="preserve">post assessment of the aggregate benefits and costs of the strategy to date, </w:t>
      </w:r>
      <w:r>
        <w:t>should</w:t>
      </w:r>
      <w:r w:rsidRPr="00721F9F">
        <w:t xml:space="preserve"> also include an assessment of the benefits and costs of any continued </w:t>
      </w:r>
      <w:r>
        <w:t>Australian Government</w:t>
      </w:r>
      <w:r w:rsidRPr="00721F9F">
        <w:t xml:space="preserve"> financial contribution to the strategy.</w:t>
      </w:r>
    </w:p>
    <w:p w:rsidR="00AE4D5A" w:rsidRDefault="00AE4D5A" w:rsidP="00AE4D5A">
      <w:pPr>
        <w:sectPr w:rsidR="00AE4D5A" w:rsidSect="00AE4D5A">
          <w:headerReference w:type="even" r:id="rId26"/>
          <w:headerReference w:type="default" r:id="rId27"/>
          <w:footerReference w:type="even" r:id="rId28"/>
          <w:footerReference w:type="default" r:id="rId29"/>
          <w:pgSz w:w="11907" w:h="16840" w:code="9"/>
          <w:pgMar w:top="1985" w:right="1304" w:bottom="1418" w:left="1814" w:header="1701" w:footer="567" w:gutter="0"/>
          <w:pgNumType w:chapSep="period"/>
          <w:cols w:space="720"/>
          <w:titlePg/>
          <w:docGrid w:linePitch="354"/>
        </w:sectPr>
      </w:pPr>
    </w:p>
    <w:p w:rsidR="00AE4D5A" w:rsidRDefault="00DD59EE" w:rsidP="008E5E01">
      <w:pPr>
        <w:pStyle w:val="Heading1"/>
        <w:spacing w:before="0"/>
      </w:pPr>
      <w:bookmarkStart w:id="1" w:name="_References"/>
      <w:bookmarkStart w:id="2" w:name="ChapterTitle"/>
      <w:bookmarkEnd w:id="1"/>
      <w:r>
        <w:lastRenderedPageBreak/>
        <w:t>Findings and r</w:t>
      </w:r>
      <w:r w:rsidR="00AE4D5A">
        <w:t>ecommendations</w:t>
      </w:r>
      <w:bookmarkEnd w:id="2"/>
    </w:p>
    <w:p w:rsidR="00AE4D5A" w:rsidRDefault="00AE4D5A" w:rsidP="008E5E01">
      <w:pPr>
        <w:pStyle w:val="Heading3"/>
      </w:pPr>
      <w:r>
        <w:t>Reforms with national and Tasmanian benefits</w:t>
      </w:r>
      <w:r>
        <w:tab/>
      </w:r>
    </w:p>
    <w:p w:rsidR="00AE4D5A" w:rsidRPr="00CA33A4" w:rsidRDefault="00AE4D5A" w:rsidP="008E5E01">
      <w:pPr>
        <w:pStyle w:val="FindingTitle"/>
        <w:framePr w:wrap="auto"/>
        <w:tabs>
          <w:tab w:val="right" w:pos="8789"/>
        </w:tabs>
        <w:rPr>
          <w:b/>
          <w:sz w:val="22"/>
          <w:szCs w:val="22"/>
        </w:rPr>
      </w:pPr>
      <w:r w:rsidRPr="00670AEA">
        <w:rPr>
          <w:b/>
          <w:sz w:val="22"/>
          <w:szCs w:val="22"/>
        </w:rPr>
        <w:t xml:space="preserve">Recommendation 1 </w:t>
      </w:r>
      <w:r w:rsidRPr="00670AEA">
        <w:rPr>
          <w:b/>
          <w:sz w:val="22"/>
          <w:szCs w:val="22"/>
        </w:rPr>
        <w:tab/>
        <w:t>(chapter</w:t>
      </w:r>
      <w:r>
        <w:rPr>
          <w:b/>
          <w:sz w:val="22"/>
          <w:szCs w:val="22"/>
        </w:rPr>
        <w:t> </w:t>
      </w:r>
      <w:r w:rsidRPr="00670AEA">
        <w:rPr>
          <w:b/>
          <w:sz w:val="22"/>
          <w:szCs w:val="22"/>
        </w:rPr>
        <w:t>4)</w:t>
      </w:r>
    </w:p>
    <w:p w:rsidR="00AE4D5A" w:rsidRDefault="00AE4D5A" w:rsidP="008E5E01">
      <w:pPr>
        <w:pStyle w:val="Rec"/>
      </w:pPr>
      <w:r w:rsidRPr="0030679F">
        <w:t>The Australian Government should proceed with the foreshadowed review of coastal shipping regulation (including cabotage) as a matter of priority. The objective of the review should be to achieve the most efficient coastal shipping services feasible for Australia.</w:t>
      </w:r>
    </w:p>
    <w:p w:rsidR="00AE4D5A" w:rsidRPr="00CA33A4" w:rsidRDefault="00AE4D5A" w:rsidP="008E5E01">
      <w:pPr>
        <w:pStyle w:val="FindingTitle"/>
        <w:framePr w:wrap="auto"/>
        <w:tabs>
          <w:tab w:val="right" w:pos="8789"/>
        </w:tabs>
        <w:rPr>
          <w:b/>
          <w:sz w:val="22"/>
          <w:szCs w:val="22"/>
        </w:rPr>
      </w:pPr>
      <w:r>
        <w:rPr>
          <w:b/>
          <w:sz w:val="22"/>
          <w:szCs w:val="22"/>
        </w:rPr>
        <w:t>finding</w:t>
      </w:r>
      <w:r w:rsidRPr="00670AEA">
        <w:rPr>
          <w:b/>
          <w:sz w:val="22"/>
          <w:szCs w:val="22"/>
        </w:rPr>
        <w:t xml:space="preserve"> </w:t>
      </w:r>
      <w:r w:rsidRPr="00670AEA">
        <w:rPr>
          <w:b/>
          <w:sz w:val="22"/>
          <w:szCs w:val="22"/>
        </w:rPr>
        <w:tab/>
      </w:r>
    </w:p>
    <w:p w:rsidR="00AE4D5A" w:rsidRPr="00403CF2" w:rsidRDefault="00AE4D5A" w:rsidP="008E5E01">
      <w:pPr>
        <w:pStyle w:val="Finding"/>
      </w:pPr>
      <w:r>
        <w:t>The</w:t>
      </w:r>
      <w:r w:rsidRPr="00DF0101">
        <w:t xml:space="preserve"> Tasmanian Freight Equalisation Scheme </w:t>
      </w:r>
      <w:r>
        <w:t xml:space="preserve">(TFES), the Tasmanian Wheat Freight Scheme (TWFS) </w:t>
      </w:r>
      <w:r w:rsidRPr="00DF0101">
        <w:t>and the Bass Strait Passenger Ve</w:t>
      </w:r>
      <w:r w:rsidRPr="00F53174">
        <w:t xml:space="preserve">hicle Equalisation Scheme </w:t>
      </w:r>
      <w:r>
        <w:t xml:space="preserve">(BSPVES) </w:t>
      </w:r>
      <w:r w:rsidRPr="00E94035">
        <w:t>are not the best way to advance Ta</w:t>
      </w:r>
      <w:r w:rsidRPr="00742589">
        <w:t>smania’s</w:t>
      </w:r>
      <w:r w:rsidRPr="0075202E">
        <w:t xml:space="preserve"> economic development.</w:t>
      </w:r>
      <w:r w:rsidRPr="009F06FB">
        <w:t xml:space="preserve"> </w:t>
      </w:r>
      <w:r w:rsidRPr="00403CF2">
        <w:t xml:space="preserve">They fall well short of what is needed to improve the competitiveness of the Tasmanian economy: </w:t>
      </w:r>
    </w:p>
    <w:p w:rsidR="00AE4D5A" w:rsidRPr="00DF0101" w:rsidRDefault="00AE4D5A" w:rsidP="008E5E01">
      <w:pPr>
        <w:pStyle w:val="FindingBullet"/>
      </w:pPr>
      <w:r w:rsidRPr="00992FCD">
        <w:t xml:space="preserve">they </w:t>
      </w:r>
      <w:r w:rsidRPr="00DF0101">
        <w:t xml:space="preserve">have a high fiscal cost (collectively $2 billion since inception and without change a further $2 </w:t>
      </w:r>
      <w:r>
        <w:t>billion over the next 15 years)</w:t>
      </w:r>
    </w:p>
    <w:p w:rsidR="00AE4D5A" w:rsidRPr="00DF0101" w:rsidRDefault="00AE4D5A" w:rsidP="008E5E01">
      <w:pPr>
        <w:pStyle w:val="FindingBullet"/>
      </w:pPr>
      <w:r w:rsidRPr="00DF0101">
        <w:t xml:space="preserve">eligibility of the TFES is arbitrary and the </w:t>
      </w:r>
      <w:r>
        <w:t xml:space="preserve">direct recipients are </w:t>
      </w:r>
      <w:r w:rsidRPr="00DF0101">
        <w:t>concentrated, with 50</w:t>
      </w:r>
      <w:r w:rsidRPr="00C176BA">
        <w:t xml:space="preserve"> per cent</w:t>
      </w:r>
      <w:r w:rsidRPr="00DF0101">
        <w:t xml:space="preserve"> of the total amount </w:t>
      </w:r>
      <w:r>
        <w:t>claimed going to 10 recipients</w:t>
      </w:r>
    </w:p>
    <w:p w:rsidR="00AE4D5A" w:rsidRPr="00403CF2" w:rsidRDefault="00AE4D5A" w:rsidP="008E5E01">
      <w:pPr>
        <w:pStyle w:val="FindingBullet"/>
      </w:pPr>
      <w:r w:rsidRPr="00DF0101">
        <w:t xml:space="preserve">the incidence of the subsidies (who </w:t>
      </w:r>
      <w:r w:rsidRPr="00C176BA">
        <w:t xml:space="preserve">actually </w:t>
      </w:r>
      <w:r w:rsidRPr="00DF0101">
        <w:t xml:space="preserve">benefits) is not clear given the involvement of a monopoly </w:t>
      </w:r>
      <w:r w:rsidRPr="00C176BA">
        <w:t xml:space="preserve">service provider </w:t>
      </w:r>
      <w:r w:rsidRPr="00DF0101">
        <w:t>(TT</w:t>
      </w:r>
      <w:r>
        <w:noBreakHyphen/>
      </w:r>
      <w:r w:rsidRPr="00DF0101">
        <w:t xml:space="preserve">Line for passenger vehicle transit) and </w:t>
      </w:r>
      <w:r w:rsidRPr="00F53174">
        <w:t xml:space="preserve">concerns about the effectiveness of competition between the </w:t>
      </w:r>
      <w:r w:rsidRPr="00E94035">
        <w:t xml:space="preserve">three shipping lines </w:t>
      </w:r>
      <w:r w:rsidRPr="0075202E">
        <w:t xml:space="preserve">on the Bass Strait route </w:t>
      </w:r>
      <w:r w:rsidRPr="009F06FB">
        <w:t xml:space="preserve">(for </w:t>
      </w:r>
      <w:r w:rsidRPr="00403CF2">
        <w:t>non</w:t>
      </w:r>
      <w:r>
        <w:noBreakHyphen/>
        <w:t>bulk freight)</w:t>
      </w:r>
    </w:p>
    <w:p w:rsidR="00AE4D5A" w:rsidRPr="00DF0101" w:rsidRDefault="00AE4D5A" w:rsidP="008E5E01">
      <w:pPr>
        <w:pStyle w:val="FindingBullet"/>
      </w:pPr>
      <w:r w:rsidRPr="00992FCD">
        <w:t>as subsid</w:t>
      </w:r>
      <w:r>
        <w:t>ies</w:t>
      </w:r>
      <w:r w:rsidRPr="00992FCD">
        <w:t xml:space="preserve"> they </w:t>
      </w:r>
      <w:r w:rsidRPr="00C176BA">
        <w:t xml:space="preserve">have a number of </w:t>
      </w:r>
      <w:r>
        <w:t>un</w:t>
      </w:r>
      <w:r w:rsidRPr="00C176BA">
        <w:t xml:space="preserve">intended consequences, including </w:t>
      </w:r>
      <w:r w:rsidRPr="00DF0101">
        <w:t>perversely increas</w:t>
      </w:r>
      <w:r w:rsidRPr="00C176BA">
        <w:t>ing</w:t>
      </w:r>
      <w:r w:rsidRPr="00DF0101">
        <w:t xml:space="preserve"> the costs of goods for Tasmanian consumers.</w:t>
      </w:r>
    </w:p>
    <w:p w:rsidR="00AE4D5A" w:rsidRDefault="00AE4D5A" w:rsidP="008E5E01">
      <w:pPr>
        <w:pStyle w:val="Finding"/>
      </w:pPr>
      <w:r w:rsidRPr="00F53174">
        <w:t>It is disappointing that to date the policy focus remains on these schemes and not on more fundamental policy levers —</w:t>
      </w:r>
      <w:r w:rsidRPr="00E94035">
        <w:t xml:space="preserve"> </w:t>
      </w:r>
      <w:r>
        <w:t>such as</w:t>
      </w:r>
      <w:r w:rsidRPr="00E94035">
        <w:t xml:space="preserve"> coastal shipping regulation, the </w:t>
      </w:r>
      <w:r w:rsidRPr="00C176BA">
        <w:t xml:space="preserve">overall size and breadth of government in Tasmania </w:t>
      </w:r>
      <w:r>
        <w:t>including</w:t>
      </w:r>
      <w:r w:rsidRPr="00C176BA">
        <w:t xml:space="preserve"> the direct involvement of the Tasmanian Government </w:t>
      </w:r>
      <w:r w:rsidRPr="00DF0101">
        <w:t>in commercial enterprise</w:t>
      </w:r>
      <w:r>
        <w:t>s</w:t>
      </w:r>
      <w:r w:rsidRPr="00DF0101">
        <w:t xml:space="preserve">, labour market skills and mobility </w:t>
      </w:r>
      <w:r w:rsidRPr="00F53174">
        <w:t>— to meaningfully improve the overall competitive</w:t>
      </w:r>
      <w:r w:rsidRPr="00E94035">
        <w:t>ness of the Tasmanian economy.</w:t>
      </w:r>
      <w:r w:rsidRPr="009A28B2">
        <w:t xml:space="preserve"> </w:t>
      </w:r>
      <w:r w:rsidRPr="0075202E">
        <w:t xml:space="preserve">Notably, and refreshingly, the Commission did receive some evidence from </w:t>
      </w:r>
      <w:r>
        <w:t>Tasmanian businesses to support policy initiatives in this vein, and widespread support for coastal shipping regulatory reform.</w:t>
      </w:r>
    </w:p>
    <w:p w:rsidR="00AE4D5A" w:rsidRDefault="00AE4D5A" w:rsidP="008E5E01">
      <w:pPr>
        <w:pStyle w:val="Heading3"/>
      </w:pPr>
      <w:r>
        <w:lastRenderedPageBreak/>
        <w:t>The TFES</w:t>
      </w:r>
    </w:p>
    <w:p w:rsidR="00AE4D5A" w:rsidRPr="00CA33A4" w:rsidRDefault="00AE4D5A" w:rsidP="008E5E01">
      <w:pPr>
        <w:pStyle w:val="FindingTitle"/>
        <w:framePr w:wrap="auto"/>
        <w:tabs>
          <w:tab w:val="right" w:pos="8789"/>
        </w:tabs>
        <w:rPr>
          <w:b/>
          <w:sz w:val="22"/>
          <w:szCs w:val="22"/>
        </w:rPr>
      </w:pPr>
      <w:r>
        <w:rPr>
          <w:b/>
          <w:sz w:val="22"/>
          <w:szCs w:val="22"/>
        </w:rPr>
        <w:t xml:space="preserve">Recommendation </w:t>
      </w:r>
      <w:r w:rsidRPr="004542B0">
        <w:rPr>
          <w:b/>
          <w:sz w:val="22"/>
          <w:szCs w:val="22"/>
        </w:rPr>
        <w:t>2</w:t>
      </w:r>
      <w:r>
        <w:rPr>
          <w:b/>
          <w:sz w:val="22"/>
          <w:szCs w:val="22"/>
        </w:rPr>
        <w:t xml:space="preserve"> </w:t>
      </w:r>
      <w:r>
        <w:rPr>
          <w:b/>
          <w:sz w:val="22"/>
          <w:szCs w:val="22"/>
        </w:rPr>
        <w:tab/>
        <w:t>(chapter 3</w:t>
      </w:r>
      <w:r w:rsidRPr="00CA33A4">
        <w:rPr>
          <w:b/>
          <w:sz w:val="22"/>
          <w:szCs w:val="22"/>
        </w:rPr>
        <w:t>)</w:t>
      </w:r>
    </w:p>
    <w:p w:rsidR="00AE4D5A" w:rsidRPr="00343F2F" w:rsidRDefault="00AE4D5A" w:rsidP="008E5E01">
      <w:pPr>
        <w:pStyle w:val="Rec"/>
      </w:pPr>
      <w:r w:rsidRPr="00343F2F">
        <w:t>The Australian Government should introduce payment of freight assistance as a flat rate of subsidy per TEU (twenty foot equivalent unit) shipped.</w:t>
      </w:r>
    </w:p>
    <w:p w:rsidR="00AE4D5A" w:rsidRPr="00343F2F" w:rsidRDefault="00AE4D5A" w:rsidP="008E5E01">
      <w:pPr>
        <w:pStyle w:val="Rec"/>
      </w:pPr>
      <w:r w:rsidRPr="00343F2F">
        <w:t>The Bureau of Infrastructure, Transport and Regional Economics should recommend separate dollar amounts per TEU of assistance for the Tasmanian mainland, King Island, and the Furneaux Group of islands, informed by a public consultation process, and taking the following into account:</w:t>
      </w:r>
    </w:p>
    <w:p w:rsidR="00AE4D5A" w:rsidRPr="00343F2F" w:rsidRDefault="00AE4D5A" w:rsidP="008E5E01">
      <w:pPr>
        <w:pStyle w:val="RecBullet"/>
      </w:pPr>
      <w:r w:rsidRPr="00343F2F">
        <w:t xml:space="preserve">a reasonable amount to partially offset the freight cost disadvantage associated with Bass Strait shipping and informed by the Government’s overall </w:t>
      </w:r>
      <w:r>
        <w:t>budget commitment to the scheme</w:t>
      </w:r>
    </w:p>
    <w:p w:rsidR="00AE4D5A" w:rsidRPr="00343F2F" w:rsidRDefault="00AE4D5A" w:rsidP="008E5E01">
      <w:pPr>
        <w:pStyle w:val="RecBullet"/>
      </w:pPr>
      <w:r w:rsidRPr="00343F2F">
        <w:t>that the flat rate should include a zone structure for eligible shippers on King Island and the Furneaux Group of islands in recognition of their relatively greater shipping freight cost disadvantage and l</w:t>
      </w:r>
      <w:r>
        <w:t>imited shipping service options</w:t>
      </w:r>
    </w:p>
    <w:p w:rsidR="00AE4D5A" w:rsidRPr="00343F2F" w:rsidRDefault="00AE4D5A" w:rsidP="008E5E01">
      <w:pPr>
        <w:pStyle w:val="RecBullet"/>
      </w:pPr>
      <w:r w:rsidRPr="00343F2F">
        <w:t>that the flat rate should provide assistance that is compatible with the incentive to seek the lowest shipping cost and not a percentage of transport cos</w:t>
      </w:r>
      <w:r>
        <w:t>ts incurred</w:t>
      </w:r>
    </w:p>
    <w:p w:rsidR="00AE4D5A" w:rsidRPr="00343F2F" w:rsidRDefault="00AE4D5A" w:rsidP="008E5E01">
      <w:pPr>
        <w:pStyle w:val="RecBullet"/>
      </w:pPr>
      <w:r w:rsidRPr="00343F2F">
        <w:t>an appropriate transition period to the new flat rates reflecting any quantum of change and the ten</w:t>
      </w:r>
      <w:r>
        <w:t>or</w:t>
      </w:r>
      <w:r w:rsidRPr="00343F2F">
        <w:t xml:space="preserve"> of shipping contracts.</w:t>
      </w:r>
    </w:p>
    <w:p w:rsidR="00AE4D5A" w:rsidRDefault="00AE4D5A" w:rsidP="008E5E01">
      <w:pPr>
        <w:pStyle w:val="Rec"/>
      </w:pPr>
      <w:r w:rsidRPr="00343F2F">
        <w:t xml:space="preserve">The commencement of this consultation process is contingent on the resolution of the issues related to recommendation 6. </w:t>
      </w:r>
    </w:p>
    <w:p w:rsidR="00AE4D5A" w:rsidRDefault="00AE4D5A" w:rsidP="008E5E01">
      <w:pPr>
        <w:pStyle w:val="FindingTitle"/>
        <w:framePr w:wrap="notBeside"/>
        <w:tabs>
          <w:tab w:val="right" w:pos="8789"/>
        </w:tabs>
        <w:rPr>
          <w:b/>
          <w:sz w:val="22"/>
          <w:szCs w:val="22"/>
        </w:rPr>
      </w:pPr>
      <w:r>
        <w:rPr>
          <w:b/>
          <w:sz w:val="22"/>
          <w:szCs w:val="22"/>
        </w:rPr>
        <w:t>Recommendation 3</w:t>
      </w:r>
      <w:r>
        <w:rPr>
          <w:b/>
          <w:sz w:val="22"/>
          <w:szCs w:val="22"/>
        </w:rPr>
        <w:tab/>
        <w:t>(chapter 2)</w:t>
      </w:r>
    </w:p>
    <w:p w:rsidR="00AE4D5A" w:rsidRPr="00B316DD" w:rsidRDefault="00AE4D5A" w:rsidP="008E5E01">
      <w:pPr>
        <w:pStyle w:val="Rec"/>
      </w:pPr>
      <w:r w:rsidRPr="00B316DD">
        <w:t xml:space="preserve">Future Tasmanian Freight Equalisation Scheme </w:t>
      </w:r>
      <w:r>
        <w:t>(TFES) rate</w:t>
      </w:r>
      <w:r w:rsidRPr="00B316DD">
        <w:t xml:space="preserve"> reviews should be undertaken </w:t>
      </w:r>
      <w:r>
        <w:t xml:space="preserve">every four years </w:t>
      </w:r>
      <w:r w:rsidRPr="00B316DD">
        <w:t>by the Bureau of Infrastructure, Transport and Regional Economics using a public multi</w:t>
      </w:r>
      <w:r w:rsidRPr="00B316DD">
        <w:noBreakHyphen/>
        <w:t>stage process, comprising:</w:t>
      </w:r>
    </w:p>
    <w:p w:rsidR="00AE4D5A" w:rsidRPr="00B316DD" w:rsidRDefault="00AE4D5A" w:rsidP="008E5E01">
      <w:pPr>
        <w:pStyle w:val="RecBullet"/>
      </w:pPr>
      <w:r w:rsidRPr="00B316DD">
        <w:t xml:space="preserve">release of a draft report, containing the estimated </w:t>
      </w:r>
      <w:r>
        <w:t>rate</w:t>
      </w:r>
      <w:r w:rsidRPr="00B316DD">
        <w:t xml:space="preserve"> updates and </w:t>
      </w:r>
      <w:r>
        <w:t>underlying assumptions and data</w:t>
      </w:r>
    </w:p>
    <w:p w:rsidR="00AE4D5A" w:rsidRPr="00B316DD" w:rsidRDefault="00AE4D5A" w:rsidP="008E5E01">
      <w:pPr>
        <w:pStyle w:val="RecBullet"/>
      </w:pPr>
      <w:r w:rsidRPr="00B316DD">
        <w:t>a public submission process that allows interested parties suffi</w:t>
      </w:r>
      <w:r>
        <w:t>cient time to provide input</w:t>
      </w:r>
    </w:p>
    <w:p w:rsidR="00AE4D5A" w:rsidRDefault="00AE4D5A" w:rsidP="008E5E01">
      <w:pPr>
        <w:pStyle w:val="RecBullet"/>
      </w:pPr>
      <w:r w:rsidRPr="00B316DD">
        <w:t>release of a final report that incorporates resulting feedback and evidence</w:t>
      </w:r>
      <w:r>
        <w:t>.</w:t>
      </w:r>
    </w:p>
    <w:p w:rsidR="00AE4D5A" w:rsidRPr="00B316DD" w:rsidRDefault="00AE4D5A" w:rsidP="008E5E01">
      <w:pPr>
        <w:pStyle w:val="Rec"/>
      </w:pPr>
      <w:r>
        <w:t>Further, to inform rate reviews and future assessment of the effectiveness of the TFES, the Bureau should seek agreement with the relevant shipping lines to provide pricing and cost data.</w:t>
      </w:r>
    </w:p>
    <w:p w:rsidR="00AE4D5A" w:rsidRPr="00CA33A4" w:rsidRDefault="00AE4D5A" w:rsidP="008E5E01">
      <w:pPr>
        <w:pStyle w:val="FindingTitle"/>
        <w:framePr w:wrap="auto"/>
        <w:tabs>
          <w:tab w:val="right" w:pos="8789"/>
        </w:tabs>
        <w:rPr>
          <w:b/>
          <w:sz w:val="22"/>
          <w:szCs w:val="22"/>
        </w:rPr>
      </w:pPr>
      <w:r>
        <w:rPr>
          <w:b/>
          <w:sz w:val="22"/>
          <w:szCs w:val="22"/>
        </w:rPr>
        <w:lastRenderedPageBreak/>
        <w:t xml:space="preserve">Recommendation 4 </w:t>
      </w:r>
      <w:r>
        <w:rPr>
          <w:b/>
          <w:sz w:val="22"/>
          <w:szCs w:val="22"/>
        </w:rPr>
        <w:tab/>
        <w:t>(chapter 2</w:t>
      </w:r>
      <w:r w:rsidRPr="00CA33A4">
        <w:rPr>
          <w:b/>
          <w:sz w:val="22"/>
          <w:szCs w:val="22"/>
        </w:rPr>
        <w:t>)</w:t>
      </w:r>
    </w:p>
    <w:p w:rsidR="00AE4D5A" w:rsidRDefault="00AE4D5A" w:rsidP="008E5E01">
      <w:pPr>
        <w:pStyle w:val="Rec"/>
      </w:pPr>
      <w:r w:rsidRPr="00B316DD">
        <w:t xml:space="preserve">The Australian Government should respond publicly and in a timely manner to all Tasmanian Freight Equalisation Scheme </w:t>
      </w:r>
      <w:r>
        <w:t>rate</w:t>
      </w:r>
      <w:r w:rsidRPr="00B316DD">
        <w:t xml:space="preserve"> reviews. All responses should be released </w:t>
      </w:r>
      <w:r>
        <w:t>with an appropriate lead time to</w:t>
      </w:r>
      <w:r w:rsidRPr="00B316DD">
        <w:t xml:space="preserve"> provide certainty for recipients, and for any resulting revisions to payment rates to be incorporated into Commonwealth Budget processes.</w:t>
      </w:r>
    </w:p>
    <w:p w:rsidR="00AE4D5A" w:rsidRPr="00CA33A4" w:rsidDel="00F000D1" w:rsidRDefault="00AE4D5A" w:rsidP="008E5E01">
      <w:pPr>
        <w:pStyle w:val="FindingTitle"/>
        <w:framePr w:wrap="auto"/>
        <w:tabs>
          <w:tab w:val="right" w:pos="8789"/>
        </w:tabs>
        <w:rPr>
          <w:b/>
          <w:sz w:val="22"/>
          <w:szCs w:val="22"/>
        </w:rPr>
      </w:pPr>
      <w:r w:rsidDel="00F000D1">
        <w:rPr>
          <w:b/>
          <w:sz w:val="22"/>
          <w:szCs w:val="22"/>
        </w:rPr>
        <w:t xml:space="preserve">Recommendation 5 </w:t>
      </w:r>
      <w:r w:rsidDel="00F000D1">
        <w:rPr>
          <w:b/>
          <w:sz w:val="22"/>
          <w:szCs w:val="22"/>
        </w:rPr>
        <w:tab/>
        <w:t>(chapter 3</w:t>
      </w:r>
      <w:r w:rsidRPr="00CA33A4" w:rsidDel="00F000D1">
        <w:rPr>
          <w:b/>
          <w:sz w:val="22"/>
          <w:szCs w:val="22"/>
        </w:rPr>
        <w:t>)</w:t>
      </w:r>
    </w:p>
    <w:p w:rsidR="00AE4D5A" w:rsidRPr="00D705BE" w:rsidDel="00F000D1" w:rsidRDefault="00AE4D5A" w:rsidP="008E5E01">
      <w:pPr>
        <w:pStyle w:val="Rec"/>
      </w:pPr>
      <w:r w:rsidDel="00F000D1">
        <w:t>If the Australian Government chooses to retain the Tasmanian Freight Equalisation Scheme in its current form</w:t>
      </w:r>
      <w:r>
        <w:t>,</w:t>
      </w:r>
      <w:r w:rsidDel="00F000D1">
        <w:t xml:space="preserve"> the rate should be based on parameters recommended by the Bureau of Infrastructure, Transport and Re</w:t>
      </w:r>
      <w:r>
        <w:t>gional</w:t>
      </w:r>
      <w:r w:rsidDel="00F000D1">
        <w:t xml:space="preserve"> Economics, informed by a public </w:t>
      </w:r>
      <w:r>
        <w:t xml:space="preserve">consultation </w:t>
      </w:r>
      <w:r w:rsidDel="00F000D1">
        <w:t>process, and payable only on the basis of evidence of actual wharf</w:t>
      </w:r>
      <w:r w:rsidDel="00F000D1">
        <w:noBreakHyphen/>
        <w:t>to</w:t>
      </w:r>
      <w:r w:rsidDel="00F000D1">
        <w:noBreakHyphen/>
        <w:t>wharf costs.</w:t>
      </w:r>
    </w:p>
    <w:p w:rsidR="00AE4D5A" w:rsidRPr="00CA33A4" w:rsidRDefault="00AE4D5A" w:rsidP="008E5E01">
      <w:pPr>
        <w:pStyle w:val="FindingTitle"/>
        <w:framePr w:wrap="auto"/>
        <w:tabs>
          <w:tab w:val="right" w:pos="8789"/>
        </w:tabs>
        <w:rPr>
          <w:b/>
          <w:sz w:val="22"/>
          <w:szCs w:val="22"/>
        </w:rPr>
      </w:pPr>
      <w:r w:rsidRPr="00FE30D5">
        <w:rPr>
          <w:b/>
          <w:sz w:val="22"/>
          <w:szCs w:val="22"/>
        </w:rPr>
        <w:t>RECOMMENDATION</w:t>
      </w:r>
      <w:r>
        <w:rPr>
          <w:b/>
          <w:sz w:val="22"/>
          <w:szCs w:val="22"/>
        </w:rPr>
        <w:t xml:space="preserve"> 6 </w:t>
      </w:r>
      <w:r>
        <w:rPr>
          <w:b/>
          <w:sz w:val="22"/>
          <w:szCs w:val="22"/>
        </w:rPr>
        <w:tab/>
        <w:t>(chapter 3</w:t>
      </w:r>
      <w:r w:rsidRPr="00CA33A4">
        <w:rPr>
          <w:b/>
          <w:sz w:val="22"/>
          <w:szCs w:val="22"/>
        </w:rPr>
        <w:t>)</w:t>
      </w:r>
    </w:p>
    <w:p w:rsidR="00AE4D5A" w:rsidRDefault="00AE4D5A" w:rsidP="008E5E01">
      <w:pPr>
        <w:pStyle w:val="Rec"/>
      </w:pPr>
      <w:r>
        <w:t>In the absence of a regular direct international container service (direct service) from Tasmania, there is a case to extend the Tasmanian Freight Equalisation Scheme to all eligible commodities (as specified in the Ministerial Directions) shipped to the Port of Melbourne or any other mainland ports and subject to no net increase in the overall assistance provided by the scheme. The Australian Government should determine the merit and timing of such an extension following:</w:t>
      </w:r>
    </w:p>
    <w:p w:rsidR="00AE4D5A" w:rsidRDefault="00AE4D5A" w:rsidP="008E5E01">
      <w:pPr>
        <w:pStyle w:val="RecBullet"/>
      </w:pPr>
      <w:r>
        <w:t>discussion with the Tasmanian Government to ensure a mutually consistent policy approach</w:t>
      </w:r>
    </w:p>
    <w:p w:rsidR="00AE4D5A" w:rsidRDefault="00AE4D5A" w:rsidP="008E5E01">
      <w:pPr>
        <w:pStyle w:val="RecBullet"/>
      </w:pPr>
      <w:r>
        <w:t>an assessment of the extent to which the potential resumption of a commercially viable direct service would be compromised by such an extension of the scheme, and advanced by potential coastal shipping reform</w:t>
      </w:r>
    </w:p>
    <w:p w:rsidR="00AE4D5A" w:rsidRDefault="00AE4D5A" w:rsidP="008E5E01">
      <w:pPr>
        <w:pStyle w:val="RecBullet"/>
      </w:pPr>
      <w:r>
        <w:t>agreement having been secured with the relevant shipping lines to provide pricing and cost data to the Bureau of Infrastructure, Transport and Regional Economics (as per recommendation 3).</w:t>
      </w:r>
    </w:p>
    <w:p w:rsidR="00AE4D5A" w:rsidRPr="00A633E1" w:rsidRDefault="00AE4D5A" w:rsidP="008E5E01">
      <w:pPr>
        <w:pStyle w:val="FindingTitle"/>
        <w:framePr w:wrap="notBeside"/>
        <w:tabs>
          <w:tab w:val="right" w:pos="8789"/>
        </w:tabs>
        <w:rPr>
          <w:b/>
          <w:sz w:val="22"/>
          <w:szCs w:val="22"/>
        </w:rPr>
      </w:pPr>
      <w:r w:rsidRPr="00A633E1">
        <w:rPr>
          <w:b/>
          <w:sz w:val="22"/>
          <w:szCs w:val="22"/>
        </w:rPr>
        <w:t xml:space="preserve">RECOMMENDATION 7 </w:t>
      </w:r>
      <w:r w:rsidRPr="00A633E1">
        <w:rPr>
          <w:b/>
          <w:sz w:val="22"/>
          <w:szCs w:val="22"/>
        </w:rPr>
        <w:tab/>
        <w:t>(chapter 3)</w:t>
      </w:r>
    </w:p>
    <w:p w:rsidR="00AE4D5A" w:rsidRPr="00B316DD" w:rsidRDefault="00AE4D5A" w:rsidP="008E5E01">
      <w:pPr>
        <w:pStyle w:val="Rec"/>
      </w:pPr>
      <w:r w:rsidRPr="00B316DD">
        <w:t xml:space="preserve">The Department of Infrastructure and Regional Development should provide more comprehensive public reporting of information under the Tasmanian Freight Equalisation Scheme, including annual payments to recipients. </w:t>
      </w:r>
    </w:p>
    <w:p w:rsidR="00AE4D5A" w:rsidRPr="00CA33A4" w:rsidRDefault="00AE4D5A" w:rsidP="008E5E01">
      <w:pPr>
        <w:pStyle w:val="FindingTitle"/>
        <w:framePr w:wrap="auto"/>
        <w:tabs>
          <w:tab w:val="right" w:pos="8789"/>
        </w:tabs>
        <w:rPr>
          <w:b/>
          <w:sz w:val="22"/>
          <w:szCs w:val="22"/>
        </w:rPr>
      </w:pPr>
      <w:r>
        <w:rPr>
          <w:b/>
          <w:sz w:val="22"/>
          <w:szCs w:val="22"/>
        </w:rPr>
        <w:lastRenderedPageBreak/>
        <w:t xml:space="preserve">Recommendation 8 </w:t>
      </w:r>
      <w:r>
        <w:rPr>
          <w:b/>
          <w:sz w:val="22"/>
          <w:szCs w:val="22"/>
        </w:rPr>
        <w:tab/>
        <w:t>(chapter 3</w:t>
      </w:r>
      <w:r w:rsidRPr="00CA33A4">
        <w:rPr>
          <w:b/>
          <w:sz w:val="22"/>
          <w:szCs w:val="22"/>
        </w:rPr>
        <w:t>)</w:t>
      </w:r>
    </w:p>
    <w:p w:rsidR="00AE4D5A" w:rsidRPr="00B316DD" w:rsidRDefault="00AE4D5A" w:rsidP="008E5E01">
      <w:pPr>
        <w:pStyle w:val="Finding"/>
        <w:rPr>
          <w:b/>
        </w:rPr>
      </w:pPr>
      <w:r w:rsidRPr="00B316DD">
        <w:rPr>
          <w:b/>
        </w:rPr>
        <w:t xml:space="preserve">The </w:t>
      </w:r>
      <w:r>
        <w:rPr>
          <w:b/>
        </w:rPr>
        <w:t xml:space="preserve">Australian Government </w:t>
      </w:r>
      <w:r w:rsidRPr="00B316DD">
        <w:rPr>
          <w:b/>
        </w:rPr>
        <w:t>Department of Human Services should examine the benefits and costs, including compliance costs for claimants, of upgrading its technology to provide greater access to online claims under the Tasmanian Freight Equalisation Scheme and improve internal claims processing.</w:t>
      </w:r>
    </w:p>
    <w:p w:rsidR="00AE4D5A" w:rsidRPr="002B4740" w:rsidRDefault="00AE4D5A" w:rsidP="008E5E01">
      <w:pPr>
        <w:pStyle w:val="FindingTitle"/>
        <w:framePr w:wrap="auto"/>
        <w:tabs>
          <w:tab w:val="right" w:pos="8789"/>
        </w:tabs>
        <w:rPr>
          <w:b/>
          <w:sz w:val="22"/>
          <w:szCs w:val="22"/>
        </w:rPr>
      </w:pPr>
      <w:r>
        <w:rPr>
          <w:b/>
          <w:sz w:val="22"/>
          <w:szCs w:val="22"/>
        </w:rPr>
        <w:t xml:space="preserve">Recommendation 9 </w:t>
      </w:r>
      <w:r>
        <w:rPr>
          <w:b/>
          <w:sz w:val="22"/>
          <w:szCs w:val="22"/>
        </w:rPr>
        <w:tab/>
        <w:t>(chapter 3</w:t>
      </w:r>
      <w:r w:rsidRPr="00CA33A4">
        <w:rPr>
          <w:b/>
          <w:sz w:val="22"/>
          <w:szCs w:val="22"/>
        </w:rPr>
        <w:t>)</w:t>
      </w:r>
    </w:p>
    <w:p w:rsidR="00AE4D5A" w:rsidRDefault="00AE4D5A" w:rsidP="008E5E01">
      <w:pPr>
        <w:pStyle w:val="Rec"/>
      </w:pPr>
      <w:r>
        <w:t>The Department of Infrastructure and Regional Development should examine the benefits and costs to claimants and the Australian Government of introducing a minimum value for:</w:t>
      </w:r>
    </w:p>
    <w:p w:rsidR="00AE4D5A" w:rsidRDefault="00AE4D5A" w:rsidP="008E5E01">
      <w:pPr>
        <w:pStyle w:val="RecBullet"/>
      </w:pPr>
      <w:r>
        <w:t>individual sea freight invoices</w:t>
      </w:r>
    </w:p>
    <w:p w:rsidR="00AE4D5A" w:rsidRDefault="00AE4D5A" w:rsidP="008E5E01">
      <w:pPr>
        <w:pStyle w:val="RecBullet"/>
      </w:pPr>
      <w:r>
        <w:t>a consolidated set of sea freight invoices over a 12</w:t>
      </w:r>
      <w:r>
        <w:noBreakHyphen/>
        <w:t>month period</w:t>
      </w:r>
    </w:p>
    <w:p w:rsidR="00AE4D5A" w:rsidRDefault="00AE4D5A" w:rsidP="008E5E01">
      <w:pPr>
        <w:pStyle w:val="Rec"/>
      </w:pPr>
      <w:r>
        <w:t>that are eligible for assistance under the northbound component of the Tasmanian Freight Equalisation Scheme.</w:t>
      </w:r>
    </w:p>
    <w:p w:rsidR="00AE4D5A" w:rsidRPr="002B4740" w:rsidRDefault="00AE4D5A" w:rsidP="008E5E01">
      <w:pPr>
        <w:pStyle w:val="FindingTitle"/>
        <w:framePr w:wrap="auto"/>
        <w:tabs>
          <w:tab w:val="right" w:pos="8789"/>
        </w:tabs>
        <w:rPr>
          <w:b/>
          <w:sz w:val="22"/>
          <w:szCs w:val="22"/>
        </w:rPr>
      </w:pPr>
      <w:r>
        <w:rPr>
          <w:b/>
          <w:sz w:val="22"/>
          <w:szCs w:val="22"/>
        </w:rPr>
        <w:t xml:space="preserve">Recommendation 10 </w:t>
      </w:r>
      <w:r>
        <w:rPr>
          <w:b/>
          <w:sz w:val="22"/>
          <w:szCs w:val="22"/>
        </w:rPr>
        <w:tab/>
        <w:t>(chapter 3</w:t>
      </w:r>
      <w:r w:rsidRPr="00CA33A4">
        <w:rPr>
          <w:b/>
          <w:sz w:val="22"/>
          <w:szCs w:val="22"/>
        </w:rPr>
        <w:t>)</w:t>
      </w:r>
    </w:p>
    <w:p w:rsidR="00AE4D5A" w:rsidRDefault="00AE4D5A" w:rsidP="008E5E01">
      <w:pPr>
        <w:pStyle w:val="Rec"/>
      </w:pPr>
      <w:r w:rsidRPr="00B316DD">
        <w:t xml:space="preserve">The Department of Infrastructure and Regional Development should </w:t>
      </w:r>
      <w:r>
        <w:t>encourage and facilitate</w:t>
      </w:r>
      <w:r w:rsidRPr="00B316DD">
        <w:t xml:space="preserve"> </w:t>
      </w:r>
      <w:r>
        <w:t>the take</w:t>
      </w:r>
      <w:r>
        <w:noBreakHyphen/>
        <w:t xml:space="preserve">up of </w:t>
      </w:r>
      <w:r w:rsidRPr="00B316DD">
        <w:t>the self</w:t>
      </w:r>
      <w:r w:rsidRPr="00B316DD">
        <w:noBreakHyphen/>
        <w:t xml:space="preserve">assessment facility under the Tasmanian Freight Equalisation Scheme </w:t>
      </w:r>
      <w:r>
        <w:t>where appropriate</w:t>
      </w:r>
      <w:r w:rsidRPr="00B316DD">
        <w:t>.</w:t>
      </w:r>
    </w:p>
    <w:p w:rsidR="00AE4D5A" w:rsidRPr="002B4740" w:rsidRDefault="00AE4D5A" w:rsidP="008E5E01">
      <w:pPr>
        <w:pStyle w:val="FindingTitle"/>
        <w:framePr w:wrap="auto"/>
        <w:tabs>
          <w:tab w:val="right" w:pos="8789"/>
        </w:tabs>
        <w:rPr>
          <w:b/>
          <w:sz w:val="22"/>
          <w:szCs w:val="22"/>
        </w:rPr>
      </w:pPr>
      <w:r>
        <w:rPr>
          <w:b/>
          <w:sz w:val="22"/>
          <w:szCs w:val="22"/>
        </w:rPr>
        <w:t xml:space="preserve">Recommendation 11 </w:t>
      </w:r>
      <w:r>
        <w:rPr>
          <w:b/>
          <w:sz w:val="22"/>
          <w:szCs w:val="22"/>
        </w:rPr>
        <w:tab/>
        <w:t>(chapter 3</w:t>
      </w:r>
      <w:r w:rsidRPr="00CA33A4">
        <w:rPr>
          <w:b/>
          <w:sz w:val="22"/>
          <w:szCs w:val="22"/>
        </w:rPr>
        <w:t>)</w:t>
      </w:r>
    </w:p>
    <w:p w:rsidR="00AE4D5A" w:rsidRDefault="00AE4D5A" w:rsidP="008E5E01">
      <w:pPr>
        <w:pStyle w:val="Rec"/>
      </w:pPr>
      <w:r>
        <w:t>The Department of Infrastructure and Regional Development should, subject to confirming feasibility, assess claimants under the southbound component of the Tasmanian Freight Equalisation Scheme on a basis that would avoid the need for claimants to establish a separate legal entity to qualify for assistance, taking into account the compliance costs for businesses and the administration costs to the Australian Government.</w:t>
      </w:r>
    </w:p>
    <w:p w:rsidR="00AE4D5A" w:rsidRDefault="00AE4D5A" w:rsidP="008E5E01">
      <w:pPr>
        <w:pStyle w:val="Heading3"/>
      </w:pPr>
      <w:r>
        <w:t>The TWFS</w:t>
      </w:r>
    </w:p>
    <w:p w:rsidR="00AE4D5A" w:rsidRPr="00CA33A4" w:rsidRDefault="00AE4D5A" w:rsidP="008E5E01">
      <w:pPr>
        <w:pStyle w:val="FindingTitle"/>
        <w:framePr w:wrap="auto"/>
        <w:tabs>
          <w:tab w:val="right" w:pos="8789"/>
        </w:tabs>
        <w:rPr>
          <w:b/>
          <w:sz w:val="22"/>
          <w:szCs w:val="22"/>
        </w:rPr>
      </w:pPr>
      <w:r>
        <w:rPr>
          <w:b/>
          <w:sz w:val="22"/>
          <w:szCs w:val="22"/>
        </w:rPr>
        <w:t xml:space="preserve">Recommendation 12 </w:t>
      </w:r>
      <w:r>
        <w:rPr>
          <w:b/>
          <w:sz w:val="22"/>
          <w:szCs w:val="22"/>
        </w:rPr>
        <w:tab/>
        <w:t>(chapter 3</w:t>
      </w:r>
      <w:r w:rsidRPr="00CA33A4">
        <w:rPr>
          <w:b/>
          <w:sz w:val="22"/>
          <w:szCs w:val="22"/>
        </w:rPr>
        <w:t>)</w:t>
      </w:r>
    </w:p>
    <w:p w:rsidR="00AE4D5A" w:rsidRPr="00B316DD" w:rsidRDefault="00AE4D5A" w:rsidP="008E5E01">
      <w:pPr>
        <w:pStyle w:val="Rec"/>
      </w:pPr>
      <w:r w:rsidRPr="00B316DD">
        <w:t>The Australian Government should terminate the Tasmanian Wheat Freight Scheme as its original policy rationale</w:t>
      </w:r>
      <w:r>
        <w:t>,</w:t>
      </w:r>
      <w:r w:rsidRPr="00B316DD">
        <w:t xml:space="preserve"> and therefore the scheme itself</w:t>
      </w:r>
      <w:r>
        <w:t>,</w:t>
      </w:r>
      <w:r w:rsidRPr="00B316DD">
        <w:t xml:space="preserve"> </w:t>
      </w:r>
      <w:r>
        <w:t>is</w:t>
      </w:r>
      <w:r w:rsidRPr="00B316DD">
        <w:t xml:space="preserve"> redundant.</w:t>
      </w:r>
    </w:p>
    <w:p w:rsidR="00AE4D5A" w:rsidRPr="00B316DD" w:rsidRDefault="00AE4D5A" w:rsidP="008E5E01">
      <w:pPr>
        <w:pStyle w:val="Rec"/>
      </w:pPr>
      <w:r w:rsidRPr="00B316DD">
        <w:t xml:space="preserve">The calculation of assistance for wheat and other grains shipped in containers under the Tasmanian Freight Equalisation Scheme should be based on the lowest </w:t>
      </w:r>
      <w:r>
        <w:t xml:space="preserve">feasible </w:t>
      </w:r>
      <w:r w:rsidRPr="00B316DD">
        <w:t>cost option for transporting grain</w:t>
      </w:r>
      <w:r>
        <w:t>s</w:t>
      </w:r>
      <w:r w:rsidRPr="00B316DD">
        <w:t xml:space="preserve"> to Tasmania.</w:t>
      </w:r>
    </w:p>
    <w:p w:rsidR="00AE4D5A" w:rsidRDefault="00AE4D5A" w:rsidP="008E5E01">
      <w:pPr>
        <w:pStyle w:val="Heading3"/>
      </w:pPr>
      <w:r>
        <w:lastRenderedPageBreak/>
        <w:t>The BSPVES</w:t>
      </w:r>
    </w:p>
    <w:p w:rsidR="00DD59EE" w:rsidRDefault="00DD59EE" w:rsidP="00DD59EE">
      <w:pPr>
        <w:pStyle w:val="FindingTitle"/>
        <w:framePr w:wrap="auto"/>
        <w:tabs>
          <w:tab w:val="right" w:pos="8789"/>
        </w:tabs>
        <w:rPr>
          <w:b/>
          <w:sz w:val="22"/>
          <w:szCs w:val="22"/>
        </w:rPr>
      </w:pPr>
      <w:r w:rsidRPr="005F3452">
        <w:rPr>
          <w:b/>
          <w:sz w:val="22"/>
          <w:szCs w:val="22"/>
        </w:rPr>
        <w:t xml:space="preserve">Recommendation </w:t>
      </w:r>
      <w:r>
        <w:rPr>
          <w:b/>
          <w:sz w:val="22"/>
          <w:szCs w:val="22"/>
        </w:rPr>
        <w:t>13</w:t>
      </w:r>
      <w:r w:rsidRPr="005F3452">
        <w:rPr>
          <w:b/>
          <w:sz w:val="22"/>
          <w:szCs w:val="22"/>
        </w:rPr>
        <w:t xml:space="preserve"> </w:t>
      </w:r>
      <w:r w:rsidRPr="005F3452">
        <w:rPr>
          <w:b/>
          <w:sz w:val="22"/>
          <w:szCs w:val="22"/>
        </w:rPr>
        <w:tab/>
        <w:t>(chapter</w:t>
      </w:r>
      <w:r>
        <w:rPr>
          <w:b/>
          <w:sz w:val="22"/>
          <w:szCs w:val="22"/>
        </w:rPr>
        <w:t> </w:t>
      </w:r>
      <w:r w:rsidRPr="005F3452">
        <w:rPr>
          <w:b/>
          <w:sz w:val="22"/>
          <w:szCs w:val="22"/>
        </w:rPr>
        <w:t>3)</w:t>
      </w:r>
    </w:p>
    <w:p w:rsidR="00AE4D5A" w:rsidRDefault="00AE4D5A" w:rsidP="008E5E01">
      <w:pPr>
        <w:pStyle w:val="Rec"/>
      </w:pPr>
      <w:r>
        <w:t xml:space="preserve">The Australian </w:t>
      </w:r>
      <w:r w:rsidRPr="00B316DD">
        <w:t xml:space="preserve">Government should clearly articulate </w:t>
      </w:r>
      <w:r>
        <w:t>the</w:t>
      </w:r>
      <w:r w:rsidRPr="00B316DD">
        <w:t xml:space="preserve"> objective </w:t>
      </w:r>
      <w:r>
        <w:t xml:space="preserve">of the Bass Strait Passenger Vehicle Equalisation Scheme, </w:t>
      </w:r>
      <w:r w:rsidRPr="00B316DD">
        <w:t xml:space="preserve">and </w:t>
      </w:r>
      <w:r>
        <w:t>any future evaluation of</w:t>
      </w:r>
      <w:r w:rsidRPr="00B316DD">
        <w:t xml:space="preserve"> the scheme </w:t>
      </w:r>
      <w:r>
        <w:t>should be assessed against that objective</w:t>
      </w:r>
      <w:r w:rsidRPr="00B316DD">
        <w:t>.</w:t>
      </w:r>
    </w:p>
    <w:p w:rsidR="00AE4D5A" w:rsidRDefault="00AE4D5A" w:rsidP="008E5E01">
      <w:pPr>
        <w:pStyle w:val="FindingTitle"/>
        <w:framePr w:wrap="auto"/>
        <w:tabs>
          <w:tab w:val="right" w:pos="8789"/>
        </w:tabs>
        <w:rPr>
          <w:b/>
          <w:sz w:val="22"/>
          <w:szCs w:val="22"/>
        </w:rPr>
      </w:pPr>
      <w:r w:rsidRPr="005F3452">
        <w:rPr>
          <w:b/>
          <w:sz w:val="22"/>
          <w:szCs w:val="22"/>
        </w:rPr>
        <w:t xml:space="preserve">Recommendation </w:t>
      </w:r>
      <w:r>
        <w:rPr>
          <w:b/>
          <w:sz w:val="22"/>
          <w:szCs w:val="22"/>
        </w:rPr>
        <w:t>14</w:t>
      </w:r>
      <w:r w:rsidRPr="005F3452">
        <w:rPr>
          <w:b/>
          <w:sz w:val="22"/>
          <w:szCs w:val="22"/>
        </w:rPr>
        <w:t xml:space="preserve"> </w:t>
      </w:r>
      <w:r w:rsidRPr="005F3452">
        <w:rPr>
          <w:b/>
          <w:sz w:val="22"/>
          <w:szCs w:val="22"/>
        </w:rPr>
        <w:tab/>
        <w:t>(chapter</w:t>
      </w:r>
      <w:r>
        <w:rPr>
          <w:b/>
          <w:sz w:val="22"/>
          <w:szCs w:val="22"/>
        </w:rPr>
        <w:t> </w:t>
      </w:r>
      <w:r w:rsidRPr="005F3452">
        <w:rPr>
          <w:b/>
          <w:sz w:val="22"/>
          <w:szCs w:val="22"/>
        </w:rPr>
        <w:t>3)</w:t>
      </w:r>
    </w:p>
    <w:p w:rsidR="00AE4D5A" w:rsidRPr="00B316DD" w:rsidRDefault="00AE4D5A" w:rsidP="008E5E01">
      <w:pPr>
        <w:pStyle w:val="Rec"/>
      </w:pPr>
      <w:r>
        <w:t>The Australian Government should undertake discussions with the Tasmanian Government on a joint approach to ensuring greater transparency around TT</w:t>
      </w:r>
      <w:r>
        <w:noBreakHyphen/>
        <w:t>Line’s pricing, and an assessment of the extent to which the subsidy offered by the Bass Strait Passenger Vehicle Equalisation Scheme is passed on to the intended recipients.</w:t>
      </w:r>
    </w:p>
    <w:p w:rsidR="00AE4D5A" w:rsidRDefault="00AE4D5A" w:rsidP="008E5E01">
      <w:pPr>
        <w:pStyle w:val="FindingTitle"/>
        <w:framePr w:wrap="auto"/>
        <w:tabs>
          <w:tab w:val="right" w:pos="8789"/>
        </w:tabs>
        <w:rPr>
          <w:b/>
          <w:sz w:val="22"/>
          <w:szCs w:val="22"/>
        </w:rPr>
      </w:pPr>
      <w:r w:rsidRPr="005F3452">
        <w:rPr>
          <w:b/>
          <w:sz w:val="22"/>
          <w:szCs w:val="22"/>
        </w:rPr>
        <w:t xml:space="preserve">Recommendation </w:t>
      </w:r>
      <w:r>
        <w:rPr>
          <w:b/>
          <w:sz w:val="22"/>
          <w:szCs w:val="22"/>
        </w:rPr>
        <w:t>15</w:t>
      </w:r>
      <w:r w:rsidRPr="005F3452">
        <w:rPr>
          <w:b/>
          <w:sz w:val="22"/>
          <w:szCs w:val="22"/>
        </w:rPr>
        <w:t xml:space="preserve"> </w:t>
      </w:r>
      <w:r w:rsidRPr="005F3452">
        <w:rPr>
          <w:b/>
          <w:sz w:val="22"/>
          <w:szCs w:val="22"/>
        </w:rPr>
        <w:tab/>
        <w:t>(chapter</w:t>
      </w:r>
      <w:r>
        <w:rPr>
          <w:b/>
          <w:sz w:val="22"/>
          <w:szCs w:val="22"/>
        </w:rPr>
        <w:t> </w:t>
      </w:r>
      <w:r w:rsidRPr="005F3452">
        <w:rPr>
          <w:b/>
          <w:sz w:val="22"/>
          <w:szCs w:val="22"/>
        </w:rPr>
        <w:t>3</w:t>
      </w:r>
      <w:r>
        <w:rPr>
          <w:b/>
          <w:sz w:val="22"/>
          <w:szCs w:val="22"/>
        </w:rPr>
        <w:t xml:space="preserve"> and Chapter 4</w:t>
      </w:r>
      <w:r w:rsidRPr="005F3452">
        <w:rPr>
          <w:b/>
          <w:sz w:val="22"/>
          <w:szCs w:val="22"/>
        </w:rPr>
        <w:t>)</w:t>
      </w:r>
    </w:p>
    <w:p w:rsidR="00AE4D5A" w:rsidRDefault="00AE4D5A" w:rsidP="008E5E01">
      <w:pPr>
        <w:pStyle w:val="Rec"/>
      </w:pPr>
      <w:r>
        <w:t>The Tasmanian Government should:</w:t>
      </w:r>
    </w:p>
    <w:p w:rsidR="00AE4D5A" w:rsidRDefault="00AE4D5A" w:rsidP="008E5E01">
      <w:pPr>
        <w:pStyle w:val="RecBullet"/>
      </w:pPr>
      <w:r>
        <w:t>articulate its underlying objectives in owning and operating a freight and passenger/vehicle services business, and assess whether ownership of TT</w:t>
      </w:r>
      <w:r>
        <w:noBreakHyphen/>
        <w:t>Line is the most cost</w:t>
      </w:r>
      <w:r>
        <w:noBreakHyphen/>
        <w:t>effective way in which to achieve those objectives</w:t>
      </w:r>
    </w:p>
    <w:p w:rsidR="00AE4D5A" w:rsidRDefault="00AE4D5A" w:rsidP="008E5E01">
      <w:pPr>
        <w:pStyle w:val="RecBullet"/>
      </w:pPr>
      <w:r>
        <w:t>initiate an independent and public review of the extent to which TT</w:t>
      </w:r>
      <w:r>
        <w:noBreakHyphen/>
        <w:t xml:space="preserve">Line’s freight and passenger/vehicle services business satisfies the principles of competitive neutrality. </w:t>
      </w:r>
    </w:p>
    <w:p w:rsidR="00AE4D5A" w:rsidRDefault="00AE4D5A" w:rsidP="008E5E01">
      <w:pPr>
        <w:pStyle w:val="Heading3"/>
      </w:pPr>
      <w:r>
        <w:t>Improving the competitiveness of Tasmanian ports</w:t>
      </w:r>
    </w:p>
    <w:p w:rsidR="00AE4D5A" w:rsidRDefault="00AE4D5A" w:rsidP="008E5E01">
      <w:pPr>
        <w:pStyle w:val="FindingTitle"/>
        <w:framePr w:wrap="auto"/>
        <w:tabs>
          <w:tab w:val="right" w:pos="8789"/>
        </w:tabs>
        <w:rPr>
          <w:b/>
          <w:sz w:val="22"/>
          <w:szCs w:val="22"/>
        </w:rPr>
      </w:pPr>
      <w:r>
        <w:rPr>
          <w:b/>
          <w:sz w:val="22"/>
          <w:szCs w:val="22"/>
        </w:rPr>
        <w:t xml:space="preserve">Recommendation 16 </w:t>
      </w:r>
      <w:r>
        <w:rPr>
          <w:b/>
          <w:sz w:val="22"/>
          <w:szCs w:val="22"/>
        </w:rPr>
        <w:tab/>
        <w:t>(chapter 4</w:t>
      </w:r>
      <w:r w:rsidRPr="00CA33A4">
        <w:rPr>
          <w:b/>
          <w:sz w:val="22"/>
          <w:szCs w:val="22"/>
        </w:rPr>
        <w:t>)</w:t>
      </w:r>
    </w:p>
    <w:p w:rsidR="00AE4D5A" w:rsidRDefault="00AE4D5A" w:rsidP="008E5E01">
      <w:pPr>
        <w:pStyle w:val="Rec"/>
      </w:pPr>
      <w:r>
        <w:t xml:space="preserve">The Tasmanian Government should direct the Office of the Tasmanian Economic Regulator to conduct an inquiry into the pricing policies of TasPorts. In carrying out the inquiry, the Tasmanian Economic Regulator should consider and make recommendations on the extent to which pricing at the three major northern ports is efficient and, where appropriate, cost reflective of individual ports. </w:t>
      </w:r>
    </w:p>
    <w:p w:rsidR="00AE4D5A" w:rsidRPr="00CA33A4" w:rsidRDefault="00AE4D5A" w:rsidP="008E5E01">
      <w:pPr>
        <w:pStyle w:val="FindingTitle"/>
        <w:framePr w:wrap="auto"/>
        <w:tabs>
          <w:tab w:val="right" w:pos="8789"/>
        </w:tabs>
        <w:rPr>
          <w:b/>
          <w:sz w:val="22"/>
          <w:szCs w:val="22"/>
        </w:rPr>
      </w:pPr>
      <w:r>
        <w:rPr>
          <w:b/>
          <w:sz w:val="22"/>
          <w:szCs w:val="22"/>
        </w:rPr>
        <w:t xml:space="preserve">Recommendation 17 </w:t>
      </w:r>
      <w:r>
        <w:rPr>
          <w:b/>
          <w:sz w:val="22"/>
          <w:szCs w:val="22"/>
        </w:rPr>
        <w:tab/>
        <w:t>(chapter 4</w:t>
      </w:r>
      <w:r w:rsidRPr="00CA33A4">
        <w:rPr>
          <w:b/>
          <w:sz w:val="22"/>
          <w:szCs w:val="22"/>
        </w:rPr>
        <w:t>)</w:t>
      </w:r>
    </w:p>
    <w:p w:rsidR="00AE4D5A" w:rsidRDefault="00AE4D5A" w:rsidP="008E5E01">
      <w:pPr>
        <w:pStyle w:val="Rec"/>
      </w:pPr>
      <w:r w:rsidRPr="00B316DD">
        <w:t>The Tasmanian Government should assess the commercial viability of TasPorts and potential changes to enhance its operation. The assessment should include a consideration of alternative models for the provision of port infrastructure, including the feasibility of privatisation</w:t>
      </w:r>
      <w:r>
        <w:t xml:space="preserve"> or</w:t>
      </w:r>
      <w:r w:rsidRPr="00B316DD">
        <w:t xml:space="preserve"> long term leases</w:t>
      </w:r>
      <w:r>
        <w:t xml:space="preserve"> to private operators and be informed by the findings of recommendation 16.</w:t>
      </w:r>
    </w:p>
    <w:p w:rsidR="00AE4D5A" w:rsidRDefault="00AE4D5A" w:rsidP="008E5E01">
      <w:pPr>
        <w:pStyle w:val="Heading3"/>
      </w:pPr>
      <w:r>
        <w:lastRenderedPageBreak/>
        <w:t>Improving the coherence of infrastructure investment</w:t>
      </w:r>
    </w:p>
    <w:p w:rsidR="00AE4D5A" w:rsidRPr="00CA33A4" w:rsidRDefault="00AE4D5A" w:rsidP="008E5E01">
      <w:pPr>
        <w:pStyle w:val="FindingTitle"/>
        <w:framePr w:wrap="auto"/>
        <w:tabs>
          <w:tab w:val="right" w:pos="8789"/>
        </w:tabs>
        <w:rPr>
          <w:b/>
          <w:sz w:val="22"/>
          <w:szCs w:val="22"/>
        </w:rPr>
      </w:pPr>
      <w:r>
        <w:rPr>
          <w:b/>
          <w:sz w:val="22"/>
          <w:szCs w:val="22"/>
        </w:rPr>
        <w:t xml:space="preserve">Recommendation 18 </w:t>
      </w:r>
      <w:r>
        <w:rPr>
          <w:b/>
          <w:sz w:val="22"/>
          <w:szCs w:val="22"/>
        </w:rPr>
        <w:tab/>
        <w:t>(chapter 5</w:t>
      </w:r>
      <w:r w:rsidRPr="00CA33A4">
        <w:rPr>
          <w:b/>
          <w:sz w:val="22"/>
          <w:szCs w:val="22"/>
        </w:rPr>
        <w:t>)</w:t>
      </w:r>
    </w:p>
    <w:p w:rsidR="00AE4D5A" w:rsidRPr="00B316DD" w:rsidRDefault="00AE4D5A" w:rsidP="008E5E01">
      <w:pPr>
        <w:pStyle w:val="Rec"/>
      </w:pPr>
      <w:r w:rsidRPr="00B316DD">
        <w:t>The Commission endorses the need for a comprehensive, long term integrated freight strategy for Tasmania</w:t>
      </w:r>
      <w:r>
        <w:t xml:space="preserve"> to be developed by the Tasmanian Government</w:t>
      </w:r>
      <w:r w:rsidRPr="00B316DD">
        <w:t xml:space="preserve">. As the Australian Government will retain a role in funding Tasmanian infrastructure investments, it is appropriate that it (including through Infrastructure Australia) </w:t>
      </w:r>
      <w:r>
        <w:t xml:space="preserve">be consulted </w:t>
      </w:r>
      <w:r w:rsidRPr="00B316DD">
        <w:t xml:space="preserve">in developing that strategy. </w:t>
      </w:r>
    </w:p>
    <w:p w:rsidR="00AE4D5A" w:rsidRPr="00B316DD" w:rsidRDefault="00AE4D5A" w:rsidP="008E5E01">
      <w:pPr>
        <w:pStyle w:val="Rec"/>
      </w:pPr>
      <w:r w:rsidRPr="00B316DD">
        <w:t>In developing the strategy, there should be broad consultation between industry, all levels of government, and the community more generally. A benefit</w:t>
      </w:r>
      <w:r w:rsidRPr="00B316DD">
        <w:noBreakHyphen/>
        <w:t xml:space="preserve">cost framework should be applied that identifies the most efficient use of investment capital and </w:t>
      </w:r>
      <w:r>
        <w:t>that</w:t>
      </w:r>
      <w:r w:rsidRPr="00B316DD">
        <w:t xml:space="preserve"> clearly identifies the net benefits or trade</w:t>
      </w:r>
      <w:r w:rsidRPr="00B316DD">
        <w:noBreakHyphen/>
        <w:t>offs arising from community service initiatives or region</w:t>
      </w:r>
      <w:r w:rsidRPr="00B316DD">
        <w:noBreakHyphen/>
        <w:t>specific development objectives. As a matter of urgency, the strategy should:</w:t>
      </w:r>
    </w:p>
    <w:p w:rsidR="00AE4D5A" w:rsidRPr="00B316DD" w:rsidRDefault="00AE4D5A" w:rsidP="008E5E01">
      <w:pPr>
        <w:pStyle w:val="RecBullet"/>
      </w:pPr>
      <w:r w:rsidRPr="00B316DD">
        <w:t>identify Tasmania’s likely future freight infrastructure requirements across all modes — sea, road, rail and air</w:t>
      </w:r>
    </w:p>
    <w:p w:rsidR="00AE4D5A" w:rsidRDefault="00AE4D5A" w:rsidP="008E5E01">
      <w:pPr>
        <w:pStyle w:val="RecBullet"/>
      </w:pPr>
      <w:r w:rsidRPr="00B316DD">
        <w:t>address port developments, including specialisation or rationalisation of existing infrastructure</w:t>
      </w:r>
      <w:r>
        <w:t xml:space="preserve"> and, informed by the Tasmanian Government’s consideration and resolution of the issues in recommendations 16 and 17</w:t>
      </w:r>
    </w:p>
    <w:p w:rsidR="00AE4D5A" w:rsidRPr="00B316DD" w:rsidRDefault="00AE4D5A" w:rsidP="008E5E01">
      <w:pPr>
        <w:pStyle w:val="RecBullet"/>
      </w:pPr>
      <w:r w:rsidRPr="00B316DD">
        <w:t>address the long term role of rail in Tasmania given the high degree of substitutability with road transport</w:t>
      </w:r>
    </w:p>
    <w:p w:rsidR="00AE4D5A" w:rsidRPr="00B316DD" w:rsidRDefault="00AE4D5A" w:rsidP="008E5E01">
      <w:pPr>
        <w:pStyle w:val="RecBullet"/>
      </w:pPr>
      <w:r w:rsidRPr="00B316DD">
        <w:t>en</w:t>
      </w:r>
      <w:r>
        <w:t xml:space="preserve">sure that the objectives of </w:t>
      </w:r>
      <w:r w:rsidRPr="00B316DD">
        <w:t xml:space="preserve">government business enterprises for ports, </w:t>
      </w:r>
      <w:r>
        <w:t>shipping</w:t>
      </w:r>
      <w:r w:rsidRPr="00B316DD">
        <w:t xml:space="preserve"> and rail are consistent with commercial sustainability.</w:t>
      </w:r>
    </w:p>
    <w:p w:rsidR="00AE4D5A" w:rsidRDefault="00AE4D5A">
      <w:pPr>
        <w:rPr>
          <w:rFonts w:ascii="Arial" w:hAnsi="Arial"/>
          <w:b/>
          <w:szCs w:val="20"/>
        </w:rPr>
      </w:pPr>
      <w:r>
        <w:br w:type="page"/>
      </w:r>
    </w:p>
    <w:p w:rsidR="00AE4D5A" w:rsidRDefault="00AE4D5A" w:rsidP="008E5E01">
      <w:pPr>
        <w:pStyle w:val="Heading3"/>
      </w:pPr>
      <w:r>
        <w:lastRenderedPageBreak/>
        <w:t xml:space="preserve">Improving Tasmania’s future economic development </w:t>
      </w:r>
    </w:p>
    <w:p w:rsidR="00AE4D5A" w:rsidRPr="0014501F" w:rsidRDefault="00AE4D5A" w:rsidP="008E5E01">
      <w:pPr>
        <w:pStyle w:val="FindingTitle"/>
        <w:framePr w:wrap="auto"/>
        <w:tabs>
          <w:tab w:val="right" w:pos="8789"/>
        </w:tabs>
        <w:rPr>
          <w:b/>
          <w:sz w:val="22"/>
          <w:szCs w:val="22"/>
        </w:rPr>
      </w:pPr>
      <w:r>
        <w:rPr>
          <w:b/>
          <w:sz w:val="22"/>
          <w:szCs w:val="22"/>
        </w:rPr>
        <w:t xml:space="preserve">Recommendation 19 </w:t>
      </w:r>
      <w:r>
        <w:rPr>
          <w:b/>
          <w:sz w:val="22"/>
          <w:szCs w:val="22"/>
        </w:rPr>
        <w:tab/>
        <w:t>(chapter 6</w:t>
      </w:r>
      <w:r w:rsidRPr="00CA33A4">
        <w:rPr>
          <w:b/>
          <w:sz w:val="22"/>
          <w:szCs w:val="22"/>
        </w:rPr>
        <w:t>)</w:t>
      </w:r>
    </w:p>
    <w:p w:rsidR="00AE4D5A" w:rsidRPr="00B316DD" w:rsidRDefault="00AE4D5A" w:rsidP="008E5E01">
      <w:pPr>
        <w:pStyle w:val="Rec"/>
      </w:pPr>
      <w:r w:rsidRPr="00B316DD">
        <w:t xml:space="preserve">The Joint Commonwealth and Tasmanian Economic Council </w:t>
      </w:r>
      <w:r>
        <w:t>should initiate</w:t>
      </w:r>
      <w:r w:rsidRPr="00B316DD">
        <w:t xml:space="preserve"> a stocktake of existing </w:t>
      </w:r>
      <w:r>
        <w:t>programs specific to</w:t>
      </w:r>
      <w:r w:rsidRPr="00B316DD">
        <w:t xml:space="preserve"> Tasmania as part of its </w:t>
      </w:r>
      <w:r>
        <w:t>initial</w:t>
      </w:r>
      <w:r w:rsidRPr="00B316DD">
        <w:t xml:space="preserve"> work program. The </w:t>
      </w:r>
      <w:r>
        <w:t>stocktake</w:t>
      </w:r>
      <w:r w:rsidRPr="00B316DD">
        <w:t xml:space="preserve"> should:</w:t>
      </w:r>
    </w:p>
    <w:p w:rsidR="00AE4D5A" w:rsidRPr="00B316DD" w:rsidRDefault="00AE4D5A" w:rsidP="008E5E01">
      <w:pPr>
        <w:pStyle w:val="RecBullet"/>
      </w:pPr>
      <w:r w:rsidRPr="00B316DD">
        <w:t>cover initiatives established by all levels of government</w:t>
      </w:r>
    </w:p>
    <w:p w:rsidR="00AE4D5A" w:rsidRPr="00B316DD" w:rsidRDefault="00AE4D5A" w:rsidP="008E5E01">
      <w:pPr>
        <w:pStyle w:val="RecBullet"/>
      </w:pPr>
      <w:r w:rsidRPr="00B316DD">
        <w:t>clarify their nature, intent, timing, scope, governance arrangements and any areas of duplication</w:t>
      </w:r>
    </w:p>
    <w:p w:rsidR="00AE4D5A" w:rsidRPr="00B316DD" w:rsidRDefault="00AE4D5A" w:rsidP="008E5E01">
      <w:pPr>
        <w:pStyle w:val="RecBullet"/>
      </w:pPr>
      <w:r w:rsidRPr="00B316DD">
        <w:t>assess whether the suite of initiatives represents a coordinated, consistent, targeted, and efficient approach to Tasmania’s economic development</w:t>
      </w:r>
    </w:p>
    <w:p w:rsidR="00AE4D5A" w:rsidRPr="00B316DD" w:rsidRDefault="00AE4D5A" w:rsidP="008E5E01">
      <w:pPr>
        <w:pStyle w:val="RecBullet"/>
      </w:pPr>
      <w:r w:rsidRPr="00B316DD">
        <w:t xml:space="preserve">include the release of a public report </w:t>
      </w:r>
      <w:r>
        <w:t xml:space="preserve">in </w:t>
      </w:r>
      <w:r w:rsidRPr="00B316DD">
        <w:t>2015.</w:t>
      </w:r>
    </w:p>
    <w:p w:rsidR="00AE4D5A" w:rsidRPr="00B316DD" w:rsidRDefault="00AE4D5A" w:rsidP="008E5E01">
      <w:pPr>
        <w:pStyle w:val="Rec"/>
      </w:pPr>
      <w:r w:rsidRPr="00B316DD">
        <w:t>The results of the stocktake should contribute to</w:t>
      </w:r>
      <w:r>
        <w:t>,</w:t>
      </w:r>
      <w:r w:rsidRPr="00B316DD">
        <w:t xml:space="preserve"> and inform the development of</w:t>
      </w:r>
      <w:r>
        <w:t>,</w:t>
      </w:r>
      <w:r w:rsidRPr="00B316DD">
        <w:t xml:space="preserve"> an integrated economic development strategy for Tasmania.</w:t>
      </w:r>
    </w:p>
    <w:p w:rsidR="00AE4D5A" w:rsidRPr="0014501F" w:rsidRDefault="00AE4D5A" w:rsidP="008E5E01">
      <w:pPr>
        <w:pStyle w:val="FindingTitle"/>
        <w:framePr w:wrap="auto"/>
        <w:tabs>
          <w:tab w:val="right" w:pos="8789"/>
        </w:tabs>
        <w:rPr>
          <w:b/>
          <w:sz w:val="22"/>
          <w:szCs w:val="22"/>
        </w:rPr>
      </w:pPr>
      <w:r>
        <w:rPr>
          <w:b/>
          <w:sz w:val="22"/>
          <w:szCs w:val="22"/>
        </w:rPr>
        <w:t xml:space="preserve">Recommendation 20 </w:t>
      </w:r>
      <w:r>
        <w:rPr>
          <w:b/>
          <w:sz w:val="22"/>
          <w:szCs w:val="22"/>
        </w:rPr>
        <w:tab/>
        <w:t>(chapter 6</w:t>
      </w:r>
      <w:r w:rsidRPr="00CA33A4">
        <w:rPr>
          <w:b/>
          <w:sz w:val="22"/>
          <w:szCs w:val="22"/>
        </w:rPr>
        <w:t>)</w:t>
      </w:r>
    </w:p>
    <w:p w:rsidR="00AE4D5A" w:rsidRDefault="00AE4D5A" w:rsidP="008E5E01">
      <w:pPr>
        <w:pStyle w:val="Rec"/>
      </w:pPr>
      <w:r w:rsidRPr="00B316DD">
        <w:t>The Australian Government should review and evaluate its programs for Tasmania after a reasonable length of time. Such reviews should be transparent, be conducted by an appropriate independent body and should comprise an ex</w:t>
      </w:r>
      <w:r w:rsidRPr="00B316DD">
        <w:noBreakHyphen/>
        <w:t>post assessment of the aggregate benefits and costs of the strategy to date and an assessment of the benefits and costs of any continued Australian Government financial contribution to these programs.</w:t>
      </w:r>
    </w:p>
    <w:p w:rsidR="00AE4D5A" w:rsidRDefault="00AE4D5A" w:rsidP="00AE4D5A">
      <w:pPr>
        <w:sectPr w:rsidR="00AE4D5A" w:rsidSect="00AE4D5A">
          <w:headerReference w:type="even" r:id="rId30"/>
          <w:headerReference w:type="default" r:id="rId31"/>
          <w:footerReference w:type="even" r:id="rId32"/>
          <w:footerReference w:type="default" r:id="rId33"/>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Heading1"/>
        <w:spacing w:before="0"/>
      </w:pPr>
      <w:bookmarkStart w:id="3" w:name="ChapterNumber"/>
      <w:r>
        <w:lastRenderedPageBreak/>
        <w:t>1</w:t>
      </w:r>
      <w:bookmarkEnd w:id="3"/>
      <w:r>
        <w:tab/>
        <w:t>Introduction and scope</w:t>
      </w:r>
    </w:p>
    <w:p w:rsidR="00AE4D5A" w:rsidRDefault="00AE4D5A" w:rsidP="008E5E01">
      <w:pPr>
        <w:pStyle w:val="Heading2"/>
      </w:pPr>
      <w:r>
        <w:t>1.</w:t>
      </w:r>
      <w:r>
        <w:rPr>
          <w:noProof/>
        </w:rPr>
        <w:t>1</w:t>
      </w:r>
      <w:r>
        <w:tab/>
        <w:t>A matter of geography</w:t>
      </w:r>
    </w:p>
    <w:p w:rsidR="00AE4D5A" w:rsidRDefault="00AE4D5A" w:rsidP="008E5E01">
      <w:pPr>
        <w:pStyle w:val="BodyText"/>
      </w:pPr>
      <w:r>
        <w:t>Tasmania is an island state and so the interstate and international movement of freight is heavily reliant on shipping services across Bass Strait. The cessation in 2011 of weekly direct international container shipping services to and from Tasmania has meant that most international container freight is currently transhipped through the Port of Melbourne, although there is now the potential prospect of the resumption of direct international shipping services to and from Tasmania.</w:t>
      </w:r>
    </w:p>
    <w:p w:rsidR="00AE4D5A" w:rsidRDefault="00AE4D5A" w:rsidP="008E5E01">
      <w:pPr>
        <w:pStyle w:val="BodyText"/>
      </w:pPr>
      <w:r>
        <w:t>Shipping tends to rely on long distances to realise its cost advantages and shipping goods across Bass Strait is generally more costly than transporting goods equivalent distances by road or rail. The costs of getting goods to mainland and overseas markets are an important consideration for Tasmanian businesses. Similarly, the cost of getting a passenger vehicle across Bass Strait is an important issue for Tasmanian and mainland residents who choose to do so.</w:t>
      </w:r>
    </w:p>
    <w:p w:rsidR="00AE4D5A" w:rsidRDefault="00AE4D5A" w:rsidP="008E5E01">
      <w:pPr>
        <w:pStyle w:val="BodyText"/>
      </w:pPr>
      <w:r>
        <w:t>Australian Governments have for many years operated subsidy schemes to help partially offset transit costs through the Tasmanian Freight Equalisation Scheme (TFES), the Tasmanian Wheat Freight Scheme (TWFS) and the Bass Strait Passenger Vehicle Equalisation Scheme (BSPVES). Recent reviews have noted that the schemes do not achieve their stated objectives, or deliver efficient outcomes.</w:t>
      </w:r>
      <w:r w:rsidRPr="004A2769">
        <w:rPr>
          <w:rStyle w:val="FootnoteReference"/>
        </w:rPr>
        <w:footnoteReference w:id="1"/>
      </w:r>
      <w:r>
        <w:t xml:space="preserve"> Real Australian Government outlays on the TFES have been around $100 million per year for the past decade.</w:t>
      </w:r>
    </w:p>
    <w:p w:rsidR="00AE4D5A" w:rsidRPr="002D75CE" w:rsidRDefault="00AE4D5A" w:rsidP="008E5E01">
      <w:pPr>
        <w:pStyle w:val="BodyText"/>
      </w:pPr>
      <w:r w:rsidRPr="002D75CE">
        <w:t>In a broader context, the Australian Government has noted:</w:t>
      </w:r>
    </w:p>
    <w:p w:rsidR="00AE4D5A" w:rsidRPr="002D75CE" w:rsidRDefault="00AE4D5A" w:rsidP="008E5E01">
      <w:pPr>
        <w:pStyle w:val="Quote"/>
      </w:pPr>
      <w:r w:rsidRPr="002D75CE">
        <w:t xml:space="preserve">Tasmania has the lowest gross state product per capita in Australia, the nation’s highest unemployment rate, the nation’s lowest life expectancy, the highest standardised death rate due to suicide, the lowest proportion of adults in the nation who have attained a </w:t>
      </w:r>
      <w:r w:rsidRPr="002D75CE">
        <w:lastRenderedPageBreak/>
        <w:t xml:space="preserve">year 12 qualification, one of the nation’s lowest retention rates to year 12 and the highest proportion of people without superannuation coverage. </w:t>
      </w:r>
      <w:r w:rsidRPr="0093540F">
        <w:rPr>
          <w:szCs w:val="24"/>
        </w:rPr>
        <w:t>(Coalition 2013, p. 2)</w:t>
      </w:r>
    </w:p>
    <w:p w:rsidR="00AE4D5A" w:rsidRDefault="00AE4D5A" w:rsidP="008E5E01">
      <w:pPr>
        <w:pStyle w:val="BodyText"/>
      </w:pPr>
      <w:r w:rsidRPr="002D75CE">
        <w:t xml:space="preserve">This stark backdrop suggests that the competitiveness of Tasmania’s </w:t>
      </w:r>
      <w:r>
        <w:t>transport</w:t>
      </w:r>
      <w:r w:rsidRPr="003821C9">
        <w:t xml:space="preserve"> </w:t>
      </w:r>
      <w:r w:rsidRPr="002D75CE">
        <w:t xml:space="preserve">infrastructure </w:t>
      </w:r>
      <w:r>
        <w:t xml:space="preserve">and services, and indeed the overall Tasmanian economy, </w:t>
      </w:r>
      <w:r w:rsidRPr="002D75CE">
        <w:t>n</w:t>
      </w:r>
      <w:r>
        <w:t>eed</w:t>
      </w:r>
      <w:r w:rsidRPr="009D7644">
        <w:t xml:space="preserve"> to be viewed through a wider and long</w:t>
      </w:r>
      <w:r>
        <w:t>er</w:t>
      </w:r>
      <w:r w:rsidRPr="009D7644">
        <w:t xml:space="preserve"> term lens.</w:t>
      </w:r>
    </w:p>
    <w:p w:rsidR="00AE4D5A" w:rsidRDefault="00AE4D5A" w:rsidP="008E5E01">
      <w:pPr>
        <w:pStyle w:val="BodyText"/>
      </w:pPr>
      <w:r>
        <w:t>The long</w:t>
      </w:r>
      <w:r w:rsidRPr="00BB1535">
        <w:t xml:space="preserve">standing lack of clarity about the objectives of the </w:t>
      </w:r>
      <w:r>
        <w:t>subsidy schemes</w:t>
      </w:r>
      <w:r w:rsidRPr="00BB1535">
        <w:t xml:space="preserve"> identified in many reviews adds to the difficulty of determining whether </w:t>
      </w:r>
      <w:r>
        <w:t>these</w:t>
      </w:r>
      <w:r w:rsidRPr="00BB1535">
        <w:t xml:space="preserve"> subsidies aim to offset a natural cost </w:t>
      </w:r>
      <w:r w:rsidR="00DD59EE">
        <w:t>‘</w:t>
      </w:r>
      <w:r w:rsidRPr="00BB1535">
        <w:t>disadvantage</w:t>
      </w:r>
      <w:r w:rsidR="00DD59EE">
        <w:t>’</w:t>
      </w:r>
      <w:r>
        <w:t>,</w:t>
      </w:r>
      <w:r w:rsidRPr="00BB1535">
        <w:t xml:space="preserve"> or address fundamental structural issues, or both. </w:t>
      </w:r>
      <w:r>
        <w:t>The schemes’ reference to equalisation has also misleadingly implied ‘full’ compensation for the cost disadvantage which is not inherent in their design and operation. A central</w:t>
      </w:r>
      <w:r w:rsidRPr="00BB1535">
        <w:t xml:space="preserve"> issue for this inquiry is whether (and to what extent) the subsidy schemes enhance the competitiveness of Tasmania’s freight industry</w:t>
      </w:r>
      <w:r>
        <w:t>,</w:t>
      </w:r>
      <w:r w:rsidRPr="00BB1535">
        <w:t xml:space="preserve"> or conversely, work against it by </w:t>
      </w:r>
      <w:r>
        <w:t>further entrenching</w:t>
      </w:r>
      <w:r w:rsidRPr="00BB1535">
        <w:t xml:space="preserve"> reliance </w:t>
      </w:r>
      <w:r>
        <w:t>on government support</w:t>
      </w:r>
      <w:r w:rsidRPr="00BB1535">
        <w:t>.</w:t>
      </w:r>
    </w:p>
    <w:p w:rsidR="00AE4D5A" w:rsidRDefault="00AE4D5A" w:rsidP="008E5E01">
      <w:pPr>
        <w:pStyle w:val="BodyText"/>
      </w:pPr>
      <w:r>
        <w:t>It is for these reasons that the terms of reference go beyond an assessment of freight subsidies to also embrace matters of integrated supply chain logistics encompassing shipping, port, road, and rail services.</w:t>
      </w:r>
    </w:p>
    <w:p w:rsidR="00AE4D5A" w:rsidRDefault="00AE4D5A" w:rsidP="008E5E01">
      <w:pPr>
        <w:pStyle w:val="Heading2"/>
      </w:pPr>
      <w:r>
        <w:t>1.</w:t>
      </w:r>
      <w:r>
        <w:rPr>
          <w:noProof/>
        </w:rPr>
        <w:t>2</w:t>
      </w:r>
      <w:r>
        <w:tab/>
        <w:t>What the Commission has been asked to do</w:t>
      </w:r>
    </w:p>
    <w:p w:rsidR="00AE4D5A" w:rsidRPr="00FD43A3" w:rsidRDefault="00AE4D5A" w:rsidP="008E5E01">
      <w:pPr>
        <w:pStyle w:val="BodyText"/>
      </w:pPr>
      <w:r>
        <w:t>The Government has asked the Commission to review shipping costs and the competitiveness of Tasmania’s freight industry structure, and assess the current arrangements for supporting freight and passenger services between the mainland and Tasmania. The major issues under consideration are:</w:t>
      </w:r>
    </w:p>
    <w:p w:rsidR="00AE4D5A" w:rsidRDefault="00AE4D5A" w:rsidP="008E5E01">
      <w:pPr>
        <w:pStyle w:val="ListBullet"/>
      </w:pPr>
      <w:r w:rsidRPr="00A73C85">
        <w:t>Tasmania’s freight task in the broader context of Tasmania’s economy</w:t>
      </w:r>
    </w:p>
    <w:p w:rsidR="00AE4D5A" w:rsidRPr="00A73C85" w:rsidRDefault="00AE4D5A" w:rsidP="008E5E01">
      <w:pPr>
        <w:pStyle w:val="ListBullet"/>
      </w:pPr>
      <w:r w:rsidRPr="00A73C85">
        <w:t>the drivers of freight costs in Tasmania, with a focus on the competitiveness of shipping, port, road and rail services, and possible reforms to enhance their efficiency</w:t>
      </w:r>
    </w:p>
    <w:p w:rsidR="00AE4D5A" w:rsidRDefault="00AE4D5A" w:rsidP="008E5E01">
      <w:pPr>
        <w:pStyle w:val="ListBullet"/>
      </w:pPr>
      <w:r>
        <w:t>the effectiveness of the current freight and passenger vehicle subsidy arrangements, and how these arrangements could be improved</w:t>
      </w:r>
    </w:p>
    <w:p w:rsidR="00AE4D5A" w:rsidRDefault="00AE4D5A" w:rsidP="008E5E01">
      <w:pPr>
        <w:pStyle w:val="ListBullet"/>
      </w:pPr>
      <w:r>
        <w:t>alternative approaches that could more effectively address Tasmania’s economic challenges.</w:t>
      </w:r>
    </w:p>
    <w:p w:rsidR="00DB44F9" w:rsidRDefault="00DB44F9">
      <w:pPr>
        <w:rPr>
          <w:szCs w:val="20"/>
        </w:rPr>
      </w:pPr>
      <w:r>
        <w:br w:type="page"/>
      </w:r>
    </w:p>
    <w:p w:rsidR="00AE4D5A" w:rsidRDefault="00AE4D5A" w:rsidP="008E5E01">
      <w:pPr>
        <w:pStyle w:val="BodyText"/>
      </w:pPr>
      <w:r>
        <w:lastRenderedPageBreak/>
        <w:t>In responding to these issues, the Commission has examined the underlying causes of the relatively high transport costs facing Tasmanian businesses and consumers and how these might be addressed. It has also focused on the alignment of the objectives and outcomes of the subsidy schemes. In examining some of these matters, the Commission has consulted with the Australian Competition and Consumer Commission.</w:t>
      </w:r>
    </w:p>
    <w:p w:rsidR="00AE4D5A" w:rsidRDefault="00AE4D5A" w:rsidP="008E5E01">
      <w:pPr>
        <w:pStyle w:val="Heading3"/>
      </w:pPr>
      <w:r>
        <w:t>The Commission’s approach</w:t>
      </w:r>
    </w:p>
    <w:p w:rsidR="00AE4D5A" w:rsidRDefault="00AE4D5A" w:rsidP="008E5E01">
      <w:pPr>
        <w:pStyle w:val="BodyText"/>
      </w:pPr>
      <w:r>
        <w:t xml:space="preserve">The Commission’s approach is guided by the terms of reference and the policy guidelines in the </w:t>
      </w:r>
      <w:r w:rsidRPr="009F2A29">
        <w:rPr>
          <w:i/>
        </w:rPr>
        <w:t>Productivity Commission Act 1998</w:t>
      </w:r>
      <w:r>
        <w:rPr>
          <w:i/>
        </w:rPr>
        <w:t> </w:t>
      </w:r>
      <w:r>
        <w:t>(Cwlth). Guidelines of particular relevance to this inquiry are the requirements to encourage the development of efficient and internationally competitive Australian industries; to promote regional employment and development; and to improve the productivity and economic performance of the economy. As the Commission is required to recognise the interests of the community generally, it must look not only at the interests of Tasmania, but also the impacts of policies on the Australian community as a whole.</w:t>
      </w:r>
    </w:p>
    <w:p w:rsidR="00AE4D5A" w:rsidRDefault="00AE4D5A" w:rsidP="008E5E01">
      <w:pPr>
        <w:pStyle w:val="Heading2"/>
      </w:pPr>
      <w:r>
        <w:t>1.</w:t>
      </w:r>
      <w:r>
        <w:rPr>
          <w:noProof/>
        </w:rPr>
        <w:t>3</w:t>
      </w:r>
      <w:r>
        <w:tab/>
        <w:t>Conduct of the inquiry</w:t>
      </w:r>
    </w:p>
    <w:p w:rsidR="00AE4D5A" w:rsidRDefault="00AE4D5A" w:rsidP="008E5E01">
      <w:pPr>
        <w:pStyle w:val="BodyText"/>
      </w:pPr>
      <w:r>
        <w:t>Public inquiries involve extensive consultation with all interested parties, participants preparing submissions, and the Commission undertaking policy analysis and developing a draft report. The Commission may conduct public hearings at several stages of the inquiry, including after receipt of further submissions from participants on the draft report prior to a final report being finalised.</w:t>
      </w:r>
    </w:p>
    <w:p w:rsidR="00AE4D5A" w:rsidRDefault="00AE4D5A" w:rsidP="008E5E01">
      <w:pPr>
        <w:pStyle w:val="BodyText"/>
      </w:pPr>
      <w:r>
        <w:t xml:space="preserve">The terms of reference for this inquiry were received on 29 November 2013, specifying a final reporting date of 7 March 2014. Given the limited time available, the Commission advertised the inquiry in newspapers, on its website and in a circular, and invited initial public submissions by 14 December 2013. A draft report for public comment was released on </w:t>
      </w:r>
      <w:r w:rsidRPr="004B7411">
        <w:t>24</w:t>
      </w:r>
      <w:r>
        <w:t> January 2014, with a call for further submissions by 7 February. Public hearings were held in Canberra, Hobart, Melbourne and Launceston in early February. Over the course of this inquiry, the Commission also held roundtables and informal consultations with producers, shipping companies, government agencies and other interested parties (appendix A).</w:t>
      </w:r>
    </w:p>
    <w:p w:rsidR="00DB44F9" w:rsidRDefault="00DB44F9">
      <w:pPr>
        <w:rPr>
          <w:szCs w:val="20"/>
        </w:rPr>
      </w:pPr>
      <w:r>
        <w:br w:type="page"/>
      </w:r>
    </w:p>
    <w:p w:rsidR="00AE4D5A" w:rsidRDefault="00AE4D5A" w:rsidP="008E5E01">
      <w:pPr>
        <w:pStyle w:val="BodyText"/>
      </w:pPr>
      <w:r>
        <w:lastRenderedPageBreak/>
        <w:t xml:space="preserve">The Commission received </w:t>
      </w:r>
      <w:r w:rsidRPr="00B7471E">
        <w:t>11</w:t>
      </w:r>
      <w:r>
        <w:t>3 written submissions in total (appendi</w:t>
      </w:r>
      <w:r w:rsidR="000C756F">
        <w:t xml:space="preserve">x A) which are available </w:t>
      </w:r>
      <w:r>
        <w:t xml:space="preserve">at </w:t>
      </w:r>
      <w:r w:rsidRPr="006859E2">
        <w:t>www.pc.gov.au/projects/inquiry/tasmanian</w:t>
      </w:r>
      <w:r>
        <w:noBreakHyphen/>
      </w:r>
      <w:r w:rsidRPr="006859E2">
        <w:t>shipping</w:t>
      </w:r>
      <w:r>
        <w:t>. Appendix C on coastal trading regulation is an online appendix that can also be accessed on the inquiry web page.</w:t>
      </w:r>
    </w:p>
    <w:p w:rsidR="00AE4D5A" w:rsidRDefault="00AE4D5A" w:rsidP="00120072">
      <w:pPr>
        <w:pStyle w:val="BodyText"/>
      </w:pPr>
      <w:r>
        <w:t xml:space="preserve">The Commission thanks all those who contributed to the inquiry for their endeavours in meeting the short timeframe. The Commission also acknowledges the substantive body of work and report by the Tasmanian Freight Logistics Coordination Team in 2013 that the Commission was able to draw upon during this inquiry. </w:t>
      </w:r>
    </w:p>
    <w:p w:rsidR="00AE4D5A" w:rsidRDefault="00AE4D5A" w:rsidP="00120072">
      <w:pPr>
        <w:pStyle w:val="BodyText"/>
      </w:pPr>
    </w:p>
    <w:p w:rsidR="00AE4D5A" w:rsidRDefault="00AE4D5A" w:rsidP="00120072">
      <w:pPr>
        <w:pStyle w:val="BodyText"/>
      </w:pPr>
    </w:p>
    <w:p w:rsidR="00AE4D5A" w:rsidRDefault="00AE4D5A" w:rsidP="00AE4D5A">
      <w:pPr>
        <w:sectPr w:rsidR="00AE4D5A" w:rsidSect="00AE4D5A">
          <w:headerReference w:type="even" r:id="rId34"/>
          <w:headerReference w:type="default" r:id="rId35"/>
          <w:footerReference w:type="even" r:id="rId36"/>
          <w:footerReference w:type="default" r:id="rId37"/>
          <w:type w:val="oddPage"/>
          <w:pgSz w:w="11907" w:h="16840" w:code="9"/>
          <w:pgMar w:top="1985" w:right="1304" w:bottom="1418" w:left="1814" w:header="1701" w:footer="567" w:gutter="0"/>
          <w:pgNumType w:chapSep="period"/>
          <w:cols w:space="720"/>
          <w:docGrid w:linePitch="354"/>
        </w:sectPr>
      </w:pPr>
    </w:p>
    <w:p w:rsidR="00AE4D5A" w:rsidRPr="00B64C9D" w:rsidRDefault="00AE4D5A" w:rsidP="008E5E01">
      <w:pPr>
        <w:pStyle w:val="Heading1"/>
        <w:spacing w:after="840"/>
      </w:pPr>
      <w:r>
        <w:lastRenderedPageBreak/>
        <w:t>2</w:t>
      </w:r>
      <w:r>
        <w:tab/>
        <w:t>Tasmania’s freight in context</w:t>
      </w:r>
    </w:p>
    <w:p w:rsidR="00AE4D5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spacing w:before="60" w:line="260" w:lineRule="exact"/>
            </w:pPr>
            <w:r>
              <w:t>Key points</w:t>
            </w:r>
          </w:p>
        </w:tc>
      </w:tr>
      <w:tr w:rsidR="00AE4D5A" w:rsidTr="008E5E01">
        <w:trPr>
          <w:cantSplit/>
        </w:trPr>
        <w:tc>
          <w:tcPr>
            <w:tcW w:w="8771" w:type="dxa"/>
            <w:tcBorders>
              <w:top w:val="nil"/>
              <w:left w:val="single" w:sz="6" w:space="0" w:color="auto"/>
              <w:bottom w:val="nil"/>
              <w:right w:val="single" w:sz="6" w:space="0" w:color="auto"/>
            </w:tcBorders>
          </w:tcPr>
          <w:p w:rsidR="00AE4D5A" w:rsidRPr="0090345A" w:rsidRDefault="00AE4D5A" w:rsidP="008E5E01">
            <w:pPr>
              <w:pStyle w:val="BoxListBullet"/>
            </w:pPr>
            <w:r w:rsidRPr="0090345A">
              <w:t xml:space="preserve">Tasmania faces a number of economic challenges. Relative to the national average, economic </w:t>
            </w:r>
            <w:r>
              <w:t>growth</w:t>
            </w:r>
            <w:r w:rsidRPr="0090345A">
              <w:t xml:space="preserve"> is slower, unemployment is higher, participation rates are lower and the private sector accounts for a smaller share of economic activity.</w:t>
            </w:r>
          </w:p>
          <w:p w:rsidR="00AE4D5A" w:rsidRPr="0090345A" w:rsidRDefault="00AE4D5A" w:rsidP="008E5E01">
            <w:pPr>
              <w:pStyle w:val="BoxListBullet"/>
            </w:pPr>
            <w:r>
              <w:t>As with businesses across Australia, the</w:t>
            </w:r>
            <w:r w:rsidRPr="0090345A">
              <w:t xml:space="preserve"> productivity and economic performance of many Tasmanian businesses is affected by their ability to move goods through supply chains to </w:t>
            </w:r>
            <w:r>
              <w:t>intra- and inter- state markets, as well as markets</w:t>
            </w:r>
            <w:r w:rsidRPr="0090345A">
              <w:t xml:space="preserve"> overseas.</w:t>
            </w:r>
          </w:p>
          <w:p w:rsidR="00AE4D5A" w:rsidRDefault="00AE4D5A" w:rsidP="008E5E01">
            <w:pPr>
              <w:pStyle w:val="BoxListBullet"/>
            </w:pPr>
            <w:r>
              <w:t>However, a</w:t>
            </w:r>
            <w:r w:rsidRPr="0090345A">
              <w:t>s an island state, Tasmania</w:t>
            </w:r>
            <w:r>
              <w:t>’s reliance</w:t>
            </w:r>
            <w:r w:rsidRPr="0090345A">
              <w:t xml:space="preserve"> </w:t>
            </w:r>
            <w:r w:rsidRPr="008A7D29">
              <w:t xml:space="preserve">on </w:t>
            </w:r>
            <w:r>
              <w:t>shipping to transport its freight</w:t>
            </w:r>
            <w:r w:rsidRPr="008A7D29">
              <w:t xml:space="preserve">, as opposed to rail and road, means that Tasmanian producers face </w:t>
            </w:r>
            <w:r>
              <w:t>relatively high</w:t>
            </w:r>
            <w:r w:rsidRPr="008A7D29">
              <w:t xml:space="preserve"> freight cost</w:t>
            </w:r>
            <w:r>
              <w:t>s</w:t>
            </w:r>
            <w:r w:rsidRPr="008A7D29">
              <w:t xml:space="preserve"> whe</w:t>
            </w:r>
            <w:r>
              <w:t xml:space="preserve">n competing in mainland and international markets. </w:t>
            </w:r>
          </w:p>
          <w:p w:rsidR="00AE4D5A" w:rsidRPr="008A7D29" w:rsidRDefault="00AE4D5A" w:rsidP="008E5E01">
            <w:pPr>
              <w:pStyle w:val="BoxListBullet"/>
            </w:pPr>
            <w:r>
              <w:t>The Tasmanian Freight Equalisation Scheme (TFES) and the Tasmanian Wheat Freight Scheme (TWFS) were designed to partly offset these costs.</w:t>
            </w:r>
          </w:p>
          <w:p w:rsidR="00AE4D5A" w:rsidRPr="00193C6C" w:rsidRDefault="00AE4D5A" w:rsidP="008E5E01">
            <w:pPr>
              <w:pStyle w:val="BoxListBullet"/>
            </w:pPr>
            <w:r w:rsidRPr="00193C6C">
              <w:t>Under the TFES</w:t>
            </w:r>
            <w:r>
              <w:t xml:space="preserve">, cost </w:t>
            </w:r>
            <w:r w:rsidRPr="00193C6C">
              <w:t>disadvantage is defined as the difference between the actual sea freight costs across Bass Strait</w:t>
            </w:r>
            <w:r>
              <w:t>,</w:t>
            </w:r>
            <w:r w:rsidRPr="00193C6C">
              <w:t xml:space="preserve"> and the notional road freight costs of moving goods an equivalent distance on the mainland.</w:t>
            </w:r>
          </w:p>
          <w:p w:rsidR="00AE4D5A" w:rsidRDefault="00AE4D5A" w:rsidP="008E5E01">
            <w:pPr>
              <w:pStyle w:val="BoxListBullet"/>
            </w:pPr>
            <w:r>
              <w:t>The TFES is currently administered on the basis of 1996</w:t>
            </w:r>
            <w:r>
              <w:noBreakHyphen/>
              <w:t>97 parameter estimates. While costs for Tasmanian sea freight have risen in the period since, mainland</w:t>
            </w:r>
            <w:r w:rsidRPr="00483029">
              <w:t xml:space="preserve"> road freight</w:t>
            </w:r>
            <w:r>
              <w:t xml:space="preserve"> costs have risen at a faster rate. </w:t>
            </w:r>
          </w:p>
          <w:p w:rsidR="00AE4D5A" w:rsidRDefault="00AE4D5A" w:rsidP="008E5E01">
            <w:pPr>
              <w:pStyle w:val="BoxListBullet"/>
            </w:pPr>
            <w:r>
              <w:t>Latest Bureau of Infrastructure, Transport and Regional Economics (BITRE) estimates indicate that if TFES parameters were updated to reflect these changes the estimated freight cost disadvantage, as defined by the TFES, would fall substantially — with a commensurate reduction in overall payments.</w:t>
            </w:r>
          </w:p>
          <w:p w:rsidR="00AE4D5A" w:rsidRDefault="00AE4D5A" w:rsidP="008E5E01">
            <w:pPr>
              <w:pStyle w:val="BoxListBullet"/>
            </w:pPr>
            <w:r w:rsidRPr="009D4717">
              <w:t xml:space="preserve">Many other </w:t>
            </w:r>
            <w:r>
              <w:t>Australian regions</w:t>
            </w:r>
            <w:r w:rsidRPr="009D4717">
              <w:t xml:space="preserve"> </w:t>
            </w:r>
            <w:r>
              <w:t>face</w:t>
            </w:r>
            <w:r w:rsidRPr="009D4717">
              <w:t xml:space="preserve"> significant costs to transport goods to markets </w:t>
            </w:r>
            <w:r>
              <w:t>due to</w:t>
            </w:r>
            <w:r w:rsidRPr="009D4717">
              <w:t xml:space="preserve"> their remoteness or the absence of a rail link or all</w:t>
            </w:r>
            <w:r>
              <w:noBreakHyphen/>
            </w:r>
            <w:r w:rsidRPr="009D4717">
              <w:t xml:space="preserve">weather roads. However, </w:t>
            </w:r>
            <w:r>
              <w:t>businesses</w:t>
            </w:r>
            <w:r w:rsidRPr="009D4717">
              <w:t xml:space="preserve"> in such regions have established there in response to other locational advantages and seldom </w:t>
            </w:r>
            <w:r>
              <w:t>receive</w:t>
            </w:r>
            <w:r w:rsidRPr="009D4717">
              <w:t xml:space="preserve"> explicit government freight </w:t>
            </w:r>
            <w:r>
              <w:t xml:space="preserve">or passenger </w:t>
            </w:r>
            <w:r w:rsidRPr="009D4717">
              <w:t>subsidies.</w:t>
            </w:r>
            <w:r>
              <w:t xml:space="preserve"> </w:t>
            </w:r>
          </w:p>
          <w:p w:rsidR="00AE4D5A" w:rsidRPr="00CC6F9B" w:rsidRDefault="00AE4D5A" w:rsidP="008E5E01">
            <w:pPr>
              <w:pStyle w:val="BoxListBullet"/>
            </w:pPr>
            <w:r w:rsidRPr="00CC6F9B">
              <w:t xml:space="preserve">The Bass Strait Passenger Vehicle Equalisation </w:t>
            </w:r>
            <w:r>
              <w:t xml:space="preserve">Scheme (BSPVES) is designed to assist in alleviating the cost of sea travel across Bass Strait for passengers accompanying an eligible passenger vehicle. </w:t>
            </w:r>
          </w:p>
          <w:p w:rsidR="00AE4D5A" w:rsidRPr="0090345A" w:rsidRDefault="00AE4D5A" w:rsidP="008E5E01">
            <w:pPr>
              <w:pStyle w:val="BoxListBullet"/>
            </w:pPr>
            <w:r>
              <w:t>Quantification of</w:t>
            </w:r>
            <w:r w:rsidRPr="0090345A">
              <w:t xml:space="preserve"> any cost disadvantage associated with </w:t>
            </w:r>
            <w:r>
              <w:t>the movement of accompanied passenger vehicles across Bass Strait</w:t>
            </w:r>
            <w:r w:rsidRPr="0090345A">
              <w:t xml:space="preserve"> </w:t>
            </w:r>
            <w:r>
              <w:t>is problematic</w:t>
            </w:r>
            <w:r w:rsidRPr="0090345A">
              <w:t>.</w:t>
            </w:r>
            <w:r>
              <w:t xml:space="preserve"> </w:t>
            </w:r>
          </w:p>
          <w:p w:rsidR="00AE4D5A" w:rsidRPr="0090345A" w:rsidRDefault="00AE4D5A" w:rsidP="008E5E01">
            <w:pPr>
              <w:pStyle w:val="BoxListBullet"/>
            </w:pPr>
            <w:r w:rsidRPr="0090345A">
              <w:t xml:space="preserve">While the BSPVES led to an initial reduction in real </w:t>
            </w:r>
            <w:r>
              <w:t>after</w:t>
            </w:r>
            <w:r>
              <w:noBreakHyphen/>
              <w:t>subsidy fares</w:t>
            </w:r>
            <w:r w:rsidRPr="0090345A">
              <w:t xml:space="preserve">, </w:t>
            </w:r>
            <w:r>
              <w:t>this has</w:t>
            </w:r>
            <w:r w:rsidRPr="0090345A">
              <w:t xml:space="preserve"> been </w:t>
            </w:r>
            <w:r>
              <w:t xml:space="preserve">steadily </w:t>
            </w:r>
            <w:r w:rsidRPr="0090345A">
              <w:t xml:space="preserve">eroded in the decade and a half </w:t>
            </w:r>
            <w:r>
              <w:t>since the scheme’s introduction</w:t>
            </w:r>
            <w:r w:rsidRPr="0090345A">
              <w:t>.</w:t>
            </w:r>
          </w:p>
          <w:p w:rsidR="00AE4D5A" w:rsidRPr="00E46DE9" w:rsidRDefault="00AE4D5A" w:rsidP="008E5E01">
            <w:pPr>
              <w:pStyle w:val="BoxListBullet"/>
              <w:rPr>
                <w:spacing w:val="-2"/>
              </w:rPr>
            </w:pPr>
            <w:r w:rsidRPr="00E46DE9">
              <w:rPr>
                <w:spacing w:val="-2"/>
              </w:rPr>
              <w:t>The total number of passengers travelling across Bass Strait has doubled over the past decade, driven by rising numbers of air passengers following the entry of low cost airlines and discount air fares — whilst the total number of passengers travelling by sea has fallen by one third over the same period and despite the BSPVES.</w:t>
            </w:r>
          </w:p>
          <w:p w:rsidR="00AE4D5A" w:rsidRPr="00F82D7C" w:rsidRDefault="00AE4D5A" w:rsidP="008E5E01">
            <w:pPr>
              <w:pStyle w:val="BoxListBullet"/>
            </w:pPr>
            <w:r>
              <w:t xml:space="preserve">Around 90 per cent of passengers travelling across Bass Strait now travel by air. </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4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spacing w:before="40" w:after="0" w:line="40" w:lineRule="exact"/>
            </w:pPr>
          </w:p>
        </w:tc>
      </w:tr>
    </w:tbl>
    <w:p w:rsidR="00AE4D5A" w:rsidRPr="0051779F" w:rsidRDefault="00AE4D5A" w:rsidP="008E5E01">
      <w:pPr>
        <w:pStyle w:val="Heading2"/>
      </w:pPr>
      <w:r>
        <w:lastRenderedPageBreak/>
        <w:t>2.</w:t>
      </w:r>
      <w:r>
        <w:rPr>
          <w:noProof/>
        </w:rPr>
        <w:t>1</w:t>
      </w:r>
      <w:r>
        <w:tab/>
        <w:t>Tasmania’s economy at a glance</w:t>
      </w:r>
    </w:p>
    <w:p w:rsidR="00AE4D5A" w:rsidRDefault="00AE4D5A" w:rsidP="008E5E01">
      <w:pPr>
        <w:pStyle w:val="BodyText"/>
      </w:pPr>
      <w:r>
        <w:t xml:space="preserve">Tasmania is an island state, home to around half a million people. It is endowed with many natural assets — high rainfall, fertile soils, large fish stocks, substantial forestry resources and an attractive natural environment. These features, combined with a relatively low cost of living, low traffic density and a range of cultural attractions contribute to a unique lifestyle enjoyed by Tasmanians. </w:t>
      </w:r>
    </w:p>
    <w:p w:rsidR="00AE4D5A" w:rsidRDefault="00AE4D5A" w:rsidP="008E5E01">
      <w:pPr>
        <w:pStyle w:val="BodyText"/>
      </w:pPr>
      <w:r>
        <w:t xml:space="preserve">Despite the host of positive attributes that provide the foundation for Tasmania’s comparative advantages, Tasmania’s economic performance has persistently been below trend relative to the rest of Australia. This is reflected in a range of economic indicators including income, employment, investment and productivity, as well as in terms of social metrics such as education and health outcomes. </w:t>
      </w:r>
    </w:p>
    <w:p w:rsidR="00AE4D5A" w:rsidRDefault="00AE4D5A" w:rsidP="008E5E01">
      <w:pPr>
        <w:pStyle w:val="BodyText"/>
      </w:pPr>
      <w:r>
        <w:t>Over the past decade, the Tasmanian economy, measured by gross state product (GSP), has grown more slowly than the Australian economy overall (figure 2.1, A). In 2012</w:t>
      </w:r>
      <w:r>
        <w:noBreakHyphen/>
        <w:t xml:space="preserve">13, Tasmania recorded the lowest average annual GSP growth of all Australian states and territories. In the same year, Tasmania’s labour productivity (output per hour worked) was around 15 per cent below the national average. In addition, estimates of multifactor productivity growth (MFP) by state and territory indicate that over the past two decades Tasmanian MFP growth was the lowest of all jurisdictions with the exception of the Northern Territory </w:t>
      </w:r>
      <w:r w:rsidRPr="00A13269">
        <w:rPr>
          <w:szCs w:val="24"/>
        </w:rPr>
        <w:t xml:space="preserve">(Cunningham and </w:t>
      </w:r>
      <w:proofErr w:type="spellStart"/>
      <w:r w:rsidRPr="00A13269">
        <w:rPr>
          <w:szCs w:val="24"/>
        </w:rPr>
        <w:t>Harb</w:t>
      </w:r>
      <w:proofErr w:type="spellEnd"/>
      <w:r w:rsidRPr="00A13269">
        <w:rPr>
          <w:szCs w:val="24"/>
        </w:rPr>
        <w:t> 2012)</w:t>
      </w:r>
      <w:r>
        <w:t>.</w:t>
      </w:r>
    </w:p>
    <w:p w:rsidR="00AE4D5A" w:rsidRDefault="00AE4D5A" w:rsidP="008E5E01">
      <w:pPr>
        <w:pStyle w:val="BodyText"/>
      </w:pPr>
      <w:r>
        <w:t>The widening gap between Tasmanian and national employment outcomes evident over the past five years, including lower aggregate hours worked and higher rates of unemployment (figure 2.1, B), has spurred an increase in migration from Tasmania to mainland states, mainly among younger workers. An inflow of interstate migrants in the older demographic bracket has partly offset this trend, exacerbating the small and steadily ageing nature of Tasmania’s population. Recent projections suggest that Tasmania is likely to have the lowest rate of population growth over the period to 2040 and remain the jurisdiction with the oldest population — with the average</w:t>
      </w:r>
      <w:r>
        <w:noBreakHyphen/>
        <w:t xml:space="preserve">age gap between Tasmania and the rest of Australia projected to widen in coming decades </w:t>
      </w:r>
      <w:r w:rsidRPr="00391C1B">
        <w:rPr>
          <w:szCs w:val="24"/>
        </w:rPr>
        <w:t>(ABS 2013c)</w:t>
      </w:r>
      <w:r>
        <w:t>.</w:t>
      </w:r>
    </w:p>
    <w:p w:rsidR="00AE4D5A" w:rsidRDefault="00AE4D5A" w:rsidP="008E5E01">
      <w:pPr>
        <w:pStyle w:val="BodyText"/>
      </w:pPr>
      <w:r>
        <w:t xml:space="preserve">Tasmania’s industry structure has undergone significant structural change in recent decades </w:t>
      </w:r>
      <w:r w:rsidRPr="00291F61">
        <w:rPr>
          <w:szCs w:val="24"/>
        </w:rPr>
        <w:t>(Department of Treasury and Finance (Tasmania) 2013)</w:t>
      </w:r>
      <w:r>
        <w:t>. Once known as the ‘Apple Isle’, Tasmania’s economy has traditionally been based on natural resources — either as primary products or as resource</w:t>
      </w:r>
      <w:r>
        <w:noBreakHyphen/>
        <w:t xml:space="preserve">based manufactures. The Agriculture, forestry, and fishing sector accounts for a larger share of output than for the Australian economy overall </w:t>
      </w:r>
      <w:r w:rsidRPr="00454206">
        <w:t xml:space="preserve">(figure 2.1, </w:t>
      </w:r>
      <w:r>
        <w:t>C</w:t>
      </w:r>
      <w:r w:rsidRPr="00454206">
        <w:t xml:space="preserve">). </w:t>
      </w:r>
      <w:r>
        <w:t xml:space="preserve">While its share has remained relatively stable in terms of gross value added, significant diversification has taken </w:t>
      </w:r>
      <w:r>
        <w:lastRenderedPageBreak/>
        <w:t xml:space="preserve">place within the sector, with a shift from traditional products (apples and pears) to higher value products such as processed vegetables, stone fruit and salmonids. </w:t>
      </w:r>
    </w:p>
    <w:p w:rsidR="00AE4D5A" w:rsidRDefault="00AE4D5A" w:rsidP="008E5E01">
      <w:pPr>
        <w:pStyle w:val="BodyText"/>
      </w:pPr>
      <w:r>
        <w:t xml:space="preserve">In the last decade, there has been a notable decline in Tasmania’s manufacturing output. This sector had for many years accounted for a larger share of Tasmania’s output compared to its share for Australia overall. This decline, driven largely by contractions in Food and beverages, Wood and paper products, and Textiles, clothing and footwear, has seen manufacturing’s share of gross value added fall to around the national economy average (around 8 per cent). </w:t>
      </w:r>
    </w:p>
    <w:p w:rsidR="00AE4D5A" w:rsidRDefault="00AE4D5A" w:rsidP="008E5E01">
      <w:pPr>
        <w:pStyle w:val="BodyText"/>
      </w:pPr>
      <w:r>
        <w:t xml:space="preserve">Structural changes have reinforced the demand for high frequency shipping services across Bass Strait for a number of industries, although only 15 per cent of Tasmanian shippers require an overnight service </w:t>
      </w:r>
      <w:r w:rsidR="007C1471" w:rsidRPr="007C1471">
        <w:rPr>
          <w:szCs w:val="24"/>
        </w:rPr>
        <w:t>(FLCT 2013a)</w:t>
      </w:r>
      <w:r>
        <w:t>. The high cost of Bass Strait shipping services (for reasons discussed later) is felt most keenly by producers who mainly supply interstate and international markets.</w:t>
      </w:r>
    </w:p>
    <w:p w:rsidR="00AE4D5A" w:rsidRPr="00454206" w:rsidRDefault="00AE4D5A" w:rsidP="008E5E01">
      <w:pPr>
        <w:pStyle w:val="BodyText"/>
      </w:pPr>
      <w:r w:rsidRPr="00454206">
        <w:t xml:space="preserve">Like most advanced economies, growth </w:t>
      </w:r>
      <w:r>
        <w:t>has</w:t>
      </w:r>
      <w:r w:rsidRPr="00454206">
        <w:t xml:space="preserve"> typically been in service</w:t>
      </w:r>
      <w:r>
        <w:t xml:space="preserve"> industries</w:t>
      </w:r>
      <w:r w:rsidRPr="00454206">
        <w:t xml:space="preserve"> — notably health care, construction and tourism. Within the services sector, the contribution of private services has increased relative to public services. </w:t>
      </w:r>
      <w:r>
        <w:t>However</w:t>
      </w:r>
      <w:r w:rsidRPr="00454206">
        <w:t xml:space="preserve">, Tasmania still retains a large public sector </w:t>
      </w:r>
      <w:r>
        <w:t>relative</w:t>
      </w:r>
      <w:r w:rsidRPr="00454206">
        <w:t xml:space="preserve"> to the rest of Australia</w:t>
      </w:r>
      <w:r>
        <w:t xml:space="preserve"> (around 27 per cent of gross value added compared to a national average of around 19 per cent, figure 2.1, C)</w:t>
      </w:r>
      <w:r w:rsidRPr="00454206">
        <w:t>.</w:t>
      </w:r>
      <w:r w:rsidRPr="004A2769">
        <w:rPr>
          <w:rStyle w:val="FootnoteReference"/>
        </w:rPr>
        <w:footnoteReference w:id="2"/>
      </w:r>
      <w:r w:rsidRPr="00454206">
        <w:t xml:space="preserve"> Expenditure on health care and community services is expected to continue to increase in line with Tasmania’s ageing demographic profile.</w:t>
      </w:r>
    </w:p>
    <w:p w:rsidR="00AE4D5A" w:rsidRDefault="00AE4D5A" w:rsidP="008E5E01">
      <w:pPr>
        <w:pStyle w:val="BodyText"/>
        <w:rPr>
          <w:spacing w:val="-4"/>
        </w:rPr>
      </w:pPr>
      <w:r w:rsidRPr="00CB6DFE">
        <w:rPr>
          <w:spacing w:val="-4"/>
        </w:rPr>
        <w:t xml:space="preserve">Tasmania’s small, </w:t>
      </w:r>
      <w:r>
        <w:rPr>
          <w:spacing w:val="-4"/>
        </w:rPr>
        <w:t>dispersed</w:t>
      </w:r>
      <w:r w:rsidRPr="00CB6DFE">
        <w:rPr>
          <w:spacing w:val="-4"/>
        </w:rPr>
        <w:t xml:space="preserve"> and slow growing domestic market means that for its industries to grow, they must export their products and services, either to markets on the mainland or overseas — or, in the case of tourism, attract visitors from outside Tasmania. For example, around 75 per cent of Tasmania’s total food production is currently sold in interstate (50 per cent) or </w:t>
      </w:r>
      <w:r>
        <w:rPr>
          <w:spacing w:val="-4"/>
        </w:rPr>
        <w:t xml:space="preserve">in </w:t>
      </w:r>
      <w:r w:rsidRPr="00CB6DFE">
        <w:rPr>
          <w:spacing w:val="-4"/>
        </w:rPr>
        <w:t>international markets (25 per cent) (sub. 43). This means the efficient and cost</w:t>
      </w:r>
      <w:r>
        <w:rPr>
          <w:spacing w:val="-4"/>
        </w:rPr>
        <w:noBreakHyphen/>
      </w:r>
      <w:r w:rsidRPr="00CB6DFE">
        <w:rPr>
          <w:spacing w:val="-4"/>
        </w:rPr>
        <w:t xml:space="preserve">effective movement of freight, and people, to and from Tasmania is </w:t>
      </w:r>
      <w:r>
        <w:rPr>
          <w:spacing w:val="-4"/>
        </w:rPr>
        <w:t>integral to overall economic performance.</w:t>
      </w:r>
    </w:p>
    <w:p w:rsidR="00AE4D5A" w:rsidRDefault="00AE4D5A" w:rsidP="008E5E01">
      <w:pPr>
        <w:pStyle w:val="BodyText"/>
        <w:rPr>
          <w:spacing w:val="-4"/>
        </w:rPr>
      </w:pPr>
    </w:p>
    <w:p w:rsidR="00AE4D5A" w:rsidRDefault="00AE4D5A" w:rsidP="008E5E01">
      <w:pPr>
        <w:pStyle w:val="BodyText"/>
        <w:rPr>
          <w:spacing w:val="-4"/>
        </w:rPr>
      </w:pPr>
    </w:p>
    <w:p w:rsidR="00AE4D5A" w:rsidRDefault="00AE4D5A" w:rsidP="008E5E01">
      <w:pPr>
        <w:pStyle w:val="BodyText"/>
        <w:rPr>
          <w:spacing w:val="-4"/>
        </w:rPr>
      </w:pPr>
    </w:p>
    <w:p w:rsidR="00AE4D5A" w:rsidRPr="001649FC" w:rsidRDefault="00AE4D5A" w:rsidP="008E5E01">
      <w:pPr>
        <w:pStyle w:val="BodyText"/>
        <w:rPr>
          <w:spacing w:val="-4"/>
        </w:rPr>
      </w:pPr>
    </w:p>
    <w:p w:rsidR="00AE4D5A" w:rsidRDefault="00AE4D5A" w:rsidP="008E5E01">
      <w:pPr>
        <w:pStyle w:val="FigureTitle"/>
      </w:pPr>
      <w:r>
        <w:rPr>
          <w:b w:val="0"/>
        </w:rPr>
        <w:lastRenderedPageBreak/>
        <w:t>Figure 2.</w:t>
      </w:r>
      <w:r>
        <w:rPr>
          <w:b w:val="0"/>
          <w:noProof/>
        </w:rPr>
        <w:t>1</w:t>
      </w:r>
      <w:r>
        <w:tab/>
        <w:t>Tasmania’s relative economic performance, selected indicators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4388"/>
        <w:gridCol w:w="4389"/>
      </w:tblGrid>
      <w:tr w:rsidR="00AE4D5A" w:rsidTr="008E5E01">
        <w:tc>
          <w:tcPr>
            <w:tcW w:w="4388" w:type="dxa"/>
            <w:tcBorders>
              <w:top w:val="single" w:sz="4" w:space="0" w:color="auto"/>
              <w:bottom w:val="nil"/>
            </w:tcBorders>
          </w:tcPr>
          <w:p w:rsidR="00AE4D5A" w:rsidRPr="000615DE" w:rsidRDefault="00AE4D5A" w:rsidP="008E5E01">
            <w:pPr>
              <w:pStyle w:val="Heading9"/>
              <w:spacing w:after="0"/>
              <w:ind w:left="23"/>
            </w:pPr>
            <w:r>
              <w:t>A: GDP/GSP real annual growth rates</w:t>
            </w:r>
          </w:p>
        </w:tc>
        <w:tc>
          <w:tcPr>
            <w:tcW w:w="4389" w:type="dxa"/>
            <w:tcBorders>
              <w:top w:val="single" w:sz="4" w:space="0" w:color="auto"/>
              <w:bottom w:val="nil"/>
            </w:tcBorders>
          </w:tcPr>
          <w:p w:rsidR="00AE4D5A" w:rsidRPr="004C6D49" w:rsidRDefault="00AE4D5A" w:rsidP="008E5E01">
            <w:pPr>
              <w:pStyle w:val="Heading9"/>
              <w:spacing w:after="0"/>
              <w:ind w:left="23"/>
            </w:pPr>
            <w:r>
              <w:t>B: Unemployment rates (trend)</w:t>
            </w:r>
          </w:p>
        </w:tc>
      </w:tr>
      <w:tr w:rsidR="00AE4D5A" w:rsidTr="008E5E01">
        <w:tc>
          <w:tcPr>
            <w:tcW w:w="4388" w:type="dxa"/>
            <w:tcBorders>
              <w:top w:val="nil"/>
              <w:bottom w:val="nil"/>
            </w:tcBorders>
          </w:tcPr>
          <w:p w:rsidR="00AE4D5A" w:rsidRDefault="00AE4D5A" w:rsidP="008E5E01">
            <w:pPr>
              <w:pStyle w:val="Figure"/>
              <w:spacing w:before="0" w:after="0"/>
            </w:pPr>
            <w:r w:rsidRPr="00EC516F">
              <w:rPr>
                <w:noProof/>
              </w:rPr>
              <w:drawing>
                <wp:inline distT="0" distB="0" distL="0" distR="0" wp14:anchorId="4EA6F174" wp14:editId="7589C53B">
                  <wp:extent cx="2520000" cy="2160000"/>
                  <wp:effectExtent l="0" t="0" r="0" b="0"/>
                  <wp:docPr id="9" name="Chart 9" descr="Figure 2.1 Tasmania's relative economic performance, selected indicators. This chart shows annual growth for GDP for Tasmania compared with Australia since 1992-9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c>
          <w:tcPr>
            <w:tcW w:w="4389" w:type="dxa"/>
            <w:tcBorders>
              <w:top w:val="nil"/>
              <w:bottom w:val="nil"/>
            </w:tcBorders>
          </w:tcPr>
          <w:p w:rsidR="00AE4D5A" w:rsidRDefault="00AE4D5A" w:rsidP="008E5E01">
            <w:pPr>
              <w:pStyle w:val="Figure"/>
              <w:spacing w:before="0" w:after="0"/>
            </w:pPr>
            <w:r w:rsidRPr="00EC516F">
              <w:rPr>
                <w:noProof/>
              </w:rPr>
              <w:drawing>
                <wp:inline distT="0" distB="0" distL="0" distR="0" wp14:anchorId="41605D52" wp14:editId="28E8FA6B">
                  <wp:extent cx="2520000" cy="2160000"/>
                  <wp:effectExtent l="0" t="0" r="0" b="0"/>
                  <wp:docPr id="10" name="Chart 10" descr="Panel B compares unemployment rates for Tasmania and Australia between January 2009 and January 20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r w:rsidR="00AE4D5A" w:rsidTr="008E5E01">
        <w:tc>
          <w:tcPr>
            <w:tcW w:w="4388" w:type="dxa"/>
            <w:tcBorders>
              <w:top w:val="nil"/>
              <w:bottom w:val="nil"/>
            </w:tcBorders>
          </w:tcPr>
          <w:p w:rsidR="00AE4D5A" w:rsidRPr="004C6D49" w:rsidRDefault="00AE4D5A" w:rsidP="008E5E01">
            <w:pPr>
              <w:pStyle w:val="Heading9"/>
              <w:spacing w:before="120" w:after="0"/>
              <w:ind w:left="23"/>
              <w:rPr>
                <w:i w:val="0"/>
              </w:rPr>
            </w:pPr>
            <w:r>
              <w:t xml:space="preserve">C: </w:t>
            </w:r>
            <w:r w:rsidRPr="009E2C5D">
              <w:t>Gross valued added</w:t>
            </w:r>
            <w:r>
              <w:t xml:space="preserve"> shares</w:t>
            </w:r>
            <w:r w:rsidRPr="009E2C5D">
              <w:t>, 20</w:t>
            </w:r>
            <w:r>
              <w:t>12</w:t>
            </w:r>
            <w:r>
              <w:noBreakHyphen/>
            </w:r>
            <w:r w:rsidRPr="009E2C5D">
              <w:t>13</w:t>
            </w:r>
            <w:r w:rsidRPr="00EF3FCE">
              <w:rPr>
                <w:rStyle w:val="NoteLabel"/>
              </w:rPr>
              <w:t>a</w:t>
            </w:r>
          </w:p>
        </w:tc>
        <w:tc>
          <w:tcPr>
            <w:tcW w:w="4389" w:type="dxa"/>
            <w:tcBorders>
              <w:top w:val="nil"/>
              <w:bottom w:val="nil"/>
            </w:tcBorders>
          </w:tcPr>
          <w:p w:rsidR="00AE4D5A" w:rsidRPr="005726DF" w:rsidRDefault="00AE4D5A" w:rsidP="008E5E01">
            <w:pPr>
              <w:pStyle w:val="Heading9"/>
              <w:spacing w:before="120" w:after="0"/>
              <w:ind w:left="23"/>
              <w:rPr>
                <w:i w:val="0"/>
              </w:rPr>
            </w:pPr>
            <w:r>
              <w:t>D: Households with g</w:t>
            </w:r>
            <w:r w:rsidRPr="00B71E83">
              <w:t xml:space="preserve">overnment payments </w:t>
            </w:r>
            <w:r>
              <w:t xml:space="preserve">and </w:t>
            </w:r>
            <w:r w:rsidRPr="00B71E83">
              <w:t>be</w:t>
            </w:r>
            <w:r>
              <w:t>nefits as main source of income, 2011</w:t>
            </w:r>
            <w:r>
              <w:noBreakHyphen/>
              <w:t>12</w:t>
            </w:r>
            <w:r>
              <w:rPr>
                <w:rStyle w:val="NoteLabel"/>
              </w:rPr>
              <w:t>b</w:t>
            </w:r>
          </w:p>
        </w:tc>
      </w:tr>
      <w:tr w:rsidR="00AE4D5A" w:rsidTr="008E5E01">
        <w:tc>
          <w:tcPr>
            <w:tcW w:w="4388" w:type="dxa"/>
            <w:tcBorders>
              <w:top w:val="nil"/>
            </w:tcBorders>
          </w:tcPr>
          <w:p w:rsidR="00AE4D5A" w:rsidRDefault="00AE4D5A" w:rsidP="008E5E01">
            <w:pPr>
              <w:pStyle w:val="Figure"/>
              <w:spacing w:before="0" w:after="0"/>
              <w:rPr>
                <w:i/>
              </w:rPr>
            </w:pPr>
            <w:r w:rsidRPr="00EC516F">
              <w:rPr>
                <w:i/>
                <w:noProof/>
              </w:rPr>
              <w:drawing>
                <wp:inline distT="0" distB="0" distL="0" distR="0" wp14:anchorId="0CDB965E" wp14:editId="5F24502A">
                  <wp:extent cx="2520000" cy="2160000"/>
                  <wp:effectExtent l="0" t="0" r="0" b="0"/>
                  <wp:docPr id="4" name="Chart 4" descr="Panel C shows relative shares of gross value added by main industry for Tasmania and Australia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c>
          <w:tcPr>
            <w:tcW w:w="4389" w:type="dxa"/>
            <w:tcBorders>
              <w:top w:val="nil"/>
            </w:tcBorders>
          </w:tcPr>
          <w:p w:rsidR="00AE4D5A" w:rsidRPr="00605B2C" w:rsidRDefault="00AE4D5A" w:rsidP="008E5E01">
            <w:pPr>
              <w:pStyle w:val="Figure"/>
              <w:spacing w:before="0" w:after="0"/>
            </w:pPr>
            <w:r w:rsidRPr="00EC516F">
              <w:rPr>
                <w:noProof/>
              </w:rPr>
              <w:drawing>
                <wp:inline distT="0" distB="0" distL="0" distR="0" wp14:anchorId="0F24480F" wp14:editId="7DED1108">
                  <wp:extent cx="2514138" cy="2160000"/>
                  <wp:effectExtent l="0" t="0" r="0" b="0"/>
                  <wp:docPr id="13" name="Chart 13" descr="Panel D shows the percentage of all households for which government payments were the main source of income for all states and territories and for Australia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AE4D5A" w:rsidTr="008E5E01">
        <w:tc>
          <w:tcPr>
            <w:tcW w:w="4388" w:type="dxa"/>
            <w:tcBorders>
              <w:top w:val="nil"/>
              <w:bottom w:val="nil"/>
            </w:tcBorders>
          </w:tcPr>
          <w:p w:rsidR="00AE4D5A" w:rsidRPr="004C6D49" w:rsidRDefault="00AE4D5A" w:rsidP="008E5E01">
            <w:pPr>
              <w:pStyle w:val="Heading9"/>
              <w:spacing w:before="120" w:after="0"/>
              <w:ind w:left="23"/>
              <w:rPr>
                <w:i w:val="0"/>
              </w:rPr>
            </w:pPr>
            <w:r>
              <w:t>E: GDP/GSP per person</w:t>
            </w:r>
            <w:r w:rsidRPr="009E2C5D">
              <w:t xml:space="preserve">, </w:t>
            </w:r>
            <w:r>
              <w:t>2012</w:t>
            </w:r>
            <w:r>
              <w:noBreakHyphen/>
              <w:t>13</w:t>
            </w:r>
          </w:p>
        </w:tc>
        <w:tc>
          <w:tcPr>
            <w:tcW w:w="4389" w:type="dxa"/>
            <w:tcBorders>
              <w:top w:val="nil"/>
              <w:bottom w:val="nil"/>
            </w:tcBorders>
          </w:tcPr>
          <w:p w:rsidR="00AE4D5A" w:rsidRPr="005726DF" w:rsidRDefault="00AE4D5A" w:rsidP="008E5E01">
            <w:pPr>
              <w:pStyle w:val="Heading9"/>
              <w:spacing w:before="120" w:after="0"/>
              <w:ind w:left="23"/>
              <w:rPr>
                <w:i w:val="0"/>
              </w:rPr>
            </w:pPr>
            <w:r>
              <w:t>F: Educational attainment — share of workforce with year 10 as highest qualification, 2013</w:t>
            </w:r>
          </w:p>
        </w:tc>
      </w:tr>
      <w:tr w:rsidR="00AE4D5A" w:rsidTr="008E5E01">
        <w:trPr>
          <w:trHeight w:val="3061"/>
        </w:trPr>
        <w:tc>
          <w:tcPr>
            <w:tcW w:w="4388" w:type="dxa"/>
            <w:tcBorders>
              <w:top w:val="nil"/>
            </w:tcBorders>
          </w:tcPr>
          <w:p w:rsidR="00AE4D5A" w:rsidRDefault="00AE4D5A" w:rsidP="008E5E01">
            <w:pPr>
              <w:pStyle w:val="Figure"/>
              <w:spacing w:before="0" w:after="240" w:line="40" w:lineRule="atLeast"/>
            </w:pPr>
            <w:r w:rsidRPr="00EC516F">
              <w:rPr>
                <w:noProof/>
              </w:rPr>
              <w:drawing>
                <wp:inline distT="0" distB="0" distL="0" distR="0" wp14:anchorId="0AB358D8" wp14:editId="1D641064">
                  <wp:extent cx="2600325" cy="1852613"/>
                  <wp:effectExtent l="0" t="0" r="0" b="0"/>
                  <wp:docPr id="5" name="Chart 5" descr="Panel E shows gross domestic product (GDP) per person measured in thousands of dollars (current prices) for all states and territories and for Australia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c>
          <w:tcPr>
            <w:tcW w:w="4389" w:type="dxa"/>
            <w:tcBorders>
              <w:top w:val="nil"/>
            </w:tcBorders>
          </w:tcPr>
          <w:p w:rsidR="00AE4D5A" w:rsidRDefault="00AE4D5A" w:rsidP="008E5E01">
            <w:pPr>
              <w:pStyle w:val="Figure"/>
              <w:spacing w:before="0" w:after="0" w:line="40" w:lineRule="atLeast"/>
            </w:pPr>
            <w:r w:rsidRPr="00EC516F">
              <w:rPr>
                <w:noProof/>
              </w:rPr>
              <w:drawing>
                <wp:inline distT="0" distB="0" distL="0" distR="0" wp14:anchorId="22D58F77" wp14:editId="75ED987A">
                  <wp:extent cx="2514138" cy="1866534"/>
                  <wp:effectExtent l="0" t="0" r="0" b="0"/>
                  <wp:docPr id="6" name="Chart 6" descr="Panel F shows the share of the workforce with year 10 as the highest qualification for all states and territories and Australia in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AE4D5A" w:rsidRPr="000C167C" w:rsidRDefault="00AE4D5A" w:rsidP="008E5E01">
      <w:pPr>
        <w:pStyle w:val="Note"/>
      </w:pPr>
      <w:r>
        <w:rPr>
          <w:rStyle w:val="NoteLabel"/>
        </w:rPr>
        <w:t>a</w:t>
      </w:r>
      <w:r>
        <w:t xml:space="preserve"> Following </w:t>
      </w:r>
      <w:r w:rsidRPr="004E2653">
        <w:rPr>
          <w:rFonts w:cs="Arial"/>
          <w:szCs w:val="24"/>
        </w:rPr>
        <w:t>Department of Treasury and Finance (Tasmania) </w:t>
      </w:r>
      <w:r w:rsidRPr="0066213A">
        <w:rPr>
          <w:rFonts w:cs="Arial"/>
        </w:rPr>
        <w:t>(2013)</w:t>
      </w:r>
      <w:r w:rsidRPr="008E3331">
        <w:t xml:space="preserve">, </w:t>
      </w:r>
      <w:r>
        <w:t>public expenditure is approximated by</w:t>
      </w:r>
      <w:r w:rsidRPr="000C167C">
        <w:t xml:space="preserve"> </w:t>
      </w:r>
      <w:r>
        <w:t>divisions</w:t>
      </w:r>
      <w:r w:rsidRPr="000C167C">
        <w:t xml:space="preserve"> O, P, Q</w:t>
      </w:r>
      <w:r>
        <w:t>, and p</w:t>
      </w:r>
      <w:r w:rsidRPr="000C167C">
        <w:t xml:space="preserve">rivate expenditure </w:t>
      </w:r>
      <w:r>
        <w:t>covers</w:t>
      </w:r>
      <w:r w:rsidRPr="000C167C">
        <w:t xml:space="preserve"> </w:t>
      </w:r>
      <w:r>
        <w:t>divisions</w:t>
      </w:r>
      <w:r w:rsidRPr="000C167C">
        <w:t xml:space="preserve"> D, F to N, R and S. </w:t>
      </w:r>
      <w:r>
        <w:t xml:space="preserve">Excludes ownership of dwellings. </w:t>
      </w:r>
      <w:r>
        <w:rPr>
          <w:rStyle w:val="NoteLabel"/>
        </w:rPr>
        <w:t>b</w:t>
      </w:r>
      <w:r>
        <w:t xml:space="preserve"> </w:t>
      </w:r>
      <w:r w:rsidRPr="00EB1173">
        <w:t>Households defined as very remote were excluded</w:t>
      </w:r>
      <w:r>
        <w:t xml:space="preserve"> from the Northern Territory estimate</w:t>
      </w:r>
      <w:r w:rsidRPr="00EB1173">
        <w:t xml:space="preserve">, accounting for around 23 per cent of the </w:t>
      </w:r>
      <w:r>
        <w:t>Territory’s</w:t>
      </w:r>
      <w:r w:rsidRPr="00EB1173">
        <w:t xml:space="preserve"> population.</w:t>
      </w:r>
    </w:p>
    <w:p w:rsidR="00AE4D5A" w:rsidRDefault="00AE4D5A" w:rsidP="008E5E01">
      <w:pPr>
        <w:pStyle w:val="Source"/>
      </w:pPr>
      <w:r>
        <w:rPr>
          <w:i/>
        </w:rPr>
        <w:t>Data sources</w:t>
      </w:r>
      <w:r w:rsidRPr="00167F06">
        <w:t xml:space="preserve">: </w:t>
      </w:r>
      <w:r w:rsidRPr="00B71E83">
        <w:rPr>
          <w:rFonts w:cs="Arial"/>
          <w:szCs w:val="24"/>
        </w:rPr>
        <w:t>ABS </w:t>
      </w:r>
      <w:r w:rsidRPr="00391C1B">
        <w:rPr>
          <w:rFonts w:cs="Arial"/>
        </w:rPr>
        <w:t>(</w:t>
      </w:r>
      <w:proofErr w:type="spellStart"/>
      <w:r w:rsidRPr="00391C1B">
        <w:rPr>
          <w:rFonts w:cs="Arial"/>
        </w:rPr>
        <w:t>2013a</w:t>
      </w:r>
      <w:proofErr w:type="spellEnd"/>
      <w:r w:rsidRPr="00391C1B">
        <w:rPr>
          <w:rFonts w:cs="Arial"/>
        </w:rPr>
        <w:t xml:space="preserve">, </w:t>
      </w:r>
      <w:proofErr w:type="spellStart"/>
      <w:r w:rsidRPr="00391C1B">
        <w:rPr>
          <w:rFonts w:cs="Arial"/>
        </w:rPr>
        <w:t>2013b</w:t>
      </w:r>
      <w:proofErr w:type="spellEnd"/>
      <w:r w:rsidRPr="00391C1B">
        <w:rPr>
          <w:rFonts w:cs="Arial"/>
        </w:rPr>
        <w:t xml:space="preserve">, </w:t>
      </w:r>
      <w:proofErr w:type="spellStart"/>
      <w:r w:rsidRPr="00391C1B">
        <w:rPr>
          <w:rFonts w:cs="Arial"/>
        </w:rPr>
        <w:t>2013c</w:t>
      </w:r>
      <w:proofErr w:type="spellEnd"/>
      <w:r w:rsidRPr="00391C1B">
        <w:rPr>
          <w:rFonts w:cs="Arial"/>
        </w:rPr>
        <w:t xml:space="preserve">, </w:t>
      </w:r>
      <w:proofErr w:type="spellStart"/>
      <w:r w:rsidRPr="00391C1B">
        <w:rPr>
          <w:rFonts w:cs="Arial"/>
        </w:rPr>
        <w:t>2013e</w:t>
      </w:r>
      <w:proofErr w:type="spellEnd"/>
      <w:r w:rsidRPr="00391C1B">
        <w:rPr>
          <w:rFonts w:cs="Arial"/>
        </w:rPr>
        <w:t>)</w:t>
      </w:r>
      <w:r>
        <w:t>.</w:t>
      </w:r>
    </w:p>
    <w:p w:rsidR="00AE4D5A" w:rsidRDefault="00AE4D5A" w:rsidP="008E5E01">
      <w:pPr>
        <w:pStyle w:val="Heading3"/>
      </w:pPr>
      <w:r>
        <w:lastRenderedPageBreak/>
        <w:t xml:space="preserve">Tasmania’s geographic advantages and disadvantages </w:t>
      </w:r>
    </w:p>
    <w:p w:rsidR="00AE4D5A" w:rsidRDefault="00AE4D5A" w:rsidP="008E5E01">
      <w:pPr>
        <w:pStyle w:val="BodyText"/>
      </w:pPr>
      <w:r>
        <w:t>The economic performance of Tasmania reflects external influences from the national and global economies as well as internal drivers. Previous reviews (</w:t>
      </w:r>
      <w:r w:rsidRPr="000F65CB">
        <w:rPr>
          <w:szCs w:val="24"/>
        </w:rPr>
        <w:t>TFES Review Authority </w:t>
      </w:r>
      <w:r>
        <w:rPr>
          <w:szCs w:val="24"/>
        </w:rPr>
        <w:t xml:space="preserve">(Nixon) </w:t>
      </w:r>
      <w:r w:rsidRPr="00E94DB5">
        <w:t>(1998)</w:t>
      </w:r>
      <w:r>
        <w:t xml:space="preserve">, </w:t>
      </w:r>
      <w:r w:rsidRPr="0008549B">
        <w:rPr>
          <w:szCs w:val="24"/>
        </w:rPr>
        <w:t>BITRE</w:t>
      </w:r>
      <w:r>
        <w:t xml:space="preserve"> </w:t>
      </w:r>
      <w:r w:rsidRPr="00EE4741">
        <w:t>(2008b)</w:t>
      </w:r>
      <w:r w:rsidRPr="0008549B">
        <w:rPr>
          <w:szCs w:val="24"/>
        </w:rPr>
        <w:t>)</w:t>
      </w:r>
      <w:r>
        <w:t xml:space="preserve"> identified a number of factors affecting Tasmania’s long term growth, some of which are natural endowments. </w:t>
      </w:r>
    </w:p>
    <w:p w:rsidR="00AE4D5A" w:rsidRDefault="00AE4D5A" w:rsidP="008E5E01">
      <w:pPr>
        <w:pStyle w:val="BodyText"/>
      </w:pPr>
      <w:r>
        <w:t>The island’s</w:t>
      </w:r>
      <w:r w:rsidRPr="0089638B">
        <w:t xml:space="preserve"> identity and </w:t>
      </w:r>
      <w:r>
        <w:t>geography</w:t>
      </w:r>
      <w:r w:rsidRPr="0089638B">
        <w:t xml:space="preserve"> </w:t>
      </w:r>
      <w:r>
        <w:t>provide businesses with</w:t>
      </w:r>
      <w:r w:rsidRPr="0089638B">
        <w:t xml:space="preserve"> advantages in product branding — such as Cascade </w:t>
      </w:r>
      <w:r>
        <w:t>lager</w:t>
      </w:r>
      <w:r w:rsidRPr="0089638B">
        <w:t xml:space="preserve"> and King Island</w:t>
      </w:r>
      <w:r>
        <w:t xml:space="preserve"> dairy products</w:t>
      </w:r>
      <w:r w:rsidRPr="0089638B">
        <w:t xml:space="preserve">. </w:t>
      </w:r>
      <w:r>
        <w:t>Tasmania’s niche appeal also provides a platform for investment in high</w:t>
      </w:r>
      <w:r>
        <w:noBreakHyphen/>
        <w:t>value low</w:t>
      </w:r>
      <w:r>
        <w:noBreakHyphen/>
        <w:t xml:space="preserve">volume products and services particularly in agriculture, aquaculture and tourism. </w:t>
      </w:r>
      <w:r w:rsidRPr="0089638B">
        <w:t xml:space="preserve">Bass Strait provides </w:t>
      </w:r>
      <w:r>
        <w:t>some</w:t>
      </w:r>
      <w:r w:rsidRPr="0089638B">
        <w:t xml:space="preserve"> ‘natural protection’ to Tasmanian</w:t>
      </w:r>
      <w:r>
        <w:noBreakHyphen/>
      </w:r>
      <w:r w:rsidRPr="0089638B">
        <w:t xml:space="preserve">based </w:t>
      </w:r>
      <w:r>
        <w:t>businesses</w:t>
      </w:r>
      <w:r w:rsidRPr="0089638B">
        <w:t xml:space="preserve"> in the form of a freight cost advantage over their counterparts on the mainland in supplying goods to consumers and businesses in </w:t>
      </w:r>
      <w:r>
        <w:t xml:space="preserve">the (albeit small) </w:t>
      </w:r>
      <w:r w:rsidRPr="0089638B">
        <w:t>Tasmania</w:t>
      </w:r>
      <w:r>
        <w:t>n markets</w:t>
      </w:r>
      <w:r w:rsidRPr="0089638B">
        <w:t>.</w:t>
      </w:r>
      <w:r>
        <w:t xml:space="preserve"> </w:t>
      </w:r>
    </w:p>
    <w:p w:rsidR="00AE4D5A" w:rsidRPr="0083758B" w:rsidRDefault="00AE4D5A" w:rsidP="008E5E01">
      <w:pPr>
        <w:pStyle w:val="BodyText"/>
      </w:pPr>
      <w:r w:rsidRPr="0083758B">
        <w:t>These advantages notwithstanding, Tasmania’s remoteness and decentralised settlement patterns pose challenges</w:t>
      </w:r>
      <w:r>
        <w:t xml:space="preserve">. These </w:t>
      </w:r>
      <w:r w:rsidRPr="0083758B">
        <w:t>includ</w:t>
      </w:r>
      <w:r>
        <w:t xml:space="preserve">e </w:t>
      </w:r>
      <w:r w:rsidRPr="0083758B">
        <w:t xml:space="preserve">limiting the benefits available from specialisation, economies of scale and competition between producers and service providers. </w:t>
      </w:r>
    </w:p>
    <w:p w:rsidR="00AE4D5A" w:rsidRDefault="00AE4D5A" w:rsidP="008E5E01">
      <w:pPr>
        <w:pStyle w:val="BodyText"/>
      </w:pPr>
      <w:r>
        <w:t xml:space="preserve">All countries and regions are affected by economic geography. Indeed, research by the OECD and others has shown that Australia — as one of the most remote advanced economies in the world — has faced, and through sound overall policy settings, largely overcome, substantial disadvantages stemming from its remoteness from world markets (box 2.1). </w:t>
      </w:r>
    </w:p>
    <w:p w:rsidR="00AE4D5A" w:rsidRDefault="00AE4D5A" w:rsidP="008E5E01">
      <w:pPr>
        <w:pStyle w:val="BodyText"/>
      </w:pPr>
      <w:r>
        <w:t>While Tasmania’s island status means that it faces particular transport challenges relative to other states and territories, m</w:t>
      </w:r>
      <w:r w:rsidRPr="00454206">
        <w:t>any other regions of Australia also incur significant costs to transport goods to markets either because of their remoteness or the absence of a rail link</w:t>
      </w:r>
      <w:r>
        <w:t>,</w:t>
      </w:r>
      <w:r w:rsidRPr="00454206">
        <w:t xml:space="preserve"> all</w:t>
      </w:r>
      <w:r>
        <w:noBreakHyphen/>
      </w:r>
      <w:r w:rsidRPr="00454206">
        <w:t>weather roads</w:t>
      </w:r>
      <w:r>
        <w:t xml:space="preserve"> or, in the case of other islands including Kangaroo Island and the Torres Strait islands, low cost sea links</w:t>
      </w:r>
      <w:r w:rsidRPr="00454206">
        <w:t xml:space="preserve">. However, as the Commission noted in its previous </w:t>
      </w:r>
      <w:r>
        <w:t>inquiry on freight subsidy arrangements</w:t>
      </w:r>
      <w:r w:rsidRPr="00454206">
        <w:t xml:space="preserve"> </w:t>
      </w:r>
      <w:r w:rsidR="007C1471" w:rsidRPr="007C1471">
        <w:rPr>
          <w:szCs w:val="24"/>
        </w:rPr>
        <w:t>(PC 2006b)</w:t>
      </w:r>
      <w:r w:rsidRPr="00454206">
        <w:t>, businesses in such regions have established there in response to other locational advantages and</w:t>
      </w:r>
      <w:r>
        <w:t>,</w:t>
      </w:r>
      <w:r w:rsidRPr="00454206">
        <w:t xml:space="preserve"> </w:t>
      </w:r>
      <w:r>
        <w:t xml:space="preserve">with some notable exceptions, </w:t>
      </w:r>
      <w:r w:rsidRPr="00454206">
        <w:t>generally do not receive explicit</w:t>
      </w:r>
      <w:r>
        <w:t xml:space="preserve"> government freight or passenger subsidies. </w:t>
      </w:r>
    </w:p>
    <w:p w:rsidR="00AE4D5A" w:rsidRDefault="00AE4D5A" w:rsidP="008E5E01">
      <w:pPr>
        <w:pStyle w:val="BodyText"/>
      </w:pPr>
      <w:r>
        <w:t xml:space="preserve">Australia’s experience suggests that the capacity of </w:t>
      </w:r>
      <w:r w:rsidRPr="00A570AA">
        <w:t>businesses to exploit the geographic advantages or overcome geographic disadvantages they face is governed</w:t>
      </w:r>
      <w:r>
        <w:t xml:space="preserve"> largely</w:t>
      </w:r>
      <w:r w:rsidRPr="00A570AA">
        <w:t xml:space="preserve"> by the overall policy framework within which </w:t>
      </w:r>
      <w:r>
        <w:t xml:space="preserve">workers and </w:t>
      </w:r>
      <w:r w:rsidRPr="00A570AA">
        <w:t>individual firms operate</w:t>
      </w:r>
      <w:r>
        <w:t>. A</w:t>
      </w:r>
      <w:r w:rsidRPr="00A570AA">
        <w:t xml:space="preserve">t the broadest level, </w:t>
      </w:r>
      <w:r>
        <w:t xml:space="preserve">this covers </w:t>
      </w:r>
      <w:r w:rsidRPr="00A570AA">
        <w:t xml:space="preserve">the extent to which policy settings promote productivity, innovation, efficient investment and </w:t>
      </w:r>
      <w:r>
        <w:t>flexible</w:t>
      </w:r>
      <w:r w:rsidRPr="00A570AA">
        <w:t xml:space="preserve"> labour markets.</w:t>
      </w:r>
    </w:p>
    <w:p w:rsidR="00AE4D5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2.</w:t>
            </w:r>
            <w:r>
              <w:rPr>
                <w:b w:val="0"/>
                <w:noProof/>
              </w:rPr>
              <w:t>1</w:t>
            </w:r>
            <w:r>
              <w:tab/>
              <w:t>The economics of geography and remoteness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rsidRPr="005338BC">
              <w:t>Economic geography refers to the location, distribution and spatial organisation of economic activities. The spatial aspects of economic activity can be influenced by different elements of geography and history, including a country’s natural resource endowments, location, climate, topography and population settlement patterns.</w:t>
            </w:r>
          </w:p>
          <w:p w:rsidR="00AE4D5A" w:rsidRDefault="00AE4D5A" w:rsidP="008E5E01">
            <w:pPr>
              <w:pStyle w:val="Box"/>
            </w:pPr>
            <w:r>
              <w:t>Research by the OECD and others confirms that differences in economic geography help explain differences in economic performance across countries. Countries that are geographically close to the centres of world economic activity tend to have higher incomes and higher productivity.</w:t>
            </w:r>
          </w:p>
          <w:p w:rsidR="00AE4D5A" w:rsidRDefault="00AE4D5A" w:rsidP="008E5E01">
            <w:pPr>
              <w:pStyle w:val="Box"/>
            </w:pPr>
            <w:r>
              <w:t xml:space="preserve">It has long been recognised that Australia’s geography has at times played an important role in its economic performance </w:t>
            </w:r>
            <w:r w:rsidRPr="00EF7774">
              <w:rPr>
                <w:rFonts w:cs="Arial"/>
                <w:szCs w:val="24"/>
              </w:rPr>
              <w:t>(Blainey 1966; Caves 1984)</w:t>
            </w:r>
            <w:r>
              <w:t xml:space="preserve">. </w:t>
            </w:r>
            <w:r w:rsidRPr="00EA0BF1">
              <w:t>Australia is (with New Zealand) one of the two most remote advanced economies in the world in terms of average distance from world economic activity.</w:t>
            </w:r>
            <w:r>
              <w:t xml:space="preserve"> Australia’s remoteness has imposed economic costs. </w:t>
            </w:r>
            <w:r w:rsidRPr="00E70E91">
              <w:rPr>
                <w:rFonts w:cs="Arial"/>
                <w:szCs w:val="24"/>
              </w:rPr>
              <w:t>Battersby and Ewing </w:t>
            </w:r>
            <w:r w:rsidRPr="00EF7774">
              <w:rPr>
                <w:rFonts w:cs="Arial"/>
              </w:rPr>
              <w:t>(2005)</w:t>
            </w:r>
            <w:r>
              <w:t>, for example, found that if Australia was as close to world markets as the United Kingdom, its level of trade would be expected to be around 50 per cent higher.</w:t>
            </w:r>
          </w:p>
          <w:p w:rsidR="00AE4D5A" w:rsidRPr="006D1B0D" w:rsidRDefault="00AE4D5A" w:rsidP="008E5E01">
            <w:pPr>
              <w:pStyle w:val="Box"/>
              <w:rPr>
                <w:spacing w:val="-4"/>
              </w:rPr>
            </w:pPr>
            <w:r w:rsidRPr="006D1B0D">
              <w:rPr>
                <w:spacing w:val="-4"/>
              </w:rPr>
              <w:t>However, while geographic disadvantage cannot be fully overcome, Australia’s experience indicates that the consequences of remoteness can be ameliorated through sound policy settings. Research indicates that Australia has performed well above its predicted level of GDP per capita, given its degree of remoteness</w:t>
            </w:r>
            <w:r>
              <w:rPr>
                <w:spacing w:val="-4"/>
              </w:rPr>
              <w:t xml:space="preserve"> (and after accounting for its abundant natural resource endowments)</w:t>
            </w:r>
            <w:r w:rsidRPr="006D1B0D">
              <w:rPr>
                <w:spacing w:val="-4"/>
              </w:rPr>
              <w:t xml:space="preserve">. </w:t>
            </w:r>
            <w:r w:rsidRPr="006D1B0D">
              <w:rPr>
                <w:rFonts w:cs="Arial"/>
                <w:spacing w:val="-4"/>
                <w:szCs w:val="24"/>
              </w:rPr>
              <w:t>Dolman, Parham and Zheng </w:t>
            </w:r>
            <w:r w:rsidRPr="00EF7774">
              <w:rPr>
                <w:rFonts w:cs="Arial"/>
                <w:szCs w:val="24"/>
              </w:rPr>
              <w:t>(2007, p. 36)</w:t>
            </w:r>
            <w:r>
              <w:rPr>
                <w:spacing w:val="-4"/>
              </w:rPr>
              <w:t xml:space="preserve"> conclude that ‘</w:t>
            </w:r>
            <w:r w:rsidRPr="006D1B0D">
              <w:rPr>
                <w:spacing w:val="-4"/>
              </w:rPr>
              <w:t xml:space="preserve">less tangible differences between countries — such as their institutions, policies and culture — may be more important than remoteness’, and have been crucial in Australia’s ability to largely offset the ‘tyranny of distance’. </w:t>
            </w:r>
          </w:p>
        </w:tc>
      </w:tr>
      <w:tr w:rsidR="00AE4D5A" w:rsidTr="008E5E01">
        <w:trPr>
          <w:cantSplit/>
        </w:trPr>
        <w:tc>
          <w:tcPr>
            <w:tcW w:w="8771" w:type="dxa"/>
            <w:tcBorders>
              <w:top w:val="nil"/>
              <w:left w:val="single" w:sz="6" w:space="0" w:color="auto"/>
              <w:bottom w:val="nil"/>
              <w:right w:val="single" w:sz="6" w:space="0" w:color="auto"/>
            </w:tcBorders>
          </w:tcPr>
          <w:p w:rsidR="00AE4D5A" w:rsidRPr="006D1B0D" w:rsidRDefault="00AE4D5A" w:rsidP="008E5E01">
            <w:pPr>
              <w:pStyle w:val="BoxSource"/>
              <w:rPr>
                <w:spacing w:val="-4"/>
              </w:rPr>
            </w:pPr>
            <w:r w:rsidRPr="006D1B0D">
              <w:rPr>
                <w:i/>
                <w:spacing w:val="-4"/>
              </w:rPr>
              <w:t>Sources</w:t>
            </w:r>
            <w:r w:rsidRPr="006D1B0D">
              <w:rPr>
                <w:spacing w:val="-4"/>
              </w:rPr>
              <w:t xml:space="preserve">: </w:t>
            </w:r>
            <w:r w:rsidRPr="006D1B0D">
              <w:rPr>
                <w:rFonts w:cs="Arial"/>
                <w:spacing w:val="-4"/>
                <w:szCs w:val="24"/>
              </w:rPr>
              <w:t>OECD </w:t>
            </w:r>
            <w:r w:rsidRPr="00EF7774">
              <w:rPr>
                <w:rFonts w:cs="Arial"/>
              </w:rPr>
              <w:t>(2008)</w:t>
            </w:r>
            <w:r>
              <w:rPr>
                <w:rFonts w:cs="Arial"/>
                <w:spacing w:val="-4"/>
                <w:szCs w:val="24"/>
              </w:rPr>
              <w:t>;</w:t>
            </w:r>
            <w:r w:rsidRPr="006D1B0D">
              <w:rPr>
                <w:spacing w:val="-4"/>
              </w:rPr>
              <w:t xml:space="preserve"> </w:t>
            </w:r>
            <w:r w:rsidRPr="006D1B0D">
              <w:rPr>
                <w:rFonts w:cs="Arial"/>
                <w:spacing w:val="-4"/>
                <w:szCs w:val="24"/>
              </w:rPr>
              <w:t>Dolman, Parham and Zheng </w:t>
            </w:r>
            <w:r w:rsidRPr="00EF7774">
              <w:rPr>
                <w:rFonts w:cs="Arial"/>
              </w:rPr>
              <w:t>(2007)</w:t>
            </w:r>
            <w:r>
              <w:rPr>
                <w:rFonts w:cs="Arial"/>
                <w:spacing w:val="-4"/>
                <w:szCs w:val="24"/>
              </w:rPr>
              <w:t>;</w:t>
            </w:r>
            <w:r w:rsidRPr="006D1B0D">
              <w:rPr>
                <w:rFonts w:cs="Arial"/>
                <w:spacing w:val="-4"/>
                <w:szCs w:val="24"/>
              </w:rPr>
              <w:t xml:space="preserve"> Battersby and Ewing </w:t>
            </w:r>
            <w:r w:rsidRPr="00EF7774">
              <w:rPr>
                <w:rFonts w:cs="Arial"/>
              </w:rPr>
              <w:t>(2005)</w:t>
            </w:r>
            <w:r>
              <w:rPr>
                <w:rFonts w:cs="Arial"/>
                <w:spacing w:val="-4"/>
                <w:szCs w:val="24"/>
              </w:rPr>
              <w:t>;</w:t>
            </w:r>
            <w:r w:rsidRPr="006D1B0D">
              <w:rPr>
                <w:rFonts w:cs="Arial"/>
                <w:spacing w:val="-4"/>
                <w:szCs w:val="24"/>
              </w:rPr>
              <w:t xml:space="preserve"> Caves </w:t>
            </w:r>
            <w:r w:rsidRPr="00EF7774">
              <w:rPr>
                <w:rFonts w:cs="Arial"/>
              </w:rPr>
              <w:t>(1984)</w:t>
            </w:r>
            <w:r>
              <w:rPr>
                <w:rFonts w:cs="Arial"/>
                <w:spacing w:val="-4"/>
                <w:szCs w:val="24"/>
              </w:rPr>
              <w:t>;</w:t>
            </w:r>
            <w:r w:rsidRPr="006D1B0D">
              <w:rPr>
                <w:spacing w:val="-4"/>
              </w:rPr>
              <w:t xml:space="preserve"> </w:t>
            </w:r>
            <w:r w:rsidRPr="006D1B0D">
              <w:rPr>
                <w:rFonts w:cs="Arial"/>
                <w:spacing w:val="-4"/>
                <w:szCs w:val="24"/>
              </w:rPr>
              <w:t>Blainey </w:t>
            </w:r>
            <w:r w:rsidRPr="00EF7774">
              <w:rPr>
                <w:rFonts w:cs="Arial"/>
              </w:rPr>
              <w:t>(1966)</w:t>
            </w:r>
            <w:r w:rsidRPr="006D1B0D">
              <w:rPr>
                <w:spacing w:val="-4"/>
              </w:rP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8E5E01">
      <w:pPr>
        <w:pStyle w:val="BodyText"/>
      </w:pPr>
      <w:r>
        <w:t>Sound transport policies are also critical. In all advanced economies, socioeconomic opportunities are closely related to the mobility of people, goods and services. Tasmania’s geography renders it particularly dependent on sea and air transport for accessing mainland and international markets and value chains. With v</w:t>
      </w:r>
      <w:r w:rsidRPr="00FC3624">
        <w:t xml:space="preserve">irtually all cargo (over 99 per cent by weight) across Bass Strait </w:t>
      </w:r>
      <w:r>
        <w:t xml:space="preserve">carried by sea, shipping links and the associated land side transport infrastructure are vital. </w:t>
      </w:r>
    </w:p>
    <w:p w:rsidR="00AE4D5A" w:rsidRDefault="00AE4D5A" w:rsidP="008E5E01">
      <w:pPr>
        <w:pStyle w:val="BodyText"/>
      </w:pPr>
      <w:r>
        <w:t>While geography is a significant factor affecting freight costs, other relevant factors are the intrinsic nature of the freight task and the degree of competition in the provision of shipping and land</w:t>
      </w:r>
      <w:r>
        <w:noBreakHyphen/>
        <w:t xml:space="preserve">based freight services. Government policy settings can also have a major bearing on costs either directly through measures such as cabotage regulation and freight subsidies, or indirectly, through public ownership and other policies that affect the level and nature of competition and investment across freight logistics chains. </w:t>
      </w:r>
    </w:p>
    <w:p w:rsidR="00AE4D5A" w:rsidRDefault="00AE4D5A" w:rsidP="008E5E01">
      <w:pPr>
        <w:pStyle w:val="Heading2"/>
      </w:pPr>
      <w:r>
        <w:lastRenderedPageBreak/>
        <w:t>2.</w:t>
      </w:r>
      <w:r>
        <w:rPr>
          <w:noProof/>
        </w:rPr>
        <w:t>2</w:t>
      </w:r>
      <w:r>
        <w:tab/>
        <w:t>Tasmania’s freight task</w:t>
      </w:r>
    </w:p>
    <w:p w:rsidR="00AE4D5A" w:rsidRDefault="00AE4D5A" w:rsidP="008E5E01">
      <w:pPr>
        <w:pStyle w:val="BodyText"/>
      </w:pPr>
      <w:r>
        <w:t xml:space="preserve">Tasmanians, like other users of freight transport across Australia, use a range of transport services depending on the freight task. Road and rail move goods to and from ports in Tasmania, and air transport is used for high value and perishable goods. However, unlike most producers on the mainland, Tasmanian producers have </w:t>
      </w:r>
      <w:r w:rsidRPr="00FD2044">
        <w:t>a unique reliance on sea freight.</w:t>
      </w:r>
      <w:r>
        <w:t xml:space="preserve"> </w:t>
      </w:r>
    </w:p>
    <w:p w:rsidR="00AE4D5A" w:rsidRDefault="00AE4D5A" w:rsidP="008E5E01">
      <w:pPr>
        <w:pStyle w:val="Heading3"/>
      </w:pPr>
      <w:r>
        <w:t>Bass Strait trade</w:t>
      </w:r>
    </w:p>
    <w:p w:rsidR="00AE4D5A" w:rsidRDefault="00AE4D5A" w:rsidP="008E5E01">
      <w:pPr>
        <w:pStyle w:val="BodyText"/>
      </w:pPr>
      <w:r>
        <w:t>Tasmanian sea freight accounts for 9.3 per cent of the total Australian coastal shipping tonnage, and constitutes over one</w:t>
      </w:r>
      <w:r>
        <w:noBreakHyphen/>
        <w:t>third of Australian non</w:t>
      </w:r>
      <w:r>
        <w:noBreakHyphen/>
        <w:t xml:space="preserve">bulk coastal shipping tonnage </w:t>
      </w:r>
      <w:r w:rsidRPr="00EE4741">
        <w:rPr>
          <w:szCs w:val="24"/>
        </w:rPr>
        <w:t>(BITRE 2013c)</w:t>
      </w:r>
      <w:r>
        <w:t xml:space="preserve">. However, the short haul nature of Bass Strait shipping means that </w:t>
      </w:r>
      <w:r w:rsidRPr="000A1F84">
        <w:t>Tasmania’s share of Australia’s total coastal shipping task is considerably smaller (5.3</w:t>
      </w:r>
      <w:r>
        <w:t> </w:t>
      </w:r>
      <w:r w:rsidRPr="000A1F84">
        <w:t>per</w:t>
      </w:r>
      <w:r>
        <w:t> </w:t>
      </w:r>
      <w:r w:rsidRPr="000A1F84">
        <w:t>cent) when measured</w:t>
      </w:r>
      <w:r>
        <w:t xml:space="preserve"> on a net tonne kilometre basis</w:t>
      </w:r>
      <w:r w:rsidRPr="000A1F84">
        <w:t>.</w:t>
      </w:r>
      <w:r>
        <w:t xml:space="preserve"> </w:t>
      </w:r>
    </w:p>
    <w:p w:rsidR="00AE4D5A" w:rsidRDefault="00AE4D5A" w:rsidP="008E5E01">
      <w:pPr>
        <w:pStyle w:val="BodyText"/>
      </w:pPr>
      <w:r>
        <w:t>The importance of non</w:t>
      </w:r>
      <w:r>
        <w:noBreakHyphen/>
        <w:t>bulk cargo to the Tasmanian coastal trade reflects the unavailability of road and rail freight options for interstate trade. In 2011</w:t>
      </w:r>
      <w:r>
        <w:noBreakHyphen/>
        <w:t>12, of all goods loaded and dispatched at Tasmanian ports (for coastal shipping to and from the mainland) over half were non</w:t>
      </w:r>
      <w:r>
        <w:noBreakHyphen/>
        <w:t>bulk, compared to 12 per cent of goods handled in all Australian ports.</w:t>
      </w:r>
    </w:p>
    <w:p w:rsidR="00AE4D5A" w:rsidRDefault="00AE4D5A" w:rsidP="008E5E01">
      <w:pPr>
        <w:pStyle w:val="BodyText"/>
      </w:pPr>
      <w:r w:rsidRPr="00454206">
        <w:t>Total Tasmanian freight shipped in 2011</w:t>
      </w:r>
      <w:r>
        <w:noBreakHyphen/>
      </w:r>
      <w:r w:rsidRPr="00454206">
        <w:t>12 was just under 13 million tonnes, of which an estimated 8</w:t>
      </w:r>
      <w:r>
        <w:t>.1</w:t>
      </w:r>
      <w:r w:rsidRPr="00454206">
        <w:t xml:space="preserve"> million tonnes was bulk trade (table 2.1). Just under half of Tasmanian trade in bulk freight was with the mainland. The main bulk commodities shipped from Tasmania to the mainland were cement and sulphuric acid, while the main commodities received were metallic concentrates and alumina.</w:t>
      </w:r>
    </w:p>
    <w:p w:rsidR="00AE4D5A" w:rsidRPr="00454206" w:rsidRDefault="00AE4D5A" w:rsidP="008E5E01">
      <w:pPr>
        <w:pStyle w:val="BodyText"/>
      </w:pPr>
      <w:r w:rsidRPr="00454206">
        <w:t xml:space="preserve">International trade accounted for </w:t>
      </w:r>
      <w:r>
        <w:t xml:space="preserve">around </w:t>
      </w:r>
      <w:r w:rsidRPr="00454206">
        <w:t>52</w:t>
      </w:r>
      <w:r>
        <w:t> </w:t>
      </w:r>
      <w:r w:rsidRPr="00454206">
        <w:t>per</w:t>
      </w:r>
      <w:r>
        <w:t> </w:t>
      </w:r>
      <w:r w:rsidRPr="00454206">
        <w:t xml:space="preserve">cent of bulk trade and mainly </w:t>
      </w:r>
      <w:r>
        <w:t xml:space="preserve">comprised </w:t>
      </w:r>
      <w:r w:rsidRPr="00454206">
        <w:t>direct</w:t>
      </w:r>
      <w:r>
        <w:t xml:space="preserve"> shipments</w:t>
      </w:r>
      <w:r w:rsidRPr="00454206">
        <w:t xml:space="preserve">, with </w:t>
      </w:r>
      <w:r>
        <w:t>only a small proportion of</w:t>
      </w:r>
      <w:r w:rsidRPr="00454206">
        <w:t xml:space="preserve"> bulk trade transhipped through an Australian mainland port. Major commodities exported were iron ore and wood chips, while the major bulk commodities imported were petroleum oils and manganese ores</w:t>
      </w:r>
      <w:r>
        <w:rPr>
          <w:szCs w:val="24"/>
        </w:rPr>
        <w:t xml:space="preserve"> </w:t>
      </w:r>
      <w:r w:rsidRPr="00EE4741">
        <w:rPr>
          <w:szCs w:val="24"/>
        </w:rPr>
        <w:t>(BITRE 2013c)</w:t>
      </w:r>
      <w:r w:rsidRPr="00454206">
        <w:t>.</w:t>
      </w:r>
    </w:p>
    <w:p w:rsidR="00AE4D5A" w:rsidRPr="00454206" w:rsidRDefault="00AE4D5A" w:rsidP="008E5E01">
      <w:pPr>
        <w:pStyle w:val="BodyText"/>
      </w:pPr>
      <w:r w:rsidRPr="00454206">
        <w:t>Non</w:t>
      </w:r>
      <w:r>
        <w:noBreakHyphen/>
      </w:r>
      <w:r w:rsidRPr="00454206">
        <w:t>bulk freight accounted for 4.9</w:t>
      </w:r>
      <w:r>
        <w:t> </w:t>
      </w:r>
      <w:r w:rsidRPr="00454206">
        <w:t>million tonnes in 2011</w:t>
      </w:r>
      <w:r>
        <w:noBreakHyphen/>
      </w:r>
      <w:r w:rsidRPr="00454206">
        <w:t>12, with 79 per cent being coastal freight — that is, shipped to and from the Australian mainland</w:t>
      </w:r>
      <w:r>
        <w:t xml:space="preserve"> —</w:t>
      </w:r>
      <w:r w:rsidRPr="00454206">
        <w:t xml:space="preserve"> and the remaining 21</w:t>
      </w:r>
      <w:r>
        <w:t> </w:t>
      </w:r>
      <w:r w:rsidRPr="00454206">
        <w:t>per</w:t>
      </w:r>
      <w:r>
        <w:t> </w:t>
      </w:r>
      <w:r w:rsidRPr="00454206">
        <w:t>cent compris</w:t>
      </w:r>
      <w:r>
        <w:t>ing</w:t>
      </w:r>
      <w:r w:rsidRPr="00454206">
        <w:t xml:space="preserve"> international trade. With the cessation of direct international container freight services to Tasmania in May 2011</w:t>
      </w:r>
      <w:r>
        <w:t>,</w:t>
      </w:r>
      <w:r w:rsidRPr="00454206">
        <w:t xml:space="preserve"> </w:t>
      </w:r>
      <w:r>
        <w:t>the majority of</w:t>
      </w:r>
      <w:r w:rsidRPr="00454206">
        <w:t xml:space="preserve"> Tasmania</w:t>
      </w:r>
      <w:r>
        <w:t>’s</w:t>
      </w:r>
      <w:r w:rsidRPr="00454206">
        <w:t xml:space="preserve"> </w:t>
      </w:r>
      <w:r>
        <w:t xml:space="preserve">containerised </w:t>
      </w:r>
      <w:r w:rsidRPr="00454206">
        <w:t>international exports and imports are now transhipped (mainly through the Port of Melbourne, see chapter 4).</w:t>
      </w:r>
      <w:r>
        <w:t xml:space="preserve"> </w:t>
      </w:r>
    </w:p>
    <w:p w:rsidR="00AE4D5A" w:rsidRDefault="00AE4D5A" w:rsidP="008E5E01">
      <w:pPr>
        <w:pStyle w:val="TableTitle"/>
      </w:pPr>
      <w:r>
        <w:rPr>
          <w:b w:val="0"/>
        </w:rPr>
        <w:lastRenderedPageBreak/>
        <w:t>Table 2.</w:t>
      </w:r>
      <w:r>
        <w:rPr>
          <w:b w:val="0"/>
          <w:noProof/>
        </w:rPr>
        <w:t>1</w:t>
      </w:r>
      <w:r>
        <w:tab/>
        <w:t>Freight shipped to and from Tasmania, 2011</w:t>
      </w:r>
      <w:r>
        <w:noBreakHyphen/>
        <w:t>12</w:t>
      </w:r>
    </w:p>
    <w:p w:rsidR="00AE4D5A" w:rsidRDefault="00AE4D5A" w:rsidP="008E5E01">
      <w:pPr>
        <w:pStyle w:val="Subtitle"/>
      </w:pPr>
      <w:r>
        <w:t xml:space="preserve">mt = million tonnes, per cent </w:t>
      </w:r>
      <w:r w:rsidRPr="004D4A89">
        <w:rPr>
          <w:rStyle w:val="NoteLabel"/>
        </w:rPr>
        <w:t>a</w:t>
      </w:r>
    </w:p>
    <w:tbl>
      <w:tblPr>
        <w:tblW w:w="5000" w:type="pct"/>
        <w:tblCellMar>
          <w:left w:w="0" w:type="dxa"/>
          <w:right w:w="0" w:type="dxa"/>
        </w:tblCellMar>
        <w:tblLook w:val="0000" w:firstRow="0" w:lastRow="0" w:firstColumn="0" w:lastColumn="0" w:noHBand="0" w:noVBand="0"/>
      </w:tblPr>
      <w:tblGrid>
        <w:gridCol w:w="2552"/>
        <w:gridCol w:w="1072"/>
        <w:gridCol w:w="772"/>
        <w:gridCol w:w="424"/>
        <w:gridCol w:w="1007"/>
        <w:gridCol w:w="837"/>
        <w:gridCol w:w="151"/>
        <w:gridCol w:w="1123"/>
        <w:gridCol w:w="851"/>
      </w:tblGrid>
      <w:tr w:rsidR="00AE4D5A" w:rsidTr="008E5E01">
        <w:tc>
          <w:tcPr>
            <w:tcW w:w="1452" w:type="pct"/>
            <w:tcBorders>
              <w:top w:val="single" w:sz="4" w:space="0" w:color="auto"/>
            </w:tcBorders>
            <w:shd w:val="clear" w:color="auto" w:fill="auto"/>
          </w:tcPr>
          <w:p w:rsidR="00AE4D5A" w:rsidRDefault="00AE4D5A" w:rsidP="008E5E01">
            <w:pPr>
              <w:pStyle w:val="TableColumnHeading"/>
              <w:jc w:val="left"/>
            </w:pPr>
          </w:p>
        </w:tc>
        <w:tc>
          <w:tcPr>
            <w:tcW w:w="1290" w:type="pct"/>
            <w:gridSpan w:val="3"/>
            <w:tcBorders>
              <w:top w:val="single" w:sz="6" w:space="0" w:color="auto"/>
              <w:bottom w:val="single" w:sz="6" w:space="0" w:color="auto"/>
            </w:tcBorders>
          </w:tcPr>
          <w:p w:rsidR="00AE4D5A" w:rsidRDefault="00AE4D5A" w:rsidP="008E5E01">
            <w:pPr>
              <w:pStyle w:val="TableColumnHeading"/>
              <w:jc w:val="center"/>
            </w:pPr>
            <w:r>
              <w:t>Non</w:t>
            </w:r>
            <w:r>
              <w:noBreakHyphen/>
              <w:t>bulk trade</w:t>
            </w:r>
            <w:r>
              <w:rPr>
                <w:rStyle w:val="NoteLabel"/>
              </w:rPr>
              <w:t xml:space="preserve"> </w:t>
            </w:r>
            <w:r w:rsidRPr="00C5793A">
              <w:rPr>
                <w:rStyle w:val="NoteLabel"/>
                <w:i w:val="0"/>
              </w:rPr>
              <w:t>b</w:t>
            </w:r>
          </w:p>
        </w:tc>
        <w:tc>
          <w:tcPr>
            <w:tcW w:w="1135" w:type="pct"/>
            <w:gridSpan w:val="3"/>
            <w:tcBorders>
              <w:top w:val="single" w:sz="6" w:space="0" w:color="auto"/>
              <w:bottom w:val="single" w:sz="6" w:space="0" w:color="auto"/>
            </w:tcBorders>
          </w:tcPr>
          <w:p w:rsidR="00AE4D5A" w:rsidRDefault="00AE4D5A" w:rsidP="008E5E01">
            <w:pPr>
              <w:pStyle w:val="TableColumnHeading"/>
              <w:ind w:right="28"/>
              <w:jc w:val="center"/>
            </w:pPr>
            <w:r>
              <w:t>Bulk trade</w:t>
            </w:r>
          </w:p>
        </w:tc>
        <w:tc>
          <w:tcPr>
            <w:tcW w:w="1123" w:type="pct"/>
            <w:gridSpan w:val="2"/>
            <w:tcBorders>
              <w:top w:val="single" w:sz="6" w:space="0" w:color="auto"/>
              <w:bottom w:val="single" w:sz="6" w:space="0" w:color="auto"/>
            </w:tcBorders>
            <w:shd w:val="clear" w:color="auto" w:fill="auto"/>
          </w:tcPr>
          <w:p w:rsidR="00AE4D5A" w:rsidRDefault="00AE4D5A" w:rsidP="008E5E01">
            <w:pPr>
              <w:pStyle w:val="TableColumnHeading"/>
              <w:ind w:right="28"/>
              <w:jc w:val="center"/>
            </w:pPr>
            <w:r>
              <w:t>Total trade</w:t>
            </w:r>
          </w:p>
        </w:tc>
      </w:tr>
      <w:tr w:rsidR="00AE4D5A" w:rsidTr="008E5E01">
        <w:tc>
          <w:tcPr>
            <w:tcW w:w="1452" w:type="pct"/>
            <w:tcBorders>
              <w:bottom w:val="single" w:sz="6" w:space="0" w:color="auto"/>
            </w:tcBorders>
          </w:tcPr>
          <w:p w:rsidR="00AE4D5A" w:rsidRDefault="00AE4D5A" w:rsidP="008E5E01">
            <w:pPr>
              <w:pStyle w:val="TableUnitsRow"/>
              <w:jc w:val="left"/>
            </w:pPr>
          </w:p>
        </w:tc>
        <w:tc>
          <w:tcPr>
            <w:tcW w:w="610" w:type="pct"/>
            <w:tcBorders>
              <w:top w:val="single" w:sz="6" w:space="0" w:color="auto"/>
            </w:tcBorders>
          </w:tcPr>
          <w:p w:rsidR="00AE4D5A" w:rsidRDefault="00AE4D5A" w:rsidP="008E5E01">
            <w:pPr>
              <w:pStyle w:val="TableUnitsRow"/>
            </w:pPr>
            <w:r>
              <w:t>mt</w:t>
            </w:r>
          </w:p>
        </w:tc>
        <w:tc>
          <w:tcPr>
            <w:tcW w:w="439" w:type="pct"/>
            <w:tcBorders>
              <w:top w:val="single" w:sz="6" w:space="0" w:color="auto"/>
            </w:tcBorders>
          </w:tcPr>
          <w:p w:rsidR="00AE4D5A" w:rsidRPr="009D6FED" w:rsidRDefault="00AE4D5A" w:rsidP="008E5E01">
            <w:pPr>
              <w:pStyle w:val="TableUnitsRow"/>
              <w:rPr>
                <w:i/>
              </w:rPr>
            </w:pPr>
            <w:r w:rsidRPr="009D6FED">
              <w:rPr>
                <w:i/>
              </w:rPr>
              <w:t>%</w:t>
            </w:r>
          </w:p>
        </w:tc>
        <w:tc>
          <w:tcPr>
            <w:tcW w:w="814" w:type="pct"/>
            <w:gridSpan w:val="2"/>
            <w:tcBorders>
              <w:top w:val="single" w:sz="6" w:space="0" w:color="auto"/>
            </w:tcBorders>
          </w:tcPr>
          <w:p w:rsidR="00AE4D5A" w:rsidRDefault="00AE4D5A" w:rsidP="008E5E01">
            <w:pPr>
              <w:pStyle w:val="TableUnitsRow"/>
            </w:pPr>
            <w:r>
              <w:t>mt</w:t>
            </w:r>
          </w:p>
        </w:tc>
        <w:tc>
          <w:tcPr>
            <w:tcW w:w="476" w:type="pct"/>
            <w:tcBorders>
              <w:top w:val="single" w:sz="6" w:space="0" w:color="auto"/>
            </w:tcBorders>
          </w:tcPr>
          <w:p w:rsidR="00AE4D5A" w:rsidRDefault="00AE4D5A" w:rsidP="008E5E01">
            <w:pPr>
              <w:pStyle w:val="TableUnitsRow"/>
            </w:pPr>
            <w:r>
              <w:t>%</w:t>
            </w:r>
          </w:p>
        </w:tc>
        <w:tc>
          <w:tcPr>
            <w:tcW w:w="725" w:type="pct"/>
            <w:gridSpan w:val="2"/>
            <w:tcBorders>
              <w:top w:val="single" w:sz="6" w:space="0" w:color="auto"/>
            </w:tcBorders>
          </w:tcPr>
          <w:p w:rsidR="00AE4D5A" w:rsidRDefault="00AE4D5A" w:rsidP="008E5E01">
            <w:pPr>
              <w:pStyle w:val="TableUnitsRow"/>
            </w:pPr>
            <w:r>
              <w:t>mt</w:t>
            </w:r>
          </w:p>
        </w:tc>
        <w:tc>
          <w:tcPr>
            <w:tcW w:w="484" w:type="pct"/>
            <w:tcBorders>
              <w:top w:val="single" w:sz="6" w:space="0" w:color="auto"/>
            </w:tcBorders>
          </w:tcPr>
          <w:p w:rsidR="00AE4D5A" w:rsidRDefault="00AE4D5A" w:rsidP="008E5E01">
            <w:pPr>
              <w:pStyle w:val="TableUnitsRow"/>
              <w:ind w:right="28"/>
            </w:pPr>
            <w:r>
              <w:t>%</w:t>
            </w:r>
          </w:p>
        </w:tc>
      </w:tr>
      <w:tr w:rsidR="00AE4D5A" w:rsidRPr="00170AE0" w:rsidTr="008E5E01">
        <w:tc>
          <w:tcPr>
            <w:tcW w:w="1452" w:type="pct"/>
            <w:tcBorders>
              <w:top w:val="single" w:sz="6" w:space="0" w:color="auto"/>
            </w:tcBorders>
          </w:tcPr>
          <w:p w:rsidR="00AE4D5A" w:rsidRPr="00170AE0" w:rsidRDefault="00AE4D5A" w:rsidP="008E5E01">
            <w:pPr>
              <w:pStyle w:val="TableUnitsRow"/>
              <w:spacing w:line="200" w:lineRule="atLeast"/>
              <w:jc w:val="left"/>
              <w:rPr>
                <w:i/>
              </w:rPr>
            </w:pPr>
            <w:r w:rsidRPr="00170AE0">
              <w:rPr>
                <w:i/>
              </w:rPr>
              <w:t>International</w:t>
            </w:r>
          </w:p>
        </w:tc>
        <w:tc>
          <w:tcPr>
            <w:tcW w:w="610" w:type="pct"/>
            <w:tcBorders>
              <w:top w:val="single" w:sz="6" w:space="0" w:color="auto"/>
            </w:tcBorders>
          </w:tcPr>
          <w:p w:rsidR="00AE4D5A" w:rsidRPr="00170AE0" w:rsidRDefault="00AE4D5A" w:rsidP="008E5E01">
            <w:pPr>
              <w:pStyle w:val="TableUnitsRow"/>
              <w:spacing w:line="200" w:lineRule="atLeast"/>
              <w:rPr>
                <w:i/>
              </w:rPr>
            </w:pPr>
          </w:p>
        </w:tc>
        <w:tc>
          <w:tcPr>
            <w:tcW w:w="439" w:type="pct"/>
            <w:tcBorders>
              <w:top w:val="single" w:sz="6" w:space="0" w:color="auto"/>
            </w:tcBorders>
          </w:tcPr>
          <w:p w:rsidR="00AE4D5A" w:rsidRPr="00170AE0" w:rsidRDefault="00AE4D5A" w:rsidP="008E5E01">
            <w:pPr>
              <w:pStyle w:val="TableUnitsRow"/>
              <w:spacing w:line="200" w:lineRule="atLeast"/>
              <w:rPr>
                <w:i/>
              </w:rPr>
            </w:pPr>
          </w:p>
        </w:tc>
        <w:tc>
          <w:tcPr>
            <w:tcW w:w="814" w:type="pct"/>
            <w:gridSpan w:val="2"/>
            <w:tcBorders>
              <w:top w:val="single" w:sz="6" w:space="0" w:color="auto"/>
            </w:tcBorders>
          </w:tcPr>
          <w:p w:rsidR="00AE4D5A" w:rsidRPr="00170AE0" w:rsidRDefault="00AE4D5A" w:rsidP="008E5E01">
            <w:pPr>
              <w:pStyle w:val="TableUnitsRow"/>
              <w:spacing w:line="200" w:lineRule="atLeast"/>
              <w:rPr>
                <w:i/>
              </w:rPr>
            </w:pPr>
          </w:p>
        </w:tc>
        <w:tc>
          <w:tcPr>
            <w:tcW w:w="476" w:type="pct"/>
            <w:tcBorders>
              <w:top w:val="single" w:sz="6" w:space="0" w:color="auto"/>
            </w:tcBorders>
          </w:tcPr>
          <w:p w:rsidR="00AE4D5A" w:rsidRPr="00170AE0" w:rsidRDefault="00AE4D5A" w:rsidP="008E5E01">
            <w:pPr>
              <w:pStyle w:val="TableUnitsRow"/>
              <w:spacing w:line="200" w:lineRule="atLeast"/>
              <w:rPr>
                <w:i/>
              </w:rPr>
            </w:pPr>
          </w:p>
        </w:tc>
        <w:tc>
          <w:tcPr>
            <w:tcW w:w="725" w:type="pct"/>
            <w:gridSpan w:val="2"/>
            <w:tcBorders>
              <w:top w:val="single" w:sz="6" w:space="0" w:color="auto"/>
            </w:tcBorders>
          </w:tcPr>
          <w:p w:rsidR="00AE4D5A" w:rsidRPr="00170AE0" w:rsidRDefault="00AE4D5A" w:rsidP="008E5E01">
            <w:pPr>
              <w:pStyle w:val="TableUnitsRow"/>
              <w:spacing w:line="200" w:lineRule="atLeast"/>
              <w:rPr>
                <w:i/>
              </w:rPr>
            </w:pPr>
          </w:p>
        </w:tc>
        <w:tc>
          <w:tcPr>
            <w:tcW w:w="484" w:type="pct"/>
            <w:tcBorders>
              <w:top w:val="single" w:sz="6" w:space="0" w:color="auto"/>
            </w:tcBorders>
          </w:tcPr>
          <w:p w:rsidR="00AE4D5A" w:rsidRPr="00170AE0" w:rsidRDefault="00AE4D5A" w:rsidP="008E5E01">
            <w:pPr>
              <w:pStyle w:val="TableUnitsRow"/>
              <w:spacing w:line="200" w:lineRule="atLeast"/>
              <w:ind w:right="28"/>
              <w:rPr>
                <w:i/>
              </w:rPr>
            </w:pPr>
          </w:p>
        </w:tc>
      </w:tr>
      <w:tr w:rsidR="00AE4D5A" w:rsidRPr="006611BF" w:rsidTr="008E5E01">
        <w:tc>
          <w:tcPr>
            <w:tcW w:w="1452" w:type="pct"/>
          </w:tcPr>
          <w:p w:rsidR="00AE4D5A" w:rsidRPr="008B5C43" w:rsidRDefault="00AE4D5A" w:rsidP="008E5E01">
            <w:pPr>
              <w:pStyle w:val="TableBodyText"/>
              <w:spacing w:line="200" w:lineRule="atLeast"/>
              <w:ind w:left="142"/>
              <w:jc w:val="left"/>
            </w:pPr>
            <w:r w:rsidRPr="008B5C43">
              <w:t>Exports</w:t>
            </w:r>
          </w:p>
        </w:tc>
        <w:tc>
          <w:tcPr>
            <w:tcW w:w="610" w:type="pct"/>
          </w:tcPr>
          <w:p w:rsidR="00AE4D5A" w:rsidRPr="008B5C43" w:rsidRDefault="00AE4D5A" w:rsidP="008E5E01">
            <w:pPr>
              <w:pStyle w:val="TableBodyText"/>
              <w:spacing w:line="200" w:lineRule="atLeast"/>
              <w:ind w:right="0"/>
            </w:pPr>
            <w:r w:rsidRPr="008B5C43">
              <w:t>0.8</w:t>
            </w:r>
            <w:r>
              <w:rPr>
                <w:rStyle w:val="NoteLabel"/>
              </w:rPr>
              <w:t xml:space="preserve"> c</w:t>
            </w:r>
          </w:p>
        </w:tc>
        <w:tc>
          <w:tcPr>
            <w:tcW w:w="439" w:type="pct"/>
          </w:tcPr>
          <w:p w:rsidR="00AE4D5A" w:rsidRPr="00EF7CF1" w:rsidRDefault="00AE4D5A" w:rsidP="008E5E01">
            <w:pPr>
              <w:pStyle w:val="TableBodyText"/>
              <w:spacing w:line="200" w:lineRule="atLeast"/>
              <w:ind w:right="0"/>
              <w:rPr>
                <w:i/>
              </w:rPr>
            </w:pPr>
            <w:r w:rsidRPr="00EF7CF1">
              <w:rPr>
                <w:i/>
              </w:rPr>
              <w:t>17</w:t>
            </w:r>
            <w:r w:rsidRPr="00EF7CF1">
              <w:rPr>
                <w:rStyle w:val="NoteLabel"/>
                <w:i/>
              </w:rPr>
              <w:t xml:space="preserve"> c</w:t>
            </w:r>
          </w:p>
        </w:tc>
        <w:tc>
          <w:tcPr>
            <w:tcW w:w="814" w:type="pct"/>
            <w:gridSpan w:val="2"/>
          </w:tcPr>
          <w:p w:rsidR="00AE4D5A" w:rsidRPr="008B5C43" w:rsidRDefault="00AE4D5A" w:rsidP="008E5E01">
            <w:pPr>
              <w:pStyle w:val="TableBodyText"/>
              <w:spacing w:line="200" w:lineRule="atLeast"/>
            </w:pPr>
            <w:r w:rsidRPr="008B5C43">
              <w:t>3.8</w:t>
            </w:r>
          </w:p>
        </w:tc>
        <w:tc>
          <w:tcPr>
            <w:tcW w:w="476" w:type="pct"/>
          </w:tcPr>
          <w:p w:rsidR="00AE4D5A" w:rsidRPr="00EF7CF1" w:rsidRDefault="00AE4D5A" w:rsidP="008E5E01">
            <w:pPr>
              <w:pStyle w:val="TableBodyText"/>
              <w:spacing w:line="200" w:lineRule="atLeast"/>
              <w:rPr>
                <w:i/>
              </w:rPr>
            </w:pPr>
            <w:r w:rsidRPr="00EF7CF1">
              <w:rPr>
                <w:i/>
              </w:rPr>
              <w:t>47</w:t>
            </w:r>
          </w:p>
        </w:tc>
        <w:tc>
          <w:tcPr>
            <w:tcW w:w="725" w:type="pct"/>
            <w:gridSpan w:val="2"/>
          </w:tcPr>
          <w:p w:rsidR="00AE4D5A" w:rsidRPr="008B5C43" w:rsidRDefault="00AE4D5A" w:rsidP="008E5E01">
            <w:pPr>
              <w:pStyle w:val="TableBodyText"/>
              <w:spacing w:line="200" w:lineRule="atLeast"/>
            </w:pPr>
            <w:r w:rsidRPr="008B5C43">
              <w:t>4.6</w:t>
            </w:r>
          </w:p>
        </w:tc>
        <w:tc>
          <w:tcPr>
            <w:tcW w:w="484" w:type="pct"/>
          </w:tcPr>
          <w:p w:rsidR="00AE4D5A" w:rsidRPr="00EF7CF1" w:rsidRDefault="00AE4D5A" w:rsidP="008E5E01">
            <w:pPr>
              <w:pStyle w:val="TableBodyText"/>
              <w:spacing w:line="200" w:lineRule="atLeast"/>
              <w:ind w:right="28"/>
              <w:rPr>
                <w:i/>
              </w:rPr>
            </w:pPr>
            <w:r w:rsidRPr="00EF7CF1">
              <w:rPr>
                <w:i/>
              </w:rPr>
              <w:t>36</w:t>
            </w:r>
          </w:p>
        </w:tc>
      </w:tr>
      <w:tr w:rsidR="00AE4D5A" w:rsidRPr="00662E7A" w:rsidTr="008E5E01">
        <w:tc>
          <w:tcPr>
            <w:tcW w:w="1452" w:type="pct"/>
          </w:tcPr>
          <w:p w:rsidR="00AE4D5A" w:rsidRDefault="00AE4D5A" w:rsidP="008E5E01">
            <w:pPr>
              <w:pStyle w:val="TableBodyText"/>
              <w:spacing w:line="200" w:lineRule="atLeast"/>
              <w:ind w:left="142"/>
              <w:jc w:val="left"/>
            </w:pPr>
            <w:r>
              <w:t>Imports</w:t>
            </w:r>
          </w:p>
        </w:tc>
        <w:tc>
          <w:tcPr>
            <w:tcW w:w="610" w:type="pct"/>
          </w:tcPr>
          <w:p w:rsidR="00AE4D5A" w:rsidRDefault="00AE4D5A" w:rsidP="008E5E01">
            <w:pPr>
              <w:pStyle w:val="TableBodyText"/>
              <w:spacing w:line="200" w:lineRule="atLeast"/>
              <w:ind w:right="0"/>
            </w:pPr>
            <w:r>
              <w:t>0.2</w:t>
            </w:r>
            <w:r>
              <w:rPr>
                <w:rStyle w:val="NoteLabel"/>
              </w:rPr>
              <w:t xml:space="preserve"> c</w:t>
            </w:r>
          </w:p>
        </w:tc>
        <w:tc>
          <w:tcPr>
            <w:tcW w:w="439" w:type="pct"/>
          </w:tcPr>
          <w:p w:rsidR="00AE4D5A" w:rsidRPr="00EF7CF1" w:rsidRDefault="00AE4D5A" w:rsidP="008E5E01">
            <w:pPr>
              <w:pStyle w:val="TableBodyText"/>
              <w:framePr w:w="2155" w:hSpace="227" w:vSpace="181" w:wrap="around" w:vAnchor="text" w:hAnchor="page" w:xAlign="outside" w:y="1"/>
              <w:spacing w:line="200" w:lineRule="atLeast"/>
              <w:ind w:right="0"/>
              <w:rPr>
                <w:i/>
              </w:rPr>
            </w:pPr>
            <w:r w:rsidRPr="00EF7CF1">
              <w:rPr>
                <w:i/>
              </w:rPr>
              <w:t>4</w:t>
            </w:r>
            <w:r w:rsidRPr="00EF7CF1">
              <w:rPr>
                <w:rStyle w:val="NoteLabel"/>
                <w:i/>
              </w:rPr>
              <w:t xml:space="preserve"> c</w:t>
            </w:r>
          </w:p>
        </w:tc>
        <w:tc>
          <w:tcPr>
            <w:tcW w:w="814"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0.4</w:t>
            </w:r>
          </w:p>
        </w:tc>
        <w:tc>
          <w:tcPr>
            <w:tcW w:w="476" w:type="pct"/>
          </w:tcPr>
          <w:p w:rsidR="00AE4D5A" w:rsidRPr="00EF7CF1" w:rsidRDefault="00AE4D5A" w:rsidP="008E5E01">
            <w:pPr>
              <w:pStyle w:val="TableBodyText"/>
              <w:framePr w:w="2155" w:hSpace="227" w:vSpace="181" w:wrap="around" w:vAnchor="text" w:hAnchor="page" w:xAlign="outside" w:y="1"/>
              <w:spacing w:line="200" w:lineRule="atLeast"/>
              <w:rPr>
                <w:i/>
              </w:rPr>
            </w:pPr>
            <w:r w:rsidRPr="00EF7CF1">
              <w:rPr>
                <w:i/>
              </w:rPr>
              <w:t>4</w:t>
            </w:r>
          </w:p>
        </w:tc>
        <w:tc>
          <w:tcPr>
            <w:tcW w:w="725"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0.5</w:t>
            </w:r>
          </w:p>
        </w:tc>
        <w:tc>
          <w:tcPr>
            <w:tcW w:w="484" w:type="pct"/>
          </w:tcPr>
          <w:p w:rsidR="00AE4D5A" w:rsidRPr="00EF7CF1" w:rsidRDefault="00AE4D5A" w:rsidP="008E5E01">
            <w:pPr>
              <w:pStyle w:val="TableBodyText"/>
              <w:framePr w:w="2155" w:hSpace="227" w:vSpace="181" w:wrap="around" w:vAnchor="text" w:hAnchor="page" w:xAlign="outside" w:y="1"/>
              <w:spacing w:line="200" w:lineRule="atLeast"/>
              <w:ind w:right="28"/>
              <w:rPr>
                <w:i/>
              </w:rPr>
            </w:pPr>
            <w:r w:rsidRPr="00EF7CF1">
              <w:rPr>
                <w:i/>
              </w:rPr>
              <w:t>4</w:t>
            </w:r>
          </w:p>
        </w:tc>
      </w:tr>
      <w:tr w:rsidR="00AE4D5A" w:rsidRPr="00662E7A" w:rsidTr="008E5E01">
        <w:tc>
          <w:tcPr>
            <w:tcW w:w="1452" w:type="pct"/>
          </w:tcPr>
          <w:p w:rsidR="00AE4D5A" w:rsidRPr="00170AE0" w:rsidRDefault="00AE4D5A" w:rsidP="008E5E01">
            <w:pPr>
              <w:pStyle w:val="TableBodyText"/>
              <w:spacing w:line="200" w:lineRule="atLeast"/>
              <w:jc w:val="left"/>
              <w:rPr>
                <w:i/>
              </w:rPr>
            </w:pPr>
            <w:r w:rsidRPr="00170AE0">
              <w:rPr>
                <w:i/>
              </w:rPr>
              <w:t>Coastal</w:t>
            </w:r>
          </w:p>
        </w:tc>
        <w:tc>
          <w:tcPr>
            <w:tcW w:w="610" w:type="pct"/>
          </w:tcPr>
          <w:p w:rsidR="00AE4D5A" w:rsidRPr="00170AE0" w:rsidRDefault="00AE4D5A" w:rsidP="008E5E01">
            <w:pPr>
              <w:pStyle w:val="TableBodyText"/>
              <w:spacing w:line="200" w:lineRule="atLeast"/>
              <w:rPr>
                <w:i/>
              </w:rPr>
            </w:pPr>
          </w:p>
        </w:tc>
        <w:tc>
          <w:tcPr>
            <w:tcW w:w="439" w:type="pct"/>
          </w:tcPr>
          <w:p w:rsidR="00AE4D5A" w:rsidRPr="00EF7CF1" w:rsidRDefault="00AE4D5A" w:rsidP="008E5E01">
            <w:pPr>
              <w:pStyle w:val="TableBodyText"/>
              <w:spacing w:line="200" w:lineRule="atLeast"/>
              <w:rPr>
                <w:i/>
              </w:rPr>
            </w:pPr>
          </w:p>
        </w:tc>
        <w:tc>
          <w:tcPr>
            <w:tcW w:w="814" w:type="pct"/>
            <w:gridSpan w:val="2"/>
          </w:tcPr>
          <w:p w:rsidR="00AE4D5A" w:rsidRPr="00EF7CF1" w:rsidRDefault="00AE4D5A" w:rsidP="008E5E01">
            <w:pPr>
              <w:pStyle w:val="TableBodyText"/>
              <w:spacing w:line="200" w:lineRule="atLeast"/>
            </w:pPr>
          </w:p>
        </w:tc>
        <w:tc>
          <w:tcPr>
            <w:tcW w:w="476" w:type="pct"/>
          </w:tcPr>
          <w:p w:rsidR="00AE4D5A" w:rsidRPr="00EF7CF1" w:rsidRDefault="00AE4D5A" w:rsidP="008E5E01">
            <w:pPr>
              <w:pStyle w:val="TableBodyText"/>
              <w:spacing w:line="200" w:lineRule="atLeast"/>
              <w:rPr>
                <w:i/>
              </w:rPr>
            </w:pPr>
          </w:p>
        </w:tc>
        <w:tc>
          <w:tcPr>
            <w:tcW w:w="725" w:type="pct"/>
            <w:gridSpan w:val="2"/>
          </w:tcPr>
          <w:p w:rsidR="00AE4D5A" w:rsidRPr="00EF7CF1" w:rsidRDefault="00AE4D5A" w:rsidP="008E5E01">
            <w:pPr>
              <w:pStyle w:val="TableBodyText"/>
              <w:spacing w:line="200" w:lineRule="atLeast"/>
            </w:pPr>
          </w:p>
        </w:tc>
        <w:tc>
          <w:tcPr>
            <w:tcW w:w="484" w:type="pct"/>
          </w:tcPr>
          <w:p w:rsidR="00AE4D5A" w:rsidRPr="00EF7CF1" w:rsidRDefault="00AE4D5A" w:rsidP="008E5E01">
            <w:pPr>
              <w:pStyle w:val="TableBodyText"/>
              <w:spacing w:line="200" w:lineRule="atLeast"/>
              <w:ind w:right="28"/>
              <w:rPr>
                <w:i/>
              </w:rPr>
            </w:pPr>
          </w:p>
        </w:tc>
      </w:tr>
      <w:tr w:rsidR="00AE4D5A" w:rsidRPr="00662E7A" w:rsidTr="008E5E01">
        <w:tc>
          <w:tcPr>
            <w:tcW w:w="1452" w:type="pct"/>
          </w:tcPr>
          <w:p w:rsidR="00AE4D5A" w:rsidRDefault="00AE4D5A" w:rsidP="008E5E01">
            <w:pPr>
              <w:pStyle w:val="TableBodyText"/>
              <w:spacing w:line="200" w:lineRule="atLeast"/>
              <w:ind w:left="142"/>
              <w:jc w:val="left"/>
            </w:pPr>
            <w:r>
              <w:t>Northbound</w:t>
            </w:r>
          </w:p>
        </w:tc>
        <w:tc>
          <w:tcPr>
            <w:tcW w:w="610" w:type="pct"/>
          </w:tcPr>
          <w:p w:rsidR="00AE4D5A" w:rsidRDefault="00AE4D5A" w:rsidP="008E5E01">
            <w:pPr>
              <w:pStyle w:val="TableBodyText"/>
              <w:spacing w:line="200" w:lineRule="atLeast"/>
            </w:pPr>
            <w:r>
              <w:t>2.0</w:t>
            </w:r>
          </w:p>
        </w:tc>
        <w:tc>
          <w:tcPr>
            <w:tcW w:w="439" w:type="pct"/>
          </w:tcPr>
          <w:p w:rsidR="00AE4D5A" w:rsidRPr="00EF7CF1" w:rsidRDefault="00AE4D5A" w:rsidP="008E5E01">
            <w:pPr>
              <w:pStyle w:val="TableBodyText"/>
              <w:framePr w:w="2155" w:hSpace="227" w:vSpace="181" w:wrap="around" w:vAnchor="text" w:hAnchor="page" w:xAlign="outside" w:y="1"/>
              <w:spacing w:line="200" w:lineRule="atLeast"/>
              <w:rPr>
                <w:i/>
              </w:rPr>
            </w:pPr>
            <w:r w:rsidRPr="00EF7CF1">
              <w:rPr>
                <w:i/>
              </w:rPr>
              <w:t>40</w:t>
            </w:r>
          </w:p>
        </w:tc>
        <w:tc>
          <w:tcPr>
            <w:tcW w:w="814"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1.9</w:t>
            </w:r>
          </w:p>
        </w:tc>
        <w:tc>
          <w:tcPr>
            <w:tcW w:w="476" w:type="pct"/>
          </w:tcPr>
          <w:p w:rsidR="00AE4D5A" w:rsidRPr="00EF7CF1" w:rsidRDefault="00AE4D5A" w:rsidP="008E5E01">
            <w:pPr>
              <w:pStyle w:val="TableBodyText"/>
              <w:framePr w:w="2155" w:hSpace="227" w:vSpace="181" w:wrap="around" w:vAnchor="text" w:hAnchor="page" w:xAlign="outside" w:y="1"/>
              <w:spacing w:line="200" w:lineRule="atLeast"/>
              <w:rPr>
                <w:i/>
              </w:rPr>
            </w:pPr>
            <w:r w:rsidRPr="00EF7CF1">
              <w:rPr>
                <w:i/>
              </w:rPr>
              <w:t>24</w:t>
            </w:r>
          </w:p>
        </w:tc>
        <w:tc>
          <w:tcPr>
            <w:tcW w:w="725"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3.9</w:t>
            </w:r>
          </w:p>
        </w:tc>
        <w:tc>
          <w:tcPr>
            <w:tcW w:w="484" w:type="pct"/>
          </w:tcPr>
          <w:p w:rsidR="00AE4D5A" w:rsidRPr="00EF7CF1" w:rsidRDefault="00AE4D5A" w:rsidP="008E5E01">
            <w:pPr>
              <w:pStyle w:val="TableBodyText"/>
              <w:framePr w:w="2155" w:hSpace="227" w:vSpace="181" w:wrap="around" w:vAnchor="text" w:hAnchor="page" w:xAlign="outside" w:y="1"/>
              <w:spacing w:line="200" w:lineRule="atLeast"/>
              <w:ind w:right="28"/>
              <w:rPr>
                <w:i/>
              </w:rPr>
            </w:pPr>
            <w:r w:rsidRPr="00EF7CF1">
              <w:rPr>
                <w:i/>
              </w:rPr>
              <w:t>30</w:t>
            </w:r>
          </w:p>
        </w:tc>
      </w:tr>
      <w:tr w:rsidR="00AE4D5A" w:rsidRPr="00662E7A" w:rsidTr="008E5E01">
        <w:tc>
          <w:tcPr>
            <w:tcW w:w="1452" w:type="pct"/>
          </w:tcPr>
          <w:p w:rsidR="00AE4D5A" w:rsidRDefault="00AE4D5A" w:rsidP="008E5E01">
            <w:pPr>
              <w:pStyle w:val="TableBodyText"/>
              <w:spacing w:line="200" w:lineRule="atLeast"/>
              <w:ind w:left="142"/>
              <w:jc w:val="left"/>
            </w:pPr>
            <w:r>
              <w:t>Southbound</w:t>
            </w:r>
          </w:p>
        </w:tc>
        <w:tc>
          <w:tcPr>
            <w:tcW w:w="610" w:type="pct"/>
          </w:tcPr>
          <w:p w:rsidR="00AE4D5A" w:rsidRDefault="00AE4D5A" w:rsidP="008E5E01">
            <w:pPr>
              <w:pStyle w:val="TableBodyText"/>
              <w:spacing w:line="200" w:lineRule="atLeast"/>
            </w:pPr>
            <w:r>
              <w:t>1.9</w:t>
            </w:r>
          </w:p>
        </w:tc>
        <w:tc>
          <w:tcPr>
            <w:tcW w:w="439" w:type="pct"/>
          </w:tcPr>
          <w:p w:rsidR="00AE4D5A" w:rsidRPr="00EF7CF1" w:rsidRDefault="00AE4D5A" w:rsidP="008E5E01">
            <w:pPr>
              <w:pStyle w:val="TableBodyText"/>
              <w:framePr w:w="2155" w:hSpace="227" w:vSpace="181" w:wrap="around" w:vAnchor="text" w:hAnchor="page" w:xAlign="outside" w:y="1"/>
              <w:spacing w:line="200" w:lineRule="atLeast"/>
              <w:rPr>
                <w:i/>
              </w:rPr>
            </w:pPr>
            <w:r w:rsidRPr="00EF7CF1">
              <w:rPr>
                <w:i/>
              </w:rPr>
              <w:t>39</w:t>
            </w:r>
          </w:p>
        </w:tc>
        <w:tc>
          <w:tcPr>
            <w:tcW w:w="814"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1.9</w:t>
            </w:r>
          </w:p>
        </w:tc>
        <w:tc>
          <w:tcPr>
            <w:tcW w:w="476" w:type="pct"/>
          </w:tcPr>
          <w:p w:rsidR="00AE4D5A" w:rsidRPr="00EF7CF1" w:rsidRDefault="00AE4D5A" w:rsidP="008E5E01">
            <w:pPr>
              <w:pStyle w:val="TableBodyText"/>
              <w:framePr w:w="2155" w:hSpace="227" w:vSpace="181" w:wrap="around" w:vAnchor="text" w:hAnchor="page" w:xAlign="outside" w:y="1"/>
              <w:spacing w:line="200" w:lineRule="atLeast"/>
              <w:rPr>
                <w:i/>
              </w:rPr>
            </w:pPr>
            <w:r w:rsidRPr="00EF7CF1">
              <w:rPr>
                <w:i/>
              </w:rPr>
              <w:t>24</w:t>
            </w:r>
          </w:p>
        </w:tc>
        <w:tc>
          <w:tcPr>
            <w:tcW w:w="725" w:type="pct"/>
            <w:gridSpan w:val="2"/>
          </w:tcPr>
          <w:p w:rsidR="00AE4D5A" w:rsidRPr="00EF7CF1" w:rsidRDefault="00AE4D5A" w:rsidP="008E5E01">
            <w:pPr>
              <w:pStyle w:val="TableBodyText"/>
              <w:framePr w:w="2155" w:hSpace="227" w:vSpace="181" w:wrap="around" w:vAnchor="text" w:hAnchor="page" w:xAlign="outside" w:y="1"/>
              <w:spacing w:line="200" w:lineRule="atLeast"/>
            </w:pPr>
            <w:r w:rsidRPr="00EF7CF1">
              <w:t>3.8</w:t>
            </w:r>
          </w:p>
        </w:tc>
        <w:tc>
          <w:tcPr>
            <w:tcW w:w="484" w:type="pct"/>
          </w:tcPr>
          <w:p w:rsidR="00AE4D5A" w:rsidRPr="00EF7CF1" w:rsidRDefault="00AE4D5A" w:rsidP="008E5E01">
            <w:pPr>
              <w:pStyle w:val="TableBodyText"/>
              <w:framePr w:w="2155" w:hSpace="227" w:vSpace="181" w:wrap="around" w:vAnchor="text" w:hAnchor="page" w:xAlign="outside" w:y="1"/>
              <w:spacing w:line="200" w:lineRule="atLeast"/>
              <w:ind w:right="28"/>
              <w:rPr>
                <w:i/>
              </w:rPr>
            </w:pPr>
            <w:r w:rsidRPr="00EF7CF1">
              <w:rPr>
                <w:i/>
              </w:rPr>
              <w:t>30</w:t>
            </w:r>
          </w:p>
        </w:tc>
      </w:tr>
      <w:tr w:rsidR="00AE4D5A" w:rsidRPr="00662E7A" w:rsidTr="008E5E01">
        <w:tc>
          <w:tcPr>
            <w:tcW w:w="1452" w:type="pct"/>
            <w:tcBorders>
              <w:bottom w:val="single" w:sz="6" w:space="0" w:color="auto"/>
            </w:tcBorders>
            <w:shd w:val="clear" w:color="auto" w:fill="auto"/>
          </w:tcPr>
          <w:p w:rsidR="00AE4D5A" w:rsidRPr="009F58CF" w:rsidRDefault="00AE4D5A" w:rsidP="008E5E01">
            <w:pPr>
              <w:pStyle w:val="TableBodyText"/>
              <w:spacing w:line="200" w:lineRule="atLeast"/>
              <w:jc w:val="left"/>
              <w:rPr>
                <w:b/>
              </w:rPr>
            </w:pPr>
            <w:r w:rsidRPr="009F58CF">
              <w:rPr>
                <w:b/>
              </w:rPr>
              <w:t>Total trade</w:t>
            </w:r>
          </w:p>
        </w:tc>
        <w:tc>
          <w:tcPr>
            <w:tcW w:w="610" w:type="pct"/>
            <w:tcBorders>
              <w:bottom w:val="single" w:sz="6" w:space="0" w:color="auto"/>
            </w:tcBorders>
          </w:tcPr>
          <w:p w:rsidR="00AE4D5A" w:rsidRPr="009F58CF" w:rsidRDefault="00AE4D5A" w:rsidP="008E5E01">
            <w:pPr>
              <w:pStyle w:val="TableBodyText"/>
              <w:spacing w:line="200" w:lineRule="atLeast"/>
              <w:rPr>
                <w:b/>
              </w:rPr>
            </w:pPr>
            <w:r>
              <w:rPr>
                <w:b/>
              </w:rPr>
              <w:t>4.9</w:t>
            </w:r>
          </w:p>
        </w:tc>
        <w:tc>
          <w:tcPr>
            <w:tcW w:w="439" w:type="pct"/>
            <w:tcBorders>
              <w:bottom w:val="single" w:sz="6" w:space="0" w:color="auto"/>
            </w:tcBorders>
          </w:tcPr>
          <w:p w:rsidR="00AE4D5A" w:rsidRPr="00EF7CF1" w:rsidRDefault="00AE4D5A" w:rsidP="008E5E01">
            <w:pPr>
              <w:pStyle w:val="TableBodyText"/>
              <w:framePr w:w="2155" w:hSpace="227" w:vSpace="181" w:wrap="around" w:vAnchor="text" w:hAnchor="page" w:xAlign="outside" w:y="1"/>
              <w:spacing w:line="200" w:lineRule="atLeast"/>
              <w:rPr>
                <w:b/>
                <w:i/>
              </w:rPr>
            </w:pPr>
            <w:r w:rsidRPr="00EF7CF1">
              <w:rPr>
                <w:b/>
                <w:i/>
              </w:rPr>
              <w:t>100</w:t>
            </w:r>
          </w:p>
        </w:tc>
        <w:tc>
          <w:tcPr>
            <w:tcW w:w="814" w:type="pct"/>
            <w:gridSpan w:val="2"/>
            <w:tcBorders>
              <w:bottom w:val="single" w:sz="6" w:space="0" w:color="auto"/>
            </w:tcBorders>
            <w:shd w:val="clear" w:color="auto" w:fill="auto"/>
          </w:tcPr>
          <w:p w:rsidR="00AE4D5A" w:rsidRPr="00EF7CF1" w:rsidRDefault="00AE4D5A" w:rsidP="008E5E01">
            <w:pPr>
              <w:pStyle w:val="TableBodyText"/>
              <w:framePr w:w="2155" w:hSpace="227" w:vSpace="181" w:wrap="around" w:vAnchor="text" w:hAnchor="page" w:xAlign="outside" w:y="1"/>
              <w:spacing w:line="200" w:lineRule="atLeast"/>
              <w:rPr>
                <w:b/>
              </w:rPr>
            </w:pPr>
            <w:r w:rsidRPr="00EF7CF1">
              <w:rPr>
                <w:b/>
              </w:rPr>
              <w:t>8.1</w:t>
            </w:r>
          </w:p>
        </w:tc>
        <w:tc>
          <w:tcPr>
            <w:tcW w:w="476" w:type="pct"/>
            <w:tcBorders>
              <w:bottom w:val="single" w:sz="6" w:space="0" w:color="auto"/>
            </w:tcBorders>
          </w:tcPr>
          <w:p w:rsidR="00AE4D5A" w:rsidRPr="00EF7CF1" w:rsidRDefault="00AE4D5A" w:rsidP="008E5E01">
            <w:pPr>
              <w:pStyle w:val="TableBodyText"/>
              <w:framePr w:w="2155" w:hSpace="227" w:vSpace="181" w:wrap="around" w:vAnchor="text" w:hAnchor="page" w:xAlign="outside" w:y="1"/>
              <w:spacing w:line="200" w:lineRule="atLeast"/>
              <w:rPr>
                <w:b/>
                <w:i/>
              </w:rPr>
            </w:pPr>
            <w:r w:rsidRPr="00EF7CF1">
              <w:rPr>
                <w:b/>
                <w:i/>
              </w:rPr>
              <w:t>100</w:t>
            </w:r>
          </w:p>
        </w:tc>
        <w:tc>
          <w:tcPr>
            <w:tcW w:w="725" w:type="pct"/>
            <w:gridSpan w:val="2"/>
            <w:tcBorders>
              <w:bottom w:val="single" w:sz="6" w:space="0" w:color="auto"/>
            </w:tcBorders>
          </w:tcPr>
          <w:p w:rsidR="00AE4D5A" w:rsidRPr="00EF7CF1" w:rsidRDefault="00AE4D5A" w:rsidP="008E5E01">
            <w:pPr>
              <w:pStyle w:val="TableBodyText"/>
              <w:framePr w:w="2155" w:hSpace="227" w:vSpace="181" w:wrap="around" w:vAnchor="text" w:hAnchor="page" w:xAlign="outside" w:y="1"/>
              <w:spacing w:line="200" w:lineRule="atLeast"/>
              <w:rPr>
                <w:b/>
              </w:rPr>
            </w:pPr>
            <w:r w:rsidRPr="00EF7CF1">
              <w:rPr>
                <w:b/>
              </w:rPr>
              <w:t>12.9</w:t>
            </w:r>
          </w:p>
        </w:tc>
        <w:tc>
          <w:tcPr>
            <w:tcW w:w="484" w:type="pct"/>
            <w:tcBorders>
              <w:bottom w:val="single" w:sz="6" w:space="0" w:color="auto"/>
            </w:tcBorders>
            <w:shd w:val="clear" w:color="auto" w:fill="auto"/>
          </w:tcPr>
          <w:p w:rsidR="00AE4D5A" w:rsidRPr="00EF7CF1" w:rsidRDefault="00AE4D5A" w:rsidP="008E5E01">
            <w:pPr>
              <w:pStyle w:val="TableBodyText"/>
              <w:framePr w:w="2155" w:hSpace="227" w:vSpace="181" w:wrap="around" w:vAnchor="text" w:hAnchor="page" w:xAlign="outside" w:y="1"/>
              <w:spacing w:line="200" w:lineRule="atLeast"/>
              <w:ind w:right="28"/>
              <w:rPr>
                <w:b/>
                <w:i/>
              </w:rPr>
            </w:pPr>
            <w:r w:rsidRPr="00EF7CF1">
              <w:rPr>
                <w:b/>
                <w:i/>
              </w:rPr>
              <w:t>100</w:t>
            </w:r>
          </w:p>
        </w:tc>
      </w:tr>
    </w:tbl>
    <w:p w:rsidR="00AE4D5A" w:rsidRDefault="00AE4D5A" w:rsidP="008E5E01">
      <w:pPr>
        <w:pStyle w:val="Note"/>
      </w:pPr>
      <w:r w:rsidRPr="008E77FE">
        <w:rPr>
          <w:rStyle w:val="NoteLabel"/>
        </w:rPr>
        <w:t>a</w:t>
      </w:r>
      <w:r>
        <w:t xml:space="preserve"> Totals may not sum due to rounding. </w:t>
      </w:r>
      <w:r>
        <w:rPr>
          <w:rStyle w:val="NoteLabel"/>
        </w:rPr>
        <w:t>b</w:t>
      </w:r>
      <w:r>
        <w:t xml:space="preserve"> Excludes empty containers.</w:t>
      </w:r>
      <w:r w:rsidRPr="004D4A89">
        <w:rPr>
          <w:rStyle w:val="NoteLabel"/>
        </w:rPr>
        <w:t xml:space="preserve"> </w:t>
      </w:r>
      <w:r>
        <w:rPr>
          <w:rStyle w:val="NoteLabel"/>
        </w:rPr>
        <w:t>c</w:t>
      </w:r>
      <w:r>
        <w:t xml:space="preserve"> The majority of Tasmania’s non</w:t>
      </w:r>
      <w:r>
        <w:noBreakHyphen/>
        <w:t>bulk international trade is transhipped through mainland Australian ports.</w:t>
      </w:r>
    </w:p>
    <w:p w:rsidR="00AE4D5A" w:rsidRDefault="00AE4D5A" w:rsidP="008E5E01">
      <w:pPr>
        <w:pStyle w:val="Source"/>
      </w:pPr>
      <w:r>
        <w:rPr>
          <w:i/>
        </w:rPr>
        <w:t>Source</w:t>
      </w:r>
      <w:r>
        <w:t xml:space="preserve">: </w:t>
      </w:r>
      <w:r w:rsidRPr="00D451B3">
        <w:rPr>
          <w:rFonts w:cs="Arial"/>
          <w:szCs w:val="24"/>
        </w:rPr>
        <w:t>BITRE </w:t>
      </w:r>
      <w:r w:rsidRPr="00EE4741">
        <w:rPr>
          <w:rFonts w:cs="Arial"/>
        </w:rPr>
        <w:t>(2013c)</w:t>
      </w:r>
      <w:r>
        <w:t>.</w:t>
      </w:r>
    </w:p>
    <w:p w:rsidR="00AE4D5A" w:rsidRDefault="00AE4D5A" w:rsidP="008E5E01">
      <w:pPr>
        <w:pStyle w:val="Heading4"/>
      </w:pPr>
      <w:r>
        <w:t>Trends in sea freight</w:t>
      </w:r>
    </w:p>
    <w:p w:rsidR="00AE4D5A" w:rsidRDefault="00AE4D5A" w:rsidP="008E5E01">
      <w:pPr>
        <w:pStyle w:val="BodyText"/>
      </w:pPr>
      <w:r w:rsidRPr="00F36B66">
        <w:t>Sea freight between Tasmania and the mainland grew by nearly 50</w:t>
      </w:r>
      <w:r>
        <w:t> </w:t>
      </w:r>
      <w:r w:rsidRPr="00F36B66">
        <w:t>per</w:t>
      </w:r>
      <w:r>
        <w:t> </w:t>
      </w:r>
      <w:r w:rsidRPr="00F36B66">
        <w:t>cent between 1995</w:t>
      </w:r>
      <w:r>
        <w:noBreakHyphen/>
      </w:r>
      <w:r w:rsidRPr="00F36B66">
        <w:t>96 and 20</w:t>
      </w:r>
      <w:r>
        <w:t>03</w:t>
      </w:r>
      <w:r>
        <w:noBreakHyphen/>
      </w:r>
      <w:r w:rsidRPr="00F36B66">
        <w:t>0</w:t>
      </w:r>
      <w:r>
        <w:t>4</w:t>
      </w:r>
      <w:r w:rsidRPr="00F36B66">
        <w:t xml:space="preserve">, to </w:t>
      </w:r>
      <w:r>
        <w:t>reach a peak of just over</w:t>
      </w:r>
      <w:r w:rsidRPr="00F36B66">
        <w:t xml:space="preserve"> 1</w:t>
      </w:r>
      <w:r>
        <w:t>1 </w:t>
      </w:r>
      <w:r w:rsidRPr="00F36B66">
        <w:t>million tonnes (figure</w:t>
      </w:r>
      <w:r>
        <w:t> 2</w:t>
      </w:r>
      <w:r w:rsidRPr="00F36B66">
        <w:t>.</w:t>
      </w:r>
      <w:r>
        <w:t>2</w:t>
      </w:r>
      <w:r w:rsidRPr="00F36B66">
        <w:t>).</w:t>
      </w:r>
      <w:r>
        <w:t xml:space="preserve"> Growth during this period was driven by </w:t>
      </w:r>
      <w:r w:rsidRPr="00F36B66">
        <w:t>substantial increases in the transport of two significant commodit</w:t>
      </w:r>
      <w:r>
        <w:t>y groups</w:t>
      </w:r>
      <w:r w:rsidRPr="00F36B66">
        <w:t xml:space="preserve"> traded on Bass </w:t>
      </w:r>
      <w:r w:rsidRPr="001740CF">
        <w:t>Strait</w:t>
      </w:r>
      <w:r>
        <w:t>:</w:t>
      </w:r>
      <w:r w:rsidRPr="001740CF">
        <w:t xml:space="preserve"> Metalliferous ores and metal scrap</w:t>
      </w:r>
      <w:r>
        <w:t>;</w:t>
      </w:r>
      <w:r w:rsidRPr="001740CF">
        <w:t xml:space="preserve"> and Wood and </w:t>
      </w:r>
      <w:r>
        <w:t>wood products</w:t>
      </w:r>
      <w:r w:rsidRPr="001740CF">
        <w:t xml:space="preserve">. </w:t>
      </w:r>
    </w:p>
    <w:p w:rsidR="00AE4D5A" w:rsidRDefault="00AE4D5A" w:rsidP="008E5E01">
      <w:pPr>
        <w:pStyle w:val="FigureTitle"/>
      </w:pPr>
      <w:r>
        <w:rPr>
          <w:b w:val="0"/>
        </w:rPr>
        <w:t>Figure 2.</w:t>
      </w:r>
      <w:r>
        <w:rPr>
          <w:b w:val="0"/>
          <w:noProof/>
        </w:rPr>
        <w:t>2</w:t>
      </w:r>
      <w:r>
        <w:tab/>
        <w:t>Coastal shipping between Tasmania and the mainland</w:t>
      </w:r>
      <w:r w:rsidRPr="00744E90">
        <w:rPr>
          <w:rStyle w:val="NoteLabel"/>
          <w:b/>
        </w:rPr>
        <w:t xml:space="preserve"> a</w:t>
      </w:r>
    </w:p>
    <w:p w:rsidR="00AE4D5A" w:rsidRDefault="00AE4D5A" w:rsidP="008E5E01">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spacing w:before="40" w:after="40"/>
            </w:pPr>
            <w:r>
              <w:rPr>
                <w:noProof/>
              </w:rPr>
              <w:drawing>
                <wp:inline distT="0" distB="0" distL="0" distR="0" wp14:anchorId="36FF6EC4" wp14:editId="00492502">
                  <wp:extent cx="5391150" cy="2381250"/>
                  <wp:effectExtent l="0" t="0" r="0" b="0"/>
                  <wp:docPr id="7" name="Picture 7" descr="Figure 2.2 Coastal shipping between Tasmania and the mainland. This chart shows the volume of northbound and southbound coastal shipping between Tasmania and the mainland between 1995-96 and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1150" cy="2381250"/>
                          </a:xfrm>
                          <a:prstGeom prst="rect">
                            <a:avLst/>
                          </a:prstGeom>
                          <a:noFill/>
                          <a:ln>
                            <a:noFill/>
                          </a:ln>
                        </pic:spPr>
                      </pic:pic>
                    </a:graphicData>
                  </a:graphic>
                </wp:inline>
              </w:drawing>
            </w:r>
          </w:p>
        </w:tc>
      </w:tr>
    </w:tbl>
    <w:p w:rsidR="00AE4D5A" w:rsidRPr="006B01A6" w:rsidRDefault="00AE4D5A" w:rsidP="008E5E01">
      <w:pPr>
        <w:pStyle w:val="Note"/>
      </w:pPr>
      <w:proofErr w:type="spellStart"/>
      <w:r w:rsidRPr="008E77FE">
        <w:rPr>
          <w:rStyle w:val="NoteLabel"/>
        </w:rPr>
        <w:t>a</w:t>
      </w:r>
      <w:proofErr w:type="spellEnd"/>
      <w:r>
        <w:t xml:space="preserve"> Includes coastal freight loaded in Tasmania and shipped to mainland Australia (‘northbound’), or shipped from mainland Australia to Tasmania (‘southbound’). Coastal freight shipped </w:t>
      </w:r>
      <w:r w:rsidRPr="006B01A6">
        <w:t>within Tasmania is not included.</w:t>
      </w:r>
      <w:r>
        <w:t xml:space="preserve"> Data are not directly comparable to that provided in table 2.1 due to inclusion of empty containers.</w:t>
      </w:r>
    </w:p>
    <w:p w:rsidR="00AE4D5A" w:rsidRDefault="00AE4D5A" w:rsidP="008E5E01">
      <w:pPr>
        <w:pStyle w:val="Source"/>
      </w:pPr>
      <w:r>
        <w:rPr>
          <w:i/>
        </w:rPr>
        <w:t>Data source</w:t>
      </w:r>
      <w:r w:rsidRPr="00167F06">
        <w:t xml:space="preserve">: </w:t>
      </w:r>
      <w:r w:rsidRPr="00EF66BD">
        <w:rPr>
          <w:rFonts w:cs="Arial"/>
          <w:szCs w:val="24"/>
        </w:rPr>
        <w:t>BITRE </w:t>
      </w:r>
      <w:r w:rsidRPr="00680886">
        <w:rPr>
          <w:rFonts w:cs="Arial"/>
        </w:rPr>
        <w:t>(2013a)</w:t>
      </w:r>
      <w:r>
        <w:t xml:space="preserve"> (various years). </w:t>
      </w:r>
    </w:p>
    <w:p w:rsidR="00AE4D5A" w:rsidRDefault="00AE4D5A" w:rsidP="008E5E01">
      <w:pPr>
        <w:pStyle w:val="BodyText"/>
      </w:pPr>
      <w:r w:rsidRPr="001740CF">
        <w:lastRenderedPageBreak/>
        <w:t>From its peak in 2003</w:t>
      </w:r>
      <w:r w:rsidRPr="001740CF">
        <w:noBreakHyphen/>
        <w:t>04, the total trade volume across Bass Strait has declined — down 22 per cent</w:t>
      </w:r>
      <w:r>
        <w:t xml:space="preserve"> by 2011</w:t>
      </w:r>
      <w:r>
        <w:noBreakHyphen/>
        <w:t>12. N</w:t>
      </w:r>
      <w:r w:rsidRPr="00F36B66">
        <w:t xml:space="preserve">orthbound freight makes up slightly more than half of the total tonnage and, in </w:t>
      </w:r>
      <w:r>
        <w:t>almost</w:t>
      </w:r>
      <w:r w:rsidRPr="00F36B66">
        <w:t xml:space="preserve"> all years, changes in the amount of northbound freight were accompanied by </w:t>
      </w:r>
      <w:r>
        <w:t>broadly</w:t>
      </w:r>
      <w:r w:rsidRPr="00F36B66">
        <w:t xml:space="preserve"> similar change</w:t>
      </w:r>
      <w:r>
        <w:t>s</w:t>
      </w:r>
      <w:r w:rsidRPr="00F36B66">
        <w:t xml:space="preserve"> in southbound freight.</w:t>
      </w:r>
      <w:r>
        <w:t xml:space="preserve"> </w:t>
      </w:r>
    </w:p>
    <w:p w:rsidR="00AE4D5A" w:rsidRDefault="00AE4D5A" w:rsidP="008E5E01">
      <w:pPr>
        <w:pStyle w:val="BodyText"/>
      </w:pPr>
      <w:r>
        <w:t>The overall decline in freight tonnages has been largely driven by falls in bulk freight. While time series data on freight trends measured in terms of twenty foot equivalent units (TEUs) is not available on a consistent basis, TasPorts data on total TEUs loaded and unloaded — including both domestic and international freight as well as empty containers — indicate that over the past five years or so the total number of TEUs moved through Tasmanian ports has remained relatively flat. Trends in container movements are discussed further in chapter 4.</w:t>
      </w:r>
    </w:p>
    <w:p w:rsidR="00AE4D5A" w:rsidRDefault="00AE4D5A" w:rsidP="008E5E01">
      <w:pPr>
        <w:pStyle w:val="Heading4"/>
      </w:pPr>
      <w:r>
        <w:t>Composition of sea freight</w:t>
      </w:r>
    </w:p>
    <w:p w:rsidR="00AE4D5A" w:rsidRDefault="00AE4D5A" w:rsidP="008E5E01">
      <w:pPr>
        <w:pStyle w:val="BodyText"/>
      </w:pPr>
      <w:r>
        <w:t xml:space="preserve">The major commodity groups traded </w:t>
      </w:r>
      <w:r w:rsidRPr="001740CF">
        <w:t>between Tasmania and the mainland are listed in figure 2.3. In 2011</w:t>
      </w:r>
      <w:r>
        <w:noBreakHyphen/>
      </w:r>
      <w:r w:rsidRPr="001740CF">
        <w:t>12, the major commodity group shipped northwards was Manufactured goods chiefly classified by material</w:t>
      </w:r>
      <w:r>
        <w:t>,</w:t>
      </w:r>
      <w:r w:rsidRPr="001740CF">
        <w:t xml:space="preserve"> which largely comprised cement, zinc and zinc alloys, </w:t>
      </w:r>
      <w:r>
        <w:t xml:space="preserve">and newsprint. Crude materials, </w:t>
      </w:r>
      <w:r w:rsidRPr="001740CF">
        <w:t xml:space="preserve">including iron ore pellets and sawn timber, were the next largest commodity group shipped to the mainland. </w:t>
      </w:r>
      <w:r>
        <w:t>The group, C</w:t>
      </w:r>
      <w:r w:rsidRPr="001740CF">
        <w:t>o</w:t>
      </w:r>
      <w:r>
        <w:t xml:space="preserve">mmodities and transactions </w:t>
      </w:r>
      <w:r w:rsidRPr="001740CF">
        <w:t xml:space="preserve">not elsewhere </w:t>
      </w:r>
      <w:r>
        <w:t>specified (nes</w:t>
      </w:r>
      <w:r w:rsidRPr="001740CF">
        <w:t>)</w:t>
      </w:r>
      <w:r>
        <w:t xml:space="preserve"> included l</w:t>
      </w:r>
      <w:r w:rsidRPr="001740CF">
        <w:t>arge numbers of empty contain</w:t>
      </w:r>
      <w:r>
        <w:t>ers</w:t>
      </w:r>
      <w:r w:rsidRPr="001740CF">
        <w:t>.</w:t>
      </w:r>
      <w:r>
        <w:t xml:space="preserve"> </w:t>
      </w:r>
      <w:r w:rsidRPr="001740CF">
        <w:t>It is estimated that empty containers account for around 33 per cent of outbound containers and 21 per cent of inbound containers</w:t>
      </w:r>
      <w:r>
        <w:t xml:space="preserve"> </w:t>
      </w:r>
      <w:r w:rsidRPr="00D13CAE">
        <w:rPr>
          <w:szCs w:val="24"/>
        </w:rPr>
        <w:t>(Aurecon 2013b)</w:t>
      </w:r>
      <w:r w:rsidRPr="001740CF">
        <w:t>.</w:t>
      </w:r>
      <w:r>
        <w:t xml:space="preserve"> </w:t>
      </w:r>
      <w:r w:rsidRPr="001740CF">
        <w:t>The other major commodity groups on the northbound route were Food and live animals</w:t>
      </w:r>
      <w:r>
        <w:t>;</w:t>
      </w:r>
      <w:r w:rsidRPr="001740CF">
        <w:t xml:space="preserve"> and Chemicals and related products. Significant quantities </w:t>
      </w:r>
      <w:r>
        <w:t>from</w:t>
      </w:r>
      <w:r w:rsidRPr="001740CF">
        <w:t xml:space="preserve"> these commodity groups were also shipped south to Tasmania, particularly other food preparations (</w:t>
      </w:r>
      <w:r>
        <w:t>such as</w:t>
      </w:r>
      <w:r w:rsidRPr="001740CF">
        <w:t xml:space="preserve"> frozen or processed foods)</w:t>
      </w:r>
      <w:r>
        <w:t>,</w:t>
      </w:r>
      <w:r w:rsidRPr="001740CF">
        <w:t xml:space="preserve"> unmilled wheat and flours</w:t>
      </w:r>
      <w:r>
        <w:t>,</w:t>
      </w:r>
      <w:r w:rsidRPr="001740CF">
        <w:t xml:space="preserve"> and meat products. The other major commodity on the southbound route was fuel.</w:t>
      </w:r>
    </w:p>
    <w:p w:rsidR="00AE4D5A" w:rsidRDefault="00AE4D5A" w:rsidP="008E5E01">
      <w:pPr>
        <w:pStyle w:val="Heading4"/>
      </w:pPr>
      <w:r>
        <w:t xml:space="preserve">Bass Strait islands’ freight task </w:t>
      </w:r>
    </w:p>
    <w:p w:rsidR="00AE4D5A" w:rsidRDefault="00AE4D5A" w:rsidP="008E5E01">
      <w:pPr>
        <w:pStyle w:val="BodyText"/>
      </w:pPr>
      <w:r>
        <w:t>Industry on King Island and the Furneaux Group of islands (including Flinders Island) is dominated by livestock production. Consequently, the freight task chiefly comprises the export of live animals to markets in Tasmania and Victoria.</w:t>
      </w:r>
      <w:r w:rsidRPr="00F40E42">
        <w:t xml:space="preserve"> </w:t>
      </w:r>
      <w:r>
        <w:t xml:space="preserve">The nature of the industry means that freight demand is highly seasonal. Key business inputs shipped to the Bass Strait islands include farming goods, machinery and fertiliser. </w:t>
      </w:r>
    </w:p>
    <w:p w:rsidR="00AE4D5A" w:rsidRDefault="00AE4D5A" w:rsidP="008E5E01">
      <w:pPr>
        <w:pStyle w:val="BodyText"/>
      </w:pPr>
      <w:r>
        <w:t xml:space="preserve">The King Island beef industry comprises 100 000 head of cattle, representing 22 per cent of Tasmanian beef production. The closure of the island’s abattoir in </w:t>
      </w:r>
      <w:r>
        <w:lastRenderedPageBreak/>
        <w:t>September 2012 saw the nature of the freight task change from refrigerated containerised meat to live shipments — with slaughter cattle now shipped live to Tasmania (and occasionally Victoria if a reverse sailing occurs) (TFGA — King Island Branch, sub. 8). In addition, Shipping Australia noted that King Island cattle are also carried on the return leg of a regular shipping service from New South Wales (Eden) to Bell Bay (sub. 53).</w:t>
      </w:r>
    </w:p>
    <w:p w:rsidR="00AE4D5A" w:rsidRDefault="00AE4D5A" w:rsidP="008E5E01">
      <w:pPr>
        <w:pStyle w:val="TableTitle"/>
      </w:pPr>
      <w:r>
        <w:rPr>
          <w:b w:val="0"/>
        </w:rPr>
        <w:t>Figure 2.</w:t>
      </w:r>
      <w:r>
        <w:rPr>
          <w:b w:val="0"/>
          <w:noProof/>
        </w:rPr>
        <w:t>3</w:t>
      </w:r>
      <w:r>
        <w:tab/>
        <w:t>Major commodities traded with Tasmania, 2011</w:t>
      </w:r>
      <w:r>
        <w:noBreakHyphen/>
        <w:t>12</w:t>
      </w:r>
      <w:r w:rsidRPr="00744E90">
        <w:rPr>
          <w:rStyle w:val="NoteLabel"/>
          <w:b/>
        </w:rPr>
        <w:t>a</w:t>
      </w:r>
    </w:p>
    <w:p w:rsidR="00AE4D5A" w:rsidRDefault="00AE4D5A" w:rsidP="008E5E01">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spacing w:before="20" w:after="20"/>
            </w:pPr>
            <w:r>
              <w:rPr>
                <w:noProof/>
              </w:rPr>
              <w:drawing>
                <wp:inline distT="0" distB="0" distL="0" distR="0" wp14:anchorId="111D5C00" wp14:editId="2E5F2E2A">
                  <wp:extent cx="5131969" cy="3596186"/>
                  <wp:effectExtent l="0" t="0" r="0" b="4445"/>
                  <wp:docPr id="78" name="Picture 78" descr="Figure 2.3 Major commodities traded with Tasmania. This chart shows the major commodities traded northbound and southbound between Tasmania and the mainland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32844" cy="3596799"/>
                          </a:xfrm>
                          <a:prstGeom prst="rect">
                            <a:avLst/>
                          </a:prstGeom>
                          <a:noFill/>
                          <a:ln>
                            <a:noFill/>
                          </a:ln>
                        </pic:spPr>
                      </pic:pic>
                    </a:graphicData>
                  </a:graphic>
                </wp:inline>
              </w:drawing>
            </w:r>
          </w:p>
        </w:tc>
      </w:tr>
    </w:tbl>
    <w:p w:rsidR="00AE4D5A" w:rsidRPr="00E41688" w:rsidRDefault="00AE4D5A" w:rsidP="008E5E01">
      <w:pPr>
        <w:pStyle w:val="Note"/>
      </w:pPr>
      <w:proofErr w:type="spellStart"/>
      <w:r w:rsidRPr="008E77FE">
        <w:rPr>
          <w:rStyle w:val="NoteLabel"/>
        </w:rPr>
        <w:t>a</w:t>
      </w:r>
      <w:proofErr w:type="spellEnd"/>
      <w:r>
        <w:t xml:space="preserve"> Includes coastal freight loaded in Tasmania and shipped to mainland Australia (‘northbound’), or shipped from mainland Australia to </w:t>
      </w:r>
      <w:r w:rsidRPr="00E41688">
        <w:t>Tasmania (‘southbound’). Coastal freight shipped within Tasmania is not included. ‘nes’ = not elsewhere specified.</w:t>
      </w:r>
    </w:p>
    <w:p w:rsidR="00AE4D5A" w:rsidRDefault="00AE4D5A" w:rsidP="008E5E01">
      <w:pPr>
        <w:pStyle w:val="Source"/>
      </w:pPr>
      <w:r>
        <w:rPr>
          <w:i/>
        </w:rPr>
        <w:t>Data source</w:t>
      </w:r>
      <w:r>
        <w:t xml:space="preserve">: </w:t>
      </w:r>
      <w:r w:rsidRPr="00AD5930">
        <w:rPr>
          <w:rFonts w:cs="Arial"/>
          <w:szCs w:val="24"/>
        </w:rPr>
        <w:t>BITRE </w:t>
      </w:r>
      <w:r w:rsidRPr="00B93A26">
        <w:rPr>
          <w:rFonts w:cs="Arial"/>
        </w:rPr>
        <w:t>(2013a)</w:t>
      </w:r>
      <w:r>
        <w:t>.</w:t>
      </w:r>
    </w:p>
    <w:p w:rsidR="00AE4D5A" w:rsidRDefault="00AE4D5A" w:rsidP="008E5E01">
      <w:pPr>
        <w:pStyle w:val="BodyText"/>
      </w:pPr>
      <w:r>
        <w:t>Because of their geographic isolation, businesses located on King Island and the Furneaux Group of islands are relatively more vulnerable to changes in the cost and reliability of shipping services. The Flinders Council noted:</w:t>
      </w:r>
    </w:p>
    <w:p w:rsidR="00AE4D5A" w:rsidRDefault="00AE4D5A" w:rsidP="008E5E01">
      <w:pPr>
        <w:pStyle w:val="Quote"/>
      </w:pPr>
      <w:r>
        <w:t>As a remote island chain, the Furneaux Group has a critical need for timely, reliable and cost effective shipping and freight services to support the ongoing viability of the island’s productive economic sectors and community at large. (sub. 23, pp. 3–4)</w:t>
      </w:r>
    </w:p>
    <w:p w:rsidR="00AE4D5A" w:rsidRDefault="00AE4D5A" w:rsidP="008E5E01">
      <w:pPr>
        <w:pStyle w:val="BodyText"/>
      </w:pPr>
      <w:r>
        <w:t xml:space="preserve">The major freight challenge for King Island is the availability of a suitable vessel. Also, restrictions to existing wharf infrastructure capabilities mean that access to the island is severely limited (King Island Shipping Group, sub. 19). </w:t>
      </w:r>
    </w:p>
    <w:p w:rsidR="00AE4D5A" w:rsidRDefault="00AE4D5A" w:rsidP="008E5E01">
      <w:pPr>
        <w:pStyle w:val="BodyText"/>
      </w:pPr>
      <w:r>
        <w:lastRenderedPageBreak/>
        <w:t>In addition, JBS Australia noted:</w:t>
      </w:r>
    </w:p>
    <w:p w:rsidR="00AE4D5A" w:rsidRPr="001740CF" w:rsidRDefault="00AE4D5A" w:rsidP="008E5E01">
      <w:pPr>
        <w:pStyle w:val="Quote"/>
      </w:pPr>
      <w:r w:rsidRPr="000F6C2A">
        <w:t>The cost of transporting livestock from locations such as King Island and Flinders Island to Tasmania f</w:t>
      </w:r>
      <w:r>
        <w:t>or processing is expensive and o</w:t>
      </w:r>
      <w:r w:rsidRPr="000F6C2A">
        <w:t>n a cost per kilometre considerably gr</w:t>
      </w:r>
      <w:r>
        <w:t>e</w:t>
      </w:r>
      <w:r w:rsidRPr="000F6C2A">
        <w:t xml:space="preserve">ater than on mainland Australia. </w:t>
      </w:r>
      <w:r>
        <w:t>(sub. 49, p. 2)</w:t>
      </w:r>
    </w:p>
    <w:p w:rsidR="00AE4D5A" w:rsidRDefault="00AE4D5A" w:rsidP="008E5E01">
      <w:pPr>
        <w:pStyle w:val="Heading3"/>
        <w:tabs>
          <w:tab w:val="center" w:pos="4394"/>
        </w:tabs>
      </w:pPr>
      <w:r>
        <w:t>Other freight modes</w:t>
      </w:r>
    </w:p>
    <w:p w:rsidR="00AE4D5A" w:rsidRDefault="00AE4D5A" w:rsidP="008E5E01">
      <w:pPr>
        <w:pStyle w:val="BodyText"/>
      </w:pPr>
      <w:r>
        <w:t>Most of the freight shipped to and from Tasmania (around 80 per cent) is shipped through the three northern ports — Bell Bay, Burnie and Devonport (figure 2.4).</w:t>
      </w:r>
    </w:p>
    <w:p w:rsidR="00AE4D5A" w:rsidRDefault="00AE4D5A" w:rsidP="008E5E01">
      <w:pPr>
        <w:pStyle w:val="FigureTitle"/>
      </w:pPr>
      <w:r>
        <w:rPr>
          <w:b w:val="0"/>
        </w:rPr>
        <w:t>Figure 2.</w:t>
      </w:r>
      <w:r>
        <w:rPr>
          <w:b w:val="0"/>
          <w:noProof/>
        </w:rPr>
        <w:t>4</w:t>
      </w:r>
      <w:r>
        <w:tab/>
        <w:t>Tasmanian freight movements (major ports), 2012</w:t>
      </w:r>
      <w:r>
        <w:noBreakHyphen/>
        <w:t>13</w:t>
      </w:r>
    </w:p>
    <w:p w:rsidR="00AE4D5A" w:rsidRPr="00312AD1" w:rsidRDefault="00AE4D5A" w:rsidP="008E5E01">
      <w:pPr>
        <w:pStyle w:val="Subtitle"/>
      </w:pPr>
      <w:bookmarkStart w:id="4" w:name="OLE_LINK4"/>
      <w:bookmarkStart w:id="5" w:name="OLE_LINK5"/>
      <w:r w:rsidRPr="00312AD1">
        <w:t>mt = million tonnes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Tr="008E5E01">
        <w:tc>
          <w:tcPr>
            <w:tcW w:w="8777" w:type="dxa"/>
          </w:tcPr>
          <w:bookmarkEnd w:id="4"/>
          <w:bookmarkEnd w:id="5"/>
          <w:p w:rsidR="00AE4D5A" w:rsidRDefault="00B52BBA" w:rsidP="008E5E01">
            <w:pPr>
              <w:pStyle w:val="Figure"/>
              <w:spacing w:before="20" w:after="20"/>
            </w:pPr>
            <w:r>
              <w:rPr>
                <w:noProof/>
              </w:rPr>
              <w:drawing>
                <wp:inline distT="0" distB="0" distL="0" distR="0" wp14:anchorId="147AD204" wp14:editId="46D79774">
                  <wp:extent cx="4114800" cy="4788640"/>
                  <wp:effectExtent l="0" t="0" r="0" b="0"/>
                  <wp:docPr id="87" name="Picture 87" descr="Figure 2.4 Tasmanian freight movements. This chart shows freight movements through Tasmania's major ports as well as major roads and rail links in 20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7277" b="1757"/>
                          <a:stretch/>
                        </pic:blipFill>
                        <pic:spPr bwMode="auto">
                          <a:xfrm>
                            <a:off x="0" y="0"/>
                            <a:ext cx="4117619" cy="4791921"/>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4D5A" w:rsidRDefault="00AE4D5A" w:rsidP="008E5E01">
      <w:pPr>
        <w:pStyle w:val="Source"/>
        <w:rPr>
          <w:color w:val="FF0000"/>
        </w:rPr>
      </w:pPr>
      <w:r>
        <w:rPr>
          <w:i/>
        </w:rPr>
        <w:t>Data sources</w:t>
      </w:r>
      <w:r w:rsidRPr="00167F06">
        <w:t xml:space="preserve">: </w:t>
      </w:r>
      <w:r>
        <w:t xml:space="preserve">Adapted from </w:t>
      </w:r>
      <w:r w:rsidRPr="00775091">
        <w:rPr>
          <w:rFonts w:cs="Arial"/>
          <w:szCs w:val="24"/>
        </w:rPr>
        <w:t>DIER </w:t>
      </w:r>
      <w:r w:rsidR="007C1471" w:rsidRPr="007C1471">
        <w:rPr>
          <w:rFonts w:cs="Arial"/>
        </w:rPr>
        <w:t>(2013a)</w:t>
      </w:r>
      <w:r>
        <w:t xml:space="preserve"> (figure 1). Southbound/northbound data from </w:t>
      </w:r>
      <w:r w:rsidRPr="00775091">
        <w:rPr>
          <w:rFonts w:cs="Arial"/>
          <w:szCs w:val="24"/>
        </w:rPr>
        <w:t>TasPorts </w:t>
      </w:r>
      <w:r w:rsidRPr="005A31A3">
        <w:rPr>
          <w:rFonts w:cs="Arial"/>
        </w:rPr>
        <w:t>(2013)</w:t>
      </w:r>
      <w:r>
        <w:t>.</w:t>
      </w:r>
    </w:p>
    <w:p w:rsidR="00AE4D5A" w:rsidRDefault="00AE4D5A" w:rsidP="008E5E01">
      <w:pPr>
        <w:pStyle w:val="BodyText"/>
      </w:pPr>
      <w:r>
        <w:t>Tasmania’s road transport network is chiefly responsible for moving freight to and from the ports. In 2011</w:t>
      </w:r>
      <w:r>
        <w:noBreakHyphen/>
        <w:t xml:space="preserve">12, Tasmania’s total land freight task was 23 million tonnes, 82 per cent of which (on a tonne kilometres basis) was carried by road. Tasmania’s </w:t>
      </w:r>
      <w:r>
        <w:lastRenderedPageBreak/>
        <w:t>National Network (the designated road network funded by the Australian Government) carries almost half of the land freight task. The Tasmanian Government funds the State Road network, which accounts for 28 per cent of the total land freight task (table 5.1, chapter 5). It is also the owner and operator of the State Rail network — which accounts for 18 per cent of total freight movements on a tonne kilometre basis.</w:t>
      </w:r>
      <w:r w:rsidRPr="004005B8">
        <w:t xml:space="preserve"> </w:t>
      </w:r>
      <w:r>
        <w:t xml:space="preserve">The extensive network of local government owned roads carry a smaller proportion of the state’s overall freight task, but are important for the ‘last mile’ of the overall freight task </w:t>
      </w:r>
      <w:r w:rsidR="007C1471" w:rsidRPr="007C1471">
        <w:rPr>
          <w:szCs w:val="24"/>
        </w:rPr>
        <w:t>(DIER 2013a)</w:t>
      </w:r>
      <w:r>
        <w:t>.</w:t>
      </w:r>
    </w:p>
    <w:p w:rsidR="00AE4D5A" w:rsidRDefault="00AE4D5A" w:rsidP="008E5E01">
      <w:pPr>
        <w:pStyle w:val="BodyText"/>
      </w:pPr>
      <w:r>
        <w:t>The heaviest freight volumes are carried through the Burnie</w:t>
      </w:r>
      <w:r>
        <w:noBreakHyphen/>
        <w:t xml:space="preserve">Devonport to Hobart corridor due to its linkages to major ports, key urban areas and industrial and processing areas in Burnie, Devonport, Launceston and Hobart </w:t>
      </w:r>
      <w:r w:rsidR="007C1471" w:rsidRPr="007C1471">
        <w:rPr>
          <w:szCs w:val="24"/>
        </w:rPr>
        <w:t>(FLCT 2013a)</w:t>
      </w:r>
      <w:r>
        <w:t>.</w:t>
      </w:r>
    </w:p>
    <w:p w:rsidR="00AE4D5A" w:rsidRDefault="00AE4D5A" w:rsidP="008E5E01">
      <w:pPr>
        <w:pStyle w:val="BodyText"/>
      </w:pPr>
      <w:r>
        <w:t xml:space="preserve">Air freight carries less than 1 per cent of freight (by volume) in Tasmania. Given its relatively higher costs, it is used for high value products including perishable, time sensitive products such as abalone, crayfish, cut flowers </w:t>
      </w:r>
      <w:r w:rsidRPr="004A5D65">
        <w:t xml:space="preserve">and berries. </w:t>
      </w:r>
    </w:p>
    <w:p w:rsidR="00AE4D5A" w:rsidRPr="00EF66BD" w:rsidRDefault="00AE4D5A" w:rsidP="008E5E01">
      <w:pPr>
        <w:pStyle w:val="BodyText"/>
      </w:pPr>
      <w:r w:rsidRPr="00EF66BD">
        <w:t>A number of submissions raised the issue of widening eligibility under the Tasmanian Freight Equalisation Scheme (TFES) to also include air freight. Launceston Airport called for the subsidy for domestic freight to be applied to air freight as well as shipping and highlighted the potential role that air freight can play in helping Tasmanian businesses establish new markets:</w:t>
      </w:r>
    </w:p>
    <w:p w:rsidR="00AE4D5A" w:rsidRPr="00B8097E" w:rsidRDefault="00AE4D5A" w:rsidP="008E5E01">
      <w:pPr>
        <w:pStyle w:val="Quote"/>
      </w:pPr>
      <w:r w:rsidRPr="00B8097E">
        <w:t xml:space="preserve"> … the Bruny Island Cheese Company in order to break into new markets, improve their profile and establish the business, used airfreight to get their product to mainland shelves and restaurants. At first they were air</w:t>
      </w:r>
      <w:r>
        <w:noBreakHyphen/>
      </w:r>
      <w:r w:rsidRPr="00B8097E">
        <w:t>freighting only a few 5kg boxes, but their reputation has grown, a cheese club has been established and shipments now are in the order of 1500 cartons being distributed all over Australia. Airfreight can provide the initial inroads to break into and establish new markets for niche Tasmanian products, until later in their growth cycle, when volumes will dictate that sea freight will come into its own again. (sub.</w:t>
      </w:r>
      <w:r>
        <w:t> </w:t>
      </w:r>
      <w:r w:rsidRPr="00B8097E">
        <w:t>25, p. 2)</w:t>
      </w:r>
    </w:p>
    <w:p w:rsidR="00AE4D5A" w:rsidRPr="00342E56" w:rsidRDefault="00AE4D5A" w:rsidP="008E5E01">
      <w:pPr>
        <w:pStyle w:val="BodyText"/>
      </w:pPr>
      <w:r w:rsidRPr="00342E56">
        <w:t>Hobart International Airport also called for the subsidy for domestic freight to be applied to air freight as well as shipping, noting:</w:t>
      </w:r>
    </w:p>
    <w:p w:rsidR="00AE4D5A" w:rsidRPr="00342E56" w:rsidRDefault="00AE4D5A" w:rsidP="008E5E01">
      <w:pPr>
        <w:pStyle w:val="Quote"/>
      </w:pPr>
      <w:r w:rsidRPr="00342E56">
        <w:t>Air freight is a crucial option for the future of Tasmania’s high value producers … The fast developing, high quality fresh produce industry which is vital to the Tasmanian economy is ideal for air freight. (sub. 46, p. 2)</w:t>
      </w:r>
    </w:p>
    <w:p w:rsidR="00AE4D5A" w:rsidRPr="000E52DA" w:rsidRDefault="00AE4D5A" w:rsidP="008E5E01">
      <w:pPr>
        <w:pStyle w:val="BodyText"/>
      </w:pPr>
      <w:r w:rsidRPr="00342E56">
        <w:t xml:space="preserve">However, the Commission does not consider that there is a case for </w:t>
      </w:r>
      <w:r>
        <w:t>this</w:t>
      </w:r>
      <w:r w:rsidRPr="00342E56">
        <w:t xml:space="preserve"> extension </w:t>
      </w:r>
      <w:r>
        <w:t>of</w:t>
      </w:r>
      <w:r w:rsidRPr="00342E56">
        <w:t xml:space="preserve"> the TFES. </w:t>
      </w:r>
      <w:r>
        <w:t>Tasmania has access to low cost regional airline services comparable to that for other regional mainland communities. Further, reliance on</w:t>
      </w:r>
      <w:r w:rsidRPr="00342E56">
        <w:t xml:space="preserve"> air freight to </w:t>
      </w:r>
      <w:r>
        <w:t>access</w:t>
      </w:r>
      <w:r w:rsidRPr="00342E56">
        <w:t xml:space="preserve"> market</w:t>
      </w:r>
      <w:r>
        <w:t>s</w:t>
      </w:r>
      <w:r w:rsidRPr="00342E56">
        <w:t xml:space="preserve"> is a feature of many regional </w:t>
      </w:r>
      <w:r>
        <w:t xml:space="preserve">and remote </w:t>
      </w:r>
      <w:r w:rsidRPr="00342E56">
        <w:t xml:space="preserve">communities and not unique to Tasmania. (The issue of scheme scope and coverage is </w:t>
      </w:r>
      <w:r>
        <w:t>discussed</w:t>
      </w:r>
      <w:r w:rsidRPr="00342E56">
        <w:t xml:space="preserve"> in chapter</w:t>
      </w:r>
      <w:r>
        <w:t> </w:t>
      </w:r>
      <w:r w:rsidRPr="00342E56">
        <w:t>3.)</w:t>
      </w:r>
    </w:p>
    <w:p w:rsidR="00AE4D5A" w:rsidRDefault="00AE4D5A" w:rsidP="008E5E01">
      <w:pPr>
        <w:pStyle w:val="Heading2"/>
      </w:pPr>
      <w:r>
        <w:lastRenderedPageBreak/>
        <w:t>2.</w:t>
      </w:r>
      <w:r>
        <w:rPr>
          <w:noProof/>
        </w:rPr>
        <w:t>3</w:t>
      </w:r>
      <w:r>
        <w:tab/>
        <w:t>Freight cost disadvantage</w:t>
      </w:r>
    </w:p>
    <w:p w:rsidR="00AE4D5A" w:rsidRDefault="00AE4D5A" w:rsidP="008E5E01">
      <w:pPr>
        <w:pStyle w:val="BodyText"/>
      </w:pPr>
      <w:r>
        <w:t xml:space="preserve">The terms of reference for this inquiry require that the Commission quantify any comparative freight cost disadvantage for goods eligible under the TFES and the Tasmanian Wheat Freight Scheme (TWFS) — and identify its primary causes. </w:t>
      </w:r>
    </w:p>
    <w:p w:rsidR="00AE4D5A" w:rsidRDefault="00AE4D5A" w:rsidP="008E5E01">
      <w:pPr>
        <w:pStyle w:val="BodyText"/>
      </w:pPr>
      <w:r>
        <w:t>The</w:t>
      </w:r>
      <w:r w:rsidRPr="00A354D3">
        <w:t xml:space="preserve"> cost of freight, </w:t>
      </w:r>
      <w:r>
        <w:t>across</w:t>
      </w:r>
      <w:r w:rsidRPr="00A354D3">
        <w:t xml:space="preserve"> Bass Strait and for comparable tasks on land, and elements of Tasmania’s </w:t>
      </w:r>
      <w:r>
        <w:t xml:space="preserve">interstate freight disadvantage are discussed below, drawing largely on published data on freight rates, information provided in submissions to this inquiry, and the TFES administrative database. </w:t>
      </w:r>
    </w:p>
    <w:p w:rsidR="00AE4D5A" w:rsidRDefault="00AE4D5A" w:rsidP="008E5E01">
      <w:pPr>
        <w:pStyle w:val="Heading3"/>
      </w:pPr>
      <w:r>
        <w:t>Factors influencing the cost of freight</w:t>
      </w:r>
    </w:p>
    <w:p w:rsidR="00AE4D5A" w:rsidRDefault="00AE4D5A" w:rsidP="008E5E01">
      <w:pPr>
        <w:pStyle w:val="BodyText"/>
      </w:pPr>
      <w:r>
        <w:t xml:space="preserve">Participants to this inquiry raised a number of concerns about the high costs of freight to and from Tasmania. Some of these are included in box 2.2. </w:t>
      </w:r>
    </w:p>
    <w:p w:rsidR="00AE4D5A" w:rsidRDefault="00AE4D5A" w:rsidP="008E5E01">
      <w:pPr>
        <w:pStyle w:val="BodyText"/>
      </w:pPr>
      <w:r>
        <w:t xml:space="preserve">Similar concerns were raised in the Commission’s 2006 inquiry into Tasmanian freight subsidy arrangements </w:t>
      </w:r>
      <w:r w:rsidR="007C1471" w:rsidRPr="007C1471">
        <w:rPr>
          <w:szCs w:val="24"/>
        </w:rPr>
        <w:t>(PC 2006b)</w:t>
      </w:r>
      <w:r>
        <w:t xml:space="preserve">. </w:t>
      </w:r>
    </w:p>
    <w:p w:rsidR="00AE4D5A" w:rsidRDefault="00AE4D5A" w:rsidP="008E5E01">
      <w:pPr>
        <w:pStyle w:val="BodyText"/>
      </w:pPr>
      <w:r w:rsidRPr="00C075DB">
        <w:rPr>
          <w:spacing w:val="-4"/>
        </w:rPr>
        <w:t xml:space="preserve">A </w:t>
      </w:r>
      <w:r>
        <w:rPr>
          <w:spacing w:val="-4"/>
        </w:rPr>
        <w:t xml:space="preserve">wide </w:t>
      </w:r>
      <w:r w:rsidRPr="00C075DB">
        <w:rPr>
          <w:spacing w:val="-4"/>
        </w:rPr>
        <w:t>range of factors influence the cost of freight</w:t>
      </w:r>
      <w:r>
        <w:rPr>
          <w:spacing w:val="-4"/>
        </w:rPr>
        <w:t xml:space="preserve">, </w:t>
      </w:r>
      <w:r w:rsidRPr="008D6F48">
        <w:rPr>
          <w:spacing w:val="-4"/>
        </w:rPr>
        <w:t xml:space="preserve">including </w:t>
      </w:r>
      <w:r w:rsidRPr="008D6F48">
        <w:t>mode of transportation (road, sea, rail, air), cargo weight and volume, distance to destination, points of pickup and delivery, and the actual goods being shipped</w:t>
      </w:r>
      <w:r w:rsidRPr="00C075DB">
        <w:t xml:space="preserve">. </w:t>
      </w:r>
      <w:r>
        <w:t>Key factors affecting Tasmanian freight costs include:</w:t>
      </w:r>
    </w:p>
    <w:p w:rsidR="00AE4D5A" w:rsidRDefault="00AE4D5A" w:rsidP="008E5E01">
      <w:pPr>
        <w:pStyle w:val="ListBullet"/>
        <w:rPr>
          <w:spacing w:val="-2"/>
        </w:rPr>
      </w:pPr>
      <w:r w:rsidRPr="00BB2C0F">
        <w:rPr>
          <w:i/>
        </w:rPr>
        <w:t>mode of transportation</w:t>
      </w:r>
      <w:r>
        <w:t xml:space="preserve"> — f</w:t>
      </w:r>
      <w:r w:rsidRPr="00C075DB">
        <w:t xml:space="preserve">or Tasmania, mode and distance factors </w:t>
      </w:r>
      <w:r>
        <w:t>are critical. A</w:t>
      </w:r>
      <w:r w:rsidRPr="00C075DB">
        <w:t xml:space="preserve"> consequence of the short</w:t>
      </w:r>
      <w:r>
        <w:noBreakHyphen/>
      </w:r>
      <w:r w:rsidRPr="00C075DB">
        <w:t xml:space="preserve">haul nature of Bass Strait shipping is that it </w:t>
      </w:r>
      <w:r>
        <w:t>is unable to</w:t>
      </w:r>
      <w:r w:rsidRPr="00C075DB">
        <w:t xml:space="preserve"> exploit the </w:t>
      </w:r>
      <w:r>
        <w:t>economics</w:t>
      </w:r>
      <w:r w:rsidRPr="00C075DB">
        <w:t xml:space="preserve"> of sea transport, resulting in higher freight rates. </w:t>
      </w:r>
      <w:r w:rsidRPr="00BB2C0F">
        <w:rPr>
          <w:spacing w:val="-2"/>
        </w:rPr>
        <w:t xml:space="preserve">As sea freight </w:t>
      </w:r>
      <w:r>
        <w:rPr>
          <w:spacing w:val="-2"/>
        </w:rPr>
        <w:t>is</w:t>
      </w:r>
      <w:r w:rsidRPr="00BB2C0F">
        <w:rPr>
          <w:spacing w:val="-2"/>
        </w:rPr>
        <w:t xml:space="preserve"> characterised by higher fixed costs and lower marginal costs than land freight, it tends to be </w:t>
      </w:r>
      <w:r>
        <w:rPr>
          <w:spacing w:val="-2"/>
        </w:rPr>
        <w:t xml:space="preserve">relatively </w:t>
      </w:r>
      <w:r w:rsidRPr="00BB2C0F">
        <w:rPr>
          <w:spacing w:val="-2"/>
        </w:rPr>
        <w:t xml:space="preserve">cheaper over long distances, while land freight tends to be </w:t>
      </w:r>
      <w:r>
        <w:rPr>
          <w:spacing w:val="-2"/>
        </w:rPr>
        <w:t xml:space="preserve">relatively </w:t>
      </w:r>
      <w:r w:rsidRPr="00BB2C0F">
        <w:rPr>
          <w:spacing w:val="-2"/>
        </w:rPr>
        <w:t>cheaper over short distances (box 2.3).</w:t>
      </w:r>
    </w:p>
    <w:p w:rsidR="00AE4D5A" w:rsidRDefault="00AE4D5A" w:rsidP="008E5E01">
      <w:pPr>
        <w:pStyle w:val="ListBullet"/>
      </w:pPr>
      <w:r w:rsidRPr="00DF0045">
        <w:rPr>
          <w:i/>
        </w:rPr>
        <w:t>intermodal costs</w:t>
      </w:r>
      <w:r>
        <w:t xml:space="preserve"> — the use of a combination of land and sea transport means that </w:t>
      </w:r>
      <w:r w:rsidRPr="002C5C07">
        <w:t xml:space="preserve">Tasmanian shippers incur costs of loading and unloading their cargoes. </w:t>
      </w:r>
      <w:r>
        <w:t xml:space="preserve">Unlike </w:t>
      </w:r>
      <w:r w:rsidRPr="002C5C07">
        <w:t xml:space="preserve">freight </w:t>
      </w:r>
      <w:r>
        <w:t>sent between</w:t>
      </w:r>
      <w:r w:rsidRPr="002C5C07">
        <w:t xml:space="preserve"> mainland </w:t>
      </w:r>
      <w:r>
        <w:t>s</w:t>
      </w:r>
      <w:r w:rsidRPr="002C5C07">
        <w:t xml:space="preserve">tates and </w:t>
      </w:r>
      <w:r>
        <w:t>t</w:t>
      </w:r>
      <w:r w:rsidRPr="002C5C07">
        <w:t xml:space="preserve">erritories </w:t>
      </w:r>
      <w:r>
        <w:t xml:space="preserve">that </w:t>
      </w:r>
      <w:r w:rsidRPr="002C5C07">
        <w:t xml:space="preserve">can </w:t>
      </w:r>
      <w:r>
        <w:t xml:space="preserve">be transported by only one mode, freight sent </w:t>
      </w:r>
      <w:r w:rsidRPr="002C5C07">
        <w:t>between Tasmania and the mainland</w:t>
      </w:r>
      <w:r>
        <w:t xml:space="preserve"> has to change mode at least twice. I</w:t>
      </w:r>
      <w:r w:rsidRPr="002C5C07">
        <w:t>ntermodal transfers can also apply to land freight, particularl</w:t>
      </w:r>
      <w:r>
        <w:t>y if rail transport is involved</w:t>
      </w:r>
      <w:r w:rsidRPr="002C5C07">
        <w:t>.</w:t>
      </w:r>
      <w:r>
        <w:t xml:space="preserve"> Changing modes also adds to transit times and increases the likelihood of damage to goods. </w:t>
      </w:r>
    </w:p>
    <w:p w:rsidR="00AE4D5A" w:rsidRDefault="00AE4D5A" w:rsidP="008E5E01">
      <w:pPr>
        <w:pStyle w:val="ListBullet"/>
        <w:numPr>
          <w:ilvl w:val="0"/>
          <w:numId w:val="0"/>
        </w:numPr>
        <w:ind w:left="340" w:hanging="340"/>
      </w:pPr>
    </w:p>
    <w:p w:rsidR="00AE4D5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2.</w:t>
            </w:r>
            <w:r>
              <w:rPr>
                <w:b w:val="0"/>
                <w:noProof/>
              </w:rPr>
              <w:t>2</w:t>
            </w:r>
            <w:r>
              <w:tab/>
              <w:t>Participants’ views on Tasmania’s freight cost disadvantage</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spacing w:line="240" w:lineRule="exact"/>
            </w:pPr>
            <w:r>
              <w:t>Forth Farm Produce (trading as Harvest Moon)</w:t>
            </w:r>
          </w:p>
          <w:p w:rsidR="00AE4D5A" w:rsidRPr="00CE67B2" w:rsidRDefault="00AE4D5A" w:rsidP="008E5E01">
            <w:pPr>
              <w:pStyle w:val="BoxQuote"/>
              <w:spacing w:line="240" w:lineRule="exact"/>
              <w:rPr>
                <w:spacing w:val="-2"/>
              </w:rPr>
            </w:pPr>
            <w:r w:rsidRPr="00CE67B2">
              <w:rPr>
                <w:spacing w:val="-2"/>
              </w:rPr>
              <w:t>A frequent, reliable and cost effective refrigerated transport service is absolutely fundamental to the business’s supply chain and therefore viability … With the TFES in place the cost per tonne to ship produce from Devonport to Melbourne is between $75 and $80/tonne. Road freight for the equivalent freight service … from Melbourne to Bairnsdale is $54/tonne and from Bairnsdale to Melbourne is $64/tonne. The TFES does not provide Tasmanian based shippers with an unfair advantage versus mainland companies. It simply means we are only disadvantaged by $15 to $20/tonne rather than $85 to $90/tonne. (sub.</w:t>
            </w:r>
            <w:r>
              <w:rPr>
                <w:spacing w:val="-2"/>
              </w:rPr>
              <w:t> </w:t>
            </w:r>
            <w:r w:rsidRPr="00CE67B2">
              <w:rPr>
                <w:spacing w:val="-2"/>
              </w:rPr>
              <w:t>21, p. 2)</w:t>
            </w:r>
          </w:p>
          <w:p w:rsidR="00AE4D5A" w:rsidRPr="00C86DC1" w:rsidRDefault="00AE4D5A" w:rsidP="008E5E01">
            <w:pPr>
              <w:pStyle w:val="Box"/>
              <w:spacing w:line="240" w:lineRule="exact"/>
            </w:pPr>
            <w:r>
              <w:t xml:space="preserve">Viewbanks </w:t>
            </w:r>
          </w:p>
          <w:p w:rsidR="00AE4D5A" w:rsidRDefault="00AE4D5A" w:rsidP="008E5E01">
            <w:pPr>
              <w:pStyle w:val="BoxQuote"/>
              <w:spacing w:line="240" w:lineRule="exact"/>
              <w:rPr>
                <w:spacing w:val="-2"/>
              </w:rPr>
            </w:pPr>
            <w:r w:rsidRPr="00A44583">
              <w:rPr>
                <w:spacing w:val="-2"/>
              </w:rPr>
              <w:t>The cost component across Bass Strait equates to $1450+, making these charges comparable with the longer Asia/Melbourne haul. Tasmanian business cannot afford the component cost of the Bass Strait haul.</w:t>
            </w:r>
            <w:r>
              <w:rPr>
                <w:spacing w:val="-2"/>
              </w:rPr>
              <w:t xml:space="preserve"> (sub. 16, p. 2)</w:t>
            </w:r>
          </w:p>
          <w:p w:rsidR="00AE4D5A" w:rsidRPr="00A44583" w:rsidRDefault="00AE4D5A" w:rsidP="008E5E01">
            <w:pPr>
              <w:pStyle w:val="Box"/>
              <w:spacing w:line="240" w:lineRule="exact"/>
            </w:pPr>
            <w:r>
              <w:t>Bell Bay Aluminium</w:t>
            </w:r>
          </w:p>
          <w:p w:rsidR="00AE4D5A" w:rsidRDefault="00AE4D5A" w:rsidP="008E5E01">
            <w:pPr>
              <w:pStyle w:val="BoxQuote"/>
              <w:spacing w:line="240" w:lineRule="exact"/>
              <w:rPr>
                <w:spacing w:val="-2"/>
              </w:rPr>
            </w:pPr>
            <w:r w:rsidRPr="00A44583">
              <w:rPr>
                <w:spacing w:val="-2"/>
              </w:rPr>
              <w:t>Shipping across Bass Strait is one of the most expensive components of freight export</w:t>
            </w:r>
            <w:r>
              <w:rPr>
                <w:spacing w:val="-2"/>
              </w:rPr>
              <w:t xml:space="preserve"> … </w:t>
            </w:r>
            <w:r w:rsidRPr="00A44583">
              <w:rPr>
                <w:spacing w:val="-2"/>
              </w:rPr>
              <w:t>The factors affecting cost on Bass Strait are complex, and include shipper characteristics (volumes shipped, seasonal vs. regular shipper); high fixed costs associated with shipping (fuel, wages); and particularly cabotage legi</w:t>
            </w:r>
            <w:r>
              <w:rPr>
                <w:spacing w:val="-2"/>
              </w:rPr>
              <w:t>slation …</w:t>
            </w:r>
            <w:r w:rsidRPr="00A44583">
              <w:rPr>
                <w:spacing w:val="-2"/>
              </w:rPr>
              <w:t xml:space="preserve"> BBA’s costs remain higher than comparable operations exporting goods from other Australian ports. For shipping providers, fixed costs are high. Benchmarking of shipping costs for users found Bass Strait shipping to be 24% more expensive than a similar European service, largely due to estimated input costs for Bass Strait providers (labour costs and fuel) to be 23% more expensive than in Europe.</w:t>
            </w:r>
            <w:r>
              <w:rPr>
                <w:spacing w:val="-2"/>
              </w:rPr>
              <w:t xml:space="preserve"> (sub. 12, p. 5)</w:t>
            </w:r>
          </w:p>
          <w:p w:rsidR="00AE4D5A" w:rsidRDefault="00AE4D5A" w:rsidP="008E5E01">
            <w:pPr>
              <w:pStyle w:val="Box"/>
              <w:spacing w:line="240" w:lineRule="exact"/>
            </w:pPr>
            <w:r>
              <w:t>Mondelez</w:t>
            </w:r>
          </w:p>
          <w:p w:rsidR="00AE4D5A" w:rsidRPr="00331FD9" w:rsidRDefault="00AE4D5A" w:rsidP="008E5E01">
            <w:pPr>
              <w:pStyle w:val="BoxQuote"/>
              <w:spacing w:line="240" w:lineRule="exact"/>
              <w:rPr>
                <w:spacing w:val="-2"/>
              </w:rPr>
            </w:pPr>
            <w:r w:rsidRPr="00016B07">
              <w:rPr>
                <w:spacing w:val="-2"/>
              </w:rPr>
              <w:t>The current level of TFES assistance does not fully compensate Mondelez International’s</w:t>
            </w:r>
            <w:r>
              <w:rPr>
                <w:spacing w:val="-2"/>
              </w:rPr>
              <w:t xml:space="preserve"> </w:t>
            </w:r>
            <w:r w:rsidRPr="00016B07">
              <w:rPr>
                <w:spacing w:val="-2"/>
              </w:rPr>
              <w:t>total level of disadvantage it experiences for manufacturing in Tasmania. The current</w:t>
            </w:r>
            <w:r>
              <w:rPr>
                <w:spacing w:val="-2"/>
              </w:rPr>
              <w:t xml:space="preserve"> </w:t>
            </w:r>
            <w:r w:rsidRPr="00016B07">
              <w:rPr>
                <w:spacing w:val="-2"/>
              </w:rPr>
              <w:t>level of assistance falls short by approximately 30% and places us in an uncompetitive</w:t>
            </w:r>
            <w:r>
              <w:rPr>
                <w:spacing w:val="-2"/>
              </w:rPr>
              <w:t xml:space="preserve"> </w:t>
            </w:r>
            <w:r w:rsidRPr="00016B07">
              <w:rPr>
                <w:spacing w:val="-2"/>
              </w:rPr>
              <w:t>position when compared with Swiss and German peer chocolate companies. Correcting</w:t>
            </w:r>
            <w:r>
              <w:rPr>
                <w:spacing w:val="-2"/>
              </w:rPr>
              <w:t xml:space="preserve"> </w:t>
            </w:r>
            <w:r w:rsidRPr="00016B07">
              <w:rPr>
                <w:spacing w:val="-2"/>
              </w:rPr>
              <w:t>the freight inequity is pivotal to future investment in our Tasmanian operations</w:t>
            </w:r>
            <w:r w:rsidRPr="00331FD9">
              <w:rPr>
                <w:spacing w:val="-2"/>
              </w:rPr>
              <w:t>. (s</w:t>
            </w:r>
            <w:r>
              <w:rPr>
                <w:spacing w:val="-2"/>
              </w:rPr>
              <w:t>ub. 24</w:t>
            </w:r>
            <w:r w:rsidRPr="00331FD9">
              <w:rPr>
                <w:spacing w:val="-2"/>
              </w:rPr>
              <w:t>, p.</w:t>
            </w:r>
            <w:r>
              <w:rPr>
                <w:spacing w:val="-2"/>
              </w:rPr>
              <w:t> 3</w:t>
            </w:r>
            <w:r w:rsidRPr="00331FD9">
              <w:rPr>
                <w:spacing w:val="-2"/>
              </w:rPr>
              <w:t>)</w:t>
            </w:r>
          </w:p>
          <w:p w:rsidR="00AE4D5A" w:rsidRDefault="00AE4D5A" w:rsidP="008E5E01">
            <w:pPr>
              <w:pStyle w:val="Box"/>
              <w:spacing w:line="240" w:lineRule="exact"/>
            </w:pPr>
            <w:r>
              <w:t xml:space="preserve">Cuthbertson Bros </w:t>
            </w:r>
          </w:p>
          <w:p w:rsidR="00AE4D5A" w:rsidRPr="00331FD9" w:rsidRDefault="00AE4D5A" w:rsidP="008E5E01">
            <w:pPr>
              <w:pStyle w:val="BoxQuote"/>
              <w:spacing w:line="240" w:lineRule="exact"/>
              <w:rPr>
                <w:spacing w:val="-2"/>
              </w:rPr>
            </w:pPr>
            <w:r w:rsidRPr="00331FD9">
              <w:rPr>
                <w:spacing w:val="-2"/>
              </w:rPr>
              <w:t>We suffered a 25% increase overnight on the Burnie leg to Melbourne. No warning, no discussion; pay or you don’t ship, and when you have forward contracts, you pay …</w:t>
            </w:r>
            <w:r>
              <w:rPr>
                <w:spacing w:val="-2"/>
              </w:rPr>
              <w:t xml:space="preserve"> </w:t>
            </w:r>
            <w:r w:rsidRPr="00331FD9">
              <w:rPr>
                <w:spacing w:val="-2"/>
              </w:rPr>
              <w:t xml:space="preserve">Everyone will tell you [the Bass Strait] </w:t>
            </w:r>
            <w:r>
              <w:rPr>
                <w:spacing w:val="-2"/>
              </w:rPr>
              <w:t xml:space="preserve">is </w:t>
            </w:r>
            <w:r w:rsidRPr="00331FD9">
              <w:rPr>
                <w:spacing w:val="-2"/>
              </w:rPr>
              <w:t>the dearest freight crossing in the world. (s</w:t>
            </w:r>
            <w:r>
              <w:rPr>
                <w:spacing w:val="-2"/>
              </w:rPr>
              <w:t>ub. </w:t>
            </w:r>
            <w:r w:rsidRPr="00331FD9">
              <w:rPr>
                <w:spacing w:val="-2"/>
              </w:rPr>
              <w:t>3, pp.</w:t>
            </w:r>
            <w:r>
              <w:rPr>
                <w:spacing w:val="-2"/>
              </w:rPr>
              <w:t> </w:t>
            </w:r>
            <w:r w:rsidRPr="00331FD9">
              <w:rPr>
                <w:spacing w:val="-2"/>
              </w:rPr>
              <w:t>1</w:t>
            </w:r>
            <w:r>
              <w:rPr>
                <w:spacing w:val="-2"/>
              </w:rPr>
              <w:t>–</w:t>
            </w:r>
            <w:r w:rsidRPr="00331FD9">
              <w:rPr>
                <w:spacing w:val="-2"/>
              </w:rPr>
              <w:t>2)</w:t>
            </w:r>
          </w:p>
          <w:p w:rsidR="00AE4D5A" w:rsidRDefault="00AE4D5A" w:rsidP="008E5E01">
            <w:pPr>
              <w:pStyle w:val="Box"/>
              <w:spacing w:line="240" w:lineRule="exact"/>
            </w:pPr>
            <w:r>
              <w:t>TFGA — King Island Branch</w:t>
            </w:r>
          </w:p>
          <w:p w:rsidR="00AE4D5A" w:rsidRDefault="00AE4D5A" w:rsidP="008E5E01">
            <w:pPr>
              <w:pStyle w:val="BoxQuote"/>
              <w:spacing w:line="240" w:lineRule="exact"/>
              <w:rPr>
                <w:spacing w:val="-2"/>
              </w:rPr>
            </w:pPr>
            <w:r w:rsidRPr="00331FD9">
              <w:rPr>
                <w:spacing w:val="-2"/>
              </w:rPr>
              <w:t>When comparing to other freight movements across Bass Strait</w:t>
            </w:r>
            <w:r>
              <w:rPr>
                <w:spacing w:val="-2"/>
              </w:rPr>
              <w:t xml:space="preserve"> [rates]</w:t>
            </w:r>
            <w:r w:rsidRPr="00331FD9">
              <w:rPr>
                <w:spacing w:val="-2"/>
              </w:rPr>
              <w:t xml:space="preserve"> for livestock and fertiliser movements, </w:t>
            </w:r>
            <w:r>
              <w:rPr>
                <w:spacing w:val="-2"/>
              </w:rPr>
              <w:t xml:space="preserve">appear to be extremely excessive. … </w:t>
            </w:r>
            <w:r w:rsidRPr="00331FD9">
              <w:rPr>
                <w:spacing w:val="-2"/>
              </w:rPr>
              <w:t>Freight costs on fertiliser in containers are hindering the ability of farmers to improve their production with freight rates 3 to 4 times that of shipping from Melbourne to Tasmania and in excess of double that of shipping from Bridport to Lady Barron (Flinders Island)</w:t>
            </w:r>
            <w:r>
              <w:rPr>
                <w:spacing w:val="-2"/>
              </w:rPr>
              <w:t xml:space="preserve"> … </w:t>
            </w:r>
            <w:r w:rsidRPr="00331FD9">
              <w:rPr>
                <w:spacing w:val="-2"/>
              </w:rPr>
              <w:t xml:space="preserve">There is a large differential in the diesel price on King Island versus the Victorian and Tasmanian regional price averages </w:t>
            </w:r>
            <w:r>
              <w:rPr>
                <w:spacing w:val="-2"/>
              </w:rPr>
              <w:t>—</w:t>
            </w:r>
            <w:r w:rsidRPr="00331FD9">
              <w:rPr>
                <w:spacing w:val="-2"/>
              </w:rPr>
              <w:t xml:space="preserve"> in the order of 125%. The general differential between Terminal Gate Price vs. Regional Pricing is in the order of 4.5 </w:t>
            </w:r>
            <w:r>
              <w:rPr>
                <w:spacing w:val="-2"/>
              </w:rPr>
              <w:t>–</w:t>
            </w:r>
            <w:r w:rsidRPr="00331FD9">
              <w:rPr>
                <w:spacing w:val="-2"/>
              </w:rPr>
              <w:t xml:space="preserve"> 12%, however on King Island it is in the order of 26%</w:t>
            </w:r>
            <w:r>
              <w:rPr>
                <w:spacing w:val="-2"/>
              </w:rPr>
              <w:t xml:space="preserve">. </w:t>
            </w:r>
            <w:r w:rsidRPr="00331FD9">
              <w:rPr>
                <w:spacing w:val="-2"/>
              </w:rPr>
              <w:t>(s</w:t>
            </w:r>
            <w:r>
              <w:rPr>
                <w:spacing w:val="-2"/>
              </w:rPr>
              <w:t>ub. 8</w:t>
            </w:r>
            <w:r w:rsidRPr="00331FD9">
              <w:rPr>
                <w:spacing w:val="-2"/>
              </w:rPr>
              <w:t>, pp.</w:t>
            </w:r>
            <w:r>
              <w:rPr>
                <w:spacing w:val="-2"/>
              </w:rPr>
              <w:t> </w:t>
            </w:r>
            <w:r w:rsidRPr="00331FD9">
              <w:rPr>
                <w:spacing w:val="-2"/>
              </w:rPr>
              <w:t>1</w:t>
            </w:r>
            <w:r>
              <w:rPr>
                <w:spacing w:val="-2"/>
              </w:rPr>
              <w:t>–</w:t>
            </w:r>
            <w:r w:rsidRPr="00331FD9">
              <w:rPr>
                <w:spacing w:val="-2"/>
              </w:rPr>
              <w:t>2)</w:t>
            </w:r>
          </w:p>
          <w:p w:rsidR="00AE4D5A" w:rsidRDefault="00AE4D5A" w:rsidP="008E5E01">
            <w:pPr>
              <w:pStyle w:val="Box"/>
              <w:spacing w:line="240" w:lineRule="exact"/>
            </w:pPr>
            <w:r>
              <w:t>Kelp Industries</w:t>
            </w:r>
          </w:p>
          <w:p w:rsidR="00AE4D5A" w:rsidRPr="000A5D82" w:rsidRDefault="00AE4D5A" w:rsidP="008E5E01">
            <w:pPr>
              <w:pStyle w:val="BoxQuote"/>
              <w:spacing w:line="240" w:lineRule="exact"/>
              <w:rPr>
                <w:spacing w:val="-4"/>
              </w:rPr>
            </w:pPr>
            <w:r w:rsidRPr="000A5D82">
              <w:rPr>
                <w:spacing w:val="-4"/>
              </w:rPr>
              <w:t>A major issue is the cost of shipping from King Island to Melbourne both for export and domestic sales … It is often more cost effective for potential customers to import Irish or Canadian seaweed into Australia than it is for them to pay the freight from King Island to Melbourne … freight to Melbourne or Devonport is not available on a weekly basis. There can be a wait of 1–5 weeks before the local agent sends a container of general freight. (sub. 4, p. 1)</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2.</w:t>
            </w:r>
            <w:r>
              <w:rPr>
                <w:b w:val="0"/>
                <w:noProof/>
              </w:rPr>
              <w:t>3</w:t>
            </w:r>
            <w:r>
              <w:tab/>
              <w:t>Stylised cost structures of road and sea freight</w:t>
            </w:r>
          </w:p>
        </w:tc>
      </w:tr>
      <w:tr w:rsidR="00AE4D5A" w:rsidTr="008E5E01">
        <w:trPr>
          <w:cantSplit/>
        </w:trPr>
        <w:tc>
          <w:tcPr>
            <w:tcW w:w="8771" w:type="dxa"/>
            <w:tcBorders>
              <w:top w:val="nil"/>
              <w:left w:val="single" w:sz="6" w:space="0" w:color="auto"/>
              <w:bottom w:val="nil"/>
              <w:right w:val="single" w:sz="6" w:space="0" w:color="auto"/>
            </w:tcBorders>
          </w:tcPr>
          <w:p w:rsidR="00AE4D5A" w:rsidRPr="00B160B7" w:rsidRDefault="00AE4D5A" w:rsidP="008E5E01">
            <w:pPr>
              <w:pStyle w:val="Box"/>
              <w:spacing w:before="80"/>
            </w:pPr>
            <w:r w:rsidRPr="00B160B7">
              <w:t xml:space="preserve">The figure below depicts different </w:t>
            </w:r>
            <w:r>
              <w:t xml:space="preserve">operating </w:t>
            </w:r>
            <w:r w:rsidRPr="00B160B7">
              <w:t>cost structures for road and sea freight as they relate to the distance involved in transporting a given volume of goods, such as a</w:t>
            </w:r>
            <w:r>
              <w:t xml:space="preserve"> twenty foot equivalent unit (</w:t>
            </w:r>
            <w:r w:rsidRPr="00B160B7">
              <w:t>TEU</w:t>
            </w:r>
            <w:r>
              <w:t>)</w:t>
            </w:r>
            <w:r w:rsidRPr="00B160B7">
              <w:t xml:space="preserve">. </w:t>
            </w:r>
          </w:p>
          <w:p w:rsidR="00AE4D5A" w:rsidRPr="00B160B7" w:rsidRDefault="00AE4D5A" w:rsidP="008E5E01">
            <w:pPr>
              <w:pStyle w:val="Box"/>
              <w:spacing w:before="80"/>
            </w:pPr>
            <w:r w:rsidRPr="00B160B7">
              <w:t xml:space="preserve">Sea freight is characterised by large fixed costs (shown as OC on the cost axis) and relatively low marginal costs (represented by the gradient of the sea freight cost curve). The fixed costs include the overhead of owning or leasing vessels, crewing them and the port costs (such as wharfage) associated with loading and unloading the goods. Marginal costs relate to costs that vary with use of vessels over different distances such as fuel, wages and additional repairs and maintenance. For example, the fixed costs of ‘getting the ship running’ represent roughly 80 per cent of total costs of liner shipping </w:t>
            </w:r>
            <w:r w:rsidRPr="009A6754">
              <w:rPr>
                <w:rFonts w:cs="Arial"/>
                <w:szCs w:val="24"/>
              </w:rPr>
              <w:t>(PC 2005, p. 281)</w:t>
            </w:r>
            <w:r w:rsidRPr="00B160B7">
              <w:t xml:space="preserve">. As such, running a fully laden vessel costs little more than an empty one (or a vessel carrying empty containers). </w:t>
            </w:r>
          </w:p>
          <w:p w:rsidR="00AE4D5A" w:rsidRPr="00B160B7" w:rsidRDefault="00AE4D5A" w:rsidP="008E5E01">
            <w:pPr>
              <w:pStyle w:val="Box"/>
              <w:spacing w:before="80"/>
            </w:pPr>
            <w:r w:rsidRPr="00B160B7">
              <w:t>By comparison, road freight has significantly lower fixed costs (OA), representing its relatively low overheads, and a higher degree of flexibility for loading and unloading cargoes. However, this greater flexibility is progressively offset by a steeper marginal cost curve as fuel and crew costs increase at a faster rate with distance. Additionally, as road transport is more weight constrained than sea freight (which is essentially volume constrained), high density cargoes are more costly per unit of capacity to transport by road.</w:t>
            </w:r>
          </w:p>
          <w:p w:rsidR="00AE4D5A" w:rsidRPr="00B160B7" w:rsidRDefault="00AE4D5A" w:rsidP="008E5E01">
            <w:pPr>
              <w:pStyle w:val="Box"/>
              <w:spacing w:before="80"/>
            </w:pPr>
            <w:r w:rsidRPr="00B160B7">
              <w:t xml:space="preserve">As indicated, road transport is typically cheaper over a short haul (OS on the distance axis), while sea freight is cheaper over a long haul (OL). Rail freight tends to be intermediate between the two. </w:t>
            </w:r>
          </w:p>
          <w:p w:rsidR="00AE4D5A" w:rsidRPr="001C5285" w:rsidRDefault="00AE4D5A" w:rsidP="008E5E01">
            <w:pPr>
              <w:pStyle w:val="Box"/>
              <w:jc w:val="center"/>
              <w:rPr>
                <w:b/>
              </w:rPr>
            </w:pPr>
            <w:r>
              <w:rPr>
                <w:b/>
              </w:rPr>
              <w:t>Freight cost by mode of transport and distance travelled</w:t>
            </w:r>
          </w:p>
          <w:p w:rsidR="00AE4D5A" w:rsidRPr="000C40CD" w:rsidRDefault="00AE4D5A" w:rsidP="008E5E01">
            <w:pPr>
              <w:pStyle w:val="Box"/>
              <w:spacing w:before="240" w:after="120"/>
              <w:jc w:val="center"/>
            </w:pPr>
            <w:r>
              <w:rPr>
                <w:noProof/>
              </w:rPr>
              <w:drawing>
                <wp:inline distT="0" distB="0" distL="0" distR="0" wp14:anchorId="57DA193A" wp14:editId="6506A8F9">
                  <wp:extent cx="4953000" cy="2486025"/>
                  <wp:effectExtent l="0" t="0" r="0" b="9525"/>
                  <wp:docPr id="11" name="Picture 11" descr="Figure in box 2.3 Freight cost by mode of transport and distance travelled. This chart shows stylised freight costs for sea freight haul distance compared with road for heavy and light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953000" cy="2486025"/>
                          </a:xfrm>
                          <a:prstGeom prst="rect">
                            <a:avLst/>
                          </a:prstGeom>
                        </pic:spPr>
                      </pic:pic>
                    </a:graphicData>
                  </a:graphic>
                </wp:inline>
              </w:drawing>
            </w:r>
            <w:r>
              <w:rPr>
                <w:noProof/>
              </w:rPr>
              <w:t xml:space="preserve">    </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spacing w:before="60"/>
            </w:pPr>
            <w:r>
              <w:rPr>
                <w:i/>
              </w:rPr>
              <w:t>Sources</w:t>
            </w:r>
            <w:r w:rsidRPr="00167F06">
              <w:t xml:space="preserve">: </w:t>
            </w:r>
            <w:r w:rsidRPr="008674E4">
              <w:rPr>
                <w:rFonts w:cs="Arial"/>
                <w:szCs w:val="24"/>
              </w:rPr>
              <w:t>PC </w:t>
            </w:r>
            <w:r w:rsidR="007C1471" w:rsidRPr="007C1471">
              <w:rPr>
                <w:rFonts w:cs="Arial"/>
              </w:rPr>
              <w:t>(2005, 2006b)</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DB44F9" w:rsidRDefault="00DB44F9" w:rsidP="00DB44F9">
      <w:pPr>
        <w:pStyle w:val="ListBullet"/>
        <w:numPr>
          <w:ilvl w:val="0"/>
          <w:numId w:val="0"/>
        </w:numPr>
        <w:ind w:left="340"/>
        <w:rPr>
          <w:i/>
        </w:rPr>
      </w:pPr>
    </w:p>
    <w:p w:rsidR="00DB44F9" w:rsidRDefault="00DB44F9">
      <w:pPr>
        <w:rPr>
          <w:i/>
          <w:szCs w:val="20"/>
        </w:rPr>
      </w:pPr>
      <w:r>
        <w:rPr>
          <w:i/>
        </w:rPr>
        <w:br w:type="page"/>
      </w:r>
    </w:p>
    <w:p w:rsidR="00AE4D5A" w:rsidRDefault="00AE4D5A" w:rsidP="008E5E01">
      <w:pPr>
        <w:pStyle w:val="ListBullet"/>
      </w:pPr>
      <w:r w:rsidRPr="008D6F48">
        <w:rPr>
          <w:i/>
        </w:rPr>
        <w:lastRenderedPageBreak/>
        <w:t>direction of travel</w:t>
      </w:r>
      <w:r>
        <w:rPr>
          <w:i/>
        </w:rPr>
        <w:t>/trade flow imbalances —</w:t>
      </w:r>
      <w:r w:rsidRPr="00615CFE">
        <w:t xml:space="preserve"> can also </w:t>
      </w:r>
      <w:r>
        <w:t>affect</w:t>
      </w:r>
      <w:r w:rsidRPr="00615CFE">
        <w:t xml:space="preserve"> the price of transport. Prices for ‘backhaul’ (freight travelling in the opposite direction to the main trade flow) can differ from, or even be included in, the price on the main trade leg of the journey.</w:t>
      </w:r>
      <w:r w:rsidRPr="008D6F48">
        <w:rPr>
          <w:spacing w:val="-4"/>
        </w:rPr>
        <w:t xml:space="preserve"> </w:t>
      </w:r>
      <w:r>
        <w:rPr>
          <w:spacing w:val="-4"/>
        </w:rPr>
        <w:t>For Tasmania, a</w:t>
      </w:r>
      <w:r>
        <w:t>n</w:t>
      </w:r>
      <w:r w:rsidRPr="00E775DD">
        <w:t xml:space="preserve"> imbalance in trade flows necessitate</w:t>
      </w:r>
      <w:r>
        <w:t>s</w:t>
      </w:r>
      <w:r w:rsidRPr="00E775DD">
        <w:t xml:space="preserve"> the movement of </w:t>
      </w:r>
      <w:r>
        <w:t xml:space="preserve">large numbers of </w:t>
      </w:r>
      <w:r w:rsidRPr="00E775DD">
        <w:t xml:space="preserve">empty containers </w:t>
      </w:r>
      <w:r>
        <w:t>to and from</w:t>
      </w:r>
      <w:r w:rsidRPr="00E775DD">
        <w:t xml:space="preserve"> </w:t>
      </w:r>
      <w:r>
        <w:t xml:space="preserve">the mainland, adding substantially to costs for some producers (Tasmanian Government, </w:t>
      </w:r>
      <w:r w:rsidRPr="00080C88">
        <w:t>sub.</w:t>
      </w:r>
      <w:r>
        <w:t> </w:t>
      </w:r>
      <w:r w:rsidRPr="00080C88">
        <w:t>43)</w:t>
      </w:r>
      <w:r>
        <w:t>.</w:t>
      </w:r>
    </w:p>
    <w:p w:rsidR="00AE4D5A" w:rsidRDefault="00AE4D5A" w:rsidP="008E5E01">
      <w:pPr>
        <w:pStyle w:val="ListBullet"/>
      </w:pPr>
      <w:r w:rsidRPr="006117DB">
        <w:rPr>
          <w:i/>
        </w:rPr>
        <w:t>the impact of government policies</w:t>
      </w:r>
      <w:r w:rsidRPr="000B38F7">
        <w:t xml:space="preserve"> — </w:t>
      </w:r>
      <w:r>
        <w:t xml:space="preserve">a range of government policies affect freight costs including: </w:t>
      </w:r>
    </w:p>
    <w:p w:rsidR="00AE4D5A" w:rsidRDefault="00AE4D5A" w:rsidP="008E5E01">
      <w:pPr>
        <w:pStyle w:val="ListBullet2"/>
      </w:pPr>
      <w:r>
        <w:t xml:space="preserve">the extent of under- or over-recovery of costs for some road and rail infrastructure through registration fees, diesel excise, </w:t>
      </w:r>
      <w:proofErr w:type="spellStart"/>
      <w:r>
        <w:t>flagfall</w:t>
      </w:r>
      <w:proofErr w:type="spellEnd"/>
      <w:r>
        <w:t xml:space="preserve"> charges and other fees (discussed in chapter 5) </w:t>
      </w:r>
    </w:p>
    <w:p w:rsidR="00AE4D5A" w:rsidRDefault="00AE4D5A" w:rsidP="008E5E01">
      <w:pPr>
        <w:pStyle w:val="ListBullet2"/>
      </w:pPr>
      <w:r>
        <w:t>the effect of government ownership and operation of transport service businesses</w:t>
      </w:r>
    </w:p>
    <w:p w:rsidR="00AE4D5A" w:rsidRDefault="00AE4D5A" w:rsidP="008E5E01">
      <w:pPr>
        <w:pStyle w:val="ListBullet2"/>
      </w:pPr>
      <w:r>
        <w:t>the degree of compliance with competitive neutrality by government owned transport service businesses (such as TT</w:t>
      </w:r>
      <w:r>
        <w:noBreakHyphen/>
        <w:t>Line)</w:t>
      </w:r>
    </w:p>
    <w:p w:rsidR="00AE4D5A" w:rsidRDefault="00AE4D5A" w:rsidP="008E5E01">
      <w:pPr>
        <w:pStyle w:val="ListBullet2"/>
      </w:pPr>
      <w:r>
        <w:t xml:space="preserve">the </w:t>
      </w:r>
      <w:r w:rsidRPr="000B38F7">
        <w:t xml:space="preserve">efficiency of port </w:t>
      </w:r>
      <w:r>
        <w:t xml:space="preserve">freight </w:t>
      </w:r>
      <w:r w:rsidRPr="000B38F7">
        <w:t>facilities</w:t>
      </w:r>
      <w:r>
        <w:t>, in particular, Tasmania’s reliance on three principal ports (Burnie, Bell Bay and Devonport), which raises issues associated with scale economies (or lack of) and capacity to handle larger, more efficient vessels (discussed in chapter 4, along with the issue of port charges, including the levy imposed by the Victorian Government on freight movements through the Port of Melbourne)</w:t>
      </w:r>
    </w:p>
    <w:p w:rsidR="00AE4D5A" w:rsidRPr="00831AFA" w:rsidRDefault="00AE4D5A" w:rsidP="008E5E01">
      <w:pPr>
        <w:pStyle w:val="ListBullet2"/>
      </w:pPr>
      <w:r w:rsidRPr="00456C97">
        <w:t>coastal shipping regulations</w:t>
      </w:r>
      <w:r>
        <w:t>, including cabotage, which can reduce competition and increase costs (discussed in chapter 4 and appendix C).</w:t>
      </w:r>
    </w:p>
    <w:p w:rsidR="00AE4D5A" w:rsidRPr="00342E56" w:rsidRDefault="00AE4D5A" w:rsidP="008E5E01">
      <w:pPr>
        <w:pStyle w:val="BodyText"/>
      </w:pPr>
      <w:r w:rsidRPr="00342E56">
        <w:t>The short haul nature of the Bass Strait route, combined with the seasonal</w:t>
      </w:r>
      <w:r>
        <w:t>ity of much of</w:t>
      </w:r>
      <w:r w:rsidRPr="00342E56">
        <w:t xml:space="preserve"> the Tasmanian freight task and the inherently high cost nature </w:t>
      </w:r>
      <w:r>
        <w:t>and use</w:t>
      </w:r>
      <w:r w:rsidRPr="00342E56">
        <w:t xml:space="preserve"> of roll</w:t>
      </w:r>
      <w:r>
        <w:noBreakHyphen/>
      </w:r>
      <w:r w:rsidRPr="00342E56">
        <w:t>on roll</w:t>
      </w:r>
      <w:r>
        <w:noBreakHyphen/>
      </w:r>
      <w:r w:rsidRPr="00342E56">
        <w:t xml:space="preserve">off (RORO) services all add to the costs </w:t>
      </w:r>
      <w:r>
        <w:t>of Tasmanian shipping</w:t>
      </w:r>
      <w:r w:rsidRPr="00342E56">
        <w:t>.</w:t>
      </w:r>
    </w:p>
    <w:p w:rsidR="00AE4D5A" w:rsidRDefault="00AE4D5A" w:rsidP="008E5E01">
      <w:pPr>
        <w:pStyle w:val="Heading3"/>
      </w:pPr>
      <w:r>
        <w:t>Trends in freight rates</w:t>
      </w:r>
    </w:p>
    <w:p w:rsidR="00AE4D5A" w:rsidRDefault="00AE4D5A" w:rsidP="008E5E01">
      <w:pPr>
        <w:pStyle w:val="BodyText"/>
        <w:rPr>
          <w:rStyle w:val="BodyTextChar"/>
          <w:spacing w:val="-2"/>
        </w:rPr>
      </w:pPr>
      <w:r w:rsidRPr="00BE4AD3">
        <w:rPr>
          <w:spacing w:val="-2"/>
        </w:rPr>
        <w:t>Following the introduction of the TFES and changes to the arrangements for subsidised shipping services in the mid</w:t>
      </w:r>
      <w:r>
        <w:rPr>
          <w:spacing w:val="-2"/>
        </w:rPr>
        <w:noBreakHyphen/>
      </w:r>
      <w:r w:rsidRPr="00BE4AD3">
        <w:rPr>
          <w:spacing w:val="-2"/>
        </w:rPr>
        <w:t>1970s</w:t>
      </w:r>
      <w:r>
        <w:rPr>
          <w:spacing w:val="-2"/>
        </w:rPr>
        <w:t>,</w:t>
      </w:r>
      <w:r w:rsidRPr="00BE4AD3">
        <w:rPr>
          <w:spacing w:val="-2"/>
        </w:rPr>
        <w:t xml:space="preserve"> Bass Strait freight rates increased rapidly in real terms to peak in the early 1980s (figure</w:t>
      </w:r>
      <w:r>
        <w:rPr>
          <w:spacing w:val="-2"/>
        </w:rPr>
        <w:t> </w:t>
      </w:r>
      <w:r w:rsidRPr="00BE4AD3">
        <w:rPr>
          <w:spacing w:val="-2"/>
        </w:rPr>
        <w:t>2.5).</w:t>
      </w:r>
      <w:r w:rsidRPr="004A2769">
        <w:rPr>
          <w:rStyle w:val="FootnoteReference"/>
        </w:rPr>
        <w:footnoteReference w:id="3"/>
      </w:r>
      <w:r w:rsidRPr="00BE4AD3">
        <w:rPr>
          <w:spacing w:val="-2"/>
        </w:rPr>
        <w:t xml:space="preserve"> Rates then fell equally rapidly until the end of the decade before settling into a pattern of fluctuation around </w:t>
      </w:r>
      <w:r w:rsidRPr="00BE4AD3">
        <w:rPr>
          <w:spacing w:val="-2"/>
        </w:rPr>
        <w:lastRenderedPageBreak/>
        <w:t xml:space="preserve">a slowly declining trend. </w:t>
      </w:r>
      <w:r>
        <w:rPr>
          <w:spacing w:val="-2"/>
        </w:rPr>
        <w:t>Latest available data indicate that by</w:t>
      </w:r>
      <w:r w:rsidRPr="00BE4AD3">
        <w:rPr>
          <w:spacing w:val="-2"/>
        </w:rPr>
        <w:t xml:space="preserve"> 2007</w:t>
      </w:r>
      <w:r>
        <w:rPr>
          <w:spacing w:val="-2"/>
        </w:rPr>
        <w:noBreakHyphen/>
      </w:r>
      <w:r w:rsidRPr="00BE4AD3">
        <w:rPr>
          <w:spacing w:val="-2"/>
        </w:rPr>
        <w:t xml:space="preserve">08 the fall in real rates had levelled out, with </w:t>
      </w:r>
      <w:r>
        <w:rPr>
          <w:spacing w:val="-2"/>
        </w:rPr>
        <w:t xml:space="preserve">real </w:t>
      </w:r>
      <w:r w:rsidRPr="00BE4AD3">
        <w:rPr>
          <w:spacing w:val="-2"/>
        </w:rPr>
        <w:t>rates remaining above those available prior to the commencement of the subsidy</w:t>
      </w:r>
      <w:r w:rsidRPr="00BE4AD3">
        <w:rPr>
          <w:rStyle w:val="BodyTextChar"/>
          <w:spacing w:val="-2"/>
        </w:rPr>
        <w:t xml:space="preserve">. </w:t>
      </w:r>
    </w:p>
    <w:p w:rsidR="00AE4D5A" w:rsidRPr="004E4A23" w:rsidRDefault="00AE4D5A" w:rsidP="008E5E01">
      <w:pPr>
        <w:pStyle w:val="BodyText"/>
        <w:rPr>
          <w:rStyle w:val="BodyTextChar"/>
        </w:rPr>
      </w:pPr>
      <w:r w:rsidRPr="00454206">
        <w:t>Changes in Australia</w:t>
      </w:r>
      <w:r>
        <w:noBreakHyphen/>
      </w:r>
      <w:r w:rsidRPr="00454206">
        <w:t>wide transport more broadly differ markedly by sector. Sea freight rates between the east coast and Perth and Australia</w:t>
      </w:r>
      <w:r>
        <w:noBreakHyphen/>
      </w:r>
      <w:r w:rsidRPr="00454206">
        <w:t xml:space="preserve">wide rail freight rates experienced marked and sustained declines, before flattening from the start of the 2000s. The falls in sea rates correspond with the </w:t>
      </w:r>
      <w:r>
        <w:t xml:space="preserve">then </w:t>
      </w:r>
      <w:r w:rsidRPr="00454206">
        <w:t>increasing use of single and continuous voyage permits, in particular, international vessels carrying domestic cargo between the south</w:t>
      </w:r>
      <w:r>
        <w:noBreakHyphen/>
      </w:r>
      <w:r w:rsidRPr="00454206">
        <w:t>eastern ports and Western Australia (discussed in chapter</w:t>
      </w:r>
      <w:r>
        <w:t> 4</w:t>
      </w:r>
      <w:r w:rsidRPr="00454206">
        <w:t>).</w:t>
      </w:r>
    </w:p>
    <w:p w:rsidR="00AE4D5A" w:rsidRDefault="00AE4D5A" w:rsidP="008E5E01">
      <w:pPr>
        <w:pStyle w:val="FigureTitle"/>
      </w:pPr>
      <w:r>
        <w:rPr>
          <w:b w:val="0"/>
        </w:rPr>
        <w:t>Figure 2.</w:t>
      </w:r>
      <w:r>
        <w:rPr>
          <w:b w:val="0"/>
          <w:noProof/>
        </w:rPr>
        <w:t>5</w:t>
      </w:r>
      <w:r>
        <w:tab/>
        <w:t>Real freight rates for land and sea based transport</w:t>
      </w:r>
    </w:p>
    <w:p w:rsidR="00AE4D5A" w:rsidRDefault="00AE4D5A" w:rsidP="008E5E01">
      <w:pPr>
        <w:pStyle w:val="Subtitle"/>
      </w:pPr>
      <w:r>
        <w:t>Real index (1996</w:t>
      </w:r>
      <w:r>
        <w:noBreakHyphen/>
        <w:t>97 = 100)</w:t>
      </w:r>
      <w:r w:rsidRPr="00006938" w:rsidDel="0004695D">
        <w:rPr>
          <w:rStyle w:val="NoteLabel"/>
        </w:rPr>
        <w:t xml:space="preserve"> </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spacing w:before="40" w:after="40"/>
            </w:pPr>
            <w:r w:rsidRPr="00514707">
              <w:rPr>
                <w:noProof/>
              </w:rPr>
              <w:drawing>
                <wp:inline distT="0" distB="0" distL="0" distR="0" wp14:anchorId="4B8D4FAB" wp14:editId="07362C97">
                  <wp:extent cx="5403016" cy="3235160"/>
                  <wp:effectExtent l="0" t="0" r="7620" b="0"/>
                  <wp:docPr id="18" name="Chart 18" descr="Figure 2.5 Real freight rates for land and sea based transport. This chart shows changes in real freight rates for road, shipping and rail transport between 1967-68 and 2007-08"/>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bl>
    <w:p w:rsidR="00AE4D5A" w:rsidRDefault="00AE4D5A" w:rsidP="008E5E01">
      <w:pPr>
        <w:pStyle w:val="Source"/>
      </w:pPr>
      <w:r>
        <w:rPr>
          <w:i/>
        </w:rPr>
        <w:t>Data source</w:t>
      </w:r>
      <w:r w:rsidRPr="00167F06">
        <w:t xml:space="preserve">: </w:t>
      </w:r>
      <w:r w:rsidRPr="00FC4689">
        <w:rPr>
          <w:rFonts w:cs="Arial"/>
          <w:szCs w:val="24"/>
        </w:rPr>
        <w:t>BITRE </w:t>
      </w:r>
      <w:r w:rsidRPr="00EE4741">
        <w:rPr>
          <w:rFonts w:cs="Arial"/>
        </w:rPr>
        <w:t>(2008a)</w:t>
      </w:r>
      <w:r>
        <w:t>.</w:t>
      </w:r>
    </w:p>
    <w:p w:rsidR="00AE4D5A" w:rsidRDefault="00AE4D5A" w:rsidP="008E5E01">
      <w:pPr>
        <w:pStyle w:val="BodyText"/>
      </w:pPr>
      <w:r>
        <w:t>Real road freight rates, by contrast, fell rapidly in the decade to the early 1980s. Real road freight rates then levelled out, with only modest declines (of around 10 per cent) in the two decades to 2003</w:t>
      </w:r>
      <w:r>
        <w:noBreakHyphen/>
        <w:t>04, before increasing so that by 2007</w:t>
      </w:r>
      <w:r>
        <w:noBreakHyphen/>
        <w:t>08 they were back to almost the same level as they were in 1984</w:t>
      </w:r>
      <w:r>
        <w:noBreakHyphen/>
        <w:t>85.</w:t>
      </w:r>
    </w:p>
    <w:p w:rsidR="00AE4D5A" w:rsidRDefault="00AE4D5A" w:rsidP="008E5E01">
      <w:pPr>
        <w:pStyle w:val="BodyText"/>
        <w:tabs>
          <w:tab w:val="center" w:pos="4394"/>
        </w:tabs>
      </w:pPr>
      <w:r>
        <w:t>The key trends in freight rates of interest for the purposes of this inquiry are changes in relative road and sea freight rates since 1996</w:t>
      </w:r>
      <w:r>
        <w:noBreakHyphen/>
        <w:t>97, as this was the base year used for the parameter</w:t>
      </w:r>
      <w:r>
        <w:noBreakHyphen/>
        <w:t>based estimation of the Bass Strait sea freight cost disadvantage for the purposes of the TFES.</w:t>
      </w:r>
    </w:p>
    <w:p w:rsidR="00AE4D5A" w:rsidRDefault="00AE4D5A" w:rsidP="008E5E01">
      <w:pPr>
        <w:pStyle w:val="BodyText"/>
      </w:pPr>
      <w:r>
        <w:lastRenderedPageBreak/>
        <w:t>While data on real rates are only available to 2007</w:t>
      </w:r>
      <w:r>
        <w:noBreakHyphen/>
        <w:t>08,</w:t>
      </w:r>
      <w:r w:rsidRPr="004A2769">
        <w:rPr>
          <w:rStyle w:val="FootnoteReference"/>
        </w:rPr>
        <w:footnoteReference w:id="4"/>
      </w:r>
      <w:r>
        <w:t xml:space="preserve"> data on nominal freight rates prepared by SKM </w:t>
      </w:r>
      <w:r w:rsidRPr="00EE4741">
        <w:t>(2013)</w:t>
      </w:r>
      <w:r>
        <w:t xml:space="preserve"> for BITRE are available to 2011</w:t>
      </w:r>
      <w:r>
        <w:noBreakHyphen/>
        <w:t xml:space="preserve">12 (figure 2.6). </w:t>
      </w:r>
    </w:p>
    <w:p w:rsidR="00AE4D5A" w:rsidRDefault="00AE4D5A" w:rsidP="008E5E01">
      <w:pPr>
        <w:pStyle w:val="FigureTitle"/>
      </w:pPr>
      <w:r>
        <w:rPr>
          <w:b w:val="0"/>
        </w:rPr>
        <w:t>Figure 2.</w:t>
      </w:r>
      <w:r>
        <w:rPr>
          <w:b w:val="0"/>
          <w:noProof/>
        </w:rPr>
        <w:t>6</w:t>
      </w:r>
      <w:r>
        <w:tab/>
        <w:t xml:space="preserve">Nominal freight rate indices: road and Bass Strait </w:t>
      </w:r>
      <w:proofErr w:type="spellStart"/>
      <w:r>
        <w:t>shipping</w:t>
      </w:r>
      <w:r w:rsidRPr="00AB5BA7">
        <w:rPr>
          <w:vertAlign w:val="superscript"/>
        </w:rPr>
        <w:t>a</w:t>
      </w:r>
      <w:proofErr w:type="spellEnd"/>
    </w:p>
    <w:p w:rsidR="00AE4D5A" w:rsidRDefault="00AE4D5A" w:rsidP="008E5E01">
      <w:pPr>
        <w:pStyle w:val="Subtitle"/>
      </w:pPr>
      <w:r>
        <w:t>Nominal index (1996</w:t>
      </w:r>
      <w:r>
        <w:noBreakHyphen/>
        <w:t>97 = 100)</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AE4D5A" w:rsidTr="008E5E01">
        <w:tc>
          <w:tcPr>
            <w:tcW w:w="8778" w:type="dxa"/>
          </w:tcPr>
          <w:p w:rsidR="00AE4D5A" w:rsidRDefault="00AE4D5A" w:rsidP="008E5E01">
            <w:pPr>
              <w:pStyle w:val="Figure"/>
            </w:pPr>
            <w:r w:rsidRPr="00514707">
              <w:rPr>
                <w:noProof/>
              </w:rPr>
              <w:drawing>
                <wp:inline distT="0" distB="0" distL="0" distR="0" wp14:anchorId="44594BB0" wp14:editId="30B96692">
                  <wp:extent cx="5386553" cy="2509346"/>
                  <wp:effectExtent l="0" t="0" r="5080" b="0"/>
                  <wp:docPr id="22" name="Chart 22" descr="Figure 2.6 Nominal freight rate indices: road and Bass Strait shipping. This chart shows changes in nominal freight rates for road and Bass Strait shipping between 1996-97 and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bl>
    <w:p w:rsidR="00AE4D5A" w:rsidRDefault="00AE4D5A" w:rsidP="008E5E01">
      <w:pPr>
        <w:pStyle w:val="Note"/>
      </w:pPr>
      <w:proofErr w:type="spellStart"/>
      <w:r>
        <w:rPr>
          <w:rStyle w:val="NoteLabel"/>
        </w:rPr>
        <w:t>a</w:t>
      </w:r>
      <w:proofErr w:type="spellEnd"/>
      <w:r>
        <w:t xml:space="preserve"> Estimated Bass Strait freight rates are weighted average nominal freight rates per tonne for wharf</w:t>
      </w:r>
      <w:r>
        <w:noBreakHyphen/>
        <w:t>to</w:t>
      </w:r>
      <w:r>
        <w:noBreakHyphen/>
        <w:t>wharf full container loads in the TFES database. Inter</w:t>
      </w:r>
      <w:r>
        <w:noBreakHyphen/>
        <w:t>capital road rates assume zero empty running.</w:t>
      </w:r>
    </w:p>
    <w:p w:rsidR="00AE4D5A" w:rsidRDefault="00AE4D5A" w:rsidP="008E5E01">
      <w:pPr>
        <w:pStyle w:val="Source"/>
      </w:pPr>
      <w:r>
        <w:rPr>
          <w:i/>
        </w:rPr>
        <w:t>Data sources</w:t>
      </w:r>
      <w:r w:rsidRPr="00167F06">
        <w:t xml:space="preserve">: </w:t>
      </w:r>
      <w:r w:rsidRPr="00BC46E1">
        <w:rPr>
          <w:rFonts w:cs="Arial"/>
          <w:szCs w:val="24"/>
        </w:rPr>
        <w:t>BITRE </w:t>
      </w:r>
      <w:r w:rsidRPr="00EE4741">
        <w:rPr>
          <w:rFonts w:cs="Arial"/>
        </w:rPr>
        <w:t>(2013b)</w:t>
      </w:r>
      <w:r>
        <w:t xml:space="preserve">; </w:t>
      </w:r>
      <w:r w:rsidRPr="00BC46E1">
        <w:rPr>
          <w:rFonts w:cs="Arial"/>
          <w:szCs w:val="24"/>
        </w:rPr>
        <w:t>S</w:t>
      </w:r>
      <w:r>
        <w:rPr>
          <w:rFonts w:cs="Arial"/>
          <w:szCs w:val="24"/>
        </w:rPr>
        <w:t>KM</w:t>
      </w:r>
      <w:r w:rsidRPr="00BC46E1">
        <w:rPr>
          <w:rFonts w:cs="Arial"/>
          <w:szCs w:val="24"/>
        </w:rPr>
        <w:t> </w:t>
      </w:r>
      <w:r w:rsidRPr="00EE4741">
        <w:rPr>
          <w:rFonts w:cs="Arial"/>
        </w:rPr>
        <w:t>(2013)</w:t>
      </w:r>
      <w:r>
        <w:t>.</w:t>
      </w:r>
    </w:p>
    <w:p w:rsidR="00AE4D5A" w:rsidRPr="004B68CF" w:rsidRDefault="00AE4D5A" w:rsidP="008E5E01">
      <w:pPr>
        <w:pStyle w:val="BodyText"/>
      </w:pPr>
      <w:r>
        <w:t>Figure 2.6 indicates that nominal freight rates for Bass Strait shipping increased between 1996</w:t>
      </w:r>
      <w:r>
        <w:noBreakHyphen/>
        <w:t>97 and 2011</w:t>
      </w:r>
      <w:r>
        <w:noBreakHyphen/>
        <w:t>12, by just under 30 per cent. Inter</w:t>
      </w:r>
      <w:r>
        <w:noBreakHyphen/>
        <w:t>capital road rates increased by around 60 per cent over the period, around double the rate of increase of Bass Strait sea freight rates between 1996</w:t>
      </w:r>
      <w:r>
        <w:noBreakHyphen/>
        <w:t>97 and 2011</w:t>
      </w:r>
      <w:r>
        <w:noBreakHyphen/>
        <w:t xml:space="preserve">12. The main factors influencing cost increases for road freight over the period were fuel and driver costs and increasing regulatory compliance costs </w:t>
      </w:r>
      <w:r w:rsidRPr="00EE4741">
        <w:rPr>
          <w:szCs w:val="24"/>
        </w:rPr>
        <w:t>(SKM 2013)</w:t>
      </w:r>
      <w:r>
        <w:t>. An important conclusion from these data is that the gap between road freight rates and Bass Strait shipping freight rates — and hence the relative freight cost disadvantage for moving goods across Bass Strait — has narrowed since 1996</w:t>
      </w:r>
      <w:r>
        <w:noBreakHyphen/>
        <w:t xml:space="preserve">97. However, following the release of its draft report, the Commission received evidence (at the public hearings and in submissions) from a number of participants that questioned this conclusion based on their own experiences. </w:t>
      </w:r>
    </w:p>
    <w:p w:rsidR="00AE4D5A" w:rsidRDefault="00AE4D5A" w:rsidP="008E5E01">
      <w:pPr>
        <w:pStyle w:val="BodyText"/>
      </w:pPr>
      <w:r>
        <w:t>Comparing the changes in road transport costs it had experienced in moving newsprint between Albury and Melbourne with those used in the BITRE analysis (figure 2.6), Norske Skog noted that:</w:t>
      </w:r>
    </w:p>
    <w:p w:rsidR="00AE4D5A" w:rsidRPr="004B68CF" w:rsidRDefault="00AE4D5A" w:rsidP="008E5E01">
      <w:pPr>
        <w:pStyle w:val="Quote"/>
        <w:rPr>
          <w:spacing w:val="-4"/>
        </w:rPr>
      </w:pPr>
      <w:r>
        <w:rPr>
          <w:spacing w:val="-4"/>
        </w:rPr>
        <w:lastRenderedPageBreak/>
        <w:t xml:space="preserve">… </w:t>
      </w:r>
      <w:r w:rsidRPr="004B68CF">
        <w:rPr>
          <w:spacing w:val="-4"/>
        </w:rPr>
        <w:t>Norske Skog’s real world experience diverges significantly from BITRE’s analysis of costs. … There is a significant difference in the rate of increase over this period. The actual Norske Skog Albury costs increase has been 40% less than that outlined in the BITRE report. It is our view that the BITRE data significantly overestimates the actual commercial increases that have occurred and that have been experienced by our Albury facility.</w:t>
      </w:r>
      <w:r>
        <w:rPr>
          <w:spacing w:val="-4"/>
        </w:rPr>
        <w:t xml:space="preserve"> (sub. DR67, pp. 3</w:t>
      </w:r>
      <w:r>
        <w:rPr>
          <w:spacing w:val="-4"/>
        </w:rPr>
        <w:softHyphen/>
        <w:t>–4)</w:t>
      </w:r>
    </w:p>
    <w:p w:rsidR="00AE4D5A" w:rsidRDefault="00AE4D5A" w:rsidP="008E5E01">
      <w:pPr>
        <w:pStyle w:val="BodyText"/>
      </w:pPr>
      <w:r>
        <w:t xml:space="preserve">While the Commission accepts that Norske Skog’s actual experiences of road freight rate changes differed substantially from that shown by the nominal freight rate indexes, the relevant question from a policy perspective is what happened to overall freight rates for all shippers. To form a view on overall freight rates requires the development and use of aggregate measures. As such, it is inevitable that experiences for some shippers, especially larger volume shippers, will differ from what the comprehensive data may suggest is the experience across all shippers. It is also inevitable that there will be areas of disagreement as to the best method, appropriate data and assumptions to use. Norske Skog identified a number of issues with the assumptions and underlying methodology that it saw as contributing to the marked difference between its own road freight rate changes and those shown in the BITRE analysis. These are discussed in more detail later in the chapter in the context of the other evidence the Commission received in relation to movements in relative road and sea freight rates. </w:t>
      </w:r>
    </w:p>
    <w:p w:rsidR="00AE4D5A" w:rsidRDefault="00AE4D5A" w:rsidP="008E5E01">
      <w:pPr>
        <w:pStyle w:val="BodyText"/>
      </w:pPr>
      <w:r>
        <w:t>Nevertheless, at the national level, Australian Bureau of Statistics (ABS) producer price index data lend support to the overall BITRE/SKM finding of a substantial growth in the costs of road freight over this period of time. These data indicate that Australian road freight transport prices increased at more than three times the rate of growth in prices for water freight transport (figure 2.7</w:t>
      </w:r>
      <w:r>
        <w:rPr>
          <w:szCs w:val="24"/>
        </w:rPr>
        <w:t>)</w:t>
      </w:r>
      <w:r>
        <w:t>.</w:t>
      </w:r>
    </w:p>
    <w:p w:rsidR="00AE4D5A" w:rsidRDefault="00AE4D5A" w:rsidP="008E5E01">
      <w:pPr>
        <w:pStyle w:val="Heading3"/>
      </w:pPr>
      <w:r>
        <w:t>Freight costs for Tasmanian shippers</w:t>
      </w:r>
    </w:p>
    <w:p w:rsidR="00AE4D5A" w:rsidRDefault="00AE4D5A" w:rsidP="008E5E01">
      <w:pPr>
        <w:pStyle w:val="BodyText"/>
      </w:pPr>
      <w:r w:rsidRPr="00454206">
        <w:t>The TFES database provides a measure of the freight co</w:t>
      </w:r>
      <w:r>
        <w:t>sts paid by Tasmanian shippers that are recipients of payments under the scheme.</w:t>
      </w:r>
      <w:r w:rsidRPr="004A2769">
        <w:rPr>
          <w:rStyle w:val="FootnoteReference"/>
        </w:rPr>
        <w:footnoteReference w:id="5"/>
      </w:r>
      <w:r>
        <w:t xml:space="preserve"> Using these data BITRE calculated median wharf</w:t>
      </w:r>
      <w:r>
        <w:noBreakHyphen/>
        <w:t>to</w:t>
      </w:r>
      <w:r>
        <w:noBreakHyphen/>
        <w:t>wharf freight rates paid by all wharf</w:t>
      </w:r>
      <w:r>
        <w:noBreakHyphen/>
        <w:t>to</w:t>
      </w:r>
      <w:r>
        <w:noBreakHyphen/>
        <w:t>wharf full container load shippers. For 2011</w:t>
      </w:r>
      <w:r>
        <w:noBreakHyphen/>
        <w:t xml:space="preserve">12, these were $1098 for dry shipments, $1130 for refrigerated shipments and $1129 for all shipments. </w:t>
      </w:r>
    </w:p>
    <w:p w:rsidR="00AE4D5A" w:rsidRDefault="00AE4D5A" w:rsidP="008E5E01">
      <w:pPr>
        <w:pStyle w:val="BodyText"/>
      </w:pPr>
      <w:r>
        <w:t xml:space="preserve">An analysis of TFES data confirms that freight costs per TEU varied considerably for different shippers and commodities. An indication of the variation is provided </w:t>
      </w:r>
      <w:r>
        <w:lastRenderedPageBreak/>
        <w:t>by estimates in table 2.2, which show freight rates per TEU for full container loads submitted with wharf</w:t>
      </w:r>
      <w:r>
        <w:noBreakHyphen/>
        <w:t>to</w:t>
      </w:r>
      <w:r>
        <w:noBreakHyphen/>
        <w:t xml:space="preserve">wharf invoices between northern Tasmania and Victoria. These indicate that there was substantial variation in costs per TEU, with most claims </w:t>
      </w:r>
      <w:r w:rsidRPr="00454206">
        <w:t>record</w:t>
      </w:r>
      <w:r>
        <w:t>ing</w:t>
      </w:r>
      <w:r w:rsidRPr="00454206">
        <w:t xml:space="preserve"> a Bass Strait equivalent cost of between $600 an</w:t>
      </w:r>
      <w:r>
        <w:t>d $1400 per TEU</w:t>
      </w:r>
      <w:r w:rsidRPr="00454206">
        <w:t>.</w:t>
      </w:r>
      <w:r>
        <w:t xml:space="preserve"> Similarly, rates varied by commodity. For example, fresh fish and fresh vegetables recorded higher average freight rates than commodities such as plastic products and processed wood.</w:t>
      </w:r>
    </w:p>
    <w:p w:rsidR="00AE4D5A" w:rsidRDefault="00AE4D5A" w:rsidP="008E5E01">
      <w:pPr>
        <w:pStyle w:val="FigureTitle"/>
      </w:pPr>
      <w:r>
        <w:rPr>
          <w:b w:val="0"/>
        </w:rPr>
        <w:t>Figure 2.</w:t>
      </w:r>
      <w:r>
        <w:rPr>
          <w:b w:val="0"/>
          <w:noProof/>
        </w:rPr>
        <w:t>7</w:t>
      </w:r>
      <w:r>
        <w:tab/>
        <w:t>Producer price indexes: Australian road and water freight transport</w:t>
      </w:r>
    </w:p>
    <w:p w:rsidR="00AE4D5A" w:rsidRDefault="00AE4D5A" w:rsidP="008E5E01">
      <w:pPr>
        <w:pStyle w:val="Subtitle"/>
      </w:pPr>
      <w:r>
        <w:t>Index (September 1998 = 100)</w:t>
      </w:r>
      <w:r w:rsidRPr="00590EE5">
        <w:rPr>
          <w:rStyle w:val="NoteLabel"/>
        </w:rPr>
        <w:t>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8778"/>
      </w:tblGrid>
      <w:tr w:rsidR="00AE4D5A" w:rsidTr="008E5E01">
        <w:tc>
          <w:tcPr>
            <w:tcW w:w="8778" w:type="dxa"/>
          </w:tcPr>
          <w:p w:rsidR="00AE4D5A" w:rsidRDefault="00AE4D5A" w:rsidP="008E5E01">
            <w:pPr>
              <w:pStyle w:val="Figure"/>
            </w:pPr>
            <w:r w:rsidRPr="00514707">
              <w:rPr>
                <w:noProof/>
              </w:rPr>
              <w:drawing>
                <wp:inline distT="0" distB="0" distL="0" distR="0" wp14:anchorId="53A0BB64" wp14:editId="5841C8B0">
                  <wp:extent cx="5553075" cy="2880000"/>
                  <wp:effectExtent l="0" t="0" r="0" b="0"/>
                  <wp:docPr id="23" name="Chart 23" descr="Figure 2.7 Producer price indexes: Australian road and water freight transport. This chart shows quarterly producer price indexes for Australian road and water freight transport between September 1998 and September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AE4D5A" w:rsidRDefault="00AE4D5A" w:rsidP="008E5E01">
      <w:pPr>
        <w:pStyle w:val="Note"/>
      </w:pPr>
      <w:r>
        <w:rPr>
          <w:rStyle w:val="NoteLabel"/>
        </w:rPr>
        <w:t>a</w:t>
      </w:r>
      <w:r>
        <w:t xml:space="preserve"> Data have been indexed to September 1998 — the earliest year for which data for both series are available.</w:t>
      </w:r>
    </w:p>
    <w:p w:rsidR="00AE4D5A" w:rsidRDefault="00AE4D5A" w:rsidP="008E5E01">
      <w:pPr>
        <w:pStyle w:val="Source"/>
      </w:pPr>
      <w:r>
        <w:rPr>
          <w:i/>
        </w:rPr>
        <w:t>Data source</w:t>
      </w:r>
      <w:r w:rsidRPr="00167F06">
        <w:t xml:space="preserve">: </w:t>
      </w:r>
      <w:r>
        <w:rPr>
          <w:rFonts w:cs="Arial"/>
          <w:szCs w:val="24"/>
        </w:rPr>
        <w:t xml:space="preserve">ABS </w:t>
      </w:r>
      <w:r w:rsidRPr="00391C1B">
        <w:rPr>
          <w:rFonts w:cs="Arial"/>
        </w:rPr>
        <w:t>(</w:t>
      </w:r>
      <w:proofErr w:type="spellStart"/>
      <w:r w:rsidRPr="00391C1B">
        <w:rPr>
          <w:rFonts w:cs="Arial"/>
        </w:rPr>
        <w:t>2013d</w:t>
      </w:r>
      <w:proofErr w:type="spellEnd"/>
      <w:r w:rsidRPr="00391C1B">
        <w:rPr>
          <w:rFonts w:cs="Arial"/>
        </w:rPr>
        <w:t>)</w:t>
      </w:r>
      <w:r>
        <w:t>.</w:t>
      </w:r>
    </w:p>
    <w:p w:rsidR="00AE4D5A" w:rsidRDefault="00AE4D5A" w:rsidP="008E5E01">
      <w:pPr>
        <w:pStyle w:val="BodyText"/>
      </w:pPr>
      <w:r>
        <w:t>These differences are unsurprising. Differences</w:t>
      </w:r>
      <w:r w:rsidRPr="00571CDC">
        <w:t xml:space="preserve"> in rates across commodities and routes </w:t>
      </w:r>
      <w:r>
        <w:t xml:space="preserve">are a feature of sea freight. Carriers may charge different rates for different commodities on the same voyage, different rates for similar commodities on different legs of a voyage, and different rates for similar commodities on the same voyage. More valuable cargoes tend to attract higher rates </w:t>
      </w:r>
      <w:r w:rsidRPr="00EE4741">
        <w:rPr>
          <w:szCs w:val="24"/>
        </w:rPr>
        <w:t>(PC 2005)</w:t>
      </w:r>
      <w:r>
        <w:t>. In addition, ability to negotiate freight rates can be a significant factor in actual rates charged. Medium to large, frequent and fairly uniform shipments generally attract lower freight rates. Shippers of these goods can use their status as ‘anchor’ clients to negotiate more favourable rates with carriers.</w:t>
      </w:r>
    </w:p>
    <w:p w:rsidR="00AE4D5A" w:rsidRPr="009C3B8C" w:rsidRDefault="00AE4D5A" w:rsidP="008E5E01">
      <w:pPr>
        <w:pStyle w:val="BodyText"/>
      </w:pPr>
      <w:r>
        <w:t xml:space="preserve">However, care is needed in interpreting freight rate data based on TFES claims. The Commission noted in its 2006 inquiry into freight subsidies that the scaling factors and set allowances incorporated in the TFES to cater for the different eligible </w:t>
      </w:r>
      <w:r>
        <w:lastRenderedPageBreak/>
        <w:t xml:space="preserve">freight tasks, types of packaging and methods of payment are likely to result in estimates of shippers’ average Bass Strait sea freight costs being distorted due to shippers seeking to maximise the value of the subsidy received </w:t>
      </w:r>
      <w:r w:rsidR="007C1471" w:rsidRPr="007C1471">
        <w:rPr>
          <w:szCs w:val="24"/>
        </w:rPr>
        <w:t>(PC 2006b)</w:t>
      </w:r>
      <w:r>
        <w:t xml:space="preserve">. </w:t>
      </w:r>
    </w:p>
    <w:p w:rsidR="00AE4D5A" w:rsidRDefault="00AE4D5A" w:rsidP="008E5E01">
      <w:pPr>
        <w:pStyle w:val="TableTitle"/>
      </w:pPr>
      <w:r>
        <w:rPr>
          <w:b w:val="0"/>
        </w:rPr>
        <w:t>Table 2.</w:t>
      </w:r>
      <w:r>
        <w:rPr>
          <w:b w:val="0"/>
          <w:noProof/>
        </w:rPr>
        <w:t>2</w:t>
      </w:r>
      <w:r>
        <w:tab/>
        <w:t>Freight rates per TEU, 2011</w:t>
      </w:r>
      <w:r>
        <w:noBreakHyphen/>
        <w:t>12</w:t>
      </w:r>
    </w:p>
    <w:p w:rsidR="00AE4D5A" w:rsidRPr="00EF4244" w:rsidRDefault="00AE4D5A" w:rsidP="008E5E01">
      <w:pPr>
        <w:pStyle w:val="Subtitle"/>
      </w:pPr>
      <w:r>
        <w:t>Bass Strait shipments</w:t>
      </w:r>
      <w:r>
        <w:rPr>
          <w:rStyle w:val="NoteLabel"/>
        </w:rPr>
        <w:t>a</w:t>
      </w:r>
    </w:p>
    <w:tbl>
      <w:tblPr>
        <w:tblW w:w="5000" w:type="pct"/>
        <w:tblCellMar>
          <w:left w:w="0" w:type="dxa"/>
          <w:right w:w="0" w:type="dxa"/>
        </w:tblCellMar>
        <w:tblLook w:val="0000" w:firstRow="0" w:lastRow="0" w:firstColumn="0" w:lastColumn="0" w:noHBand="0" w:noVBand="0"/>
      </w:tblPr>
      <w:tblGrid>
        <w:gridCol w:w="1985"/>
        <w:gridCol w:w="3828"/>
        <w:gridCol w:w="2976"/>
      </w:tblGrid>
      <w:tr w:rsidR="00AE4D5A" w:rsidTr="008E5E01">
        <w:tc>
          <w:tcPr>
            <w:tcW w:w="1129" w:type="pct"/>
            <w:tcBorders>
              <w:top w:val="single" w:sz="6" w:space="0" w:color="auto"/>
              <w:bottom w:val="single" w:sz="6" w:space="0" w:color="auto"/>
            </w:tcBorders>
            <w:shd w:val="clear" w:color="auto" w:fill="auto"/>
          </w:tcPr>
          <w:p w:rsidR="00AE4D5A" w:rsidRDefault="00AE4D5A" w:rsidP="008E5E01">
            <w:pPr>
              <w:pStyle w:val="TableColumnHeading"/>
              <w:spacing w:before="120"/>
              <w:ind w:right="28"/>
              <w:jc w:val="left"/>
            </w:pPr>
            <w:r>
              <w:t>Freight rate per TEU</w:t>
            </w:r>
          </w:p>
        </w:tc>
        <w:tc>
          <w:tcPr>
            <w:tcW w:w="2178" w:type="pct"/>
            <w:tcBorders>
              <w:top w:val="single" w:sz="6" w:space="0" w:color="auto"/>
              <w:bottom w:val="single" w:sz="6" w:space="0" w:color="auto"/>
            </w:tcBorders>
            <w:shd w:val="clear" w:color="auto" w:fill="auto"/>
          </w:tcPr>
          <w:p w:rsidR="00AE4D5A" w:rsidRPr="00D06FDF" w:rsidRDefault="00AE4D5A" w:rsidP="008E5E01">
            <w:pPr>
              <w:pStyle w:val="TableColumnHeading"/>
              <w:ind w:right="0"/>
              <w:rPr>
                <w:rStyle w:val="NoteLabel"/>
              </w:rPr>
            </w:pPr>
            <w:r>
              <w:t>Proportion of claimants</w:t>
            </w:r>
            <w:r>
              <w:rPr>
                <w:rStyle w:val="NoteLabel"/>
                <w:i w:val="0"/>
              </w:rPr>
              <w:t>b</w:t>
            </w:r>
          </w:p>
        </w:tc>
        <w:tc>
          <w:tcPr>
            <w:tcW w:w="1693" w:type="pct"/>
            <w:tcBorders>
              <w:top w:val="single" w:sz="6" w:space="0" w:color="auto"/>
              <w:bottom w:val="single" w:sz="6" w:space="0" w:color="auto"/>
            </w:tcBorders>
            <w:shd w:val="clear" w:color="auto" w:fill="auto"/>
          </w:tcPr>
          <w:p w:rsidR="00AE4D5A" w:rsidRDefault="00AE4D5A" w:rsidP="008E5E01">
            <w:pPr>
              <w:pStyle w:val="TableColumnHeading"/>
              <w:spacing w:before="120"/>
              <w:ind w:right="28"/>
            </w:pPr>
            <w:r>
              <w:t>Proportion of TEUs shipped</w:t>
            </w:r>
          </w:p>
        </w:tc>
      </w:tr>
      <w:tr w:rsidR="00AE4D5A" w:rsidTr="008E5E01">
        <w:tc>
          <w:tcPr>
            <w:tcW w:w="1129" w:type="pct"/>
            <w:tcBorders>
              <w:top w:val="single" w:sz="6" w:space="0" w:color="auto"/>
            </w:tcBorders>
          </w:tcPr>
          <w:p w:rsidR="00AE4D5A" w:rsidRDefault="00AE4D5A" w:rsidP="008E5E01">
            <w:pPr>
              <w:pStyle w:val="TableUnitsRow"/>
              <w:jc w:val="left"/>
            </w:pPr>
          </w:p>
        </w:tc>
        <w:tc>
          <w:tcPr>
            <w:tcW w:w="2178" w:type="pct"/>
            <w:tcBorders>
              <w:top w:val="single" w:sz="6" w:space="0" w:color="auto"/>
            </w:tcBorders>
          </w:tcPr>
          <w:p w:rsidR="00AE4D5A" w:rsidRDefault="00AE4D5A" w:rsidP="008E5E01">
            <w:pPr>
              <w:pStyle w:val="TableUnitsRow"/>
            </w:pPr>
            <w:r>
              <w:t>per cent</w:t>
            </w:r>
          </w:p>
        </w:tc>
        <w:tc>
          <w:tcPr>
            <w:tcW w:w="1693" w:type="pct"/>
            <w:tcBorders>
              <w:top w:val="single" w:sz="6" w:space="0" w:color="auto"/>
            </w:tcBorders>
          </w:tcPr>
          <w:p w:rsidR="00AE4D5A" w:rsidRDefault="00AE4D5A" w:rsidP="008E5E01">
            <w:pPr>
              <w:pStyle w:val="TableUnitsRow"/>
              <w:ind w:right="28"/>
            </w:pPr>
            <w:r>
              <w:t>per cent</w:t>
            </w:r>
          </w:p>
        </w:tc>
      </w:tr>
      <w:tr w:rsidR="00AE4D5A" w:rsidTr="008E5E01">
        <w:tc>
          <w:tcPr>
            <w:tcW w:w="1129" w:type="pct"/>
          </w:tcPr>
          <w:p w:rsidR="00AE4D5A" w:rsidRDefault="00AE4D5A" w:rsidP="008E5E01">
            <w:pPr>
              <w:pStyle w:val="TableBodyText"/>
              <w:spacing w:line="260" w:lineRule="atLeast"/>
              <w:jc w:val="left"/>
            </w:pPr>
            <w:r>
              <w:t>Less than $600</w:t>
            </w:r>
          </w:p>
        </w:tc>
        <w:tc>
          <w:tcPr>
            <w:tcW w:w="2178" w:type="pct"/>
          </w:tcPr>
          <w:p w:rsidR="00AE4D5A" w:rsidRDefault="00AE4D5A" w:rsidP="008E5E01">
            <w:pPr>
              <w:pStyle w:val="TableBodyText"/>
              <w:spacing w:line="260" w:lineRule="atLeast"/>
            </w:pPr>
            <w:r>
              <w:t>1.9</w:t>
            </w:r>
          </w:p>
        </w:tc>
        <w:tc>
          <w:tcPr>
            <w:tcW w:w="1693" w:type="pct"/>
          </w:tcPr>
          <w:p w:rsidR="00AE4D5A" w:rsidRDefault="00AE4D5A" w:rsidP="008E5E01">
            <w:pPr>
              <w:pStyle w:val="TableBodyText"/>
              <w:spacing w:line="260" w:lineRule="atLeast"/>
              <w:ind w:right="28"/>
            </w:pPr>
            <w:r>
              <w:t>0.3</w:t>
            </w:r>
          </w:p>
        </w:tc>
      </w:tr>
      <w:tr w:rsidR="00AE4D5A" w:rsidTr="008E5E01">
        <w:tc>
          <w:tcPr>
            <w:tcW w:w="1129" w:type="pct"/>
            <w:shd w:val="clear" w:color="auto" w:fill="auto"/>
          </w:tcPr>
          <w:p w:rsidR="00AE4D5A" w:rsidRDefault="00AE4D5A" w:rsidP="008E5E01">
            <w:pPr>
              <w:pStyle w:val="TableBodyText"/>
              <w:spacing w:line="260" w:lineRule="atLeast"/>
              <w:jc w:val="left"/>
            </w:pPr>
            <w:r>
              <w:t>$600 to $800</w:t>
            </w:r>
          </w:p>
        </w:tc>
        <w:tc>
          <w:tcPr>
            <w:tcW w:w="2178" w:type="pct"/>
            <w:shd w:val="clear" w:color="auto" w:fill="auto"/>
          </w:tcPr>
          <w:p w:rsidR="00AE4D5A" w:rsidRDefault="00AE4D5A" w:rsidP="008E5E01">
            <w:pPr>
              <w:pStyle w:val="TableBodyText"/>
              <w:spacing w:line="260" w:lineRule="atLeast"/>
            </w:pPr>
            <w:r>
              <w:t>7.3</w:t>
            </w:r>
          </w:p>
        </w:tc>
        <w:tc>
          <w:tcPr>
            <w:tcW w:w="1693" w:type="pct"/>
            <w:shd w:val="clear" w:color="auto" w:fill="auto"/>
          </w:tcPr>
          <w:p w:rsidR="00AE4D5A" w:rsidRDefault="00AE4D5A" w:rsidP="008E5E01">
            <w:pPr>
              <w:pStyle w:val="TableBodyText"/>
              <w:spacing w:line="260" w:lineRule="atLeast"/>
              <w:ind w:right="28"/>
            </w:pPr>
            <w:r>
              <w:t>20.8</w:t>
            </w:r>
          </w:p>
        </w:tc>
      </w:tr>
      <w:tr w:rsidR="00AE4D5A" w:rsidTr="008E5E01">
        <w:tc>
          <w:tcPr>
            <w:tcW w:w="1129" w:type="pct"/>
            <w:shd w:val="clear" w:color="auto" w:fill="auto"/>
          </w:tcPr>
          <w:p w:rsidR="00AE4D5A" w:rsidRDefault="00AE4D5A" w:rsidP="008E5E01">
            <w:pPr>
              <w:pStyle w:val="TableBodyText"/>
              <w:spacing w:line="260" w:lineRule="atLeast"/>
              <w:jc w:val="left"/>
            </w:pPr>
            <w:r>
              <w:t>$800 to $1000</w:t>
            </w:r>
          </w:p>
        </w:tc>
        <w:tc>
          <w:tcPr>
            <w:tcW w:w="2178" w:type="pct"/>
            <w:shd w:val="clear" w:color="auto" w:fill="auto"/>
          </w:tcPr>
          <w:p w:rsidR="00AE4D5A" w:rsidRDefault="00AE4D5A" w:rsidP="008E5E01">
            <w:pPr>
              <w:pStyle w:val="TableBodyText"/>
              <w:spacing w:line="260" w:lineRule="atLeast"/>
            </w:pPr>
            <w:r>
              <w:t>15.8</w:t>
            </w:r>
          </w:p>
        </w:tc>
        <w:tc>
          <w:tcPr>
            <w:tcW w:w="1693" w:type="pct"/>
            <w:shd w:val="clear" w:color="auto" w:fill="auto"/>
          </w:tcPr>
          <w:p w:rsidR="00AE4D5A" w:rsidRDefault="00AE4D5A" w:rsidP="008E5E01">
            <w:pPr>
              <w:pStyle w:val="TableBodyText"/>
              <w:spacing w:line="260" w:lineRule="atLeast"/>
              <w:ind w:right="28"/>
            </w:pPr>
            <w:r>
              <w:t>21.5</w:t>
            </w:r>
          </w:p>
        </w:tc>
      </w:tr>
      <w:tr w:rsidR="00AE4D5A" w:rsidTr="008E5E01">
        <w:tc>
          <w:tcPr>
            <w:tcW w:w="1129" w:type="pct"/>
            <w:shd w:val="clear" w:color="auto" w:fill="D9D9D9" w:themeFill="background1" w:themeFillShade="D9"/>
          </w:tcPr>
          <w:p w:rsidR="00AE4D5A" w:rsidRDefault="00AE4D5A" w:rsidP="008E5E01">
            <w:pPr>
              <w:pStyle w:val="TableBodyText"/>
              <w:spacing w:line="260" w:lineRule="atLeast"/>
              <w:jc w:val="left"/>
            </w:pPr>
            <w:r>
              <w:t>$1000 to $1200</w:t>
            </w:r>
            <w:r w:rsidRPr="00633036">
              <w:rPr>
                <w:rStyle w:val="NoteLabel"/>
              </w:rPr>
              <w:t>c</w:t>
            </w:r>
          </w:p>
        </w:tc>
        <w:tc>
          <w:tcPr>
            <w:tcW w:w="2178" w:type="pct"/>
            <w:shd w:val="clear" w:color="auto" w:fill="D9D9D9" w:themeFill="background1" w:themeFillShade="D9"/>
          </w:tcPr>
          <w:p w:rsidR="00AE4D5A" w:rsidRDefault="00AE4D5A" w:rsidP="008E5E01">
            <w:pPr>
              <w:pStyle w:val="TableBodyText"/>
              <w:spacing w:line="260" w:lineRule="atLeast"/>
            </w:pPr>
            <w:r>
              <w:t>26.5</w:t>
            </w:r>
          </w:p>
        </w:tc>
        <w:tc>
          <w:tcPr>
            <w:tcW w:w="1693" w:type="pct"/>
            <w:shd w:val="clear" w:color="auto" w:fill="D9D9D9" w:themeFill="background1" w:themeFillShade="D9"/>
          </w:tcPr>
          <w:p w:rsidR="00AE4D5A" w:rsidRDefault="00AE4D5A" w:rsidP="008E5E01">
            <w:pPr>
              <w:pStyle w:val="TableBodyText"/>
              <w:spacing w:line="260" w:lineRule="atLeast"/>
              <w:ind w:right="28"/>
            </w:pPr>
            <w:r>
              <w:t>19.7</w:t>
            </w:r>
          </w:p>
        </w:tc>
      </w:tr>
      <w:tr w:rsidR="00AE4D5A" w:rsidTr="008E5E01">
        <w:tc>
          <w:tcPr>
            <w:tcW w:w="1129" w:type="pct"/>
            <w:shd w:val="clear" w:color="auto" w:fill="auto"/>
          </w:tcPr>
          <w:p w:rsidR="00AE4D5A" w:rsidRDefault="00AE4D5A" w:rsidP="008E5E01">
            <w:pPr>
              <w:pStyle w:val="TableBodyText"/>
              <w:spacing w:line="260" w:lineRule="atLeast"/>
              <w:jc w:val="left"/>
            </w:pPr>
            <w:r>
              <w:t>$1200 to $1400</w:t>
            </w:r>
          </w:p>
        </w:tc>
        <w:tc>
          <w:tcPr>
            <w:tcW w:w="2178" w:type="pct"/>
            <w:shd w:val="clear" w:color="auto" w:fill="auto"/>
          </w:tcPr>
          <w:p w:rsidR="00AE4D5A" w:rsidRDefault="00AE4D5A" w:rsidP="008E5E01">
            <w:pPr>
              <w:pStyle w:val="TableBodyText"/>
              <w:spacing w:line="260" w:lineRule="atLeast"/>
            </w:pPr>
            <w:r>
              <w:t>31.1</w:t>
            </w:r>
          </w:p>
        </w:tc>
        <w:tc>
          <w:tcPr>
            <w:tcW w:w="1693" w:type="pct"/>
            <w:shd w:val="clear" w:color="auto" w:fill="auto"/>
          </w:tcPr>
          <w:p w:rsidR="00AE4D5A" w:rsidRDefault="00AE4D5A" w:rsidP="008E5E01">
            <w:pPr>
              <w:pStyle w:val="TableBodyText"/>
              <w:spacing w:line="260" w:lineRule="atLeast"/>
              <w:ind w:right="28"/>
            </w:pPr>
            <w:r>
              <w:t>35.9</w:t>
            </w:r>
          </w:p>
        </w:tc>
      </w:tr>
      <w:tr w:rsidR="00AE4D5A" w:rsidTr="008E5E01">
        <w:tc>
          <w:tcPr>
            <w:tcW w:w="1129" w:type="pct"/>
            <w:shd w:val="clear" w:color="auto" w:fill="auto"/>
          </w:tcPr>
          <w:p w:rsidR="00AE4D5A" w:rsidRDefault="00AE4D5A" w:rsidP="008E5E01">
            <w:pPr>
              <w:pStyle w:val="TableBodyText"/>
              <w:spacing w:line="260" w:lineRule="atLeast"/>
              <w:jc w:val="left"/>
            </w:pPr>
            <w:r>
              <w:t>$1400 to $1800</w:t>
            </w:r>
          </w:p>
        </w:tc>
        <w:tc>
          <w:tcPr>
            <w:tcW w:w="2178" w:type="pct"/>
            <w:shd w:val="clear" w:color="auto" w:fill="auto"/>
          </w:tcPr>
          <w:p w:rsidR="00AE4D5A" w:rsidRDefault="00AE4D5A" w:rsidP="008E5E01">
            <w:pPr>
              <w:pStyle w:val="TableBodyText"/>
              <w:spacing w:line="260" w:lineRule="atLeast"/>
            </w:pPr>
            <w:r>
              <w:t>16.9</w:t>
            </w:r>
          </w:p>
        </w:tc>
        <w:tc>
          <w:tcPr>
            <w:tcW w:w="1693" w:type="pct"/>
            <w:shd w:val="clear" w:color="auto" w:fill="auto"/>
          </w:tcPr>
          <w:p w:rsidR="00AE4D5A" w:rsidRDefault="00AE4D5A" w:rsidP="008E5E01">
            <w:pPr>
              <w:pStyle w:val="TableBodyText"/>
              <w:spacing w:line="260" w:lineRule="atLeast"/>
              <w:ind w:right="28"/>
            </w:pPr>
            <w:r>
              <w:t>1.6</w:t>
            </w:r>
          </w:p>
        </w:tc>
      </w:tr>
      <w:tr w:rsidR="00AE4D5A" w:rsidTr="008E5E01">
        <w:tc>
          <w:tcPr>
            <w:tcW w:w="1129" w:type="pct"/>
            <w:tcBorders>
              <w:bottom w:val="single" w:sz="6" w:space="0" w:color="auto"/>
            </w:tcBorders>
            <w:shd w:val="clear" w:color="auto" w:fill="auto"/>
          </w:tcPr>
          <w:p w:rsidR="00AE4D5A" w:rsidRDefault="00AE4D5A" w:rsidP="008E5E01">
            <w:pPr>
              <w:pStyle w:val="TableBodyText"/>
              <w:spacing w:line="260" w:lineRule="atLeast"/>
              <w:jc w:val="left"/>
            </w:pPr>
            <w:r>
              <w:t>Over $1800</w:t>
            </w:r>
          </w:p>
        </w:tc>
        <w:tc>
          <w:tcPr>
            <w:tcW w:w="2178" w:type="pct"/>
            <w:tcBorders>
              <w:bottom w:val="single" w:sz="6" w:space="0" w:color="auto"/>
            </w:tcBorders>
            <w:shd w:val="clear" w:color="auto" w:fill="auto"/>
          </w:tcPr>
          <w:p w:rsidR="00AE4D5A" w:rsidRDefault="00AE4D5A" w:rsidP="008E5E01">
            <w:pPr>
              <w:pStyle w:val="TableBodyText"/>
              <w:spacing w:line="260" w:lineRule="atLeast"/>
            </w:pPr>
            <w:r>
              <w:t>0.4</w:t>
            </w:r>
          </w:p>
        </w:tc>
        <w:tc>
          <w:tcPr>
            <w:tcW w:w="1693" w:type="pct"/>
            <w:tcBorders>
              <w:bottom w:val="single" w:sz="6" w:space="0" w:color="auto"/>
            </w:tcBorders>
            <w:shd w:val="clear" w:color="auto" w:fill="auto"/>
          </w:tcPr>
          <w:p w:rsidR="00AE4D5A" w:rsidRDefault="00AE4D5A" w:rsidP="008E5E01">
            <w:pPr>
              <w:pStyle w:val="TableBodyText"/>
              <w:spacing w:line="260" w:lineRule="atLeast"/>
              <w:ind w:right="28"/>
            </w:pPr>
            <w:r>
              <w:t>0.1</w:t>
            </w:r>
          </w:p>
        </w:tc>
      </w:tr>
    </w:tbl>
    <w:p w:rsidR="00AE4D5A" w:rsidRDefault="00AE4D5A" w:rsidP="008E5E01">
      <w:pPr>
        <w:pStyle w:val="Note"/>
      </w:pPr>
      <w:r w:rsidRPr="000E610A">
        <w:rPr>
          <w:rStyle w:val="NoteLabel"/>
        </w:rPr>
        <w:t>a</w:t>
      </w:r>
      <w:r>
        <w:t xml:space="preserve"> Based on claims recorded as full container loads travelling northbound from Northern Tasmania to Victoria, and travelling southbound from Victoria to Northern Tasmania, on a wharf</w:t>
      </w:r>
      <w:r>
        <w:noBreakHyphen/>
        <w:t>to</w:t>
      </w:r>
      <w:r>
        <w:noBreakHyphen/>
        <w:t>wharf basis.</w:t>
      </w:r>
      <w:r w:rsidRPr="00200CA8">
        <w:t xml:space="preserve"> In total, just over half of all full container loads for this route were submitted with wharf</w:t>
      </w:r>
      <w:r>
        <w:noBreakHyphen/>
      </w:r>
      <w:r w:rsidRPr="00200CA8">
        <w:t>to</w:t>
      </w:r>
      <w:r>
        <w:noBreakHyphen/>
      </w:r>
      <w:r w:rsidRPr="00200CA8">
        <w:t xml:space="preserve">wharf invoices. </w:t>
      </w:r>
      <w:r>
        <w:t xml:space="preserve">  </w:t>
      </w:r>
      <w:r>
        <w:rPr>
          <w:rStyle w:val="NoteLabel"/>
        </w:rPr>
        <w:t>b</w:t>
      </w:r>
      <w:r>
        <w:t xml:space="preserve"> Claimants may be charged differing freight rates and therefore may be included more than once. </w:t>
      </w:r>
      <w:r>
        <w:rPr>
          <w:rStyle w:val="NoteLabel"/>
        </w:rPr>
        <w:t>c</w:t>
      </w:r>
      <w:r>
        <w:t xml:space="preserve"> Median.  </w:t>
      </w:r>
    </w:p>
    <w:p w:rsidR="00AE4D5A" w:rsidRPr="000E610A" w:rsidRDefault="00AE4D5A" w:rsidP="008E5E01">
      <w:pPr>
        <w:pStyle w:val="Source"/>
      </w:pPr>
      <w:r>
        <w:rPr>
          <w:i/>
        </w:rPr>
        <w:t>Source</w:t>
      </w:r>
      <w:r>
        <w:t>: Estimates based on PC analysis of TFES claims database (accessed November 2013).</w:t>
      </w:r>
    </w:p>
    <w:p w:rsidR="00AE4D5A" w:rsidRDefault="00AE4D5A" w:rsidP="008E5E01">
      <w:pPr>
        <w:pStyle w:val="BodyText"/>
      </w:pPr>
      <w:r>
        <w:t>The Commission heard during the current inquiry that rising shipping costs for smaller volume shippers, coupled with the structure of the payment thresholds of the TFES, may be causing them to switch from making ‘wharf to wharf’ claims to making claims on a ‘door to door’ basis. Norske Skog raised concerns about whether this may be skewing the calculation of</w:t>
      </w:r>
      <w:r w:rsidR="000C756F">
        <w:t xml:space="preserve"> median shipping costs (sub. </w:t>
      </w:r>
      <w:proofErr w:type="spellStart"/>
      <w:r w:rsidR="000C756F">
        <w:t>DR</w:t>
      </w:r>
      <w:r>
        <w:t>110</w:t>
      </w:r>
      <w:proofErr w:type="spellEnd"/>
      <w:r>
        <w:t>) by the median not being representative of smaller shippers and their shipping costs</w:t>
      </w:r>
      <w:r w:rsidRPr="002510D0">
        <w:t>. BITRE has undertaken some initial analysis on this issue and has advised that whilst there has been some volume shift from wharf to wharf to door to door claims over the past five years, there are also other material structural shifts in the profile of the recipient base informing the median calculation (pers. comm. BITRE</w:t>
      </w:r>
      <w:r>
        <w:t>, 28 February</w:t>
      </w:r>
      <w:r w:rsidR="006040B1">
        <w:t> </w:t>
      </w:r>
      <w:r>
        <w:t>2014</w:t>
      </w:r>
      <w:r w:rsidRPr="002510D0">
        <w:t>).</w:t>
      </w:r>
    </w:p>
    <w:p w:rsidR="00AE4D5A" w:rsidRDefault="00AE4D5A" w:rsidP="008E5E01">
      <w:pPr>
        <w:pStyle w:val="BodyText"/>
      </w:pPr>
      <w:r>
        <w:t>The Commission considers that there is a case for reviewing these issues in the context of future rate reviews</w:t>
      </w:r>
      <w:r w:rsidRPr="00421971">
        <w:t xml:space="preserve">. Importantly, the recommended move to a flat rate of assistance under the TFES </w:t>
      </w:r>
      <w:r>
        <w:t>would go some way to addressing</w:t>
      </w:r>
      <w:r w:rsidRPr="00421971">
        <w:t xml:space="preserve"> </w:t>
      </w:r>
      <w:r>
        <w:t>issues relating to the median calculation</w:t>
      </w:r>
      <w:r w:rsidRPr="00421971">
        <w:t>.</w:t>
      </w:r>
      <w:r>
        <w:t xml:space="preserve"> </w:t>
      </w:r>
    </w:p>
    <w:p w:rsidR="00DB44F9" w:rsidRDefault="00DB44F9">
      <w:pPr>
        <w:rPr>
          <w:rFonts w:ascii="Arial" w:hAnsi="Arial"/>
          <w:b/>
          <w:szCs w:val="20"/>
        </w:rPr>
      </w:pPr>
      <w:r>
        <w:br w:type="page"/>
      </w:r>
    </w:p>
    <w:p w:rsidR="00AE4D5A" w:rsidRDefault="00AE4D5A" w:rsidP="008E5E01">
      <w:pPr>
        <w:pStyle w:val="Heading3"/>
      </w:pPr>
      <w:r>
        <w:lastRenderedPageBreak/>
        <w:t>Estimating the sea freight cost disadvantage</w:t>
      </w:r>
    </w:p>
    <w:p w:rsidR="00AE4D5A" w:rsidRDefault="00AE4D5A" w:rsidP="008E5E01">
      <w:pPr>
        <w:pStyle w:val="BodyText"/>
      </w:pPr>
      <w:r>
        <w:t>The essential feature underpinning the levels of assistance provided under the TFES is an estimate of the cost disadvantage associated with moving goods across Bass Strait. For the purposes of the scheme, this is defined as the difference between the actual sea freight costs between northern Tasmanian and Victorian ports, and the notional road freight costs of moving goods an equivalent distance on the mainland (the ‘road freight equivalent’ or RFE).</w:t>
      </w:r>
    </w:p>
    <w:p w:rsidR="00AE4D5A" w:rsidRDefault="00AE4D5A" w:rsidP="008E5E01">
      <w:pPr>
        <w:pStyle w:val="BodyText"/>
      </w:pPr>
      <w:r w:rsidRPr="008B0AFB">
        <w:t>Inherent in this formula is the perverse outcome that, as the movement of freight on the mainland becomes more effici</w:t>
      </w:r>
      <w:r>
        <w:t xml:space="preserve">ent, the cost </w:t>
      </w:r>
      <w:r w:rsidRPr="008B0AFB">
        <w:t>disadvantage is estimated to increase, leading to an increase in the rate of the subsidy, which dilutes the incentive to increase the efficiency of freight movements across Bass Strait. Conversely, if road freight costs increase more quickly (as ha</w:t>
      </w:r>
      <w:r>
        <w:t xml:space="preserve">s been the case recently), the </w:t>
      </w:r>
      <w:r w:rsidRPr="008B0AFB">
        <w:t>disadvantage is reduced.</w:t>
      </w:r>
      <w:r>
        <w:t xml:space="preserve"> However the TFES is structured so that it does not fully compensate all shippers for their notional ‘sea freight disadvantage.’ The scheme phases out payments as the level of disadvantage increases to provide some, albeit limited, incentive for shippers to seek lower freight costs.</w:t>
      </w:r>
    </w:p>
    <w:p w:rsidR="00AE4D5A" w:rsidRDefault="00AE4D5A" w:rsidP="008E5E01">
      <w:pPr>
        <w:pStyle w:val="Heading4"/>
      </w:pPr>
      <w:r>
        <w:t>Determining the road freight equivalent cost</w:t>
      </w:r>
    </w:p>
    <w:p w:rsidR="00AE4D5A" w:rsidRDefault="00AE4D5A" w:rsidP="008E5E01">
      <w:pPr>
        <w:pStyle w:val="BodyText"/>
      </w:pPr>
      <w:r w:rsidRPr="00E02421">
        <w:t xml:space="preserve">Estimating </w:t>
      </w:r>
      <w:r>
        <w:t>RFE</w:t>
      </w:r>
      <w:r w:rsidRPr="00E02421">
        <w:t xml:space="preserve"> costs is by no means straightforward, and a range of different considerations and key assumptions need to be made in determining </w:t>
      </w:r>
      <w:r>
        <w:t>RFE</w:t>
      </w:r>
      <w:r w:rsidRPr="00E02421">
        <w:t xml:space="preserve"> costs</w:t>
      </w:r>
      <w:r>
        <w:t xml:space="preserve"> including: </w:t>
      </w:r>
    </w:p>
    <w:p w:rsidR="00AE4D5A" w:rsidRDefault="00AE4D5A" w:rsidP="008E5E01">
      <w:pPr>
        <w:pStyle w:val="ListBullet"/>
      </w:pPr>
      <w:r>
        <w:rPr>
          <w:i/>
        </w:rPr>
        <w:t>r</w:t>
      </w:r>
      <w:r w:rsidRPr="00E02421">
        <w:rPr>
          <w:i/>
        </w:rPr>
        <w:t>oad costs per kilometre</w:t>
      </w:r>
      <w:r>
        <w:t xml:space="preserve"> — including fuel consumption, tyres, driver costs, capital costs/depreciation, registration costs and capacity utilisation</w:t>
      </w:r>
    </w:p>
    <w:p w:rsidR="00AE4D5A" w:rsidRDefault="00AE4D5A" w:rsidP="008E5E01">
      <w:pPr>
        <w:pStyle w:val="ListBullet"/>
      </w:pPr>
      <w:r>
        <w:rPr>
          <w:i/>
        </w:rPr>
        <w:t>s</w:t>
      </w:r>
      <w:r w:rsidRPr="00E02421">
        <w:rPr>
          <w:i/>
        </w:rPr>
        <w:t>hipper characteristics</w:t>
      </w:r>
      <w:r>
        <w:t xml:space="preserve"> — such as how regularly they use freight services/average monthly spend (as achieved freight rates are very sensitive to bargaining power)</w:t>
      </w:r>
    </w:p>
    <w:p w:rsidR="00AE4D5A" w:rsidRDefault="00AE4D5A" w:rsidP="008E5E01">
      <w:pPr>
        <w:pStyle w:val="ListBullet"/>
      </w:pPr>
      <w:r>
        <w:rPr>
          <w:i/>
        </w:rPr>
        <w:t>c</w:t>
      </w:r>
      <w:r w:rsidRPr="00E02421">
        <w:rPr>
          <w:i/>
        </w:rPr>
        <w:t>ommodity carried and level of urgency</w:t>
      </w:r>
      <w:r>
        <w:t xml:space="preserve"> — assumptions are generally for typical commodities carried in the typical way for the most common level of urgency </w:t>
      </w:r>
    </w:p>
    <w:p w:rsidR="00AE4D5A" w:rsidRDefault="00AE4D5A" w:rsidP="008E5E01">
      <w:pPr>
        <w:pStyle w:val="ListBullet"/>
      </w:pPr>
      <w:r>
        <w:rPr>
          <w:i/>
        </w:rPr>
        <w:t>a</w:t>
      </w:r>
      <w:r w:rsidRPr="00E02421">
        <w:rPr>
          <w:i/>
        </w:rPr>
        <w:t>ctual rates versus tendered prices</w:t>
      </w:r>
      <w:r>
        <w:t xml:space="preserve"> — the former are often slightly lower due to post</w:t>
      </w:r>
      <w:r>
        <w:noBreakHyphen/>
        <w:t>tender negotiation</w:t>
      </w:r>
    </w:p>
    <w:p w:rsidR="00AE4D5A" w:rsidRDefault="00AE4D5A" w:rsidP="008E5E01">
      <w:pPr>
        <w:pStyle w:val="ListBullet"/>
      </w:pPr>
      <w:r>
        <w:rPr>
          <w:i/>
        </w:rPr>
        <w:t>choice of b</w:t>
      </w:r>
      <w:r w:rsidRPr="00E02421">
        <w:rPr>
          <w:i/>
        </w:rPr>
        <w:t>enchmark journey</w:t>
      </w:r>
      <w:r>
        <w:t xml:space="preserve"> — different interstate corridors have different costs </w:t>
      </w:r>
      <w:r w:rsidRPr="00AD37FD">
        <w:rPr>
          <w:szCs w:val="24"/>
        </w:rPr>
        <w:t>(SKM 2013)</w:t>
      </w:r>
      <w:r>
        <w:t xml:space="preserve">. </w:t>
      </w:r>
    </w:p>
    <w:p w:rsidR="00AE4D5A" w:rsidRDefault="00AE4D5A" w:rsidP="008E5E01">
      <w:pPr>
        <w:pStyle w:val="BodyText"/>
      </w:pPr>
      <w:r>
        <w:t xml:space="preserve">In addition, there will always be rates paid that are substantially more and substantially less than typical rates quoted. For example, on many Australian freight routes there is a lot more freight flowing in one direction than the other. In such instances the marginal costs of backhauling is low, offering shippers scope to </w:t>
      </w:r>
      <w:r>
        <w:lastRenderedPageBreak/>
        <w:t>transport their freight on those backhaul routes at much lower costs — sometimes less than half of forward rates.</w:t>
      </w:r>
    </w:p>
    <w:p w:rsidR="00AE4D5A" w:rsidRDefault="00AE4D5A" w:rsidP="008E5E01">
      <w:pPr>
        <w:pStyle w:val="Heading4"/>
      </w:pPr>
      <w:r>
        <w:t>Parameter estimates</w:t>
      </w:r>
    </w:p>
    <w:p w:rsidR="00AE4D5A" w:rsidRDefault="00AE4D5A" w:rsidP="008E5E01">
      <w:pPr>
        <w:pStyle w:val="BodyText"/>
      </w:pPr>
      <w:r>
        <w:t>In its calculations of the RFE, BITRE uses a road benchmark of a B</w:t>
      </w:r>
      <w:r>
        <w:noBreakHyphen/>
        <w:t>Double heavy vehicle with a maximum payload of 39 tonnes and approximately one third empty running.</w:t>
      </w:r>
      <w:r w:rsidRPr="004A2769">
        <w:rPr>
          <w:rStyle w:val="FootnoteReference"/>
        </w:rPr>
        <w:footnoteReference w:id="6"/>
      </w:r>
      <w:r>
        <w:t xml:space="preserve"> Based on this, BITRE’s latest estimates (released in December 2013) of RFE costs are $650 per TEU for dry freight and $715 for refrigerated freight in 2011</w:t>
      </w:r>
      <w:r>
        <w:noBreakHyphen/>
        <w:t>12 (up from $281 and $309 respectively in the 1996</w:t>
      </w:r>
      <w:r>
        <w:noBreakHyphen/>
        <w:t xml:space="preserve">97 parameters, box 2.4). </w:t>
      </w:r>
    </w:p>
    <w:p w:rsidR="00AE4D5A" w:rsidRDefault="00AE4D5A" w:rsidP="008E5E01">
      <w:pPr>
        <w:pStyle w:val="BodyText"/>
      </w:pPr>
      <w:r>
        <w:t xml:space="preserve">These increases in the RFE have had a substantial impact on estimated </w:t>
      </w:r>
      <w:r w:rsidRPr="00D917D5">
        <w:t>sea freight cost</w:t>
      </w:r>
      <w:r>
        <w:t xml:space="preserve"> disadvantage. In particular, they imply that the</w:t>
      </w:r>
      <w:r w:rsidRPr="008C7EB4">
        <w:t xml:space="preserve"> 1996</w:t>
      </w:r>
      <w:r>
        <w:noBreakHyphen/>
      </w:r>
      <w:r w:rsidRPr="008C7EB4">
        <w:t>97 parameters</w:t>
      </w:r>
      <w:r>
        <w:t xml:space="preserve"> currently in use significantly </w:t>
      </w:r>
      <w:r w:rsidRPr="008C7EB4">
        <w:t>overstate the cost disadvantage for shipping freight acro</w:t>
      </w:r>
      <w:r>
        <w:t>ss Bass Strait. For 2011</w:t>
      </w:r>
      <w:r>
        <w:noBreakHyphen/>
        <w:t>12, BITRE estimates show that shippers were receiving on average $223 per TEU ($671 minus $448, see table 2.3) more than the estimated sea freight cost disadvantage for dry freight based on updated sea freight rates and road freight benchmarks and the scheme’s established methodology. This payment is about 33 per cent more than is justified under the most recent parameter estimates.</w:t>
      </w:r>
    </w:p>
    <w:p w:rsidR="00AE4D5A" w:rsidRPr="00080C88" w:rsidRDefault="00AE4D5A" w:rsidP="008E5E01">
      <w:pPr>
        <w:pStyle w:val="BodyText"/>
      </w:pPr>
      <w:r>
        <w:t>Given the magnitude of the difference, updating TFES parameters would have substantial implications, both in terms of scheme funding costs and the payments to shippers. BITRE concluded that updating the TFES parameters to reflect 2011</w:t>
      </w:r>
      <w:r>
        <w:noBreakHyphen/>
        <w:t xml:space="preserve">12 values would significantly reduce payments to most shippers, noting that </w:t>
      </w:r>
      <w:r w:rsidRPr="008C7EB4">
        <w:t>if the parameters were revised to reflect the latest estimates</w:t>
      </w:r>
      <w:r>
        <w:t xml:space="preserve">, compensation paid through the scheme may have fallen by around $90 million for freight shipped between 1 July 2010 and 30 June 2012 </w:t>
      </w:r>
      <w:r w:rsidRPr="00201A2F">
        <w:rPr>
          <w:szCs w:val="24"/>
        </w:rPr>
        <w:t>(BITRE 2013b)</w:t>
      </w:r>
      <w:r>
        <w:t xml:space="preserve">. </w:t>
      </w:r>
    </w:p>
    <w:p w:rsidR="00AE4D5A" w:rsidRDefault="00AE4D5A" w:rsidP="008E5E01">
      <w:pPr>
        <w:pStyle w:val="BodyText"/>
      </w:pPr>
      <w:r>
        <w:t>Commenting on these findings, the Commonwealth Department of Infrastructure and Regional Development (DIRD) noted:</w:t>
      </w:r>
    </w:p>
    <w:p w:rsidR="00AE4D5A" w:rsidRDefault="00AE4D5A" w:rsidP="008E5E01">
      <w:pPr>
        <w:pStyle w:val="Quote"/>
      </w:pPr>
      <w:r>
        <w:t>While the sea freight disadvantage has declined, shipping costs have continued to rise and successive governments have chosen not to adjust TFES and TWFS parameters because such action would have reduced Australian government assistance to Tasmania at a time when Tasmanian producers were facing rising shipping costs and difficult economic conditions. (sub. 42, p. 24)</w:t>
      </w:r>
    </w:p>
    <w:p w:rsidR="00AE4D5A" w:rsidRDefault="00AE4D5A" w:rsidP="008E5E01">
      <w:pPr>
        <w:pStyle w:val="BodyText"/>
      </w:pPr>
    </w:p>
    <w:p w:rsidR="00AE4D5A" w:rsidRPr="00A33521" w:rsidRDefault="00AE4D5A" w:rsidP="008E5E01">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lastRenderedPageBreak/>
              <w:t>Box 2.</w:t>
            </w:r>
            <w:r>
              <w:rPr>
                <w:b w:val="0"/>
                <w:noProof/>
              </w:rPr>
              <w:t>4</w:t>
            </w:r>
            <w:r>
              <w:tab/>
              <w:t>TFES parameter reviews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The level of assistance provided to shippers through the TFES is derived from calculations using a set of parameters which are unchanged since 1998 (and relate to freight costs in the year 1996</w:t>
            </w:r>
            <w:r>
              <w:noBreakHyphen/>
              <w:t xml:space="preserve">97). Regular reviews of the parameters were recommended by the Nixon Review in 1998 and the Commission in 2006. </w:t>
            </w:r>
          </w:p>
          <w:p w:rsidR="00AE4D5A" w:rsidRDefault="00AE4D5A" w:rsidP="008E5E01">
            <w:pPr>
              <w:pStyle w:val="Box"/>
            </w:pPr>
            <w:r>
              <w:t xml:space="preserve">Since 2006, BITRE has conducted periodic reviews, most recently in 2013. The latest BITRE modelling shows that the sea freight cost disadvantage as defined by the scheme has fallen </w:t>
            </w:r>
            <w:r w:rsidRPr="009B4EAE">
              <w:rPr>
                <w:rFonts w:cs="Arial"/>
                <w:szCs w:val="24"/>
              </w:rPr>
              <w:t>(BITRE 2013b)</w:t>
            </w:r>
            <w:r>
              <w:t>.</w:t>
            </w:r>
          </w:p>
          <w:p w:rsidR="00AE4D5A" w:rsidRDefault="00AE4D5A" w:rsidP="008E5E01">
            <w:pPr>
              <w:pStyle w:val="Box"/>
            </w:pPr>
            <w:r w:rsidRPr="00B01CB0">
              <w:t xml:space="preserve">BITRE’s </w:t>
            </w:r>
            <w:r>
              <w:t>latest</w:t>
            </w:r>
            <w:r w:rsidRPr="00B01CB0">
              <w:t xml:space="preserve"> updated parameters </w:t>
            </w:r>
            <w:r>
              <w:t>(relating to the year</w:t>
            </w:r>
            <w:r w:rsidRPr="00B01CB0">
              <w:t xml:space="preserve"> 20</w:t>
            </w:r>
            <w:r>
              <w:t>11</w:t>
            </w:r>
            <w:r>
              <w:noBreakHyphen/>
              <w:t>12)</w:t>
            </w:r>
            <w:r w:rsidRPr="00B01CB0">
              <w:t xml:space="preserve"> </w:t>
            </w:r>
            <w:r>
              <w:t>are</w:t>
            </w:r>
            <w:r w:rsidRPr="00B01CB0">
              <w:t xml:space="preserve"> shown in table</w:t>
            </w:r>
            <w:r>
              <w:t> </w:t>
            </w:r>
            <w:r w:rsidRPr="00B01CB0">
              <w:t>2.</w:t>
            </w:r>
            <w:r>
              <w:t>3</w:t>
            </w:r>
            <w:r w:rsidRPr="00B01CB0">
              <w:t xml:space="preserve">, along with </w:t>
            </w:r>
            <w:r>
              <w:t>the 2006</w:t>
            </w:r>
            <w:r>
              <w:noBreakHyphen/>
              <w:t>07 estimates</w:t>
            </w:r>
            <w:r w:rsidRPr="00B01CB0">
              <w:t xml:space="preserve"> and the </w:t>
            </w:r>
            <w:r>
              <w:t>current parameters (1996</w:t>
            </w:r>
            <w:r>
              <w:noBreakHyphen/>
              <w:t>97)</w:t>
            </w:r>
            <w:r w:rsidRPr="00B01CB0">
              <w:t>.</w:t>
            </w:r>
          </w:p>
          <w:p w:rsidR="00AE4D5A" w:rsidRPr="00A423E4" w:rsidRDefault="00AE4D5A" w:rsidP="008E5E01">
            <w:pPr>
              <w:pStyle w:val="TableTitle"/>
              <w:rPr>
                <w:spacing w:val="-2"/>
              </w:rPr>
            </w:pPr>
            <w:r>
              <w:rPr>
                <w:b w:val="0"/>
              </w:rPr>
              <w:t>Table 2.</w:t>
            </w:r>
            <w:r>
              <w:rPr>
                <w:b w:val="0"/>
                <w:noProof/>
              </w:rPr>
              <w:t>3</w:t>
            </w:r>
            <w:r>
              <w:tab/>
            </w:r>
            <w:r w:rsidRPr="00A423E4">
              <w:rPr>
                <w:spacing w:val="-2"/>
              </w:rPr>
              <w:t>Estimates of se</w:t>
            </w:r>
            <w:r>
              <w:rPr>
                <w:spacing w:val="-2"/>
              </w:rPr>
              <w:t>lected TFES parameters ($), 1996</w:t>
            </w:r>
            <w:r>
              <w:rPr>
                <w:spacing w:val="-2"/>
              </w:rPr>
              <w:noBreakHyphen/>
              <w:t>97, 2006</w:t>
            </w:r>
            <w:r>
              <w:rPr>
                <w:spacing w:val="-2"/>
              </w:rPr>
              <w:noBreakHyphen/>
              <w:t xml:space="preserve">07 and </w:t>
            </w:r>
            <w:r w:rsidRPr="00A423E4">
              <w:rPr>
                <w:spacing w:val="-2"/>
              </w:rPr>
              <w:t>2011</w:t>
            </w:r>
            <w:r>
              <w:rPr>
                <w:spacing w:val="-2"/>
              </w:rPr>
              <w:noBreakHyphen/>
            </w:r>
            <w:r w:rsidRPr="00A423E4">
              <w:rPr>
                <w:spacing w:val="-2"/>
              </w:rPr>
              <w:t>12</w:t>
            </w:r>
            <w:r w:rsidRPr="009F1D0B">
              <w:rPr>
                <w:rStyle w:val="NoteLabel"/>
                <w:b/>
                <w:spacing w:val="-2"/>
              </w:rPr>
              <w:t>a</w:t>
            </w:r>
            <w:r>
              <w:rPr>
                <w:spacing w:val="-2"/>
              </w:rPr>
              <w:t xml:space="preserve"> </w:t>
            </w:r>
          </w:p>
          <w:tbl>
            <w:tblPr>
              <w:tblW w:w="8483" w:type="dxa"/>
              <w:tblLayout w:type="fixed"/>
              <w:tblCellMar>
                <w:left w:w="0" w:type="dxa"/>
                <w:right w:w="0" w:type="dxa"/>
              </w:tblCellMar>
              <w:tblLook w:val="0000" w:firstRow="0" w:lastRow="0" w:firstColumn="0" w:lastColumn="0" w:noHBand="0" w:noVBand="0"/>
            </w:tblPr>
            <w:tblGrid>
              <w:gridCol w:w="5506"/>
              <w:gridCol w:w="993"/>
              <w:gridCol w:w="991"/>
              <w:gridCol w:w="993"/>
            </w:tblGrid>
            <w:tr w:rsidR="00AE4D5A" w:rsidTr="008E5E01">
              <w:tc>
                <w:tcPr>
                  <w:tcW w:w="3245" w:type="pct"/>
                  <w:tcBorders>
                    <w:top w:val="single" w:sz="6" w:space="0" w:color="auto"/>
                    <w:bottom w:val="single" w:sz="6" w:space="0" w:color="auto"/>
                  </w:tcBorders>
                  <w:shd w:val="clear" w:color="auto" w:fill="auto"/>
                </w:tcPr>
                <w:p w:rsidR="00AE4D5A" w:rsidRDefault="00AE4D5A" w:rsidP="008E5E01">
                  <w:pPr>
                    <w:pStyle w:val="TableColHead"/>
                    <w:spacing w:before="80"/>
                  </w:pPr>
                </w:p>
              </w:tc>
              <w:tc>
                <w:tcPr>
                  <w:tcW w:w="585" w:type="pct"/>
                  <w:tcBorders>
                    <w:top w:val="single" w:sz="6" w:space="0" w:color="auto"/>
                    <w:bottom w:val="single" w:sz="6" w:space="0" w:color="auto"/>
                  </w:tcBorders>
                </w:tcPr>
                <w:p w:rsidR="00AE4D5A" w:rsidRDefault="00AE4D5A" w:rsidP="008E5E01">
                  <w:pPr>
                    <w:pStyle w:val="TableColHead"/>
                    <w:spacing w:before="80"/>
                    <w:jc w:val="right"/>
                  </w:pPr>
                  <w:r>
                    <w:t>1996</w:t>
                  </w:r>
                  <w:r>
                    <w:noBreakHyphen/>
                    <w:t>97</w:t>
                  </w:r>
                </w:p>
              </w:tc>
              <w:tc>
                <w:tcPr>
                  <w:tcW w:w="584" w:type="pct"/>
                  <w:tcBorders>
                    <w:top w:val="single" w:sz="6" w:space="0" w:color="auto"/>
                    <w:bottom w:val="single" w:sz="6" w:space="0" w:color="auto"/>
                  </w:tcBorders>
                  <w:shd w:val="clear" w:color="auto" w:fill="auto"/>
                </w:tcPr>
                <w:p w:rsidR="00AE4D5A" w:rsidRDefault="00AE4D5A" w:rsidP="008E5E01">
                  <w:pPr>
                    <w:pStyle w:val="TableColHead"/>
                    <w:spacing w:before="80"/>
                    <w:jc w:val="right"/>
                  </w:pPr>
                  <w:r>
                    <w:t>2006</w:t>
                  </w:r>
                  <w:r>
                    <w:noBreakHyphen/>
                    <w:t xml:space="preserve">07 </w:t>
                  </w:r>
                </w:p>
              </w:tc>
              <w:tc>
                <w:tcPr>
                  <w:tcW w:w="585" w:type="pct"/>
                  <w:tcBorders>
                    <w:top w:val="single" w:sz="6" w:space="0" w:color="auto"/>
                    <w:bottom w:val="single" w:sz="6" w:space="0" w:color="auto"/>
                  </w:tcBorders>
                  <w:shd w:val="clear" w:color="auto" w:fill="auto"/>
                </w:tcPr>
                <w:p w:rsidR="00AE4D5A" w:rsidRDefault="00AE4D5A" w:rsidP="008E5E01">
                  <w:pPr>
                    <w:pStyle w:val="TableColHead"/>
                    <w:spacing w:before="80"/>
                    <w:jc w:val="right"/>
                  </w:pPr>
                  <w:r>
                    <w:t>2011</w:t>
                  </w:r>
                  <w:r>
                    <w:noBreakHyphen/>
                    <w:t xml:space="preserve">12 </w:t>
                  </w:r>
                </w:p>
              </w:tc>
            </w:tr>
            <w:tr w:rsidR="00AE4D5A" w:rsidTr="008E5E01">
              <w:tc>
                <w:tcPr>
                  <w:tcW w:w="3245" w:type="pct"/>
                  <w:tcBorders>
                    <w:top w:val="single" w:sz="6" w:space="0" w:color="auto"/>
                  </w:tcBorders>
                </w:tcPr>
                <w:p w:rsidR="00AE4D5A" w:rsidRDefault="00AE4D5A" w:rsidP="008E5E01">
                  <w:pPr>
                    <w:pStyle w:val="TableText"/>
                    <w:spacing w:before="120" w:line="180" w:lineRule="exact"/>
                  </w:pPr>
                  <w:r>
                    <w:t>Road freight equivalent (dry freight)</w:t>
                  </w:r>
                </w:p>
              </w:tc>
              <w:tc>
                <w:tcPr>
                  <w:tcW w:w="585" w:type="pct"/>
                  <w:tcBorders>
                    <w:top w:val="single" w:sz="6" w:space="0" w:color="auto"/>
                  </w:tcBorders>
                </w:tcPr>
                <w:p w:rsidR="00AE4D5A" w:rsidRPr="004A3D33" w:rsidRDefault="00AE4D5A" w:rsidP="008E5E01">
                  <w:pPr>
                    <w:pStyle w:val="TableText"/>
                    <w:spacing w:before="120" w:line="180" w:lineRule="exact"/>
                    <w:jc w:val="right"/>
                    <w:rPr>
                      <w:b/>
                    </w:rPr>
                  </w:pPr>
                  <w:r w:rsidRPr="004A3D33">
                    <w:rPr>
                      <w:b/>
                    </w:rPr>
                    <w:t>281</w:t>
                  </w:r>
                </w:p>
              </w:tc>
              <w:tc>
                <w:tcPr>
                  <w:tcW w:w="584" w:type="pct"/>
                  <w:tcBorders>
                    <w:top w:val="single" w:sz="6" w:space="0" w:color="auto"/>
                  </w:tcBorders>
                </w:tcPr>
                <w:p w:rsidR="00AE4D5A" w:rsidRDefault="00AE4D5A" w:rsidP="008E5E01">
                  <w:pPr>
                    <w:pStyle w:val="TableText"/>
                    <w:spacing w:before="120" w:line="180" w:lineRule="exact"/>
                    <w:jc w:val="right"/>
                    <w:rPr>
                      <w:bCs/>
                    </w:rPr>
                  </w:pPr>
                  <w:r>
                    <w:rPr>
                      <w:bCs/>
                    </w:rPr>
                    <w:t>507</w:t>
                  </w:r>
                </w:p>
              </w:tc>
              <w:tc>
                <w:tcPr>
                  <w:tcW w:w="585" w:type="pct"/>
                  <w:tcBorders>
                    <w:top w:val="single" w:sz="6" w:space="0" w:color="auto"/>
                  </w:tcBorders>
                </w:tcPr>
                <w:p w:rsidR="00AE4D5A" w:rsidRDefault="00AE4D5A" w:rsidP="008E5E01">
                  <w:pPr>
                    <w:pStyle w:val="TableText"/>
                    <w:spacing w:before="120" w:line="180" w:lineRule="exact"/>
                    <w:jc w:val="right"/>
                  </w:pPr>
                  <w:r>
                    <w:t>650</w:t>
                  </w:r>
                </w:p>
              </w:tc>
            </w:tr>
            <w:tr w:rsidR="00AE4D5A" w:rsidTr="008E5E01">
              <w:tc>
                <w:tcPr>
                  <w:tcW w:w="3245" w:type="pct"/>
                </w:tcPr>
                <w:p w:rsidR="00AE4D5A" w:rsidRDefault="00AE4D5A" w:rsidP="008E5E01">
                  <w:pPr>
                    <w:pStyle w:val="TableText"/>
                    <w:spacing w:before="120" w:line="180" w:lineRule="exact"/>
                  </w:pPr>
                  <w:r>
                    <w:t>Road freight equivalent (refrigerated freight)</w:t>
                  </w:r>
                </w:p>
              </w:tc>
              <w:tc>
                <w:tcPr>
                  <w:tcW w:w="585" w:type="pct"/>
                </w:tcPr>
                <w:p w:rsidR="00AE4D5A" w:rsidRPr="004A3D33" w:rsidRDefault="00AE4D5A" w:rsidP="008E5E01">
                  <w:pPr>
                    <w:pStyle w:val="TableText"/>
                    <w:spacing w:before="120" w:line="180" w:lineRule="exact"/>
                    <w:jc w:val="right"/>
                    <w:rPr>
                      <w:b/>
                    </w:rPr>
                  </w:pPr>
                  <w:r w:rsidRPr="004A3D33">
                    <w:rPr>
                      <w:b/>
                    </w:rPr>
                    <w:t>309</w:t>
                  </w:r>
                </w:p>
              </w:tc>
              <w:tc>
                <w:tcPr>
                  <w:tcW w:w="584" w:type="pct"/>
                </w:tcPr>
                <w:p w:rsidR="00AE4D5A" w:rsidRDefault="00AE4D5A" w:rsidP="008E5E01">
                  <w:pPr>
                    <w:pStyle w:val="TableText"/>
                    <w:spacing w:before="120" w:line="180" w:lineRule="exact"/>
                    <w:jc w:val="right"/>
                  </w:pPr>
                  <w:r>
                    <w:t>558</w:t>
                  </w:r>
                </w:p>
              </w:tc>
              <w:tc>
                <w:tcPr>
                  <w:tcW w:w="585" w:type="pct"/>
                </w:tcPr>
                <w:p w:rsidR="00AE4D5A" w:rsidRDefault="00AE4D5A" w:rsidP="008E5E01">
                  <w:pPr>
                    <w:pStyle w:val="TableText"/>
                    <w:spacing w:before="120" w:line="180" w:lineRule="exact"/>
                    <w:jc w:val="right"/>
                  </w:pPr>
                  <w:r>
                    <w:t>715</w:t>
                  </w:r>
                </w:p>
              </w:tc>
            </w:tr>
            <w:tr w:rsidR="00AE4D5A" w:rsidTr="008E5E01">
              <w:tc>
                <w:tcPr>
                  <w:tcW w:w="3245" w:type="pct"/>
                </w:tcPr>
                <w:p w:rsidR="00AE4D5A" w:rsidRDefault="00AE4D5A" w:rsidP="008E5E01">
                  <w:pPr>
                    <w:pStyle w:val="TableText"/>
                    <w:spacing w:before="120" w:line="180" w:lineRule="exact"/>
                  </w:pPr>
                  <w:r>
                    <w:t>Wharf</w:t>
                  </w:r>
                  <w:r>
                    <w:noBreakHyphen/>
                    <w:t>to</w:t>
                  </w:r>
                  <w:r>
                    <w:noBreakHyphen/>
                    <w:t>wharf sea freight cost disadvantage (dry freight)</w:t>
                  </w:r>
                  <w:r w:rsidRPr="006619F2">
                    <w:rPr>
                      <w:rStyle w:val="NoteLabel"/>
                    </w:rPr>
                    <w:t>b</w:t>
                  </w:r>
                </w:p>
              </w:tc>
              <w:tc>
                <w:tcPr>
                  <w:tcW w:w="585" w:type="pct"/>
                </w:tcPr>
                <w:p w:rsidR="00AE4D5A" w:rsidRPr="004A3D33" w:rsidRDefault="00AE4D5A" w:rsidP="008E5E01">
                  <w:pPr>
                    <w:pStyle w:val="TableText"/>
                    <w:spacing w:before="120" w:line="180" w:lineRule="exact"/>
                    <w:jc w:val="right"/>
                    <w:rPr>
                      <w:b/>
                    </w:rPr>
                  </w:pPr>
                  <w:r w:rsidRPr="004A3D33">
                    <w:rPr>
                      <w:b/>
                    </w:rPr>
                    <w:t>671</w:t>
                  </w:r>
                </w:p>
              </w:tc>
              <w:tc>
                <w:tcPr>
                  <w:tcW w:w="584" w:type="pct"/>
                </w:tcPr>
                <w:p w:rsidR="00AE4D5A" w:rsidRDefault="00AE4D5A" w:rsidP="008E5E01">
                  <w:pPr>
                    <w:pStyle w:val="TableText"/>
                    <w:spacing w:before="120" w:line="180" w:lineRule="exact"/>
                    <w:jc w:val="right"/>
                  </w:pPr>
                  <w:r>
                    <w:t>653</w:t>
                  </w:r>
                </w:p>
              </w:tc>
              <w:tc>
                <w:tcPr>
                  <w:tcW w:w="585" w:type="pct"/>
                </w:tcPr>
                <w:p w:rsidR="00AE4D5A" w:rsidRDefault="00AE4D5A" w:rsidP="008E5E01">
                  <w:pPr>
                    <w:pStyle w:val="TableText"/>
                    <w:spacing w:before="120" w:line="180" w:lineRule="exact"/>
                    <w:jc w:val="right"/>
                  </w:pPr>
                  <w:r>
                    <w:t>448</w:t>
                  </w:r>
                </w:p>
              </w:tc>
            </w:tr>
            <w:tr w:rsidR="00AE4D5A" w:rsidTr="008E5E01">
              <w:tc>
                <w:tcPr>
                  <w:tcW w:w="3245" w:type="pct"/>
                </w:tcPr>
                <w:p w:rsidR="00AE4D5A" w:rsidRDefault="00AE4D5A" w:rsidP="008E5E01">
                  <w:pPr>
                    <w:pStyle w:val="TableText"/>
                    <w:spacing w:before="120" w:line="180" w:lineRule="exact"/>
                  </w:pPr>
                  <w:r>
                    <w:t>Wharf</w:t>
                  </w:r>
                  <w:r>
                    <w:noBreakHyphen/>
                    <w:t>to</w:t>
                  </w:r>
                  <w:r>
                    <w:noBreakHyphen/>
                    <w:t>wharf sea freight cost disadvantage (refrigerated)</w:t>
                  </w:r>
                </w:p>
              </w:tc>
              <w:tc>
                <w:tcPr>
                  <w:tcW w:w="585" w:type="pct"/>
                </w:tcPr>
                <w:p w:rsidR="00AE4D5A" w:rsidRPr="004A3D33" w:rsidRDefault="00AE4D5A" w:rsidP="008E5E01">
                  <w:pPr>
                    <w:pStyle w:val="TableText"/>
                    <w:spacing w:before="120" w:line="180" w:lineRule="exact"/>
                    <w:jc w:val="right"/>
                    <w:rPr>
                      <w:b/>
                    </w:rPr>
                  </w:pPr>
                  <w:r w:rsidRPr="004A3D33">
                    <w:rPr>
                      <w:b/>
                    </w:rPr>
                    <w:t>671</w:t>
                  </w:r>
                </w:p>
              </w:tc>
              <w:tc>
                <w:tcPr>
                  <w:tcW w:w="584" w:type="pct"/>
                </w:tcPr>
                <w:p w:rsidR="00AE4D5A" w:rsidRDefault="00AE4D5A" w:rsidP="008E5E01">
                  <w:pPr>
                    <w:pStyle w:val="TableText"/>
                    <w:spacing w:before="120" w:line="180" w:lineRule="exact"/>
                    <w:jc w:val="right"/>
                  </w:pPr>
                  <w:r>
                    <w:t>631</w:t>
                  </w:r>
                </w:p>
              </w:tc>
              <w:tc>
                <w:tcPr>
                  <w:tcW w:w="585" w:type="pct"/>
                </w:tcPr>
                <w:p w:rsidR="00AE4D5A" w:rsidRDefault="00AE4D5A" w:rsidP="008E5E01">
                  <w:pPr>
                    <w:pStyle w:val="TableText"/>
                    <w:spacing w:before="120" w:line="180" w:lineRule="exact"/>
                    <w:jc w:val="right"/>
                  </w:pPr>
                  <w:r>
                    <w:t>415</w:t>
                  </w:r>
                </w:p>
              </w:tc>
            </w:tr>
            <w:tr w:rsidR="00AE4D5A" w:rsidTr="008E5E01">
              <w:tc>
                <w:tcPr>
                  <w:tcW w:w="3245" w:type="pct"/>
                  <w:tcBorders>
                    <w:bottom w:val="single" w:sz="6" w:space="0" w:color="auto"/>
                  </w:tcBorders>
                  <w:shd w:val="clear" w:color="auto" w:fill="auto"/>
                </w:tcPr>
                <w:p w:rsidR="00AE4D5A" w:rsidRDefault="00AE4D5A" w:rsidP="008E5E01">
                  <w:pPr>
                    <w:pStyle w:val="TableText"/>
                    <w:spacing w:before="40" w:line="180" w:lineRule="exact"/>
                  </w:pPr>
                  <w:r>
                    <w:rPr>
                      <w:snapToGrid w:val="0"/>
                      <w:color w:val="000000"/>
                      <w:lang w:eastAsia="en-US"/>
                    </w:rPr>
                    <w:t>Intermodal costs allowance</w:t>
                  </w:r>
                </w:p>
              </w:tc>
              <w:tc>
                <w:tcPr>
                  <w:tcW w:w="585" w:type="pct"/>
                  <w:tcBorders>
                    <w:bottom w:val="single" w:sz="6" w:space="0" w:color="auto"/>
                  </w:tcBorders>
                </w:tcPr>
                <w:p w:rsidR="00AE4D5A" w:rsidRPr="004A3D33" w:rsidRDefault="00AE4D5A" w:rsidP="008E5E01">
                  <w:pPr>
                    <w:pStyle w:val="TableText"/>
                    <w:spacing w:before="40" w:line="180" w:lineRule="exact"/>
                    <w:jc w:val="right"/>
                    <w:rPr>
                      <w:b/>
                      <w:snapToGrid w:val="0"/>
                      <w:color w:val="000000"/>
                      <w:lang w:eastAsia="en-US"/>
                    </w:rPr>
                  </w:pPr>
                  <w:r w:rsidRPr="004A3D33">
                    <w:rPr>
                      <w:b/>
                      <w:snapToGrid w:val="0"/>
                      <w:color w:val="000000"/>
                      <w:lang w:eastAsia="en-US"/>
                    </w:rPr>
                    <w:t>100</w:t>
                  </w:r>
                </w:p>
              </w:tc>
              <w:tc>
                <w:tcPr>
                  <w:tcW w:w="584" w:type="pct"/>
                  <w:tcBorders>
                    <w:bottom w:val="single" w:sz="6" w:space="0" w:color="auto"/>
                  </w:tcBorders>
                  <w:shd w:val="clear" w:color="auto" w:fill="auto"/>
                </w:tcPr>
                <w:p w:rsidR="00AE4D5A" w:rsidRDefault="00AE4D5A" w:rsidP="008E5E01">
                  <w:pPr>
                    <w:pStyle w:val="TableText"/>
                    <w:spacing w:before="40" w:line="180" w:lineRule="exact"/>
                    <w:jc w:val="right"/>
                    <w:rPr>
                      <w:bCs/>
                      <w:snapToGrid w:val="0"/>
                      <w:color w:val="000000"/>
                      <w:lang w:eastAsia="en-US"/>
                    </w:rPr>
                  </w:pPr>
                  <w:r>
                    <w:rPr>
                      <w:bCs/>
                      <w:snapToGrid w:val="0"/>
                      <w:color w:val="000000"/>
                      <w:lang w:eastAsia="en-US"/>
                    </w:rPr>
                    <w:t>100</w:t>
                  </w:r>
                </w:p>
              </w:tc>
              <w:tc>
                <w:tcPr>
                  <w:tcW w:w="585" w:type="pct"/>
                  <w:tcBorders>
                    <w:bottom w:val="single" w:sz="6" w:space="0" w:color="auto"/>
                  </w:tcBorders>
                  <w:shd w:val="clear" w:color="auto" w:fill="auto"/>
                </w:tcPr>
                <w:p w:rsidR="00AE4D5A" w:rsidRDefault="00AE4D5A" w:rsidP="008E5E01">
                  <w:pPr>
                    <w:pStyle w:val="TableText"/>
                    <w:spacing w:before="40" w:line="180" w:lineRule="exact"/>
                    <w:jc w:val="right"/>
                    <w:rPr>
                      <w:snapToGrid w:val="0"/>
                      <w:color w:val="000000"/>
                      <w:lang w:eastAsia="en-US"/>
                    </w:rPr>
                  </w:pPr>
                  <w:r>
                    <w:rPr>
                      <w:snapToGrid w:val="0"/>
                      <w:color w:val="000000"/>
                      <w:lang w:eastAsia="en-US"/>
                    </w:rPr>
                    <w:t>100</w:t>
                  </w:r>
                </w:p>
              </w:tc>
            </w:tr>
          </w:tbl>
          <w:p w:rsidR="00AE4D5A" w:rsidRPr="00AB4021" w:rsidRDefault="00AE4D5A" w:rsidP="008E5E01">
            <w:pPr>
              <w:pStyle w:val="Source"/>
            </w:pPr>
            <w:r w:rsidRPr="008E77FE">
              <w:rPr>
                <w:rStyle w:val="NoteLabel"/>
              </w:rPr>
              <w:t>a</w:t>
            </w:r>
            <w:r>
              <w:t xml:space="preserve"> Current parameters are shown in bold type. </w:t>
            </w:r>
            <w:r>
              <w:rPr>
                <w:rStyle w:val="NoteLabel"/>
              </w:rPr>
              <w:t>b</w:t>
            </w:r>
            <w:r>
              <w:t xml:space="preserve"> For 2001</w:t>
            </w:r>
            <w:r>
              <w:noBreakHyphen/>
              <w:t>02 the estimated disadvantage was $562 and in 2010</w:t>
            </w:r>
            <w:r>
              <w:noBreakHyphen/>
              <w:t xml:space="preserve">11 it was $549. </w:t>
            </w:r>
          </w:p>
          <w:p w:rsidR="00AE4D5A" w:rsidRPr="00590EE5" w:rsidRDefault="00AE4D5A" w:rsidP="008E5E01">
            <w:pPr>
              <w:pStyle w:val="Box"/>
              <w:rPr>
                <w:spacing w:val="-6"/>
              </w:rPr>
            </w:pPr>
            <w:r w:rsidRPr="00590EE5">
              <w:rPr>
                <w:spacing w:val="-6"/>
              </w:rPr>
              <w:t>Overall, the latest BITRE parameter review found that</w:t>
            </w:r>
            <w:r>
              <w:rPr>
                <w:spacing w:val="-6"/>
              </w:rPr>
              <w:t>,</w:t>
            </w:r>
            <w:r w:rsidRPr="00590EE5">
              <w:rPr>
                <w:spacing w:val="-6"/>
              </w:rPr>
              <w:t xml:space="preserve"> based on updated RFE rates and the median wharf</w:t>
            </w:r>
            <w:r w:rsidRPr="00590EE5">
              <w:rPr>
                <w:spacing w:val="-6"/>
              </w:rPr>
              <w:noBreakHyphen/>
              <w:t>to</w:t>
            </w:r>
            <w:r w:rsidRPr="00590EE5">
              <w:rPr>
                <w:spacing w:val="-6"/>
              </w:rPr>
              <w:noBreakHyphen/>
              <w:t>wharf freight rates, the sea freight cost disadvantages for 2011</w:t>
            </w:r>
            <w:r w:rsidRPr="00590EE5">
              <w:rPr>
                <w:spacing w:val="-6"/>
              </w:rPr>
              <w:noBreakHyphen/>
              <w:t>12 were:</w:t>
            </w:r>
          </w:p>
          <w:p w:rsidR="00AE4D5A" w:rsidRDefault="00AE4D5A" w:rsidP="008E5E01">
            <w:pPr>
              <w:pStyle w:val="BoxListBullet"/>
            </w:pPr>
            <w:r>
              <w:t>$448 per TEU for dry freight (down from $671)</w:t>
            </w:r>
          </w:p>
          <w:p w:rsidR="00AE4D5A" w:rsidRDefault="00AE4D5A" w:rsidP="008E5E01">
            <w:pPr>
              <w:pStyle w:val="BoxListBullet"/>
            </w:pPr>
            <w:r>
              <w:t>$415 per TEU for refrigerated freight (down from $671).</w:t>
            </w:r>
          </w:p>
          <w:p w:rsidR="00AE4D5A" w:rsidRPr="00590EE5" w:rsidRDefault="00AE4D5A" w:rsidP="008E5E01">
            <w:pPr>
              <w:pStyle w:val="Box"/>
              <w:rPr>
                <w:spacing w:val="-6"/>
              </w:rPr>
            </w:pPr>
            <w:r>
              <w:rPr>
                <w:spacing w:val="-6"/>
              </w:rPr>
              <w:t xml:space="preserve">For the </w:t>
            </w:r>
            <w:proofErr w:type="spellStart"/>
            <w:r>
              <w:rPr>
                <w:spacing w:val="-6"/>
              </w:rPr>
              <w:t>intra</w:t>
            </w:r>
            <w:r>
              <w:rPr>
                <w:spacing w:val="-6"/>
              </w:rPr>
              <w:noBreakHyphen/>
              <w:t>st</w:t>
            </w:r>
            <w:r w:rsidRPr="00590EE5">
              <w:rPr>
                <w:spacing w:val="-6"/>
              </w:rPr>
              <w:t>ate</w:t>
            </w:r>
            <w:proofErr w:type="spellEnd"/>
            <w:r w:rsidRPr="00590EE5">
              <w:rPr>
                <w:spacing w:val="-6"/>
              </w:rPr>
              <w:t xml:space="preserve"> </w:t>
            </w:r>
            <w:proofErr w:type="spellStart"/>
            <w:r w:rsidRPr="00590EE5">
              <w:rPr>
                <w:spacing w:val="-6"/>
              </w:rPr>
              <w:t>TFES</w:t>
            </w:r>
            <w:proofErr w:type="spellEnd"/>
            <w:r w:rsidRPr="00590EE5">
              <w:rPr>
                <w:spacing w:val="-6"/>
              </w:rPr>
              <w:t xml:space="preserve"> (King Island and the Furneaux Group of islands) the sea freight cost disadvantages (which have not been updated since 2006</w:t>
            </w:r>
            <w:r w:rsidRPr="00590EE5">
              <w:rPr>
                <w:spacing w:val="-6"/>
              </w:rPr>
              <w:noBreakHyphen/>
              <w:t>07) for 2011</w:t>
            </w:r>
            <w:r w:rsidRPr="00590EE5">
              <w:rPr>
                <w:spacing w:val="-6"/>
              </w:rPr>
              <w:noBreakHyphen/>
              <w:t>12 were:</w:t>
            </w:r>
          </w:p>
          <w:p w:rsidR="00AE4D5A" w:rsidRDefault="00AE4D5A" w:rsidP="008E5E01">
            <w:pPr>
              <w:pStyle w:val="BoxListBullet"/>
            </w:pPr>
            <w:r>
              <w:t>$350 per TEU for dry freight between King Island and Tasmania (up from $275 per TEU in 2006</w:t>
            </w:r>
            <w:r>
              <w:noBreakHyphen/>
              <w:t>07)</w:t>
            </w:r>
          </w:p>
          <w:p w:rsidR="00AE4D5A" w:rsidRPr="003B45E6" w:rsidRDefault="00AE4D5A" w:rsidP="008E5E01">
            <w:pPr>
              <w:pStyle w:val="BoxListBullet"/>
            </w:pPr>
            <w:r>
              <w:t>$1226 per TEU for dry freight for the Furneaux Group of islands to Tasmania (down from $1601 per TEU in 2006</w:t>
            </w:r>
            <w:r>
              <w:noBreakHyphen/>
              <w:t>07).</w:t>
            </w:r>
          </w:p>
          <w:p w:rsidR="00AE4D5A" w:rsidRPr="008C7EB4" w:rsidRDefault="00AE4D5A" w:rsidP="008E5E01">
            <w:pPr>
              <w:pStyle w:val="Box"/>
              <w:rPr>
                <w:spacing w:val="-2"/>
              </w:rPr>
            </w:pPr>
            <w:r w:rsidRPr="003B45E6">
              <w:t xml:space="preserve">BITRE also recommended that the high density </w:t>
            </w:r>
            <w:r>
              <w:t>discount be reduced to 30 per cent (from 40 per cent in the 1996</w:t>
            </w:r>
            <w:r>
              <w:noBreakHyphen/>
              <w:t xml:space="preserve">97 parameters) </w:t>
            </w:r>
            <w:r w:rsidRPr="003B45E6">
              <w:t>and the stowage factors for high density freight</w:t>
            </w:r>
            <w:r>
              <w:t xml:space="preserve"> be</w:t>
            </w:r>
            <w:r w:rsidRPr="003B45E6">
              <w:t xml:space="preserve"> increased from 1.1 to 2.6 tonnes per cubic metre.</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 xml:space="preserve">: </w:t>
            </w:r>
            <w:r w:rsidRPr="00084032">
              <w:rPr>
                <w:rFonts w:cs="Arial"/>
                <w:szCs w:val="24"/>
              </w:rPr>
              <w:t>BITRE </w:t>
            </w:r>
            <w:r w:rsidRPr="009B4EAE">
              <w:rPr>
                <w:rFonts w:cs="Arial"/>
              </w:rPr>
              <w:t>(2013b)</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8E5E01">
      <w:pPr>
        <w:pStyle w:val="Heading4"/>
      </w:pPr>
      <w:r>
        <w:lastRenderedPageBreak/>
        <w:t>Concerns about the latest parameters</w:t>
      </w:r>
    </w:p>
    <w:p w:rsidR="00AE4D5A" w:rsidRDefault="00AE4D5A" w:rsidP="008E5E01">
      <w:pPr>
        <w:pStyle w:val="BodyText"/>
      </w:pPr>
      <w:r>
        <w:t xml:space="preserve">The Commission received evidence at the public hearings and through submissions from a large number of participants that was critical of many aspects of the latest parameter review, including methodology, underlying assumptions and overall conclusions. While participants focused on different issues, a consistent theme was that the freight cost disadvantage faced by Tasmanian shippers was large and persisted even with TFES payment rates at current levels. </w:t>
      </w:r>
    </w:p>
    <w:p w:rsidR="00AE4D5A" w:rsidRDefault="00AE4D5A" w:rsidP="008E5E01">
      <w:pPr>
        <w:pStyle w:val="BodyText"/>
      </w:pPr>
      <w:r>
        <w:t xml:space="preserve">Two key sources of evidence provided to support these views were: </w:t>
      </w:r>
    </w:p>
    <w:p w:rsidR="00AE4D5A" w:rsidRDefault="00AE4D5A" w:rsidP="008E5E01">
      <w:pPr>
        <w:pStyle w:val="ListBullet"/>
      </w:pPr>
      <w:r>
        <w:t xml:space="preserve">estimates of freight costs prepared by Aurecon </w:t>
      </w:r>
      <w:r w:rsidRPr="00D13CAE">
        <w:t>(2013a)</w:t>
      </w:r>
      <w:r>
        <w:t xml:space="preserve"> </w:t>
      </w:r>
    </w:p>
    <w:p w:rsidR="00AE4D5A" w:rsidRDefault="00AE4D5A" w:rsidP="008E5E01">
      <w:pPr>
        <w:pStyle w:val="ListBullet"/>
      </w:pPr>
      <w:r>
        <w:t>data on individual shipping costs experienced by a number of companies.</w:t>
      </w:r>
    </w:p>
    <w:p w:rsidR="00AE4D5A" w:rsidRDefault="00AE4D5A" w:rsidP="008E5E01">
      <w:pPr>
        <w:pStyle w:val="Heading5"/>
      </w:pPr>
      <w:r>
        <w:t>Aurecon/Freight Logistics Coordination Team estimates of cost disadvantage</w:t>
      </w:r>
    </w:p>
    <w:p w:rsidR="00AE4D5A" w:rsidRDefault="00AE4D5A" w:rsidP="008E5E01">
      <w:pPr>
        <w:pStyle w:val="BodyText"/>
      </w:pPr>
      <w:r>
        <w:t xml:space="preserve">Estimates of freight costs prepared by Aurecon for the Freight Logistics Coordination Team were cited in a number of submissions. A key finding of the Aurecon </w:t>
      </w:r>
      <w:r w:rsidRPr="00610594">
        <w:t xml:space="preserve">analysis </w:t>
      </w:r>
      <w:r>
        <w:t xml:space="preserve">is that </w:t>
      </w:r>
      <w:r w:rsidRPr="00610594">
        <w:t xml:space="preserve">even with the TFES at current rates there </w:t>
      </w:r>
      <w:r>
        <w:t>is</w:t>
      </w:r>
      <w:r w:rsidRPr="00610594">
        <w:t xml:space="preserve"> a substantial cost disadvantage — of almost $300 per TEU — for shippers moving a TEU from Hobart to Melbourne relative to shippers moving a TEU a similar distance on the mainland</w:t>
      </w:r>
      <w:r>
        <w:t xml:space="preserve"> (box 2.5). Citing this analysis, the Tasmanian Government noted:</w:t>
      </w:r>
    </w:p>
    <w:p w:rsidR="00AE4D5A" w:rsidRPr="00772B59" w:rsidRDefault="00AE4D5A" w:rsidP="008E5E01">
      <w:pPr>
        <w:pStyle w:val="Quote"/>
      </w:pPr>
      <w:r>
        <w:t xml:space="preserve">The benchmark Hobart to Melbourne shipping cost … with the TFES applied … is still more expensive than a comparable mainland freight journey. … </w:t>
      </w:r>
      <w:r w:rsidRPr="00772B59">
        <w:t>These estimates suggest that some form of indexation and/or benchmarking is required to ensure the TFES can fulfil its freight equalis</w:t>
      </w:r>
      <w:r>
        <w:t xml:space="preserve">ation objective into the future. </w:t>
      </w:r>
      <w:r w:rsidRPr="00772B59">
        <w:t>(sub.</w:t>
      </w:r>
      <w:r>
        <w:t> </w:t>
      </w:r>
      <w:r w:rsidRPr="00772B59">
        <w:t>4</w:t>
      </w:r>
      <w:r>
        <w:t>3</w:t>
      </w:r>
      <w:r w:rsidRPr="00772B59">
        <w:t>, p.</w:t>
      </w:r>
      <w:r>
        <w:t> </w:t>
      </w:r>
      <w:r w:rsidRPr="00772B59">
        <w:t>14)</w:t>
      </w:r>
    </w:p>
    <w:p w:rsidR="00AE4D5A" w:rsidRDefault="00AE4D5A" w:rsidP="008E5E01">
      <w:pPr>
        <w:pStyle w:val="BodyText"/>
      </w:pPr>
      <w:r>
        <w:t>The Commission notes that some differences between estimates of freight cost disadvantage are to be expected given the range of different approaches, assumptions and data sources that can be used. However, the magnitude of the difference between the Aurecon figures and those published by BITRE warranted further enquiry.</w:t>
      </w:r>
    </w:p>
    <w:p w:rsidR="00AE4D5A" w:rsidRDefault="00AE4D5A" w:rsidP="008E5E01">
      <w:pPr>
        <w:pStyle w:val="BodyText"/>
      </w:pPr>
      <w:r>
        <w:t>The Commission raised the issue with officials from DIRD and BITRE during the latter (Canberra) phase of the public hearings and following the release of the draft report and the receipt of earlier public hearing evidence from concerned shippers. The Department also provided additional more detailed evidence in a su</w:t>
      </w:r>
      <w:r w:rsidR="000C756F">
        <w:t>pplementary submission (sub. </w:t>
      </w:r>
      <w:proofErr w:type="spellStart"/>
      <w:r w:rsidR="000C756F">
        <w:t>DR</w:t>
      </w:r>
      <w:r>
        <w:t>107</w:t>
      </w:r>
      <w:proofErr w:type="spellEnd"/>
      <w:r>
        <w:t>). DIRD and BITRE identified a number of issues with the Aurecon analysis, including:</w:t>
      </w:r>
    </w:p>
    <w:p w:rsidR="00AE4D5A" w:rsidRDefault="00AE4D5A" w:rsidP="008E5E01">
      <w:pPr>
        <w:pStyle w:val="ListBullet"/>
      </w:pPr>
      <w:r>
        <w:t>incorrect treatment of ‘lift on lift off’ (intermodal) costs</w:t>
      </w:r>
    </w:p>
    <w:p w:rsidR="00AE4D5A" w:rsidRDefault="00AE4D5A" w:rsidP="008E5E01">
      <w:pPr>
        <w:pStyle w:val="ListBullet"/>
      </w:pPr>
      <w:r>
        <w:t>significant under</w:t>
      </w:r>
      <w:r>
        <w:noBreakHyphen/>
        <w:t>estimation (by around $200 per TEU) of TFES assistance payable due to incorrect application of TFES methodology</w:t>
      </w:r>
    </w:p>
    <w:p w:rsidR="00AE4D5A" w:rsidRDefault="00AE4D5A" w:rsidP="008E5E01">
      <w:pPr>
        <w:pStyle w:val="ListBullet"/>
      </w:pPr>
      <w:r>
        <w:lastRenderedPageBreak/>
        <w:t>use of road freight benchmark costs that appear to reflect low spot rates which are not a representative market benchmark. In addition, the basis of the ‘industry sourced’ road freight rate for Aurecon’s benchmark is not stated</w:t>
      </w:r>
      <w:r>
        <w:rPr>
          <w:rStyle w:val="FootnoteReference"/>
        </w:rPr>
        <w:footnoteReference w:id="7"/>
      </w:r>
      <w:r>
        <w:t xml:space="preserve"> and there is no allowance for ‘operating empty’ in the road freight benchmark.</w:t>
      </w:r>
      <w:r w:rsidRPr="004A2769">
        <w:rPr>
          <w:rStyle w:val="FootnoteReference"/>
        </w:rPr>
        <w:footnoteReference w:id="8"/>
      </w:r>
    </w:p>
    <w:p w:rsidR="00AE4D5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2.5</w:t>
            </w:r>
            <w:r>
              <w:tab/>
              <w:t>Aurecon benchmarking of freight costs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 xml:space="preserve">Aurecon’s </w:t>
            </w:r>
            <w:r w:rsidRPr="00D13CAE">
              <w:rPr>
                <w:rFonts w:cs="Arial"/>
              </w:rPr>
              <w:t>(2013a)</w:t>
            </w:r>
            <w:r>
              <w:t xml:space="preserve"> study for the Freight Logistics Coordination Team benchmarked the cost of transporting a container originating in Tasmania against a road journey originating on the mainland. The costs of transporting a container (one TEU) from Hobart to Melbourne (733 km) were compared with the cost of transporting a container a similar distance on land only. A land journey between Adelaide and Melbourne was used to estimate road costs. This route was chosen as the distance is close to the distance between Hobart and Melbourne (table 2.4).</w:t>
            </w:r>
          </w:p>
          <w:p w:rsidR="00AE4D5A" w:rsidRDefault="00AE4D5A" w:rsidP="008E5E01">
            <w:pPr>
              <w:pStyle w:val="TableTitle"/>
              <w:spacing w:before="120"/>
            </w:pPr>
            <w:r>
              <w:rPr>
                <w:b w:val="0"/>
              </w:rPr>
              <w:t>Table 2.4</w:t>
            </w:r>
            <w:r>
              <w:tab/>
              <w:t>Transport cost comparison: Hobart–Melbourne versus Adelaide–Melbourne</w:t>
            </w:r>
          </w:p>
          <w:p w:rsidR="00AE4D5A" w:rsidRDefault="00AE4D5A" w:rsidP="008E5E01">
            <w:pPr>
              <w:pStyle w:val="Subtitle"/>
            </w:pPr>
            <w:r>
              <w:t>Comparison is for one TEU</w:t>
            </w:r>
          </w:p>
          <w:tbl>
            <w:tblPr>
              <w:tblW w:w="8472" w:type="dxa"/>
              <w:tblLayout w:type="fixed"/>
              <w:tblCellMar>
                <w:left w:w="0" w:type="dxa"/>
                <w:right w:w="0" w:type="dxa"/>
              </w:tblCellMar>
              <w:tblLook w:val="0000" w:firstRow="0" w:lastRow="0" w:firstColumn="0" w:lastColumn="0" w:noHBand="0" w:noVBand="0"/>
            </w:tblPr>
            <w:tblGrid>
              <w:gridCol w:w="1253"/>
              <w:gridCol w:w="1140"/>
              <w:gridCol w:w="708"/>
              <w:gridCol w:w="1295"/>
              <w:gridCol w:w="708"/>
              <w:gridCol w:w="851"/>
              <w:gridCol w:w="686"/>
              <w:gridCol w:w="996"/>
              <w:gridCol w:w="835"/>
            </w:tblGrid>
            <w:tr w:rsidR="00AE4D5A" w:rsidRPr="001B053B" w:rsidTr="0006460E">
              <w:tc>
                <w:tcPr>
                  <w:tcW w:w="739" w:type="pct"/>
                  <w:tcBorders>
                    <w:top w:val="single" w:sz="4" w:space="0" w:color="auto"/>
                  </w:tcBorders>
                  <w:shd w:val="clear" w:color="auto" w:fill="auto"/>
                </w:tcPr>
                <w:p w:rsidR="00AE4D5A" w:rsidRPr="00352051" w:rsidRDefault="00AE4D5A" w:rsidP="008E5E01">
                  <w:pPr>
                    <w:pStyle w:val="TableColumnHeading"/>
                    <w:ind w:right="0"/>
                    <w:jc w:val="left"/>
                    <w:rPr>
                      <w:b/>
                      <w:sz w:val="18"/>
                      <w:szCs w:val="18"/>
                    </w:rPr>
                  </w:pPr>
                </w:p>
              </w:tc>
              <w:tc>
                <w:tcPr>
                  <w:tcW w:w="1091" w:type="pct"/>
                  <w:gridSpan w:val="2"/>
                  <w:tcBorders>
                    <w:top w:val="single" w:sz="6" w:space="0" w:color="auto"/>
                    <w:bottom w:val="single" w:sz="6" w:space="0" w:color="auto"/>
                  </w:tcBorders>
                  <w:shd w:val="clear" w:color="auto" w:fill="auto"/>
                </w:tcPr>
                <w:p w:rsidR="00AE4D5A" w:rsidRPr="00352051" w:rsidRDefault="00AE4D5A" w:rsidP="008E5E01">
                  <w:pPr>
                    <w:pStyle w:val="TableColumnHeading"/>
                    <w:ind w:right="28"/>
                    <w:rPr>
                      <w:b/>
                      <w:sz w:val="18"/>
                      <w:szCs w:val="18"/>
                    </w:rPr>
                  </w:pPr>
                  <w:r w:rsidRPr="00352051">
                    <w:rPr>
                      <w:b/>
                      <w:sz w:val="18"/>
                      <w:szCs w:val="18"/>
                    </w:rPr>
                    <w:t>Export – Hobart to Melbourne</w:t>
                  </w:r>
                  <w:r w:rsidRPr="009F1D0B">
                    <w:rPr>
                      <w:rStyle w:val="NoteLabel"/>
                      <w:b w:val="0"/>
                      <w:spacing w:val="-2"/>
                    </w:rPr>
                    <w:t xml:space="preserve"> </w:t>
                  </w:r>
                </w:p>
              </w:tc>
              <w:tc>
                <w:tcPr>
                  <w:tcW w:w="1182" w:type="pct"/>
                  <w:gridSpan w:val="2"/>
                  <w:tcBorders>
                    <w:top w:val="single" w:sz="6" w:space="0" w:color="auto"/>
                    <w:bottom w:val="single" w:sz="6" w:space="0" w:color="auto"/>
                  </w:tcBorders>
                  <w:shd w:val="clear" w:color="auto" w:fill="auto"/>
                </w:tcPr>
                <w:p w:rsidR="00AE4D5A" w:rsidRPr="00352051" w:rsidRDefault="00AE4D5A" w:rsidP="008E5E01">
                  <w:pPr>
                    <w:pStyle w:val="TableColumnHeading"/>
                    <w:ind w:right="28"/>
                    <w:rPr>
                      <w:b/>
                      <w:sz w:val="18"/>
                      <w:szCs w:val="18"/>
                    </w:rPr>
                  </w:pPr>
                  <w:r w:rsidRPr="00352051">
                    <w:rPr>
                      <w:b/>
                      <w:sz w:val="18"/>
                      <w:szCs w:val="18"/>
                    </w:rPr>
                    <w:t>Domestic (TFES assisted) – Hobart to Melbourne</w:t>
                  </w:r>
                </w:p>
              </w:tc>
              <w:tc>
                <w:tcPr>
                  <w:tcW w:w="907" w:type="pct"/>
                  <w:gridSpan w:val="2"/>
                  <w:tcBorders>
                    <w:top w:val="single" w:sz="6" w:space="0" w:color="auto"/>
                    <w:bottom w:val="single" w:sz="6" w:space="0" w:color="auto"/>
                  </w:tcBorders>
                </w:tcPr>
                <w:p w:rsidR="00AE4D5A" w:rsidRPr="00352051" w:rsidRDefault="00AE4D5A" w:rsidP="008E5E01">
                  <w:pPr>
                    <w:pStyle w:val="TableColumnHeading"/>
                    <w:ind w:right="28"/>
                    <w:rPr>
                      <w:b/>
                      <w:sz w:val="18"/>
                      <w:szCs w:val="18"/>
                    </w:rPr>
                  </w:pPr>
                  <w:r w:rsidRPr="00352051">
                    <w:rPr>
                      <w:b/>
                      <w:sz w:val="18"/>
                      <w:szCs w:val="18"/>
                    </w:rPr>
                    <w:t xml:space="preserve">Land only – </w:t>
                  </w:r>
                  <w:proofErr w:type="spellStart"/>
                  <w:r w:rsidRPr="00352051">
                    <w:rPr>
                      <w:b/>
                      <w:sz w:val="18"/>
                      <w:szCs w:val="18"/>
                    </w:rPr>
                    <w:t>19m</w:t>
                  </w:r>
                  <w:proofErr w:type="spellEnd"/>
                  <w:r w:rsidRPr="00352051">
                    <w:rPr>
                      <w:b/>
                      <w:sz w:val="18"/>
                      <w:szCs w:val="18"/>
                    </w:rPr>
                    <w:t xml:space="preserve"> Semi – </w:t>
                  </w:r>
                  <w:proofErr w:type="spellStart"/>
                  <w:r w:rsidRPr="00352051">
                    <w:rPr>
                      <w:b/>
                      <w:sz w:val="18"/>
                      <w:szCs w:val="18"/>
                    </w:rPr>
                    <w:t>733km</w:t>
                  </w:r>
                  <w:proofErr w:type="spellEnd"/>
                </w:p>
              </w:tc>
              <w:tc>
                <w:tcPr>
                  <w:tcW w:w="1081" w:type="pct"/>
                  <w:gridSpan w:val="2"/>
                  <w:tcBorders>
                    <w:top w:val="single" w:sz="6" w:space="0" w:color="auto"/>
                    <w:bottom w:val="single" w:sz="6" w:space="0" w:color="auto"/>
                  </w:tcBorders>
                </w:tcPr>
                <w:p w:rsidR="00AE4D5A" w:rsidRPr="00352051" w:rsidRDefault="00AE4D5A" w:rsidP="008E5E01">
                  <w:pPr>
                    <w:pStyle w:val="TableColumnHeading"/>
                    <w:ind w:right="28"/>
                    <w:rPr>
                      <w:b/>
                      <w:sz w:val="18"/>
                      <w:szCs w:val="18"/>
                    </w:rPr>
                  </w:pPr>
                  <w:r w:rsidRPr="00352051">
                    <w:rPr>
                      <w:b/>
                      <w:sz w:val="18"/>
                      <w:szCs w:val="18"/>
                    </w:rPr>
                    <w:t xml:space="preserve">Land only – </w:t>
                  </w:r>
                  <w:proofErr w:type="spellStart"/>
                  <w:r w:rsidRPr="00352051">
                    <w:rPr>
                      <w:b/>
                      <w:sz w:val="18"/>
                      <w:szCs w:val="18"/>
                    </w:rPr>
                    <w:t>26m</w:t>
                  </w:r>
                  <w:proofErr w:type="spellEnd"/>
                  <w:r w:rsidRPr="00352051">
                    <w:rPr>
                      <w:b/>
                      <w:sz w:val="18"/>
                      <w:szCs w:val="18"/>
                    </w:rPr>
                    <w:t xml:space="preserve"> </w:t>
                  </w:r>
                  <w:r w:rsidRPr="00352051">
                    <w:rPr>
                      <w:b/>
                      <w:sz w:val="18"/>
                      <w:szCs w:val="18"/>
                    </w:rPr>
                    <w:br/>
                    <w:t>B</w:t>
                  </w:r>
                  <w:r>
                    <w:rPr>
                      <w:b/>
                      <w:sz w:val="18"/>
                      <w:szCs w:val="18"/>
                    </w:rPr>
                    <w:noBreakHyphen/>
                  </w:r>
                  <w:r w:rsidRPr="00352051">
                    <w:rPr>
                      <w:b/>
                      <w:sz w:val="18"/>
                      <w:szCs w:val="18"/>
                    </w:rPr>
                    <w:t xml:space="preserve">Double – </w:t>
                  </w:r>
                  <w:proofErr w:type="spellStart"/>
                  <w:r w:rsidRPr="00352051">
                    <w:rPr>
                      <w:b/>
                      <w:sz w:val="18"/>
                      <w:szCs w:val="18"/>
                    </w:rPr>
                    <w:t>733km</w:t>
                  </w:r>
                  <w:proofErr w:type="spellEnd"/>
                </w:p>
              </w:tc>
            </w:tr>
            <w:tr w:rsidR="00AE4D5A" w:rsidRPr="001B053B" w:rsidTr="0006460E">
              <w:tc>
                <w:tcPr>
                  <w:tcW w:w="739" w:type="pct"/>
                  <w:tcBorders>
                    <w:bottom w:val="single" w:sz="6" w:space="0" w:color="auto"/>
                  </w:tcBorders>
                  <w:shd w:val="clear" w:color="auto" w:fill="auto"/>
                </w:tcPr>
                <w:p w:rsidR="00AE4D5A" w:rsidRPr="00352051" w:rsidRDefault="00AE4D5A" w:rsidP="008E5E01">
                  <w:pPr>
                    <w:pStyle w:val="TableColumnHeading"/>
                    <w:ind w:right="0"/>
                    <w:jc w:val="left"/>
                    <w:rPr>
                      <w:sz w:val="18"/>
                      <w:szCs w:val="18"/>
                    </w:rPr>
                  </w:pPr>
                </w:p>
              </w:tc>
              <w:tc>
                <w:tcPr>
                  <w:tcW w:w="673" w:type="pct"/>
                  <w:tcBorders>
                    <w:top w:val="single" w:sz="6" w:space="0" w:color="auto"/>
                    <w:bottom w:val="single" w:sz="6" w:space="0" w:color="auto"/>
                  </w:tcBorders>
                  <w:shd w:val="clear" w:color="auto" w:fill="auto"/>
                </w:tcPr>
                <w:p w:rsidR="00AE4D5A" w:rsidRPr="00352051" w:rsidRDefault="00AE4D5A" w:rsidP="008E5E01">
                  <w:pPr>
                    <w:pStyle w:val="TableColumnHeading"/>
                    <w:ind w:left="0" w:right="-1"/>
                    <w:rPr>
                      <w:sz w:val="18"/>
                      <w:szCs w:val="18"/>
                    </w:rPr>
                  </w:pPr>
                  <w:r w:rsidRPr="00352051">
                    <w:rPr>
                      <w:sz w:val="18"/>
                      <w:szCs w:val="18"/>
                    </w:rPr>
                    <w:t>Unit</w:t>
                  </w:r>
                </w:p>
              </w:tc>
              <w:tc>
                <w:tcPr>
                  <w:tcW w:w="418" w:type="pct"/>
                  <w:tcBorders>
                    <w:top w:val="single" w:sz="6" w:space="0" w:color="auto"/>
                    <w:bottom w:val="single" w:sz="6" w:space="0" w:color="auto"/>
                  </w:tcBorders>
                </w:tcPr>
                <w:p w:rsidR="00AE4D5A" w:rsidRPr="00352051" w:rsidRDefault="00AE4D5A" w:rsidP="008E5E01">
                  <w:pPr>
                    <w:pStyle w:val="TableColumnHeading"/>
                    <w:framePr w:w="2155" w:hSpace="227" w:vSpace="181" w:wrap="around" w:vAnchor="text" w:hAnchor="page" w:xAlign="outside" w:y="1"/>
                    <w:ind w:right="28"/>
                    <w:rPr>
                      <w:sz w:val="18"/>
                      <w:szCs w:val="18"/>
                    </w:rPr>
                  </w:pPr>
                  <w:r w:rsidRPr="00352051">
                    <w:rPr>
                      <w:sz w:val="18"/>
                      <w:szCs w:val="18"/>
                    </w:rPr>
                    <w:t>Cost ($)</w:t>
                  </w:r>
                </w:p>
              </w:tc>
              <w:tc>
                <w:tcPr>
                  <w:tcW w:w="764" w:type="pct"/>
                  <w:tcBorders>
                    <w:top w:val="single" w:sz="6" w:space="0" w:color="auto"/>
                    <w:bottom w:val="single" w:sz="6" w:space="0" w:color="auto"/>
                  </w:tcBorders>
                  <w:shd w:val="clear" w:color="auto" w:fill="auto"/>
                </w:tcPr>
                <w:p w:rsidR="00AE4D5A" w:rsidRPr="00352051" w:rsidRDefault="00AE4D5A" w:rsidP="008E5E01">
                  <w:pPr>
                    <w:pStyle w:val="TableColumnHeading"/>
                    <w:framePr w:w="2155" w:hSpace="227" w:vSpace="181" w:wrap="around" w:vAnchor="text" w:hAnchor="page" w:xAlign="outside" w:y="1"/>
                    <w:ind w:right="28"/>
                    <w:rPr>
                      <w:sz w:val="18"/>
                      <w:szCs w:val="18"/>
                    </w:rPr>
                  </w:pPr>
                  <w:r w:rsidRPr="00352051">
                    <w:rPr>
                      <w:sz w:val="18"/>
                      <w:szCs w:val="18"/>
                    </w:rPr>
                    <w:t>Unit</w:t>
                  </w:r>
                </w:p>
              </w:tc>
              <w:tc>
                <w:tcPr>
                  <w:tcW w:w="418" w:type="pct"/>
                  <w:tcBorders>
                    <w:top w:val="single" w:sz="6" w:space="0" w:color="auto"/>
                    <w:bottom w:val="single" w:sz="6" w:space="0" w:color="auto"/>
                  </w:tcBorders>
                </w:tcPr>
                <w:p w:rsidR="00AE4D5A" w:rsidRPr="00352051" w:rsidRDefault="00AE4D5A" w:rsidP="008E5E01">
                  <w:pPr>
                    <w:pStyle w:val="TableColumnHeading"/>
                    <w:framePr w:w="2155" w:hSpace="227" w:vSpace="181" w:wrap="around" w:vAnchor="text" w:hAnchor="page" w:xAlign="outside" w:y="1"/>
                    <w:ind w:right="28"/>
                    <w:rPr>
                      <w:sz w:val="18"/>
                      <w:szCs w:val="18"/>
                    </w:rPr>
                  </w:pPr>
                  <w:r w:rsidRPr="00352051">
                    <w:rPr>
                      <w:sz w:val="18"/>
                      <w:szCs w:val="18"/>
                    </w:rPr>
                    <w:t>Cost ($)</w:t>
                  </w:r>
                </w:p>
              </w:tc>
              <w:tc>
                <w:tcPr>
                  <w:tcW w:w="502" w:type="pct"/>
                  <w:tcBorders>
                    <w:top w:val="single" w:sz="6" w:space="0" w:color="auto"/>
                    <w:bottom w:val="single" w:sz="6" w:space="0" w:color="auto"/>
                  </w:tcBorders>
                </w:tcPr>
                <w:p w:rsidR="00AE4D5A" w:rsidRPr="00352051" w:rsidRDefault="00AE4D5A" w:rsidP="008E5E01">
                  <w:pPr>
                    <w:pStyle w:val="TableColumnHeading"/>
                    <w:framePr w:w="2155" w:hSpace="227" w:vSpace="181" w:wrap="around" w:vAnchor="text" w:hAnchor="page" w:xAlign="outside" w:y="1"/>
                    <w:ind w:right="28"/>
                    <w:rPr>
                      <w:sz w:val="18"/>
                      <w:szCs w:val="18"/>
                    </w:rPr>
                  </w:pPr>
                  <w:r w:rsidRPr="00352051">
                    <w:rPr>
                      <w:sz w:val="18"/>
                      <w:szCs w:val="18"/>
                    </w:rPr>
                    <w:t>Unit</w:t>
                  </w:r>
                </w:p>
              </w:tc>
              <w:tc>
                <w:tcPr>
                  <w:tcW w:w="405" w:type="pct"/>
                  <w:tcBorders>
                    <w:top w:val="single" w:sz="6" w:space="0" w:color="auto"/>
                    <w:bottom w:val="single" w:sz="6" w:space="0" w:color="auto"/>
                  </w:tcBorders>
                </w:tcPr>
                <w:p w:rsidR="00AE4D5A" w:rsidRPr="00352051" w:rsidRDefault="00AE4D5A" w:rsidP="008E5E01">
                  <w:pPr>
                    <w:pStyle w:val="TableColumnHeading"/>
                    <w:ind w:right="28"/>
                    <w:rPr>
                      <w:sz w:val="18"/>
                      <w:szCs w:val="18"/>
                    </w:rPr>
                  </w:pPr>
                  <w:r w:rsidRPr="00352051">
                    <w:rPr>
                      <w:sz w:val="18"/>
                      <w:szCs w:val="18"/>
                    </w:rPr>
                    <w:t>Cost ($)</w:t>
                  </w:r>
                </w:p>
              </w:tc>
              <w:tc>
                <w:tcPr>
                  <w:tcW w:w="588" w:type="pct"/>
                  <w:tcBorders>
                    <w:top w:val="single" w:sz="6" w:space="0" w:color="auto"/>
                    <w:bottom w:val="single" w:sz="6" w:space="0" w:color="auto"/>
                  </w:tcBorders>
                </w:tcPr>
                <w:p w:rsidR="00AE4D5A" w:rsidRPr="00352051" w:rsidRDefault="00AE4D5A" w:rsidP="008E5E01">
                  <w:pPr>
                    <w:pStyle w:val="TableColumnHeading"/>
                    <w:ind w:right="28"/>
                    <w:rPr>
                      <w:sz w:val="18"/>
                      <w:szCs w:val="18"/>
                    </w:rPr>
                  </w:pPr>
                  <w:r w:rsidRPr="00352051">
                    <w:rPr>
                      <w:sz w:val="18"/>
                      <w:szCs w:val="18"/>
                    </w:rPr>
                    <w:t>Unit</w:t>
                  </w:r>
                </w:p>
              </w:tc>
              <w:tc>
                <w:tcPr>
                  <w:tcW w:w="493" w:type="pct"/>
                  <w:tcBorders>
                    <w:top w:val="single" w:sz="6" w:space="0" w:color="auto"/>
                    <w:bottom w:val="single" w:sz="6" w:space="0" w:color="auto"/>
                  </w:tcBorders>
                </w:tcPr>
                <w:p w:rsidR="00AE4D5A" w:rsidRPr="00352051" w:rsidRDefault="00AE4D5A" w:rsidP="008E5E01">
                  <w:pPr>
                    <w:pStyle w:val="TableColumnHeading"/>
                    <w:ind w:right="28"/>
                    <w:rPr>
                      <w:sz w:val="18"/>
                      <w:szCs w:val="18"/>
                    </w:rPr>
                  </w:pPr>
                  <w:r w:rsidRPr="00352051">
                    <w:rPr>
                      <w:sz w:val="18"/>
                      <w:szCs w:val="18"/>
                    </w:rPr>
                    <w:t>Cost ($)</w:t>
                  </w:r>
                </w:p>
              </w:tc>
            </w:tr>
            <w:tr w:rsidR="00AE4D5A" w:rsidRPr="001B053B" w:rsidTr="0006460E">
              <w:tc>
                <w:tcPr>
                  <w:tcW w:w="739" w:type="pct"/>
                  <w:tcBorders>
                    <w:top w:val="single" w:sz="6" w:space="0" w:color="auto"/>
                  </w:tcBorders>
                </w:tcPr>
                <w:p w:rsidR="00AE4D5A" w:rsidRPr="00352051" w:rsidRDefault="00AE4D5A" w:rsidP="008E5E01">
                  <w:pPr>
                    <w:pStyle w:val="TableUnitsRow"/>
                    <w:ind w:right="0"/>
                    <w:jc w:val="left"/>
                    <w:rPr>
                      <w:sz w:val="18"/>
                      <w:szCs w:val="18"/>
                    </w:rPr>
                  </w:pPr>
                  <w:r w:rsidRPr="00352051">
                    <w:rPr>
                      <w:sz w:val="18"/>
                      <w:szCs w:val="18"/>
                    </w:rPr>
                    <w:t>Road leg</w:t>
                  </w:r>
                </w:p>
              </w:tc>
              <w:tc>
                <w:tcPr>
                  <w:tcW w:w="673" w:type="pct"/>
                  <w:tcBorders>
                    <w:top w:val="single" w:sz="6" w:space="0" w:color="auto"/>
                  </w:tcBorders>
                </w:tcPr>
                <w:p w:rsidR="00AE4D5A" w:rsidRPr="00352051" w:rsidRDefault="00AE4D5A" w:rsidP="008E5E01">
                  <w:pPr>
                    <w:pStyle w:val="TableUnitsRow"/>
                    <w:ind w:left="0" w:right="-1"/>
                    <w:rPr>
                      <w:sz w:val="18"/>
                      <w:szCs w:val="18"/>
                    </w:rPr>
                  </w:pPr>
                  <w:proofErr w:type="spellStart"/>
                  <w:r w:rsidRPr="00352051">
                    <w:rPr>
                      <w:sz w:val="18"/>
                      <w:szCs w:val="18"/>
                    </w:rPr>
                    <w:t>278km</w:t>
                  </w:r>
                  <w:proofErr w:type="spellEnd"/>
                  <w:r w:rsidRPr="00352051">
                    <w:rPr>
                      <w:sz w:val="18"/>
                      <w:szCs w:val="18"/>
                    </w:rPr>
                    <w:t xml:space="preserve"> at $1</w:t>
                  </w:r>
                  <w:r>
                    <w:rPr>
                      <w:sz w:val="18"/>
                      <w:szCs w:val="18"/>
                    </w:rPr>
                    <w:t>.</w:t>
                  </w:r>
                  <w:r w:rsidRPr="00352051">
                    <w:rPr>
                      <w:sz w:val="18"/>
                      <w:szCs w:val="18"/>
                    </w:rPr>
                    <w:t>09/km</w:t>
                  </w:r>
                </w:p>
              </w:tc>
              <w:tc>
                <w:tcPr>
                  <w:tcW w:w="418"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r w:rsidRPr="00352051">
                    <w:rPr>
                      <w:sz w:val="18"/>
                      <w:szCs w:val="18"/>
                    </w:rPr>
                    <w:t>303</w:t>
                  </w:r>
                </w:p>
              </w:tc>
              <w:tc>
                <w:tcPr>
                  <w:tcW w:w="764"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proofErr w:type="spellStart"/>
                  <w:r w:rsidRPr="00352051">
                    <w:rPr>
                      <w:sz w:val="18"/>
                      <w:szCs w:val="18"/>
                    </w:rPr>
                    <w:t>278km</w:t>
                  </w:r>
                  <w:proofErr w:type="spellEnd"/>
                  <w:r w:rsidRPr="00352051">
                    <w:rPr>
                      <w:sz w:val="18"/>
                      <w:szCs w:val="18"/>
                    </w:rPr>
                    <w:t xml:space="preserve"> at $1</w:t>
                  </w:r>
                  <w:r>
                    <w:rPr>
                      <w:sz w:val="18"/>
                      <w:szCs w:val="18"/>
                    </w:rPr>
                    <w:t>.</w:t>
                  </w:r>
                  <w:r w:rsidRPr="00352051">
                    <w:rPr>
                      <w:sz w:val="18"/>
                      <w:szCs w:val="18"/>
                    </w:rPr>
                    <w:t>09/km</w:t>
                  </w:r>
                </w:p>
              </w:tc>
              <w:tc>
                <w:tcPr>
                  <w:tcW w:w="418"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r w:rsidRPr="00352051">
                    <w:rPr>
                      <w:sz w:val="18"/>
                      <w:szCs w:val="18"/>
                    </w:rPr>
                    <w:t>303</w:t>
                  </w:r>
                </w:p>
              </w:tc>
              <w:tc>
                <w:tcPr>
                  <w:tcW w:w="502"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proofErr w:type="spellStart"/>
                  <w:r>
                    <w:rPr>
                      <w:sz w:val="18"/>
                      <w:szCs w:val="18"/>
                    </w:rPr>
                    <w:t>733km</w:t>
                  </w:r>
                  <w:proofErr w:type="spellEnd"/>
                  <w:r>
                    <w:rPr>
                      <w:sz w:val="18"/>
                      <w:szCs w:val="18"/>
                    </w:rPr>
                    <w:t xml:space="preserve"> at $1.09/km</w:t>
                  </w:r>
                </w:p>
              </w:tc>
              <w:tc>
                <w:tcPr>
                  <w:tcW w:w="405"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r>
                    <w:rPr>
                      <w:sz w:val="18"/>
                      <w:szCs w:val="18"/>
                    </w:rPr>
                    <w:t>799</w:t>
                  </w:r>
                </w:p>
              </w:tc>
              <w:tc>
                <w:tcPr>
                  <w:tcW w:w="588"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proofErr w:type="spellStart"/>
                  <w:r>
                    <w:rPr>
                      <w:sz w:val="18"/>
                      <w:szCs w:val="18"/>
                    </w:rPr>
                    <w:t>733km</w:t>
                  </w:r>
                  <w:proofErr w:type="spellEnd"/>
                  <w:r>
                    <w:rPr>
                      <w:sz w:val="18"/>
                      <w:szCs w:val="18"/>
                    </w:rPr>
                    <w:t xml:space="preserve"> at $0.77/km</w:t>
                  </w:r>
                </w:p>
              </w:tc>
              <w:tc>
                <w:tcPr>
                  <w:tcW w:w="493" w:type="pct"/>
                  <w:tcBorders>
                    <w:top w:val="single" w:sz="6" w:space="0" w:color="auto"/>
                  </w:tcBorders>
                </w:tcPr>
                <w:p w:rsidR="00AE4D5A" w:rsidRPr="00352051" w:rsidRDefault="00AE4D5A" w:rsidP="008E5E01">
                  <w:pPr>
                    <w:pStyle w:val="TableUnitsRow"/>
                    <w:framePr w:w="2155" w:hSpace="227" w:vSpace="181" w:wrap="around" w:vAnchor="text" w:hAnchor="page" w:xAlign="outside" w:y="1"/>
                    <w:ind w:right="28"/>
                    <w:rPr>
                      <w:sz w:val="18"/>
                      <w:szCs w:val="18"/>
                    </w:rPr>
                  </w:pPr>
                  <w:r>
                    <w:rPr>
                      <w:sz w:val="18"/>
                      <w:szCs w:val="18"/>
                    </w:rPr>
                    <w:t>564</w:t>
                  </w:r>
                </w:p>
              </w:tc>
            </w:tr>
            <w:tr w:rsidR="00AE4D5A" w:rsidRPr="001B053B" w:rsidTr="0006460E">
              <w:tc>
                <w:tcPr>
                  <w:tcW w:w="739" w:type="pct"/>
                </w:tcPr>
                <w:p w:rsidR="00AE4D5A" w:rsidRPr="00352051" w:rsidRDefault="00AE4D5A" w:rsidP="008E5E01">
                  <w:pPr>
                    <w:pStyle w:val="TableBodyText"/>
                    <w:ind w:right="0"/>
                    <w:jc w:val="left"/>
                    <w:rPr>
                      <w:sz w:val="18"/>
                      <w:szCs w:val="18"/>
                    </w:rPr>
                  </w:pPr>
                  <w:r w:rsidRPr="00352051">
                    <w:rPr>
                      <w:sz w:val="18"/>
                      <w:szCs w:val="18"/>
                    </w:rPr>
                    <w:t>Lift on</w:t>
                  </w:r>
                </w:p>
              </w:tc>
              <w:tc>
                <w:tcPr>
                  <w:tcW w:w="673" w:type="pct"/>
                </w:tcPr>
                <w:p w:rsidR="00AE4D5A" w:rsidRPr="00352051" w:rsidRDefault="00AE4D5A" w:rsidP="008E5E01">
                  <w:pPr>
                    <w:pStyle w:val="TableBodyText"/>
                    <w:ind w:left="0" w:right="-1"/>
                    <w:rPr>
                      <w:sz w:val="18"/>
                      <w:szCs w:val="18"/>
                    </w:rPr>
                  </w:pP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50</w:t>
                  </w:r>
                </w:p>
              </w:tc>
              <w:tc>
                <w:tcPr>
                  <w:tcW w:w="764" w:type="pct"/>
                </w:tcPr>
                <w:p w:rsidR="00AE4D5A" w:rsidRPr="00352051" w:rsidRDefault="00AE4D5A" w:rsidP="008E5E01">
                  <w:pPr>
                    <w:pStyle w:val="TableBodyText"/>
                    <w:ind w:right="28"/>
                    <w:rPr>
                      <w:sz w:val="18"/>
                      <w:szCs w:val="18"/>
                    </w:rPr>
                  </w:pP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0</w:t>
                  </w:r>
                </w:p>
              </w:tc>
              <w:tc>
                <w:tcPr>
                  <w:tcW w:w="502" w:type="pct"/>
                </w:tcPr>
                <w:p w:rsidR="00AE4D5A" w:rsidRPr="00352051" w:rsidRDefault="00AE4D5A" w:rsidP="008E5E01">
                  <w:pPr>
                    <w:pStyle w:val="TableBodyText"/>
                    <w:ind w:right="28"/>
                    <w:rPr>
                      <w:sz w:val="18"/>
                      <w:szCs w:val="18"/>
                    </w:rPr>
                  </w:pPr>
                </w:p>
              </w:tc>
              <w:tc>
                <w:tcPr>
                  <w:tcW w:w="405"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c>
                <w:tcPr>
                  <w:tcW w:w="588" w:type="pct"/>
                </w:tcPr>
                <w:p w:rsidR="00AE4D5A" w:rsidRPr="00352051" w:rsidRDefault="00AE4D5A" w:rsidP="008E5E01">
                  <w:pPr>
                    <w:pStyle w:val="TableBodyText"/>
                    <w:ind w:right="28"/>
                    <w:rPr>
                      <w:sz w:val="18"/>
                      <w:szCs w:val="18"/>
                    </w:rPr>
                  </w:pPr>
                </w:p>
              </w:tc>
              <w:tc>
                <w:tcPr>
                  <w:tcW w:w="493"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r>
            <w:tr w:rsidR="00AE4D5A" w:rsidRPr="001B053B" w:rsidTr="0006460E">
              <w:tc>
                <w:tcPr>
                  <w:tcW w:w="739" w:type="pct"/>
                </w:tcPr>
                <w:p w:rsidR="00AE4D5A" w:rsidRPr="00352051" w:rsidRDefault="00AE4D5A" w:rsidP="008E5E01">
                  <w:pPr>
                    <w:pStyle w:val="TableBodyText"/>
                    <w:ind w:right="0"/>
                    <w:jc w:val="left"/>
                    <w:rPr>
                      <w:sz w:val="18"/>
                      <w:szCs w:val="18"/>
                    </w:rPr>
                  </w:pPr>
                  <w:r w:rsidRPr="00352051">
                    <w:rPr>
                      <w:sz w:val="18"/>
                      <w:szCs w:val="18"/>
                    </w:rPr>
                    <w:t>Bass Strait</w:t>
                  </w:r>
                </w:p>
              </w:tc>
              <w:tc>
                <w:tcPr>
                  <w:tcW w:w="673" w:type="pct"/>
                </w:tcPr>
                <w:p w:rsidR="00AE4D5A" w:rsidRPr="00352051" w:rsidRDefault="00AE4D5A" w:rsidP="008E5E01">
                  <w:pPr>
                    <w:pStyle w:val="TableBodyText"/>
                    <w:ind w:left="0" w:right="-1"/>
                    <w:rPr>
                      <w:sz w:val="18"/>
                      <w:szCs w:val="18"/>
                    </w:rPr>
                  </w:pPr>
                  <w:r w:rsidRPr="00352051">
                    <w:rPr>
                      <w:sz w:val="18"/>
                      <w:szCs w:val="18"/>
                    </w:rPr>
                    <w:t xml:space="preserve">Devonport </w:t>
                  </w:r>
                  <w:r>
                    <w:rPr>
                      <w:sz w:val="18"/>
                      <w:szCs w:val="18"/>
                    </w:rPr>
                    <w:t>–</w:t>
                  </w:r>
                  <w:r w:rsidRPr="00352051">
                    <w:rPr>
                      <w:sz w:val="18"/>
                      <w:szCs w:val="18"/>
                    </w:rPr>
                    <w:t xml:space="preserve"> Melbourne</w:t>
                  </w: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900</w:t>
                  </w:r>
                </w:p>
              </w:tc>
              <w:tc>
                <w:tcPr>
                  <w:tcW w:w="764"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 xml:space="preserve">Devonport </w:t>
                  </w:r>
                  <w:r>
                    <w:rPr>
                      <w:sz w:val="18"/>
                      <w:szCs w:val="18"/>
                    </w:rPr>
                    <w:t>–</w:t>
                  </w:r>
                  <w:r w:rsidRPr="00352051">
                    <w:rPr>
                      <w:sz w:val="18"/>
                      <w:szCs w:val="18"/>
                    </w:rPr>
                    <w:t xml:space="preserve"> Melbourne </w:t>
                  </w: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450</w:t>
                  </w:r>
                </w:p>
              </w:tc>
              <w:tc>
                <w:tcPr>
                  <w:tcW w:w="502" w:type="pct"/>
                </w:tcPr>
                <w:p w:rsidR="00AE4D5A" w:rsidRPr="00352051" w:rsidRDefault="00AE4D5A" w:rsidP="008E5E01">
                  <w:pPr>
                    <w:pStyle w:val="TableBodyText"/>
                    <w:ind w:right="28"/>
                    <w:rPr>
                      <w:sz w:val="18"/>
                      <w:szCs w:val="18"/>
                    </w:rPr>
                  </w:pPr>
                </w:p>
              </w:tc>
              <w:tc>
                <w:tcPr>
                  <w:tcW w:w="405"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c>
                <w:tcPr>
                  <w:tcW w:w="588" w:type="pct"/>
                </w:tcPr>
                <w:p w:rsidR="00AE4D5A" w:rsidRPr="00352051" w:rsidRDefault="00AE4D5A" w:rsidP="008E5E01">
                  <w:pPr>
                    <w:pStyle w:val="TableBodyText"/>
                    <w:ind w:right="28"/>
                    <w:rPr>
                      <w:sz w:val="18"/>
                      <w:szCs w:val="18"/>
                    </w:rPr>
                  </w:pPr>
                </w:p>
              </w:tc>
              <w:tc>
                <w:tcPr>
                  <w:tcW w:w="493"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r>
            <w:tr w:rsidR="00AE4D5A" w:rsidRPr="001B053B" w:rsidTr="0006460E">
              <w:tc>
                <w:tcPr>
                  <w:tcW w:w="739" w:type="pct"/>
                </w:tcPr>
                <w:p w:rsidR="00AE4D5A" w:rsidRPr="00352051" w:rsidRDefault="00AE4D5A" w:rsidP="008E5E01">
                  <w:pPr>
                    <w:pStyle w:val="TableBodyText"/>
                    <w:ind w:right="0"/>
                    <w:jc w:val="left"/>
                    <w:rPr>
                      <w:sz w:val="18"/>
                      <w:szCs w:val="18"/>
                    </w:rPr>
                  </w:pPr>
                  <w:r w:rsidRPr="00352051">
                    <w:rPr>
                      <w:sz w:val="18"/>
                      <w:szCs w:val="18"/>
                    </w:rPr>
                    <w:t>Lift off</w:t>
                  </w:r>
                </w:p>
              </w:tc>
              <w:tc>
                <w:tcPr>
                  <w:tcW w:w="673" w:type="pct"/>
                </w:tcPr>
                <w:p w:rsidR="00AE4D5A" w:rsidRPr="00352051" w:rsidRDefault="00AE4D5A" w:rsidP="008E5E01">
                  <w:pPr>
                    <w:pStyle w:val="TableBodyText"/>
                    <w:ind w:left="0" w:right="-1"/>
                    <w:rPr>
                      <w:sz w:val="18"/>
                      <w:szCs w:val="18"/>
                    </w:rPr>
                  </w:pP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50</w:t>
                  </w:r>
                </w:p>
              </w:tc>
              <w:tc>
                <w:tcPr>
                  <w:tcW w:w="764" w:type="pct"/>
                </w:tcPr>
                <w:p w:rsidR="00AE4D5A" w:rsidRPr="00352051" w:rsidRDefault="00AE4D5A" w:rsidP="008E5E01">
                  <w:pPr>
                    <w:pStyle w:val="TableBodyText"/>
                    <w:ind w:right="28"/>
                    <w:rPr>
                      <w:sz w:val="18"/>
                      <w:szCs w:val="18"/>
                    </w:rPr>
                  </w:pPr>
                </w:p>
              </w:tc>
              <w:tc>
                <w:tcPr>
                  <w:tcW w:w="418" w:type="pct"/>
                </w:tcPr>
                <w:p w:rsidR="00AE4D5A" w:rsidRPr="00352051" w:rsidRDefault="00AE4D5A" w:rsidP="008E5E01">
                  <w:pPr>
                    <w:pStyle w:val="TableBodyText"/>
                    <w:framePr w:w="2155" w:hSpace="227" w:vSpace="181" w:wrap="around" w:vAnchor="text" w:hAnchor="page" w:xAlign="outside" w:y="1"/>
                    <w:ind w:right="28"/>
                    <w:rPr>
                      <w:sz w:val="18"/>
                      <w:szCs w:val="18"/>
                    </w:rPr>
                  </w:pPr>
                  <w:r w:rsidRPr="00352051">
                    <w:rPr>
                      <w:sz w:val="18"/>
                      <w:szCs w:val="18"/>
                    </w:rPr>
                    <w:t>0</w:t>
                  </w:r>
                </w:p>
              </w:tc>
              <w:tc>
                <w:tcPr>
                  <w:tcW w:w="502" w:type="pct"/>
                </w:tcPr>
                <w:p w:rsidR="00AE4D5A" w:rsidRPr="00352051" w:rsidRDefault="00AE4D5A" w:rsidP="008E5E01">
                  <w:pPr>
                    <w:pStyle w:val="TableBodyText"/>
                    <w:ind w:right="28"/>
                    <w:rPr>
                      <w:sz w:val="18"/>
                      <w:szCs w:val="18"/>
                    </w:rPr>
                  </w:pPr>
                </w:p>
              </w:tc>
              <w:tc>
                <w:tcPr>
                  <w:tcW w:w="405"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c>
                <w:tcPr>
                  <w:tcW w:w="588" w:type="pct"/>
                </w:tcPr>
                <w:p w:rsidR="00AE4D5A" w:rsidRPr="00352051" w:rsidRDefault="00AE4D5A" w:rsidP="008E5E01">
                  <w:pPr>
                    <w:pStyle w:val="TableBodyText"/>
                    <w:ind w:right="28"/>
                    <w:rPr>
                      <w:sz w:val="18"/>
                      <w:szCs w:val="18"/>
                    </w:rPr>
                  </w:pPr>
                </w:p>
              </w:tc>
              <w:tc>
                <w:tcPr>
                  <w:tcW w:w="493" w:type="pct"/>
                </w:tcPr>
                <w:p w:rsidR="00AE4D5A" w:rsidRPr="00352051" w:rsidRDefault="00AE4D5A" w:rsidP="008E5E01">
                  <w:pPr>
                    <w:pStyle w:val="TableBodyText"/>
                    <w:framePr w:w="2155" w:hSpace="227" w:vSpace="181" w:wrap="around" w:vAnchor="text" w:hAnchor="page" w:xAlign="outside" w:y="1"/>
                    <w:ind w:right="28"/>
                    <w:rPr>
                      <w:sz w:val="18"/>
                      <w:szCs w:val="18"/>
                    </w:rPr>
                  </w:pPr>
                  <w:r>
                    <w:rPr>
                      <w:sz w:val="18"/>
                      <w:szCs w:val="18"/>
                    </w:rPr>
                    <w:t>-</w:t>
                  </w:r>
                </w:p>
              </w:tc>
            </w:tr>
            <w:tr w:rsidR="0006460E" w:rsidRPr="001B053B" w:rsidTr="0006460E">
              <w:tc>
                <w:tcPr>
                  <w:tcW w:w="1412" w:type="pct"/>
                  <w:gridSpan w:val="2"/>
                </w:tcPr>
                <w:p w:rsidR="0006460E" w:rsidRPr="00352051" w:rsidRDefault="0006460E" w:rsidP="0006460E">
                  <w:pPr>
                    <w:pStyle w:val="TableBodyText"/>
                    <w:ind w:left="0" w:right="-1"/>
                    <w:jc w:val="left"/>
                    <w:rPr>
                      <w:sz w:val="18"/>
                      <w:szCs w:val="18"/>
                    </w:rPr>
                  </w:pPr>
                  <w:r w:rsidRPr="00352051">
                    <w:rPr>
                      <w:sz w:val="18"/>
                      <w:szCs w:val="18"/>
                    </w:rPr>
                    <w:t>Further road leg</w:t>
                  </w:r>
                </w:p>
              </w:tc>
              <w:tc>
                <w:tcPr>
                  <w:tcW w:w="418" w:type="pct"/>
                </w:tcPr>
                <w:p w:rsidR="0006460E" w:rsidRPr="00352051" w:rsidRDefault="0006460E" w:rsidP="008E5E01">
                  <w:pPr>
                    <w:pStyle w:val="TableBodyText"/>
                    <w:framePr w:w="2155" w:hSpace="227" w:vSpace="181" w:wrap="around" w:vAnchor="text" w:hAnchor="page" w:xAlign="outside" w:y="1"/>
                    <w:ind w:right="28"/>
                    <w:rPr>
                      <w:sz w:val="18"/>
                      <w:szCs w:val="18"/>
                    </w:rPr>
                  </w:pPr>
                  <w:r w:rsidRPr="00352051">
                    <w:rPr>
                      <w:sz w:val="18"/>
                      <w:szCs w:val="18"/>
                    </w:rPr>
                    <w:t>100</w:t>
                  </w:r>
                </w:p>
              </w:tc>
              <w:tc>
                <w:tcPr>
                  <w:tcW w:w="764" w:type="pct"/>
                </w:tcPr>
                <w:p w:rsidR="0006460E" w:rsidRPr="00352051" w:rsidRDefault="0006460E" w:rsidP="008E5E01">
                  <w:pPr>
                    <w:pStyle w:val="TableBodyText"/>
                    <w:ind w:right="28"/>
                    <w:rPr>
                      <w:sz w:val="18"/>
                      <w:szCs w:val="18"/>
                    </w:rPr>
                  </w:pPr>
                </w:p>
              </w:tc>
              <w:tc>
                <w:tcPr>
                  <w:tcW w:w="418" w:type="pct"/>
                </w:tcPr>
                <w:p w:rsidR="0006460E" w:rsidRPr="00352051" w:rsidRDefault="0006460E" w:rsidP="008E5E01">
                  <w:pPr>
                    <w:pStyle w:val="TableBodyText"/>
                    <w:framePr w:w="2155" w:hSpace="227" w:vSpace="181" w:wrap="around" w:vAnchor="text" w:hAnchor="page" w:xAlign="outside" w:y="1"/>
                    <w:ind w:right="28"/>
                    <w:rPr>
                      <w:sz w:val="18"/>
                      <w:szCs w:val="18"/>
                    </w:rPr>
                  </w:pPr>
                  <w:r w:rsidRPr="00352051">
                    <w:rPr>
                      <w:sz w:val="18"/>
                      <w:szCs w:val="18"/>
                    </w:rPr>
                    <w:t>100</w:t>
                  </w:r>
                </w:p>
              </w:tc>
              <w:tc>
                <w:tcPr>
                  <w:tcW w:w="502" w:type="pct"/>
                </w:tcPr>
                <w:p w:rsidR="0006460E" w:rsidRPr="00352051" w:rsidRDefault="0006460E" w:rsidP="008E5E01">
                  <w:pPr>
                    <w:pStyle w:val="TableBodyText"/>
                    <w:ind w:right="28"/>
                    <w:rPr>
                      <w:sz w:val="18"/>
                      <w:szCs w:val="18"/>
                    </w:rPr>
                  </w:pPr>
                </w:p>
              </w:tc>
              <w:tc>
                <w:tcPr>
                  <w:tcW w:w="405" w:type="pct"/>
                </w:tcPr>
                <w:p w:rsidR="0006460E" w:rsidRPr="00352051" w:rsidRDefault="0006460E" w:rsidP="008E5E01">
                  <w:pPr>
                    <w:pStyle w:val="TableBodyText"/>
                    <w:framePr w:w="2155" w:hSpace="227" w:vSpace="181" w:wrap="around" w:vAnchor="text" w:hAnchor="page" w:xAlign="outside" w:y="1"/>
                    <w:ind w:right="28"/>
                    <w:rPr>
                      <w:sz w:val="18"/>
                      <w:szCs w:val="18"/>
                    </w:rPr>
                  </w:pPr>
                  <w:r>
                    <w:rPr>
                      <w:sz w:val="18"/>
                      <w:szCs w:val="18"/>
                    </w:rPr>
                    <w:t>-</w:t>
                  </w:r>
                </w:p>
              </w:tc>
              <w:tc>
                <w:tcPr>
                  <w:tcW w:w="588" w:type="pct"/>
                </w:tcPr>
                <w:p w:rsidR="0006460E" w:rsidRPr="00352051" w:rsidRDefault="0006460E" w:rsidP="008E5E01">
                  <w:pPr>
                    <w:pStyle w:val="TableBodyText"/>
                    <w:ind w:right="28"/>
                    <w:rPr>
                      <w:sz w:val="18"/>
                      <w:szCs w:val="18"/>
                    </w:rPr>
                  </w:pPr>
                </w:p>
              </w:tc>
              <w:tc>
                <w:tcPr>
                  <w:tcW w:w="493" w:type="pct"/>
                </w:tcPr>
                <w:p w:rsidR="0006460E" w:rsidRPr="00352051" w:rsidRDefault="0006460E" w:rsidP="008E5E01">
                  <w:pPr>
                    <w:pStyle w:val="TableBodyText"/>
                    <w:framePr w:w="2155" w:hSpace="227" w:vSpace="181" w:wrap="around" w:vAnchor="text" w:hAnchor="page" w:xAlign="outside" w:y="1"/>
                    <w:ind w:right="28"/>
                    <w:rPr>
                      <w:sz w:val="18"/>
                      <w:szCs w:val="18"/>
                    </w:rPr>
                  </w:pPr>
                  <w:r>
                    <w:rPr>
                      <w:sz w:val="18"/>
                      <w:szCs w:val="18"/>
                    </w:rPr>
                    <w:t>-</w:t>
                  </w:r>
                </w:p>
              </w:tc>
            </w:tr>
            <w:tr w:rsidR="00AE4D5A" w:rsidRPr="001B053B" w:rsidTr="0006460E">
              <w:tc>
                <w:tcPr>
                  <w:tcW w:w="739" w:type="pct"/>
                  <w:tcBorders>
                    <w:bottom w:val="single" w:sz="6" w:space="0" w:color="auto"/>
                  </w:tcBorders>
                  <w:shd w:val="clear" w:color="auto" w:fill="auto"/>
                </w:tcPr>
                <w:p w:rsidR="00AE4D5A" w:rsidRPr="00352051" w:rsidRDefault="00AE4D5A" w:rsidP="008E5E01">
                  <w:pPr>
                    <w:pStyle w:val="TableBodyText"/>
                    <w:ind w:right="0"/>
                    <w:jc w:val="left"/>
                    <w:rPr>
                      <w:b/>
                      <w:sz w:val="18"/>
                      <w:szCs w:val="18"/>
                    </w:rPr>
                  </w:pPr>
                  <w:r w:rsidRPr="00352051">
                    <w:rPr>
                      <w:b/>
                      <w:sz w:val="18"/>
                      <w:szCs w:val="18"/>
                    </w:rPr>
                    <w:t>Total</w:t>
                  </w:r>
                </w:p>
              </w:tc>
              <w:tc>
                <w:tcPr>
                  <w:tcW w:w="673" w:type="pct"/>
                  <w:tcBorders>
                    <w:bottom w:val="single" w:sz="6" w:space="0" w:color="auto"/>
                  </w:tcBorders>
                  <w:shd w:val="clear" w:color="auto" w:fill="auto"/>
                </w:tcPr>
                <w:p w:rsidR="00AE4D5A" w:rsidRPr="00352051" w:rsidRDefault="00AE4D5A" w:rsidP="008E5E01">
                  <w:pPr>
                    <w:pStyle w:val="TableBodyText"/>
                    <w:ind w:left="0" w:right="-1"/>
                    <w:rPr>
                      <w:b/>
                      <w:sz w:val="18"/>
                      <w:szCs w:val="18"/>
                    </w:rPr>
                  </w:pPr>
                </w:p>
              </w:tc>
              <w:tc>
                <w:tcPr>
                  <w:tcW w:w="418" w:type="pct"/>
                  <w:tcBorders>
                    <w:bottom w:val="single" w:sz="6" w:space="0" w:color="auto"/>
                  </w:tcBorders>
                </w:tcPr>
                <w:p w:rsidR="00AE4D5A" w:rsidRPr="00352051" w:rsidRDefault="00AE4D5A" w:rsidP="008E5E01">
                  <w:pPr>
                    <w:pStyle w:val="TableBodyText"/>
                    <w:framePr w:w="2155" w:hSpace="227" w:vSpace="181" w:wrap="around" w:vAnchor="text" w:hAnchor="page" w:xAlign="outside" w:y="1"/>
                    <w:ind w:right="28"/>
                    <w:rPr>
                      <w:b/>
                      <w:sz w:val="18"/>
                      <w:szCs w:val="18"/>
                    </w:rPr>
                  </w:pPr>
                  <w:r w:rsidRPr="00352051">
                    <w:rPr>
                      <w:b/>
                      <w:sz w:val="18"/>
                      <w:szCs w:val="18"/>
                    </w:rPr>
                    <w:t>1403</w:t>
                  </w:r>
                </w:p>
              </w:tc>
              <w:tc>
                <w:tcPr>
                  <w:tcW w:w="764" w:type="pct"/>
                  <w:tcBorders>
                    <w:bottom w:val="single" w:sz="6" w:space="0" w:color="auto"/>
                  </w:tcBorders>
                  <w:shd w:val="clear" w:color="auto" w:fill="auto"/>
                </w:tcPr>
                <w:p w:rsidR="00AE4D5A" w:rsidRPr="00352051" w:rsidRDefault="00AE4D5A" w:rsidP="008E5E01">
                  <w:pPr>
                    <w:pStyle w:val="TableBodyText"/>
                    <w:ind w:right="28"/>
                    <w:rPr>
                      <w:b/>
                      <w:sz w:val="18"/>
                      <w:szCs w:val="18"/>
                    </w:rPr>
                  </w:pPr>
                </w:p>
              </w:tc>
              <w:tc>
                <w:tcPr>
                  <w:tcW w:w="418" w:type="pct"/>
                  <w:tcBorders>
                    <w:bottom w:val="single" w:sz="6" w:space="0" w:color="auto"/>
                  </w:tcBorders>
                </w:tcPr>
                <w:p w:rsidR="00AE4D5A" w:rsidRPr="00352051" w:rsidRDefault="00AE4D5A" w:rsidP="008E5E01">
                  <w:pPr>
                    <w:pStyle w:val="TableBodyText"/>
                    <w:framePr w:w="2155" w:hSpace="227" w:vSpace="181" w:wrap="around" w:vAnchor="text" w:hAnchor="page" w:xAlign="outside" w:y="1"/>
                    <w:ind w:right="28"/>
                    <w:rPr>
                      <w:b/>
                      <w:sz w:val="18"/>
                      <w:szCs w:val="18"/>
                    </w:rPr>
                  </w:pPr>
                  <w:r w:rsidRPr="00352051">
                    <w:rPr>
                      <w:b/>
                      <w:sz w:val="18"/>
                      <w:szCs w:val="18"/>
                    </w:rPr>
                    <w:t>853</w:t>
                  </w:r>
                </w:p>
              </w:tc>
              <w:tc>
                <w:tcPr>
                  <w:tcW w:w="502" w:type="pct"/>
                  <w:tcBorders>
                    <w:bottom w:val="single" w:sz="6" w:space="0" w:color="auto"/>
                  </w:tcBorders>
                </w:tcPr>
                <w:p w:rsidR="00AE4D5A" w:rsidRPr="00352051" w:rsidRDefault="00AE4D5A" w:rsidP="008E5E01">
                  <w:pPr>
                    <w:pStyle w:val="TableBodyText"/>
                    <w:ind w:right="28"/>
                    <w:rPr>
                      <w:b/>
                      <w:sz w:val="18"/>
                      <w:szCs w:val="18"/>
                    </w:rPr>
                  </w:pPr>
                </w:p>
              </w:tc>
              <w:tc>
                <w:tcPr>
                  <w:tcW w:w="405" w:type="pct"/>
                  <w:tcBorders>
                    <w:bottom w:val="single" w:sz="6" w:space="0" w:color="auto"/>
                  </w:tcBorders>
                </w:tcPr>
                <w:p w:rsidR="00AE4D5A" w:rsidRPr="00352051" w:rsidRDefault="00AE4D5A" w:rsidP="008E5E01">
                  <w:pPr>
                    <w:pStyle w:val="TableBodyText"/>
                    <w:framePr w:w="2155" w:hSpace="227" w:vSpace="181" w:wrap="around" w:vAnchor="text" w:hAnchor="page" w:xAlign="outside" w:y="1"/>
                    <w:ind w:right="28"/>
                    <w:rPr>
                      <w:b/>
                      <w:sz w:val="18"/>
                      <w:szCs w:val="18"/>
                    </w:rPr>
                  </w:pPr>
                  <w:r w:rsidRPr="00352051">
                    <w:rPr>
                      <w:b/>
                      <w:sz w:val="18"/>
                      <w:szCs w:val="18"/>
                    </w:rPr>
                    <w:t>799</w:t>
                  </w:r>
                </w:p>
              </w:tc>
              <w:tc>
                <w:tcPr>
                  <w:tcW w:w="588" w:type="pct"/>
                  <w:tcBorders>
                    <w:bottom w:val="single" w:sz="6" w:space="0" w:color="auto"/>
                  </w:tcBorders>
                </w:tcPr>
                <w:p w:rsidR="00AE4D5A" w:rsidRPr="00352051" w:rsidRDefault="00AE4D5A" w:rsidP="008E5E01">
                  <w:pPr>
                    <w:pStyle w:val="TableBodyText"/>
                    <w:ind w:right="28"/>
                    <w:rPr>
                      <w:b/>
                      <w:sz w:val="18"/>
                      <w:szCs w:val="18"/>
                    </w:rPr>
                  </w:pPr>
                </w:p>
              </w:tc>
              <w:tc>
                <w:tcPr>
                  <w:tcW w:w="493" w:type="pct"/>
                  <w:tcBorders>
                    <w:bottom w:val="single" w:sz="6" w:space="0" w:color="auto"/>
                  </w:tcBorders>
                </w:tcPr>
                <w:p w:rsidR="00AE4D5A" w:rsidRPr="00352051" w:rsidRDefault="00AE4D5A" w:rsidP="008E5E01">
                  <w:pPr>
                    <w:pStyle w:val="TableBodyText"/>
                    <w:framePr w:w="2155" w:hSpace="227" w:vSpace="181" w:wrap="around" w:vAnchor="text" w:hAnchor="page" w:xAlign="outside" w:y="1"/>
                    <w:ind w:right="28"/>
                    <w:rPr>
                      <w:b/>
                      <w:sz w:val="18"/>
                      <w:szCs w:val="18"/>
                    </w:rPr>
                  </w:pPr>
                  <w:r w:rsidRPr="00352051">
                    <w:rPr>
                      <w:b/>
                      <w:sz w:val="18"/>
                      <w:szCs w:val="18"/>
                    </w:rPr>
                    <w:t>564</w:t>
                  </w:r>
                </w:p>
              </w:tc>
            </w:tr>
          </w:tbl>
          <w:p w:rsidR="00AE4D5A" w:rsidRPr="008E77FE" w:rsidRDefault="00AE4D5A" w:rsidP="008E5E01">
            <w:pPr>
              <w:pStyle w:val="Source"/>
            </w:pPr>
            <w:r>
              <w:rPr>
                <w:i/>
              </w:rPr>
              <w:t>Source</w:t>
            </w:r>
            <w:r>
              <w:t xml:space="preserve">: Aurecon </w:t>
            </w:r>
            <w:r w:rsidRPr="009610E7">
              <w:rPr>
                <w:rFonts w:cs="Arial"/>
              </w:rPr>
              <w:t>(2013a, table 36, p. 90)</w:t>
            </w:r>
            <w:r>
              <w:t>.</w:t>
            </w:r>
          </w:p>
          <w:p w:rsidR="00AE4D5A" w:rsidRDefault="00AE4D5A" w:rsidP="008E5E01">
            <w:pPr>
              <w:pStyle w:val="Box"/>
            </w:pPr>
            <w:r>
              <w:t>These estimates indicate the cost to transport a container from Hobart to Melbourne was $1403, compared with $799 by semi</w:t>
            </w:r>
            <w:r>
              <w:noBreakHyphen/>
              <w:t>trailer and $564 by B</w:t>
            </w:r>
            <w:r>
              <w:noBreakHyphen/>
              <w:t>Double. Aurecon (2013a, p. 81) notes that ‘the cost to move a container from Hobart to Melbourne is reduced by $550 to a total cost of $853 where the exporter is eligible for TFES assistance.’ However, this rate remains well above that for transporting a container a similar distance on land only – with a B</w:t>
            </w:r>
            <w:r>
              <w:noBreakHyphen/>
              <w:t>Double rate of $564, which was $289 cheaper than the TFES assisted Hobart to Melbourne journey.</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 xml:space="preserve">: </w:t>
            </w:r>
            <w:r w:rsidRPr="00B435C8">
              <w:t xml:space="preserve">Aurecon </w:t>
            </w:r>
            <w:r w:rsidRPr="00D13CAE">
              <w:rPr>
                <w:rFonts w:cs="Arial"/>
              </w:rPr>
              <w:t>(2013a)</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8E5E01">
      <w:pPr>
        <w:pStyle w:val="BodyText"/>
      </w:pPr>
      <w:r>
        <w:lastRenderedPageBreak/>
        <w:t>More detail on the source of the difference between the Aurecon estimates, as well as a re</w:t>
      </w:r>
      <w:r>
        <w:noBreakHyphen/>
        <w:t>estimation of the Aurecon’s calculations applying the correct TFES formula and using BITRE’s estimated road freight equivalent rates is provide</w:t>
      </w:r>
      <w:r w:rsidR="000C756F">
        <w:t>d in DIRD’s submission (sub. </w:t>
      </w:r>
      <w:proofErr w:type="spellStart"/>
      <w:r w:rsidR="000C756F">
        <w:t>DR</w:t>
      </w:r>
      <w:r>
        <w:t>107</w:t>
      </w:r>
      <w:proofErr w:type="spellEnd"/>
      <w:r>
        <w:t xml:space="preserve">). </w:t>
      </w:r>
    </w:p>
    <w:p w:rsidR="00AE4D5A" w:rsidRDefault="00AE4D5A" w:rsidP="008E5E01">
      <w:pPr>
        <w:pStyle w:val="BodyText"/>
      </w:pPr>
      <w:r>
        <w:t>Based on an assessment of the available evidence — including that provided by TFES parameter reviews and supporting material as well as evidence from other sources including ABS data and unpublished data from the TFES Database — the Commission’s view is that the transport costs comparisons undertaken by Aurecon do not provide a case for setting aside the findings of the latest BITRE parameter analysis. Importantly, however, the Commission sees merit in a broader and ongoing process of consultation with key stakeholders and TFES recipients on future rate reviews undertaken by BITRE. (This issue is discussed further below.)</w:t>
      </w:r>
    </w:p>
    <w:p w:rsidR="00AE4D5A" w:rsidRDefault="00AE4D5A" w:rsidP="008E5E01">
      <w:pPr>
        <w:pStyle w:val="Heading5"/>
      </w:pPr>
      <w:r>
        <w:t>Cost disadvantages faced by individual firms</w:t>
      </w:r>
    </w:p>
    <w:p w:rsidR="00AE4D5A" w:rsidRDefault="00AE4D5A" w:rsidP="008E5E01">
      <w:pPr>
        <w:pStyle w:val="BodyText"/>
      </w:pPr>
      <w:r>
        <w:t>A number of participants stated that, even with the level of subsidy currently being provided through the TFES (using the parameters for 1996</w:t>
      </w:r>
      <w:r>
        <w:noBreakHyphen/>
        <w:t>97), their businesses continue to face an overall freight cost disadvantage and called for even greater support through the TFES to help defray the high shipping costs they faced (box 2.2). Similar views were provided in the Commission’s 2006 inquiry, where the Commission heard that even after receiving the subsidy, there was still a disadvantage, varying generally from 3</w:t>
      </w:r>
      <w:r w:rsidR="000C756F">
        <w:t>–</w:t>
      </w:r>
      <w:r>
        <w:t xml:space="preserve">20 per cent, with some goods facing higher disadvantages </w:t>
      </w:r>
      <w:r w:rsidR="007C1471" w:rsidRPr="007C1471">
        <w:rPr>
          <w:szCs w:val="24"/>
        </w:rPr>
        <w:t>(PC 2006b)</w:t>
      </w:r>
      <w:r>
        <w:t>.</w:t>
      </w:r>
    </w:p>
    <w:p w:rsidR="00AE4D5A" w:rsidRDefault="00AE4D5A" w:rsidP="008E5E01">
      <w:pPr>
        <w:pStyle w:val="BodyText"/>
      </w:pPr>
      <w:r w:rsidRPr="00943581">
        <w:t xml:space="preserve">Many participants to this inquiry underscored the significance of </w:t>
      </w:r>
      <w:r>
        <w:t>TFES</w:t>
      </w:r>
      <w:r w:rsidRPr="00943581">
        <w:t xml:space="preserve"> subsidies for the viability of their Tasmanian business, </w:t>
      </w:r>
      <w:r>
        <w:t>albeit with limited and non</w:t>
      </w:r>
      <w:r>
        <w:noBreakHyphen/>
        <w:t>definitive evidence</w:t>
      </w:r>
      <w:r w:rsidRPr="00943581">
        <w:t xml:space="preserve">. </w:t>
      </w:r>
      <w:r>
        <w:t>In particular, a</w:t>
      </w:r>
      <w:r w:rsidRPr="00943581">
        <w:t xml:space="preserve"> number of manufacturing enterprises pointed out that their competitiveness against alternative production and investment locations </w:t>
      </w:r>
      <w:r>
        <w:t xml:space="preserve">globally </w:t>
      </w:r>
      <w:r w:rsidRPr="00943581">
        <w:t xml:space="preserve">is under regular review and </w:t>
      </w:r>
      <w:r>
        <w:t>the assistance provided by the TFES is important in swaying the case in favour of their Tasmanian operations</w:t>
      </w:r>
      <w:r w:rsidRPr="00943581">
        <w:t xml:space="preserve">. </w:t>
      </w:r>
      <w:r>
        <w:t>For many</w:t>
      </w:r>
      <w:r w:rsidRPr="00943581">
        <w:t xml:space="preserve"> businesses</w:t>
      </w:r>
      <w:r>
        <w:t>,</w:t>
      </w:r>
      <w:r w:rsidRPr="00943581">
        <w:t xml:space="preserve"> </w:t>
      </w:r>
      <w:r>
        <w:t>Bass Strait shipping</w:t>
      </w:r>
      <w:r w:rsidRPr="00943581">
        <w:t xml:space="preserve"> is </w:t>
      </w:r>
      <w:r>
        <w:t>the</w:t>
      </w:r>
      <w:r w:rsidRPr="00943581">
        <w:t xml:space="preserve"> single largest transport cost in the supply chain, even for products sent to distant markets</w:t>
      </w:r>
      <w:r>
        <w:t xml:space="preserve"> </w:t>
      </w:r>
      <w:r w:rsidR="007C1471" w:rsidRPr="007C1471">
        <w:rPr>
          <w:szCs w:val="24"/>
        </w:rPr>
        <w:t>(FLCT 2013a)</w:t>
      </w:r>
      <w:r>
        <w:t xml:space="preserve">. </w:t>
      </w:r>
    </w:p>
    <w:p w:rsidR="00AE4D5A" w:rsidRDefault="00AE4D5A" w:rsidP="008E5E01">
      <w:pPr>
        <w:pStyle w:val="BodyText"/>
      </w:pPr>
      <w:r>
        <w:t>The Commission received evidence from a number of participants on their shipping costs. For example, Mondelez stated that its operations in Tasmania faced considerable disadvantages relative to plants located in Victoria for similar products, noting:</w:t>
      </w:r>
    </w:p>
    <w:p w:rsidR="00AE4D5A" w:rsidRDefault="00AE4D5A" w:rsidP="008E5E01">
      <w:pPr>
        <w:pStyle w:val="Quote"/>
      </w:pPr>
      <w:r>
        <w:t xml:space="preserve">… the current level of rates were designed in 1998 and this level has not been amended or adjusted for any of the changes that have taken place. The current level of rates appears to be about 30% lower than the required level. </w:t>
      </w:r>
    </w:p>
    <w:p w:rsidR="00AE4D5A" w:rsidRDefault="00AE4D5A" w:rsidP="008E5E01">
      <w:pPr>
        <w:pStyle w:val="Quote"/>
      </w:pPr>
      <w:r>
        <w:lastRenderedPageBreak/>
        <w:t>On basis of a direct comparison between the operation of a B</w:t>
      </w:r>
      <w:r>
        <w:noBreakHyphen/>
        <w:t>Double vehicle on the Hume Highway and the freight rates on the Bass Strait, the TFES maximum cap should be raised from $855 to $1150 at least. (sub. DR98, pp. 5–6)</w:t>
      </w:r>
    </w:p>
    <w:p w:rsidR="00AE4D5A" w:rsidRDefault="00AE4D5A" w:rsidP="008E5E01">
      <w:pPr>
        <w:pStyle w:val="BodyText"/>
      </w:pPr>
      <w:r>
        <w:t>Simplot noted:</w:t>
      </w:r>
    </w:p>
    <w:p w:rsidR="00AE4D5A" w:rsidRDefault="00AE4D5A" w:rsidP="008E5E01">
      <w:pPr>
        <w:pStyle w:val="Quote"/>
      </w:pPr>
      <w:r w:rsidRPr="00485AF9">
        <w:t>With TFES equalisation it is 10.4% more expensive per tonne kilometre to freight between Ulverstone and Melbourne versus Simplot’s average cost per tonne/kilometre between eastern seaboard states.</w:t>
      </w:r>
      <w:r>
        <w:t xml:space="preserve"> (sub. </w:t>
      </w:r>
      <w:proofErr w:type="spellStart"/>
      <w:r>
        <w:t>DR96</w:t>
      </w:r>
      <w:proofErr w:type="spellEnd"/>
      <w:r>
        <w:t>, p. 4)</w:t>
      </w:r>
    </w:p>
    <w:p w:rsidR="00AE4D5A" w:rsidRDefault="00AE4D5A" w:rsidP="008E5E01">
      <w:pPr>
        <w:pStyle w:val="BodyText"/>
      </w:pPr>
      <w:r>
        <w:t>Norske Skog Boyer stated that comparison of their freight costs paid (with supporting evidence provided to the Commission in a confidential submission), compared to similar transport tasks on the mainland:</w:t>
      </w:r>
    </w:p>
    <w:p w:rsidR="00AE4D5A" w:rsidRDefault="00AE4D5A" w:rsidP="008E5E01">
      <w:pPr>
        <w:pStyle w:val="Quote"/>
      </w:pPr>
      <w:r>
        <w:t xml:space="preserve">… clearly show an ongoing freight cost disadvantage, notwithstanding all our efforts to contain costs in conjunction with our logistics suppliers. … If there was a land bridge to the mainland, the Boyer Mill could transport paper to its Melbourne customers for approximately 27% less than the current cost including the benefit of TFES. This would be a much more significant impost, at around 57% if the current level of TFES assistance did not exist. It can therefore be concluded that while TFES payments meet part of the additional cost, they do not fully ‘equalise’ for the whole difference and the difference remains substantial. (sub. 39, p. 17) </w:t>
      </w:r>
    </w:p>
    <w:p w:rsidR="00AE4D5A" w:rsidRDefault="00AE4D5A" w:rsidP="008E5E01">
      <w:pPr>
        <w:pStyle w:val="BodyText"/>
      </w:pPr>
      <w:r>
        <w:t xml:space="preserve">In response to the Commission’s proposal that TFES parameters reflect the latest estimates (which show a fall in the freight cost disadvantage), Norske Skog expressed strong concerns with a number of aspects of the latest BITRE parameter review methodology and assumptions, and provided additional supporting evidence. The materiality of these concerns prompted the Commission to make further enquiry of BITRE on the issues articulated by Norske Skog in public hearings and follow up submissions. Some of the key issues and questions raised by Norske Skog about the latest TFES parameter review along with some of the BITRE responses are provided in box 2.6. </w:t>
      </w:r>
    </w:p>
    <w:p w:rsidR="00AE4D5A" w:rsidRDefault="00AE4D5A" w:rsidP="008E5E01">
      <w:pPr>
        <w:pStyle w:val="BodyText"/>
      </w:pPr>
      <w:r>
        <w:t xml:space="preserve">A key element of BITRE’s response was that while it did not dispute the evidence provided by Norske Skog of its experiences with freight costs, these were not necessarily representative of the broader experience across all shippers. Further, BITRE noted that many of </w:t>
      </w:r>
      <w:r w:rsidRPr="00772093">
        <w:t>Norske Skog’s criticisms relate</w:t>
      </w:r>
      <w:r>
        <w:t xml:space="preserve">d to the design of the scheme, in particular the use of a </w:t>
      </w:r>
      <w:r w:rsidRPr="00772093">
        <w:t xml:space="preserve">median freight rate, </w:t>
      </w:r>
      <w:r>
        <w:t xml:space="preserve">the design of the </w:t>
      </w:r>
      <w:r w:rsidRPr="00772093">
        <w:t xml:space="preserve">incentive structure and </w:t>
      </w:r>
      <w:r>
        <w:t xml:space="preserve">the use of a market road freight benchmark. </w:t>
      </w:r>
    </w:p>
    <w:p w:rsidR="00AE4D5A" w:rsidRDefault="00AE4D5A" w:rsidP="008E5E01">
      <w:pPr>
        <w:pStyle w:val="BodyText"/>
      </w:pPr>
    </w:p>
    <w:p w:rsidR="00AE4D5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tc>
          <w:tcPr>
            <w:tcW w:w="8771" w:type="dxa"/>
            <w:tcBorders>
              <w:top w:val="single" w:sz="6" w:space="0" w:color="auto"/>
              <w:bottom w:val="nil"/>
            </w:tcBorders>
          </w:tcPr>
          <w:p w:rsidR="00AE4D5A" w:rsidRDefault="00AE4D5A" w:rsidP="008E5E01">
            <w:pPr>
              <w:pStyle w:val="BoxTitle"/>
            </w:pPr>
            <w:r>
              <w:rPr>
                <w:b w:val="0"/>
              </w:rPr>
              <w:t>Box 2.6</w:t>
            </w:r>
            <w:r>
              <w:tab/>
              <w:t>Concerns raised by Norske Skog in relation to latest TFES parameter estimates</w:t>
            </w:r>
          </w:p>
        </w:tc>
      </w:tr>
      <w:tr w:rsidR="00AE4D5A">
        <w:trPr>
          <w:cantSplit/>
        </w:trPr>
        <w:tc>
          <w:tcPr>
            <w:tcW w:w="8771" w:type="dxa"/>
            <w:tcBorders>
              <w:top w:val="nil"/>
              <w:left w:val="single" w:sz="6" w:space="0" w:color="auto"/>
              <w:bottom w:val="nil"/>
              <w:right w:val="single" w:sz="6" w:space="0" w:color="auto"/>
            </w:tcBorders>
          </w:tcPr>
          <w:p w:rsidR="00AE4D5A" w:rsidRPr="00B40961" w:rsidRDefault="00AE4D5A" w:rsidP="00144816">
            <w:pPr>
              <w:pStyle w:val="Box"/>
              <w:spacing w:line="240" w:lineRule="exact"/>
              <w:rPr>
                <w:szCs w:val="22"/>
              </w:rPr>
            </w:pPr>
            <w:r w:rsidRPr="00B40961">
              <w:rPr>
                <w:szCs w:val="22"/>
              </w:rPr>
              <w:t xml:space="preserve">Norske Skog identified a number of significant concerns in relation to the methodology, assumptions and data used by BITRE in the calculation of the Bass Strait </w:t>
            </w:r>
            <w:r>
              <w:rPr>
                <w:szCs w:val="22"/>
              </w:rPr>
              <w:t>s</w:t>
            </w:r>
            <w:r w:rsidRPr="00B40961">
              <w:rPr>
                <w:szCs w:val="22"/>
              </w:rPr>
              <w:t xml:space="preserve">hipping </w:t>
            </w:r>
            <w:r>
              <w:rPr>
                <w:szCs w:val="22"/>
              </w:rPr>
              <w:t>c</w:t>
            </w:r>
            <w:r w:rsidRPr="00B40961">
              <w:rPr>
                <w:szCs w:val="22"/>
              </w:rPr>
              <w:t xml:space="preserve">ost, </w:t>
            </w:r>
            <w:r>
              <w:rPr>
                <w:szCs w:val="22"/>
              </w:rPr>
              <w:t>r</w:t>
            </w:r>
            <w:r w:rsidRPr="00B40961">
              <w:rPr>
                <w:szCs w:val="22"/>
              </w:rPr>
              <w:t xml:space="preserve">oad </w:t>
            </w:r>
            <w:r>
              <w:rPr>
                <w:szCs w:val="22"/>
              </w:rPr>
              <w:t>f</w:t>
            </w:r>
            <w:r w:rsidRPr="00B40961">
              <w:rPr>
                <w:szCs w:val="22"/>
              </w:rPr>
              <w:t xml:space="preserve">reight </w:t>
            </w:r>
            <w:r>
              <w:rPr>
                <w:szCs w:val="22"/>
              </w:rPr>
              <w:t>e</w:t>
            </w:r>
            <w:r w:rsidRPr="00B40961">
              <w:rPr>
                <w:szCs w:val="22"/>
              </w:rPr>
              <w:t xml:space="preserve">quivalent </w:t>
            </w:r>
            <w:r>
              <w:rPr>
                <w:szCs w:val="22"/>
              </w:rPr>
              <w:t>c</w:t>
            </w:r>
            <w:r w:rsidRPr="00B40961">
              <w:rPr>
                <w:szCs w:val="22"/>
              </w:rPr>
              <w:t xml:space="preserve">ost (RFE) and </w:t>
            </w:r>
            <w:r>
              <w:rPr>
                <w:szCs w:val="22"/>
              </w:rPr>
              <w:t>i</w:t>
            </w:r>
            <w:r w:rsidRPr="00B40961">
              <w:rPr>
                <w:szCs w:val="22"/>
              </w:rPr>
              <w:t xml:space="preserve">ntermodal costs. </w:t>
            </w:r>
          </w:p>
          <w:p w:rsidR="00AE4D5A" w:rsidRPr="00B40961" w:rsidRDefault="00AE4D5A" w:rsidP="008E5E01">
            <w:pPr>
              <w:pStyle w:val="BoxHeading2"/>
              <w:spacing w:before="120" w:line="220" w:lineRule="exact"/>
              <w:rPr>
                <w:szCs w:val="22"/>
              </w:rPr>
            </w:pPr>
            <w:r w:rsidRPr="00B40961">
              <w:rPr>
                <w:szCs w:val="22"/>
              </w:rPr>
              <w:t>Bass Strait shipping cost</w:t>
            </w:r>
          </w:p>
          <w:p w:rsidR="00AE4D5A" w:rsidRPr="00B40961" w:rsidRDefault="00AE4D5A" w:rsidP="00144816">
            <w:pPr>
              <w:pStyle w:val="Box"/>
              <w:spacing w:line="240" w:lineRule="exact"/>
              <w:rPr>
                <w:szCs w:val="22"/>
              </w:rPr>
            </w:pPr>
            <w:r w:rsidRPr="00B40961">
              <w:rPr>
                <w:szCs w:val="22"/>
              </w:rPr>
              <w:t>Norske Skog stated that movements in median shipping costs listed in BITRE were not consistent with BITRE’s own shipping data, noting:</w:t>
            </w:r>
          </w:p>
          <w:p w:rsidR="00AE4D5A" w:rsidRPr="00144816" w:rsidRDefault="00AE4D5A" w:rsidP="008E5E01">
            <w:pPr>
              <w:pStyle w:val="BoxQuote"/>
              <w:spacing w:line="220" w:lineRule="exact"/>
            </w:pPr>
            <w:r w:rsidRPr="00144816">
              <w:t>We are obviously not privy to the underlying data but it is clear that the calculation of the ‘median rates’ does not reflect the real movement in shipping costs paid by Tasmanian shippers and in this case significantly understates the actual shipping rates by 15%. (sub. DR67, p. 3)</w:t>
            </w:r>
          </w:p>
          <w:p w:rsidR="00AE4D5A" w:rsidRPr="00B40961" w:rsidRDefault="00AE4D5A" w:rsidP="008E5E01">
            <w:pPr>
              <w:pStyle w:val="BoxHeading2"/>
              <w:spacing w:before="120" w:line="220" w:lineRule="exact"/>
              <w:rPr>
                <w:szCs w:val="22"/>
              </w:rPr>
            </w:pPr>
            <w:r w:rsidRPr="00B40961">
              <w:rPr>
                <w:szCs w:val="22"/>
              </w:rPr>
              <w:t>Road freight equivalent costs</w:t>
            </w:r>
          </w:p>
          <w:p w:rsidR="00AE4D5A" w:rsidRPr="00B40961" w:rsidRDefault="00AE4D5A" w:rsidP="00144816">
            <w:pPr>
              <w:pStyle w:val="Box"/>
              <w:spacing w:line="240" w:lineRule="exact"/>
              <w:rPr>
                <w:szCs w:val="22"/>
              </w:rPr>
            </w:pPr>
            <w:r w:rsidRPr="00B40961">
              <w:rPr>
                <w:szCs w:val="22"/>
              </w:rPr>
              <w:t xml:space="preserve">Norske Skog stated that the RFE calculated by BITRE is significantly inflated due to a number of factors including: the assumption of 30 per cent empty running; low </w:t>
            </w:r>
            <w:r>
              <w:rPr>
                <w:szCs w:val="22"/>
              </w:rPr>
              <w:t>tare</w:t>
            </w:r>
            <w:r w:rsidRPr="00B40961">
              <w:rPr>
                <w:szCs w:val="22"/>
              </w:rPr>
              <w:t xml:space="preserve"> weights inflating the payload; and actual road rates — in particular, rates that Norske Skog (and others) have been able to achieve in the real world commercial environment. Norske Skog stated that:</w:t>
            </w:r>
          </w:p>
          <w:p w:rsidR="00AE4D5A" w:rsidRPr="00144816" w:rsidRDefault="00AE4D5A" w:rsidP="008E5E01">
            <w:pPr>
              <w:pStyle w:val="BoxQuote"/>
              <w:spacing w:line="220" w:lineRule="exact"/>
            </w:pPr>
            <w:r w:rsidRPr="00144816">
              <w:t>… the current BITRE calculation of an RFE of $650 is significantly inflated to what could actually be achieved and therefore results in a dramatic underestimation of the overall freight cost disadvantage. (sub. DR67, p. 4)</w:t>
            </w:r>
          </w:p>
          <w:p w:rsidR="00AE4D5A" w:rsidRPr="00B40961" w:rsidRDefault="00AE4D5A" w:rsidP="008E5E01">
            <w:pPr>
              <w:pStyle w:val="BoxHeading2"/>
              <w:spacing w:before="120" w:line="220" w:lineRule="exact"/>
              <w:rPr>
                <w:szCs w:val="22"/>
              </w:rPr>
            </w:pPr>
            <w:r w:rsidRPr="00B40961">
              <w:rPr>
                <w:szCs w:val="22"/>
              </w:rPr>
              <w:t>Intermodal costs</w:t>
            </w:r>
          </w:p>
          <w:p w:rsidR="00AE4D5A" w:rsidRPr="00B40961" w:rsidRDefault="00AE4D5A" w:rsidP="00144816">
            <w:pPr>
              <w:pStyle w:val="Box"/>
              <w:spacing w:line="240" w:lineRule="exact"/>
              <w:rPr>
                <w:szCs w:val="22"/>
              </w:rPr>
            </w:pPr>
            <w:r w:rsidRPr="00B40961">
              <w:rPr>
                <w:szCs w:val="22"/>
              </w:rPr>
              <w:t>Intermodal costs were highlighted as a significant additional cost that Tasmanian shippers bear, with Norske Skog noting:</w:t>
            </w:r>
          </w:p>
          <w:p w:rsidR="00AE4D5A" w:rsidRPr="00144816" w:rsidRDefault="00AE4D5A" w:rsidP="008E5E01">
            <w:pPr>
              <w:pStyle w:val="BoxQuote"/>
              <w:spacing w:line="220" w:lineRule="exact"/>
            </w:pPr>
            <w:r w:rsidRPr="00144816">
              <w:t>Since 1998, [intermodal cost] has been determined to be $100 per TEU with no review or escalation. As Norske Skog has indicated in our confidential submission, intermodal costs have increased and are currently $145/TEU. There is therefore a significant shortfall in the Scheme’s assistance on this parameter. (sub. DR67, p. 5)</w:t>
            </w:r>
          </w:p>
          <w:p w:rsidR="00AE4D5A" w:rsidRPr="00B40961" w:rsidRDefault="00AE4D5A" w:rsidP="008E5E01">
            <w:pPr>
              <w:pStyle w:val="BoxHeading1"/>
              <w:rPr>
                <w:szCs w:val="22"/>
              </w:rPr>
            </w:pPr>
            <w:r w:rsidRPr="00B40961">
              <w:rPr>
                <w:szCs w:val="22"/>
              </w:rPr>
              <w:t xml:space="preserve">BITRE responses to issues raised by Norske Skog </w:t>
            </w:r>
          </w:p>
          <w:p w:rsidR="00AE4D5A" w:rsidRPr="00B40961" w:rsidRDefault="00AE4D5A" w:rsidP="00144816">
            <w:pPr>
              <w:pStyle w:val="Box"/>
              <w:spacing w:line="240" w:lineRule="exact"/>
              <w:rPr>
                <w:szCs w:val="22"/>
              </w:rPr>
            </w:pPr>
            <w:r w:rsidRPr="00B40961">
              <w:rPr>
                <w:szCs w:val="22"/>
              </w:rPr>
              <w:t>In responding to the issues raised by Norske Skog, BITRE pointed out, however, that Norske Skog is a very large shipper with specialised freight requirements who:</w:t>
            </w:r>
          </w:p>
          <w:p w:rsidR="00AE4D5A" w:rsidRPr="00144816" w:rsidRDefault="00AE4D5A" w:rsidP="008E5E01">
            <w:pPr>
              <w:pStyle w:val="BoxQuote"/>
              <w:spacing w:line="220" w:lineRule="exact"/>
            </w:pPr>
            <w:r w:rsidRPr="00144816">
              <w:t>… clearly differs from other shippers and their freight costs cannot be used as a market freight cost benchmark. Norske Skog is recommending as a benchmark for the Road Freight Equivalent, the use of road freight rates that are likely to be well below market rates paid by most shippers (sub. </w:t>
            </w:r>
            <w:proofErr w:type="spellStart"/>
            <w:r w:rsidRPr="00144816">
              <w:t>DR107</w:t>
            </w:r>
            <w:proofErr w:type="spellEnd"/>
            <w:r w:rsidRPr="00144816">
              <w:t>, attachment A, p. 1).</w:t>
            </w:r>
          </w:p>
          <w:p w:rsidR="00AE4D5A" w:rsidRPr="00B40961" w:rsidRDefault="00AE4D5A" w:rsidP="00144816">
            <w:pPr>
              <w:pStyle w:val="Box"/>
              <w:spacing w:line="240" w:lineRule="exact"/>
              <w:rPr>
                <w:szCs w:val="22"/>
              </w:rPr>
            </w:pPr>
            <w:r w:rsidRPr="00B40961">
              <w:rPr>
                <w:szCs w:val="22"/>
              </w:rPr>
              <w:t>BITRE also noted that with respect to Norske Skog’s critique of key BITRE assumptions:</w:t>
            </w:r>
          </w:p>
          <w:p w:rsidR="00AE4D5A" w:rsidRPr="00144816" w:rsidRDefault="00AE4D5A" w:rsidP="00650DD0">
            <w:pPr>
              <w:pStyle w:val="BoxQuote"/>
              <w:spacing w:line="220" w:lineRule="exact"/>
              <w:ind w:left="687" w:hanging="425"/>
            </w:pPr>
            <w:r w:rsidRPr="00144816">
              <w:rPr>
                <w:spacing w:val="-4"/>
              </w:rPr>
              <w:t>1</w:t>
            </w:r>
            <w:r w:rsidR="00650DD0">
              <w:rPr>
                <w:spacing w:val="-6"/>
              </w:rPr>
              <w:t xml:space="preserve">.  </w:t>
            </w:r>
            <w:r w:rsidRPr="00144816">
              <w:t xml:space="preserve">Road freight rates provided by SKM “are typical rates for large shippers, exclude </w:t>
            </w:r>
            <w:proofErr w:type="spellStart"/>
            <w:r w:rsidRPr="00144816">
              <w:t>backloading</w:t>
            </w:r>
            <w:proofErr w:type="spellEnd"/>
            <w:r w:rsidRPr="00144816">
              <w:t xml:space="preserve"> rates and do not allow for empty running.”(SKM 2013, p. 3)</w:t>
            </w:r>
          </w:p>
          <w:p w:rsidR="00AE4D5A" w:rsidRPr="00144816" w:rsidRDefault="00650DD0" w:rsidP="00650DD0">
            <w:pPr>
              <w:pStyle w:val="BoxQuote"/>
              <w:spacing w:line="220" w:lineRule="exact"/>
              <w:ind w:left="687" w:hanging="425"/>
            </w:pPr>
            <w:r>
              <w:t xml:space="preserve">2.  </w:t>
            </w:r>
            <w:r w:rsidR="00AE4D5A" w:rsidRPr="00144816">
              <w:t>BITRE based its 30 per cent ‘operating empty’ assumption on actual truck weigh in motion data on inter</w:t>
            </w:r>
            <w:r w:rsidR="00AE4D5A" w:rsidRPr="00144816">
              <w:noBreakHyphen/>
              <w:t xml:space="preserve">capital routes </w:t>
            </w:r>
            <w:r w:rsidR="007C1471" w:rsidRPr="00144816">
              <w:t>(</w:t>
            </w:r>
            <w:proofErr w:type="spellStart"/>
            <w:r w:rsidR="007C1471" w:rsidRPr="00144816">
              <w:t>BITRE</w:t>
            </w:r>
            <w:proofErr w:type="spellEnd"/>
            <w:r w:rsidR="007C1471" w:rsidRPr="00144816">
              <w:t> </w:t>
            </w:r>
            <w:proofErr w:type="spellStart"/>
            <w:r w:rsidR="007C1471" w:rsidRPr="00144816">
              <w:t>2011b</w:t>
            </w:r>
            <w:proofErr w:type="spellEnd"/>
            <w:r w:rsidR="007C1471" w:rsidRPr="00144816">
              <w:t>, p. 21)</w:t>
            </w:r>
          </w:p>
          <w:p w:rsidR="00AE4D5A" w:rsidRPr="00144816" w:rsidRDefault="00AE4D5A" w:rsidP="00650DD0">
            <w:pPr>
              <w:pStyle w:val="BoxQuote"/>
              <w:spacing w:line="220" w:lineRule="exact"/>
              <w:ind w:left="687" w:hanging="425"/>
            </w:pPr>
            <w:r w:rsidRPr="00144816">
              <w:t>3.</w:t>
            </w:r>
            <w:r w:rsidR="00650DD0">
              <w:t xml:space="preserve">  </w:t>
            </w:r>
            <w:r w:rsidRPr="00144816">
              <w:t>The 1.5 tonne/TEU tare is based on the tare weights for half a standard 40 foot dry shipping container (Rockwell International Pty Ltd, Container specifications, undated). (sub. </w:t>
            </w:r>
            <w:proofErr w:type="spellStart"/>
            <w:r w:rsidRPr="00144816">
              <w:t>DR107</w:t>
            </w:r>
            <w:proofErr w:type="spellEnd"/>
            <w:r w:rsidRPr="00144816">
              <w:t>, attachment A, p. 1)</w:t>
            </w:r>
          </w:p>
          <w:p w:rsidR="00AE4D5A" w:rsidRPr="00B40961" w:rsidRDefault="00AE4D5A" w:rsidP="00144816">
            <w:pPr>
              <w:pStyle w:val="Box"/>
              <w:spacing w:line="240" w:lineRule="exact"/>
              <w:rPr>
                <w:szCs w:val="22"/>
              </w:rPr>
            </w:pPr>
            <w:r w:rsidRPr="00B40961">
              <w:rPr>
                <w:szCs w:val="22"/>
              </w:rPr>
              <w:t xml:space="preserve">BITRE also provided a set of specific responses addressing </w:t>
            </w:r>
            <w:r>
              <w:rPr>
                <w:szCs w:val="22"/>
              </w:rPr>
              <w:t>a range of</w:t>
            </w:r>
            <w:r w:rsidRPr="00B40961">
              <w:rPr>
                <w:szCs w:val="22"/>
              </w:rPr>
              <w:t xml:space="preserve"> technical issues raised by Norske Skog (see sub. </w:t>
            </w:r>
            <w:proofErr w:type="spellStart"/>
            <w:r w:rsidRPr="00B40961">
              <w:rPr>
                <w:szCs w:val="22"/>
              </w:rPr>
              <w:t>DR107</w:t>
            </w:r>
            <w:proofErr w:type="spellEnd"/>
            <w:r w:rsidRPr="00B40961">
              <w:rPr>
                <w:szCs w:val="22"/>
              </w:rPr>
              <w:t>, attachment A)</w:t>
            </w:r>
            <w:r>
              <w:rPr>
                <w:szCs w:val="22"/>
              </w:rPr>
              <w:t>.</w:t>
            </w:r>
          </w:p>
        </w:tc>
      </w:tr>
      <w:tr w:rsidR="00AE4D5A">
        <w:trPr>
          <w:cantSplit/>
        </w:trPr>
        <w:tc>
          <w:tcPr>
            <w:tcW w:w="8771" w:type="dxa"/>
            <w:tcBorders>
              <w:top w:val="nil"/>
              <w:left w:val="single" w:sz="6" w:space="0" w:color="auto"/>
              <w:bottom w:val="single" w:sz="6" w:space="0" w:color="auto"/>
              <w:right w:val="single" w:sz="6" w:space="0" w:color="auto"/>
            </w:tcBorders>
          </w:tcPr>
          <w:p w:rsidR="00AE4D5A" w:rsidRDefault="00AE4D5A">
            <w:pPr>
              <w:pStyle w:val="Box"/>
              <w:spacing w:before="0" w:line="120" w:lineRule="exact"/>
            </w:pPr>
          </w:p>
        </w:tc>
      </w:tr>
      <w:tr w:rsidR="00AE4D5A" w:rsidRPr="000863A5">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8E5E01">
      <w:pPr>
        <w:pStyle w:val="BodyText"/>
      </w:pPr>
      <w:r>
        <w:lastRenderedPageBreak/>
        <w:t>BITRE noted that in suggesting updated parameters it had followed the TFES methodology as recommended by the TFES Review Authority, and noted that with respect to the design of the current TFES:</w:t>
      </w:r>
    </w:p>
    <w:p w:rsidR="00AE4D5A" w:rsidRDefault="00AE4D5A" w:rsidP="008E5E01">
      <w:pPr>
        <w:pStyle w:val="QuoteBullet"/>
      </w:pPr>
      <w:r>
        <w:t>The Scheme does not fully compensate all shippers for their ‘sea freight disadvantage’ — the TFES incentive structure phases out payments as the level of disadvantage increases to encourage shippers to seek lower freight costs.</w:t>
      </w:r>
    </w:p>
    <w:p w:rsidR="00AE4D5A" w:rsidRPr="003E11A5" w:rsidRDefault="00AE4D5A" w:rsidP="008E5E01">
      <w:pPr>
        <w:pStyle w:val="QuoteBullet"/>
      </w:pPr>
      <w:r w:rsidRPr="00590EE5">
        <w:rPr>
          <w:spacing w:val="-4"/>
        </w:rPr>
        <w:t xml:space="preserve">The use of a median sea freight rate was recommended by the TFES Review Authority </w:t>
      </w:r>
      <w:r w:rsidRPr="00903666">
        <w:t>(1998)</w:t>
      </w:r>
      <w:r w:rsidRPr="00590EE5">
        <w:rPr>
          <w:spacing w:val="-4"/>
        </w:rPr>
        <w:t xml:space="preserve"> to overcome what it stated was ‘the very heavy influence of a few very large shipp</w:t>
      </w:r>
      <w:r>
        <w:rPr>
          <w:spacing w:val="-4"/>
        </w:rPr>
        <w:t>ers who enjoy low freight rates</w:t>
      </w:r>
      <w:r w:rsidRPr="00590EE5">
        <w:rPr>
          <w:spacing w:val="-4"/>
        </w:rPr>
        <w:t>’</w:t>
      </w:r>
      <w:r>
        <w:rPr>
          <w:spacing w:val="-4"/>
        </w:rPr>
        <w:t>.</w:t>
      </w:r>
      <w:r w:rsidRPr="00590EE5">
        <w:rPr>
          <w:spacing w:val="-4"/>
        </w:rPr>
        <w:t xml:space="preserve"> (DIRD, sub. </w:t>
      </w:r>
      <w:proofErr w:type="spellStart"/>
      <w:r w:rsidRPr="00590EE5">
        <w:rPr>
          <w:spacing w:val="-4"/>
        </w:rPr>
        <w:t>DR</w:t>
      </w:r>
      <w:r>
        <w:rPr>
          <w:spacing w:val="-4"/>
        </w:rPr>
        <w:t>107</w:t>
      </w:r>
      <w:proofErr w:type="spellEnd"/>
      <w:r>
        <w:rPr>
          <w:spacing w:val="-4"/>
        </w:rPr>
        <w:t>, a</w:t>
      </w:r>
      <w:r w:rsidRPr="00590EE5">
        <w:rPr>
          <w:spacing w:val="-4"/>
        </w:rPr>
        <w:t>ttachment A, p. 1)</w:t>
      </w:r>
    </w:p>
    <w:p w:rsidR="00AE4D5A" w:rsidRDefault="00AE4D5A" w:rsidP="008E5E01">
      <w:pPr>
        <w:pStyle w:val="BodyText"/>
      </w:pPr>
      <w:r>
        <w:t>Information from participants that the Commission received during the course of the inquiry clearly showed</w:t>
      </w:r>
      <w:r w:rsidRPr="00861355">
        <w:t xml:space="preserve"> that </w:t>
      </w:r>
      <w:r>
        <w:t>many misunderstood the</w:t>
      </w:r>
      <w:r w:rsidRPr="00861355">
        <w:t xml:space="preserve"> purpose </w:t>
      </w:r>
      <w:r>
        <w:t xml:space="preserve">and parameter based operation </w:t>
      </w:r>
      <w:r w:rsidRPr="00861355">
        <w:t>of the schemes</w:t>
      </w:r>
      <w:r>
        <w:t>. Many</w:t>
      </w:r>
      <w:r w:rsidRPr="00861355">
        <w:t xml:space="preserve"> participants </w:t>
      </w:r>
      <w:r>
        <w:t>considered the TFES was</w:t>
      </w:r>
      <w:r w:rsidRPr="00861355">
        <w:t xml:space="preserve"> </w:t>
      </w:r>
      <w:r>
        <w:t xml:space="preserve">directed at </w:t>
      </w:r>
      <w:r w:rsidRPr="00861355">
        <w:t xml:space="preserve">offsetting increasing or absolute freight costs, </w:t>
      </w:r>
      <w:r>
        <w:t>whereas its actual purpose is</w:t>
      </w:r>
      <w:r w:rsidRPr="00861355">
        <w:t xml:space="preserve"> </w:t>
      </w:r>
      <w:r>
        <w:t xml:space="preserve">partially offsetting (not eliminating) the relative and notional </w:t>
      </w:r>
      <w:r w:rsidRPr="00861355">
        <w:t>disadvantage of moving freight by sea.</w:t>
      </w:r>
    </w:p>
    <w:p w:rsidR="00AE4D5A" w:rsidRDefault="00AE4D5A" w:rsidP="008E5E01">
      <w:pPr>
        <w:pStyle w:val="BodyText"/>
      </w:pPr>
      <w:r>
        <w:t>Overall, while the Commission acknowledges that some costs shippers face can be higher than the rates used in the TFES parameters, t</w:t>
      </w:r>
      <w:r w:rsidRPr="001D5F07">
        <w:t xml:space="preserve">he methodology and parameter estimates used by BITRE to calculate the cost disadvantage </w:t>
      </w:r>
      <w:r>
        <w:t>are based on assessments of average costs and rates and median shippers. As such, they inevitably</w:t>
      </w:r>
      <w:r w:rsidRPr="001D5F07">
        <w:t xml:space="preserve"> cannot reflect the </w:t>
      </w:r>
      <w:r>
        <w:t xml:space="preserve">(widely disparate) experiences of individual firms. That said, the scheme provides incentives for shippers to move between wharf to wharf and door to door based assessment. As such the Commission acknowledges that the recipient base informing the median calculation (on actual recipient data wharf to wharf) will change with recipient freight experience and an election to shift between the two forms of assessment. As discussed above, the Commission considers that there is a case for reviewing these issues in the context of future rate reviews. </w:t>
      </w:r>
    </w:p>
    <w:p w:rsidR="00AE4D5A" w:rsidRDefault="00AE4D5A" w:rsidP="008E5E01">
      <w:pPr>
        <w:pStyle w:val="Heading5"/>
      </w:pPr>
      <w:r>
        <w:t>Intermodal allowance</w:t>
      </w:r>
    </w:p>
    <w:p w:rsidR="00AE4D5A" w:rsidRDefault="00AE4D5A" w:rsidP="008E5E01">
      <w:pPr>
        <w:pStyle w:val="BodyText"/>
        <w:rPr>
          <w:spacing w:val="-4"/>
        </w:rPr>
      </w:pPr>
      <w:r>
        <w:t xml:space="preserve">The high cost of intermodal transfers and the level of intermodal allowance was also identified as an issue by many participants. </w:t>
      </w:r>
      <w:r>
        <w:rPr>
          <w:spacing w:val="-4"/>
        </w:rPr>
        <w:t>Mondelez, for example, noted:</w:t>
      </w:r>
    </w:p>
    <w:p w:rsidR="00AE4D5A" w:rsidRPr="00A53D89" w:rsidRDefault="00AE4D5A" w:rsidP="008E5E01">
      <w:pPr>
        <w:pStyle w:val="Quote"/>
      </w:pPr>
      <w:r w:rsidRPr="00A53D89">
        <w:t>The intermodal allowance must be increased with immediate effect to reflect the</w:t>
      </w:r>
      <w:r>
        <w:t xml:space="preserve"> </w:t>
      </w:r>
      <w:r w:rsidRPr="00A53D89">
        <w:t>actual additional costs inc</w:t>
      </w:r>
      <w:r>
        <w:t xml:space="preserve">urred … </w:t>
      </w:r>
      <w:r w:rsidRPr="00A53D89">
        <w:t>Mondelez International recommends the annual review of the intermodal</w:t>
      </w:r>
      <w:r>
        <w:t xml:space="preserve"> </w:t>
      </w:r>
      <w:r w:rsidRPr="00A53D89">
        <w:t>assistance to adequately compensate shippers for the annual rise in intermodal</w:t>
      </w:r>
      <w:r>
        <w:t xml:space="preserve"> </w:t>
      </w:r>
      <w:r w:rsidRPr="00A53D89">
        <w:t>costs. (sub.</w:t>
      </w:r>
      <w:r>
        <w:t> </w:t>
      </w:r>
      <w:r w:rsidRPr="00A53D89">
        <w:t>24, p.</w:t>
      </w:r>
      <w:r>
        <w:t> 3</w:t>
      </w:r>
      <w:r w:rsidRPr="00A53D89">
        <w:t>)</w:t>
      </w:r>
    </w:p>
    <w:p w:rsidR="00AE4D5A" w:rsidRDefault="00AE4D5A" w:rsidP="008E5E01">
      <w:pPr>
        <w:pStyle w:val="BodyText"/>
        <w:tabs>
          <w:tab w:val="left" w:pos="2853"/>
        </w:tabs>
      </w:pPr>
      <w:r>
        <w:t>Net Sea Freight considered that the intermodal allowance is too low and, whilst acknowledging the difficulties in determining an intermodal allowance that better reflected actual shipper costs, called for a review:</w:t>
      </w:r>
    </w:p>
    <w:p w:rsidR="00AE4D5A" w:rsidRDefault="00AE4D5A" w:rsidP="008E5E01">
      <w:pPr>
        <w:pStyle w:val="Quote"/>
      </w:pPr>
      <w:r w:rsidRPr="00D709E2">
        <w:lastRenderedPageBreak/>
        <w:t>It may be that the task is too complex, in that there is likely to be a series of almost unique intermodal costs associated with each freighting exercise. Nevertheless, that fact that a one</w:t>
      </w:r>
      <w:r>
        <w:noBreakHyphen/>
      </w:r>
      <w:r w:rsidRPr="00D709E2">
        <w:t>size</w:t>
      </w:r>
      <w:r>
        <w:noBreakHyphen/>
      </w:r>
      <w:r w:rsidRPr="00D709E2">
        <w:t>fits</w:t>
      </w:r>
      <w:r>
        <w:noBreakHyphen/>
      </w:r>
      <w:r w:rsidRPr="00D709E2">
        <w:t>all value has been extant since 1998, and has been implicitly accepted as a necessary component in the freight</w:t>
      </w:r>
      <w:r>
        <w:noBreakHyphen/>
      </w:r>
      <w:r w:rsidRPr="00D709E2">
        <w:t>cost</w:t>
      </w:r>
      <w:r>
        <w:noBreakHyphen/>
      </w:r>
      <w:r w:rsidRPr="00D709E2">
        <w:t>alleviation procedure, suggests that the allowance be considered for revision.</w:t>
      </w:r>
      <w:r w:rsidR="009C4860">
        <w:t xml:space="preserve"> (sub. DR67, p. </w:t>
      </w:r>
      <w:r>
        <w:t>4)</w:t>
      </w:r>
    </w:p>
    <w:p w:rsidR="00AE4D5A" w:rsidRDefault="00AE4D5A" w:rsidP="008E5E01">
      <w:pPr>
        <w:pStyle w:val="BodyText"/>
        <w:tabs>
          <w:tab w:val="left" w:pos="2853"/>
        </w:tabs>
      </w:pPr>
      <w:r>
        <w:t xml:space="preserve">A number of other participants to the inquiry stated that their intermodal costs were higher than the intermodal allowance. </w:t>
      </w:r>
    </w:p>
    <w:p w:rsidR="00AE4D5A" w:rsidRDefault="00AE4D5A" w:rsidP="008E5E01">
      <w:pPr>
        <w:pStyle w:val="BodyText"/>
        <w:tabs>
          <w:tab w:val="left" w:pos="2853"/>
        </w:tabs>
      </w:pPr>
      <w:r>
        <w:t xml:space="preserve">The use of a fixed intermodal rate dates back to the original scheme design. The Nixon </w:t>
      </w:r>
      <w:r w:rsidRPr="00903666">
        <w:t>(1998)</w:t>
      </w:r>
      <w:r>
        <w:t xml:space="preserve"> review of TFES rates and assistance recommended that a fixed intermodal amount be provided, noting:</w:t>
      </w:r>
    </w:p>
    <w:p w:rsidR="00AE4D5A" w:rsidRDefault="00AE4D5A" w:rsidP="008E5E01">
      <w:pPr>
        <w:pStyle w:val="Quote"/>
      </w:pPr>
      <w:r>
        <w:t>By fixing the amount, any unwanted incentives to shift activity inside or outside the wharf in response to assistance will be avoided. (p. 12)</w:t>
      </w:r>
    </w:p>
    <w:p w:rsidR="00AE4D5A" w:rsidRDefault="00AE4D5A" w:rsidP="008E5E01">
      <w:pPr>
        <w:pStyle w:val="BodyText"/>
        <w:tabs>
          <w:tab w:val="left" w:pos="2853"/>
        </w:tabs>
      </w:pPr>
      <w:r>
        <w:t>Nixon also noted that it would be undesirable that a different audit trail be imposed on scheme administrators who would be charged with verifying claims for other than container hire, wharfage or sea transport if other eligible costs were made explicit, and that in most cases for goods shipped on a door to door basis no disaggregation of wharf to wharf costs is given.</w:t>
      </w:r>
    </w:p>
    <w:p w:rsidR="00AE4D5A" w:rsidRDefault="00AE4D5A" w:rsidP="008E5E01">
      <w:pPr>
        <w:pStyle w:val="BodyText"/>
        <w:tabs>
          <w:tab w:val="left" w:pos="2853"/>
        </w:tabs>
      </w:pPr>
      <w:r>
        <w:t xml:space="preserve">That said, determining the appropriate level of the fixed rate is not straightforward. </w:t>
      </w:r>
      <w:r w:rsidRPr="00C7795F">
        <w:t xml:space="preserve">BITRE </w:t>
      </w:r>
      <w:r w:rsidRPr="00903666">
        <w:t>(2008b)</w:t>
      </w:r>
      <w:r w:rsidRPr="00C7795F">
        <w:t xml:space="preserve"> </w:t>
      </w:r>
      <w:r>
        <w:t xml:space="preserve">stated that </w:t>
      </w:r>
      <w:r w:rsidRPr="00C7795F">
        <w:t>analysis of data provided by two large shippers indicated that the quantifiable, incremental</w:t>
      </w:r>
      <w:r>
        <w:t xml:space="preserve"> </w:t>
      </w:r>
      <w:r w:rsidRPr="00C7795F">
        <w:t>costs that were attributable to the need for a sea journey was at least $50 and $86 per TEU</w:t>
      </w:r>
      <w:r>
        <w:t xml:space="preserve"> </w:t>
      </w:r>
      <w:r w:rsidRPr="00C7795F">
        <w:t xml:space="preserve">respectively. </w:t>
      </w:r>
      <w:r>
        <w:t xml:space="preserve">In its latest parameter review, BITRE </w:t>
      </w:r>
      <w:r w:rsidRPr="00903666">
        <w:t>(2013b)</w:t>
      </w:r>
      <w:r>
        <w:t xml:space="preserve"> stated that i</w:t>
      </w:r>
      <w:r w:rsidRPr="00C7795F">
        <w:t xml:space="preserve">t </w:t>
      </w:r>
      <w:r>
        <w:t>was</w:t>
      </w:r>
      <w:r w:rsidRPr="00C7795F">
        <w:t xml:space="preserve"> not known </w:t>
      </w:r>
      <w:r>
        <w:t>whether</w:t>
      </w:r>
      <w:r w:rsidRPr="00C7795F">
        <w:t xml:space="preserve"> </w:t>
      </w:r>
      <w:r>
        <w:t>these levels were</w:t>
      </w:r>
      <w:r w:rsidRPr="00C7795F">
        <w:t xml:space="preserve"> representative of the majority of shippers.</w:t>
      </w:r>
      <w:r>
        <w:t xml:space="preserve"> It nevertheless recommended that the $100 per TEU intermodal allowance be retained.</w:t>
      </w:r>
    </w:p>
    <w:p w:rsidR="00AE4D5A" w:rsidRDefault="00AE4D5A" w:rsidP="008E5E01">
      <w:pPr>
        <w:pStyle w:val="BodyText"/>
      </w:pPr>
      <w:r>
        <w:t>In the Commission’s view, BITRE should seek evidence from shippers and other participants on intermodal costs as part of broader TFES rate review processes (discussed further below).</w:t>
      </w:r>
    </w:p>
    <w:p w:rsidR="00AE4D5A" w:rsidRDefault="00AE4D5A" w:rsidP="008E5E01">
      <w:pPr>
        <w:pStyle w:val="Heading5"/>
      </w:pPr>
      <w:r>
        <w:t>Achieving reductions in payment rates over time</w:t>
      </w:r>
    </w:p>
    <w:p w:rsidR="00AE4D5A" w:rsidRDefault="00AE4D5A" w:rsidP="008E5E01">
      <w:pPr>
        <w:pStyle w:val="BodyText"/>
      </w:pPr>
      <w:r>
        <w:t>Another concern raised by many participants was that any changes to payment rates could have substantial adverse impacts on the Tasmanian economy, particularly if they were implemented too quickly. The Tasmanian Government stated that:</w:t>
      </w:r>
    </w:p>
    <w:p w:rsidR="00AE4D5A" w:rsidRDefault="00AE4D5A" w:rsidP="008E5E01">
      <w:pPr>
        <w:pStyle w:val="Quote"/>
        <w:rPr>
          <w:spacing w:val="-2"/>
        </w:rPr>
      </w:pPr>
      <w:r w:rsidRPr="00F4134E">
        <w:rPr>
          <w:spacing w:val="-2"/>
        </w:rPr>
        <w:t>… it is absolutely critical that the Commission recognises both the extent to which the equalisation schemes are embedded in the Tasmanian freight system and the current vulnerability of the Tasmanian economy, including the tourism sector, to the impact of further short</w:t>
      </w:r>
      <w:r>
        <w:rPr>
          <w:spacing w:val="-2"/>
        </w:rPr>
        <w:noBreakHyphen/>
      </w:r>
      <w:r w:rsidRPr="00F4134E">
        <w:rPr>
          <w:spacing w:val="-2"/>
        </w:rPr>
        <w:t>term shocks. In this context, even relatively minor changes to scheme parameters need to be carefully considered and introduced progressively. (sub.</w:t>
      </w:r>
      <w:r>
        <w:rPr>
          <w:spacing w:val="-2"/>
        </w:rPr>
        <w:t> </w:t>
      </w:r>
      <w:r w:rsidRPr="00F4134E">
        <w:rPr>
          <w:spacing w:val="-2"/>
        </w:rPr>
        <w:t>43, p. 16)</w:t>
      </w:r>
    </w:p>
    <w:p w:rsidR="00AE4D5A" w:rsidRDefault="00AE4D5A" w:rsidP="008E5E01">
      <w:pPr>
        <w:pStyle w:val="BodyText"/>
      </w:pPr>
      <w:r>
        <w:lastRenderedPageBreak/>
        <w:t>Similarly, a number of participants stated that a transition period of 2</w:t>
      </w:r>
      <w:r>
        <w:noBreakHyphen/>
        <w:t>3 years would be too short a time period to allow adjustment. Net Sea Freight noted:</w:t>
      </w:r>
    </w:p>
    <w:p w:rsidR="00AE4D5A" w:rsidRPr="00590EE5" w:rsidRDefault="00AE4D5A" w:rsidP="008E5E01">
      <w:pPr>
        <w:pStyle w:val="Quote"/>
        <w:rPr>
          <w:spacing w:val="-2"/>
        </w:rPr>
      </w:pPr>
      <w:r>
        <w:rPr>
          <w:spacing w:val="-2"/>
        </w:rPr>
        <w:t>Should there be envisaged a substantial reduction in TFES payments per TEU, there would need to be a transition period extending beyond the suggested 2</w:t>
      </w:r>
      <w:r>
        <w:rPr>
          <w:spacing w:val="-2"/>
        </w:rPr>
        <w:noBreakHyphen/>
        <w:t>3 years. The reason for this proposal is that business models of those receiving assistance would be structured on the presumption of a medium to long</w:t>
      </w:r>
      <w:r>
        <w:rPr>
          <w:spacing w:val="-2"/>
        </w:rPr>
        <w:noBreakHyphen/>
        <w:t xml:space="preserve">term continuance of existing arrangements, and it is possible that a decrease in TFES assistance received would make some operations marginal. </w:t>
      </w:r>
      <w:r w:rsidRPr="00590EE5">
        <w:rPr>
          <w:spacing w:val="-2"/>
        </w:rPr>
        <w:t>(sub.</w:t>
      </w:r>
      <w:r>
        <w:rPr>
          <w:spacing w:val="-2"/>
        </w:rPr>
        <w:t> </w:t>
      </w:r>
      <w:proofErr w:type="spellStart"/>
      <w:r w:rsidRPr="00590EE5">
        <w:rPr>
          <w:spacing w:val="-2"/>
        </w:rPr>
        <w:t>DR75</w:t>
      </w:r>
      <w:proofErr w:type="spellEnd"/>
      <w:r w:rsidRPr="00590EE5">
        <w:rPr>
          <w:spacing w:val="-2"/>
        </w:rPr>
        <w:t>, p. 9)</w:t>
      </w:r>
    </w:p>
    <w:p w:rsidR="00AE4D5A" w:rsidRDefault="00AE4D5A" w:rsidP="008E5E01">
      <w:pPr>
        <w:pStyle w:val="BodyText"/>
      </w:pPr>
      <w:r>
        <w:t>In the Commission’s view, because a move to updated payment rates has the potential to adversely affect some shippers substantially, that move should only be undertaken with appropriate transition arrangements. The details of those arrangements should be determined as part of the review process associated with the full suite of reforms to the Tasmanian freight schemes outlined in the following chapter.</w:t>
      </w:r>
    </w:p>
    <w:p w:rsidR="00AE4D5A" w:rsidRPr="000177F0" w:rsidRDefault="00AE4D5A" w:rsidP="008E5E01">
      <w:pPr>
        <w:pStyle w:val="Heading4"/>
      </w:pPr>
      <w:r>
        <w:t>Ensuring TFES payment rates are soundly based, transparent and up</w:t>
      </w:r>
      <w:r>
        <w:noBreakHyphen/>
        <w:t>to</w:t>
      </w:r>
      <w:r>
        <w:noBreakHyphen/>
        <w:t xml:space="preserve">date </w:t>
      </w:r>
    </w:p>
    <w:p w:rsidR="00AE4D5A" w:rsidRPr="00B86E90" w:rsidRDefault="005F6693" w:rsidP="008E5E01">
      <w:pPr>
        <w:pStyle w:val="BodyText"/>
      </w:pPr>
      <w:r>
        <w:t>The notion of a cost disadvantage</w:t>
      </w:r>
      <w:r w:rsidR="00AE4D5A">
        <w:t xml:space="preserve"> that can be measured and compensated for is problematic and inherently difficult to measure. Regardless of the method employed, any calculation will be subject to challenge. As noted earlier, f</w:t>
      </w:r>
      <w:r w:rsidR="00AE4D5A" w:rsidRPr="00B86E90">
        <w:t xml:space="preserve">reight rates can differ for a number of </w:t>
      </w:r>
      <w:r w:rsidR="00AE4D5A">
        <w:t>reasons</w:t>
      </w:r>
      <w:r w:rsidR="00AE4D5A" w:rsidRPr="00B86E90">
        <w:t xml:space="preserve">. </w:t>
      </w:r>
      <w:r w:rsidR="00AE4D5A">
        <w:t>In its 2006 inquiry, the Commission found that even for a given freight task there is considerable variation in the freight costs both within jurisdictions and between them. The additional information provided to the Commission during the course of this inquiry (both public and confidential) reinforces this conclusion.</w:t>
      </w:r>
    </w:p>
    <w:p w:rsidR="00AE4D5A" w:rsidRDefault="00AE4D5A" w:rsidP="008E5E01">
      <w:pPr>
        <w:pStyle w:val="BodyText"/>
      </w:pPr>
      <w:r w:rsidRPr="00B86E90">
        <w:t xml:space="preserve">Given </w:t>
      </w:r>
      <w:r>
        <w:t>this</w:t>
      </w:r>
      <w:r w:rsidRPr="00B86E90">
        <w:t xml:space="preserve">, determining with any confidence the absolute magnitude of </w:t>
      </w:r>
      <w:r>
        <w:t xml:space="preserve">sea </w:t>
      </w:r>
      <w:r w:rsidRPr="00B86E90">
        <w:t xml:space="preserve">freight cost disadvantage at a particular point in time </w:t>
      </w:r>
      <w:r>
        <w:t xml:space="preserve">has many problems, with methodology and assumptions open to dispute. </w:t>
      </w:r>
      <w:r w:rsidRPr="00B86E90">
        <w:t xml:space="preserve">The Commission noted in its 2006 </w:t>
      </w:r>
      <w:r>
        <w:t>inquiry</w:t>
      </w:r>
      <w:r w:rsidRPr="00B86E90">
        <w:t xml:space="preserve"> that it was unrealistic to suggest that any one ‘road freight equivalent’ was truly representative of a comparable freight task. This remains the case.</w:t>
      </w:r>
    </w:p>
    <w:p w:rsidR="00AE4D5A" w:rsidRDefault="00AE4D5A" w:rsidP="008E5E01">
      <w:pPr>
        <w:pStyle w:val="BodyText"/>
      </w:pPr>
      <w:r>
        <w:t>Nevertheless, principles of sound public policy design indicate that for a program to be administered effectively, it requires clear, consistent and transparent rules. Such rules need to provide ongoing certainty to all affected parties, including recipients, those administering the scheme, and taxpayers who ultimately fund the scheme.</w:t>
      </w:r>
    </w:p>
    <w:p w:rsidR="00AE4D5A" w:rsidRDefault="00AE4D5A" w:rsidP="008E5E01">
      <w:pPr>
        <w:pStyle w:val="BodyText"/>
      </w:pPr>
      <w:r>
        <w:t xml:space="preserve">A consistent and transparent mechanism for determining TFES funding rates over time is therefore essential. Further, notwithstanding the problems in establishing a benchmark noted above, tracking changes in underlying costs for different freight </w:t>
      </w:r>
      <w:r>
        <w:lastRenderedPageBreak/>
        <w:t>modes over time is likely to involve fewer problems than establishing the initial benchmark.</w:t>
      </w:r>
    </w:p>
    <w:p w:rsidR="00AE4D5A" w:rsidRDefault="00AE4D5A" w:rsidP="008E5E01">
      <w:pPr>
        <w:pStyle w:val="BodyText"/>
      </w:pPr>
      <w:r>
        <w:t>The Commission considers that current arrangements for developing TFES parameters — which involve the preparation and public release of comprehensive parameter reviews undertaken by BITRE on a periodic basis — are soundly based, consistent and transparent. Further, in the Commission’s view, the BITRE review methodology and approach reflect the broad scheme objective of partially offsetting the relative cost disadvantage. Hence, if the Australian Government chooses to retain the TFES in essentially its current form, it should ensure that the payment rates are based on the findings of the latest available BITRE parameter estimates subject to a public consultation process as recommended below.</w:t>
      </w:r>
    </w:p>
    <w:p w:rsidR="00AE4D5A" w:rsidRDefault="00AE4D5A" w:rsidP="008E5E01">
      <w:pPr>
        <w:pStyle w:val="BodyText"/>
      </w:pPr>
      <w:r>
        <w:t xml:space="preserve">Updating TFES payment rates to reflect current parameter estimates would result in a saving to the Commonwealth Budget. </w:t>
      </w:r>
      <w:r w:rsidRPr="001813F4">
        <w:t xml:space="preserve">However, </w:t>
      </w:r>
      <w:r>
        <w:t>a one</w:t>
      </w:r>
      <w:r>
        <w:noBreakHyphen/>
        <w:t>off and thereby substantial change from the 1996</w:t>
      </w:r>
      <w:r>
        <w:noBreakHyphen/>
        <w:t>97 to the 2011</w:t>
      </w:r>
      <w:r>
        <w:noBreakHyphen/>
        <w:t>12 parameters</w:t>
      </w:r>
      <w:r w:rsidRPr="001813F4">
        <w:t xml:space="preserve"> has the potential to create </w:t>
      </w:r>
      <w:r>
        <w:t>adjustment pressures</w:t>
      </w:r>
      <w:r w:rsidRPr="001813F4">
        <w:t xml:space="preserve"> for businesses as </w:t>
      </w:r>
      <w:r>
        <w:t xml:space="preserve">their </w:t>
      </w:r>
      <w:r w:rsidRPr="001813F4">
        <w:t xml:space="preserve">planning is likely to have been </w:t>
      </w:r>
      <w:r>
        <w:t>undertaken</w:t>
      </w:r>
      <w:r w:rsidRPr="001813F4">
        <w:t xml:space="preserve"> on the basis of the current level of assistance. It </w:t>
      </w:r>
      <w:r>
        <w:t>is also likely to</w:t>
      </w:r>
      <w:r w:rsidRPr="001813F4">
        <w:t xml:space="preserve"> represent a </w:t>
      </w:r>
      <w:r>
        <w:t xml:space="preserve">material </w:t>
      </w:r>
      <w:r w:rsidRPr="001813F4">
        <w:t xml:space="preserve">withdrawal of assistance to some firms, notably large claimants. </w:t>
      </w:r>
      <w:r>
        <w:t>Therefore, if</w:t>
      </w:r>
      <w:r w:rsidRPr="000F549D">
        <w:t xml:space="preserve"> this policy option were </w:t>
      </w:r>
      <w:r>
        <w:t xml:space="preserve">to be </w:t>
      </w:r>
      <w:r w:rsidRPr="000F549D">
        <w:t xml:space="preserve">adopted, consideration should be given to </w:t>
      </w:r>
      <w:r>
        <w:t xml:space="preserve">appropriate </w:t>
      </w:r>
      <w:r w:rsidRPr="000F549D">
        <w:t>transitional arrangements.</w:t>
      </w:r>
      <w:r>
        <w:t xml:space="preserve"> </w:t>
      </w:r>
    </w:p>
    <w:p w:rsidR="00AE4D5A" w:rsidRDefault="00AE4D5A" w:rsidP="008E5E01">
      <w:pPr>
        <w:pStyle w:val="BodyText"/>
      </w:pPr>
      <w:r>
        <w:t xml:space="preserve">Further, the Commission notes that BITRE has been making available the results of its regular parameter reviews as well as underlying assumptions, cost estimates, methodology and other supporting information — most recently in </w:t>
      </w:r>
      <w:r w:rsidRPr="001F3E8C">
        <w:rPr>
          <w:szCs w:val="24"/>
        </w:rPr>
        <w:t>BITRE </w:t>
      </w:r>
      <w:r w:rsidRPr="00903666">
        <w:t>(2013b)</w:t>
      </w:r>
      <w:r>
        <w:t xml:space="preserve"> and </w:t>
      </w:r>
      <w:r>
        <w:rPr>
          <w:szCs w:val="24"/>
        </w:rPr>
        <w:t>SKM</w:t>
      </w:r>
      <w:r w:rsidRPr="001F3E8C">
        <w:rPr>
          <w:szCs w:val="24"/>
        </w:rPr>
        <w:t> </w:t>
      </w:r>
      <w:r w:rsidRPr="00903666">
        <w:t>(2013)</w:t>
      </w:r>
      <w:r>
        <w:t>. This approach is consistent with public policy principles of transparency and accountability.</w:t>
      </w:r>
    </w:p>
    <w:p w:rsidR="00AE4D5A" w:rsidRDefault="00AE4D5A" w:rsidP="008E5E01">
      <w:pPr>
        <w:pStyle w:val="BodyText"/>
      </w:pPr>
      <w:r>
        <w:t xml:space="preserve">However, the Commission acknowledges the range of views and evidence that has been provided to this inquiry about the level and underlying drivers of freight transport costs, estimated levels of cost disadvantage, including the assumptions that underpin them, and appropriate scheme payment rates. </w:t>
      </w:r>
    </w:p>
    <w:p w:rsidR="00AE4D5A" w:rsidRDefault="00AE4D5A" w:rsidP="008E5E01">
      <w:pPr>
        <w:pStyle w:val="BodyText"/>
      </w:pPr>
      <w:r>
        <w:t>It has also been apparent to the Commission during the course of this inquiry that, notwithstanding the publication of BITRE reviews, recipients’ awareness of those reports and their implications for payment rates was low. More broadly, it has also been evident that the level of understanding of the scheme among recipients and stakeholders varies greatly. This has led to a number of misperceptions about what the schemes are designed to do and how they work. This, combined with successive governments’ reluctance to adjust payment rates to reflect changes in scheme parameters has meant that recipients are less likely to factor possible future changes to payment rates into their future production and freight usage plans.</w:t>
      </w:r>
    </w:p>
    <w:p w:rsidR="00AE4D5A" w:rsidRDefault="00AE4D5A" w:rsidP="008E5E01">
      <w:pPr>
        <w:pStyle w:val="BodyText"/>
      </w:pPr>
      <w:r>
        <w:lastRenderedPageBreak/>
        <w:t xml:space="preserve">In this regard, one area of potential improvement to scheme administration identified by the Commission during the course of this inquiry is to further strengthen the consultation processes used in rate reviews. Consistent with leading practice stakeholder consultation processes, rate reviews could be undertaken in several stages. This would involve the release of a draft report, containing the updated parameter estimates and underlying analysis and providing an opportunity for stakeholders to comment and provide any additional evidence through public submissions. Following this, a final report would be released that would include any changes or additional analysis stemming from the consultation process, as well as discussion of the outcomes of the consultation process, and how the resulting feedback and evidence were taken into account in the preparation of the final report. </w:t>
      </w:r>
    </w:p>
    <w:p w:rsidR="00AE4D5A" w:rsidRDefault="00AE4D5A" w:rsidP="008E5E01">
      <w:pPr>
        <w:pStyle w:val="BodyText"/>
      </w:pPr>
      <w:r>
        <w:t>Such a multi</w:t>
      </w:r>
      <w:r>
        <w:noBreakHyphen/>
        <w:t xml:space="preserve">stage process would allow for a public and transparent testing of the merits of different data, estimates and assumptions provided by stakeholders prior to the finalisation of updated parameters. </w:t>
      </w:r>
    </w:p>
    <w:p w:rsidR="00AE4D5A" w:rsidRDefault="00AE4D5A" w:rsidP="008E5E01">
      <w:pPr>
        <w:pStyle w:val="BodyText"/>
      </w:pPr>
      <w:r w:rsidRPr="00F60711">
        <w:t>The process would also provide a mechanism for BITRE to access pricing and cost data from the relevant shipping lines to assist with the determination of the updated rates as well as assess the impacts and effectiveness of the TFES more broadly. This is particularly important given the substantial challenges in gaining a clear understanding of changes in Bass Strait shipping costs and prices identified in the Commission’s 2006 inquiry and strongly evident during the course of the current inquiry. Without clear information in these areas, assessing the extent to which subsidies paid through the TFES are pass</w:t>
      </w:r>
      <w:r>
        <w:t>ed</w:t>
      </w:r>
      <w:r w:rsidRPr="00F60711">
        <w:t xml:space="preserve"> through to their intended recipients, and hence the overall effectiveness of the scheme in achieving its objectives</w:t>
      </w:r>
      <w:r>
        <w:t>,</w:t>
      </w:r>
      <w:r w:rsidRPr="00F60711">
        <w:t xml:space="preserve"> is unclear.</w:t>
      </w:r>
    </w:p>
    <w:p w:rsidR="00AE4D5A" w:rsidRDefault="00AE4D5A" w:rsidP="008E5E01">
      <w:pPr>
        <w:pStyle w:val="BodyText"/>
      </w:pPr>
      <w:r w:rsidRPr="00590EE5">
        <w:t xml:space="preserve">The Commission heard strong support for </w:t>
      </w:r>
      <w:r>
        <w:t>a multi</w:t>
      </w:r>
      <w:r>
        <w:noBreakHyphen/>
        <w:t>stage approach</w:t>
      </w:r>
      <w:r w:rsidRPr="00590EE5">
        <w:t xml:space="preserve"> from a range of participants at the post</w:t>
      </w:r>
      <w:r>
        <w:noBreakHyphen/>
      </w:r>
      <w:r w:rsidRPr="00590EE5">
        <w:t>draft hearings and in submissions</w:t>
      </w:r>
      <w:r w:rsidRPr="00E335C3">
        <w:t xml:space="preserve">. </w:t>
      </w:r>
      <w:r>
        <w:t>The King Island Shipping Group stated:</w:t>
      </w:r>
    </w:p>
    <w:p w:rsidR="00AE4D5A" w:rsidRPr="00590EE5" w:rsidRDefault="00AE4D5A" w:rsidP="008E5E01">
      <w:pPr>
        <w:pStyle w:val="Quote"/>
      </w:pPr>
      <w:r w:rsidRPr="00590EE5">
        <w:t>We whol</w:t>
      </w:r>
      <w:r>
        <w:t xml:space="preserve">eheartedly support that review … </w:t>
      </w:r>
      <w:r w:rsidRPr="00590EE5">
        <w:t>and especially the new objective around wider public stakeholder consultation in those processes. That is definitely the way forward in terms of how effective the scheme or the process is. (</w:t>
      </w:r>
      <w:r>
        <w:t>trans., p. 420)</w:t>
      </w:r>
      <w:r w:rsidRPr="00590EE5">
        <w:t xml:space="preserve"> </w:t>
      </w:r>
    </w:p>
    <w:p w:rsidR="00AE4D5A" w:rsidRDefault="00AE4D5A" w:rsidP="008E5E01">
      <w:pPr>
        <w:pStyle w:val="BodyText"/>
      </w:pPr>
      <w:r>
        <w:t>Houston’s Farm noted that while it agreed that future reviews should be through a public multi</w:t>
      </w:r>
      <w:r>
        <w:noBreakHyphen/>
        <w:t>stage process:</w:t>
      </w:r>
    </w:p>
    <w:p w:rsidR="00AE4D5A" w:rsidRDefault="00AE4D5A" w:rsidP="008E5E01">
      <w:pPr>
        <w:pStyle w:val="Quote"/>
      </w:pPr>
      <w:r>
        <w:t xml:space="preserve">… </w:t>
      </w:r>
      <w:r w:rsidRPr="002B2FFB">
        <w:t>there needs to be sufficient time for all parties concerned to deliberate, research, understand and study and provide feedback.</w:t>
      </w:r>
      <w:r>
        <w:t xml:space="preserve"> (trans., p. 201)</w:t>
      </w:r>
    </w:p>
    <w:p w:rsidR="00AE4D5A" w:rsidRDefault="00AE4D5A" w:rsidP="008E5E01">
      <w:pPr>
        <w:pStyle w:val="BodyText"/>
      </w:pPr>
      <w:r w:rsidRPr="000C61B0">
        <w:t>Mondel</w:t>
      </w:r>
      <w:r>
        <w:t>e</w:t>
      </w:r>
      <w:r w:rsidRPr="000C61B0">
        <w:t xml:space="preserve">z </w:t>
      </w:r>
      <w:r>
        <w:t>noted that it:</w:t>
      </w:r>
    </w:p>
    <w:p w:rsidR="00AE4D5A" w:rsidRDefault="00AE4D5A" w:rsidP="008E5E01">
      <w:pPr>
        <w:pStyle w:val="Quote"/>
      </w:pPr>
      <w:r>
        <w:t xml:space="preserve">… </w:t>
      </w:r>
      <w:r w:rsidRPr="000C61B0">
        <w:t xml:space="preserve">welcomes the </w:t>
      </w:r>
      <w:r>
        <w:t>[public multi</w:t>
      </w:r>
      <w:r>
        <w:noBreakHyphen/>
        <w:t>stage]</w:t>
      </w:r>
      <w:r w:rsidRPr="000C61B0">
        <w:t xml:space="preserve"> process for the reviews and would like to emphasise the importance of industry input into such a process carrying sufficient </w:t>
      </w:r>
      <w:r w:rsidRPr="000C61B0">
        <w:lastRenderedPageBreak/>
        <w:t>weight to ensure that the level of TFES is maintained at correct levels.</w:t>
      </w:r>
      <w:r w:rsidR="00F17CCE">
        <w:t xml:space="preserve"> (sub. DR</w:t>
      </w:r>
      <w:r>
        <w:t>98,</w:t>
      </w:r>
      <w:r w:rsidR="003F0C6F">
        <w:t> </w:t>
      </w:r>
      <w:r>
        <w:t>p. 6) </w:t>
      </w:r>
    </w:p>
    <w:p w:rsidR="00AE4D5A" w:rsidRDefault="00AE4D5A" w:rsidP="008E5E01">
      <w:pPr>
        <w:pStyle w:val="BodyText"/>
      </w:pPr>
      <w:r>
        <w:t xml:space="preserve">In view of the potential substantial investment of time and resources, for government and business alike, that such a process is likely to involve, the current schedule of biennial parameter reviews is likely to be too frequent. Accordingly, the Commission considers a period of four years between reviews to be appropriate in terms of achieving a balance between currency and administrative burden while also reflecting an appreciation of the tenor of shipping line contracts. </w:t>
      </w:r>
    </w:p>
    <w:p w:rsidR="00AE4D5A" w:rsidRDefault="00AE4D5A" w:rsidP="008E5E01">
      <w:pPr>
        <w:pStyle w:val="RecTitle"/>
      </w:pPr>
      <w:r>
        <w:t>Recommendation 3</w:t>
      </w:r>
    </w:p>
    <w:p w:rsidR="00AE4D5A" w:rsidRPr="00B316DD" w:rsidRDefault="00AE4D5A" w:rsidP="008E5E01">
      <w:pPr>
        <w:pStyle w:val="Rec"/>
      </w:pPr>
      <w:r w:rsidRPr="00B316DD">
        <w:t xml:space="preserve">Future Tasmanian Freight Equalisation Scheme </w:t>
      </w:r>
      <w:r>
        <w:t>(TFES) rate</w:t>
      </w:r>
      <w:r w:rsidRPr="00B316DD">
        <w:t xml:space="preserve"> reviews should be undertaken </w:t>
      </w:r>
      <w:r>
        <w:t xml:space="preserve">every four years </w:t>
      </w:r>
      <w:r w:rsidRPr="00B316DD">
        <w:t>by the Bureau of Infrastructure, Transport and Regional Economics using a public multi</w:t>
      </w:r>
      <w:r w:rsidRPr="00B316DD">
        <w:noBreakHyphen/>
        <w:t>stage process, comprising:</w:t>
      </w:r>
    </w:p>
    <w:p w:rsidR="00AE4D5A" w:rsidRPr="00B316DD" w:rsidRDefault="00AE4D5A" w:rsidP="008E5E01">
      <w:pPr>
        <w:pStyle w:val="RecBullet"/>
      </w:pPr>
      <w:r w:rsidRPr="00B316DD">
        <w:t xml:space="preserve">release of a draft report, containing the estimated </w:t>
      </w:r>
      <w:r>
        <w:t>rate</w:t>
      </w:r>
      <w:r w:rsidRPr="00B316DD">
        <w:t xml:space="preserve"> updates and </w:t>
      </w:r>
      <w:r>
        <w:t>underlying assumptions and data</w:t>
      </w:r>
    </w:p>
    <w:p w:rsidR="00AE4D5A" w:rsidRPr="00B316DD" w:rsidRDefault="00AE4D5A" w:rsidP="008E5E01">
      <w:pPr>
        <w:pStyle w:val="RecBullet"/>
      </w:pPr>
      <w:r w:rsidRPr="00B316DD">
        <w:t>a public submission process that allows interested parties suffi</w:t>
      </w:r>
      <w:r>
        <w:t>cient time to provide input</w:t>
      </w:r>
    </w:p>
    <w:p w:rsidR="00AE4D5A" w:rsidRDefault="00AE4D5A" w:rsidP="008E5E01">
      <w:pPr>
        <w:pStyle w:val="RecBullet"/>
      </w:pPr>
      <w:r w:rsidRPr="00B316DD">
        <w:t>release of a final report that incorporates resulting feedback and evidence</w:t>
      </w:r>
      <w:r>
        <w:t>.</w:t>
      </w:r>
    </w:p>
    <w:p w:rsidR="00AE4D5A" w:rsidRPr="00B316DD" w:rsidRDefault="00AE4D5A" w:rsidP="008E5E01">
      <w:pPr>
        <w:pStyle w:val="Rec"/>
      </w:pPr>
      <w:r>
        <w:t>Further, to inform rate reviews and future assessment of the effectiveness of the TFES, the Bureau should seek agreement with the relevant shipping lines to provide pricing and cost data</w:t>
      </w:r>
      <w:r w:rsidRPr="00EB1BCE">
        <w:t>.</w:t>
      </w:r>
    </w:p>
    <w:p w:rsidR="00AE4D5A" w:rsidRDefault="00AE4D5A" w:rsidP="008E5E01">
      <w:pPr>
        <w:pStyle w:val="BodyText"/>
      </w:pPr>
      <w:r>
        <w:t xml:space="preserve">The failure of successive Australian Governments to respond to the many parameter reviews that have been undertaken in past years has eroded the integrity of the TFES. As noted, strengthening the scheme’s integrity, in its current form, will require substantial adjustments to bring payment rates in line with latest estimates. This situation should be avoided in the future with regular adjustments to payment rates being made as revised parameters become available. </w:t>
      </w:r>
    </w:p>
    <w:p w:rsidR="00AE4D5A" w:rsidRDefault="00AE4D5A" w:rsidP="008E5E01">
      <w:pPr>
        <w:pStyle w:val="RecTitle"/>
      </w:pPr>
      <w:r>
        <w:t>Recommendation 4</w:t>
      </w:r>
    </w:p>
    <w:p w:rsidR="00AE4D5A" w:rsidRDefault="00AE4D5A" w:rsidP="008E5E01">
      <w:pPr>
        <w:pStyle w:val="Rec"/>
      </w:pPr>
      <w:r w:rsidRPr="00B316DD">
        <w:t xml:space="preserve">The Australian Government should respond publicly and in a timely manner to all Tasmanian Freight Equalisation Scheme </w:t>
      </w:r>
      <w:r>
        <w:t>rate</w:t>
      </w:r>
      <w:r w:rsidRPr="00B316DD">
        <w:t xml:space="preserve"> reviews. All responses should be released </w:t>
      </w:r>
      <w:r>
        <w:t>with an appropriate lead time to</w:t>
      </w:r>
      <w:r w:rsidRPr="00B316DD">
        <w:t xml:space="preserve"> provide certainty for recipients, and for any resulting revisions to payment rates to be incorporated into Commonwealth Budget processes.</w:t>
      </w:r>
    </w:p>
    <w:p w:rsidR="00AE4D5A" w:rsidRDefault="00AE4D5A" w:rsidP="008E5E01">
      <w:pPr>
        <w:pStyle w:val="BodyText"/>
      </w:pPr>
      <w:r>
        <w:t xml:space="preserve">However, while these changes would improve scheme integrity, there are a number of additional problems with the scheme that would remain unaddressed, including administrative complexity and the potential for ‘gaming’ and associated weaker </w:t>
      </w:r>
      <w:r>
        <w:lastRenderedPageBreak/>
        <w:t>than normal commercial incentives for cost minimisation resulting from the scheme’s sliding scale. The Commission’s preferred approach for addressing these and other associated issues involves more substantial changes to the design and administration of the TFES. These issues are discussed in the following chapter.</w:t>
      </w:r>
    </w:p>
    <w:p w:rsidR="00AE4D5A" w:rsidRDefault="00AE4D5A" w:rsidP="008E5E01">
      <w:pPr>
        <w:pStyle w:val="Heading2"/>
      </w:pPr>
      <w:r>
        <w:t>2.</w:t>
      </w:r>
      <w:r>
        <w:rPr>
          <w:noProof/>
        </w:rPr>
        <w:t>4</w:t>
      </w:r>
      <w:r>
        <w:tab/>
        <w:t>Tasmania’s passenger vehicle task</w:t>
      </w:r>
    </w:p>
    <w:p w:rsidR="00AE4D5A" w:rsidRPr="0058768B" w:rsidRDefault="00AE4D5A" w:rsidP="008E5E01">
      <w:pPr>
        <w:pStyle w:val="BodyText"/>
      </w:pPr>
      <w:r>
        <w:t>The terms of reference of this inquiry require that the Commission quantify any cost disadvantage for passengers travelling to Tasmania who are currently eligible for support through the Bass Strait Passenger Vehicle Equalisation Scheme (BSPVES). The scheme provides a subsidy for passengers accompanying an eligible vehicle across Bass Strait. Eligible vehicles include cars, motor homes and buses.</w:t>
      </w:r>
    </w:p>
    <w:p w:rsidR="00AE4D5A" w:rsidRDefault="00AE4D5A" w:rsidP="008E5E01">
      <w:pPr>
        <w:pStyle w:val="BodyText"/>
        <w:rPr>
          <w:spacing w:val="-2"/>
        </w:rPr>
      </w:pPr>
      <w:r w:rsidRPr="0036239E">
        <w:rPr>
          <w:spacing w:val="-2"/>
        </w:rPr>
        <w:t>In 2012</w:t>
      </w:r>
      <w:r>
        <w:rPr>
          <w:spacing w:val="-2"/>
        </w:rPr>
        <w:noBreakHyphen/>
      </w:r>
      <w:r w:rsidRPr="0036239E">
        <w:rPr>
          <w:spacing w:val="-2"/>
        </w:rPr>
        <w:t>13</w:t>
      </w:r>
      <w:r>
        <w:rPr>
          <w:spacing w:val="-2"/>
        </w:rPr>
        <w:t>,</w:t>
      </w:r>
      <w:r w:rsidRPr="0036239E">
        <w:rPr>
          <w:spacing w:val="-2"/>
        </w:rPr>
        <w:t xml:space="preserve"> almost two million adult passengers travelled by air and sea across Bass Strait (figure</w:t>
      </w:r>
      <w:r>
        <w:rPr>
          <w:spacing w:val="-2"/>
        </w:rPr>
        <w:t> </w:t>
      </w:r>
      <w:r w:rsidRPr="0036239E">
        <w:rPr>
          <w:spacing w:val="-2"/>
        </w:rPr>
        <w:t>2.</w:t>
      </w:r>
      <w:r>
        <w:rPr>
          <w:spacing w:val="-2"/>
        </w:rPr>
        <w:t>8</w:t>
      </w:r>
      <w:r w:rsidRPr="0036239E">
        <w:rPr>
          <w:spacing w:val="-2"/>
        </w:rPr>
        <w:t xml:space="preserve">, left panel). Air travel accounted for </w:t>
      </w:r>
      <w:r>
        <w:rPr>
          <w:spacing w:val="-2"/>
        </w:rPr>
        <w:t>around</w:t>
      </w:r>
      <w:r w:rsidRPr="0036239E">
        <w:rPr>
          <w:spacing w:val="-2"/>
        </w:rPr>
        <w:t xml:space="preserve"> 90 per cent of this total. After remaining flat during the second half of the 1990s, the total number of passengers travelling across Bass Strait increased sharply from the early 2000s, driven by a doubling in annual air passengers following the entry of low cost airlines into the Tasmanian market</w:t>
      </w:r>
      <w:r>
        <w:rPr>
          <w:spacing w:val="-2"/>
        </w:rPr>
        <w:t xml:space="preserve"> and the resulting marked fall in fares</w:t>
      </w:r>
      <w:r w:rsidRPr="0036239E">
        <w:rPr>
          <w:spacing w:val="-2"/>
        </w:rPr>
        <w:t xml:space="preserve"> </w:t>
      </w:r>
      <w:r w:rsidRPr="00903666">
        <w:rPr>
          <w:szCs w:val="24"/>
        </w:rPr>
        <w:t>(BITRE 2014)</w:t>
      </w:r>
      <w:r w:rsidRPr="0036239E">
        <w:rPr>
          <w:spacing w:val="-2"/>
        </w:rPr>
        <w:t>.</w:t>
      </w:r>
      <w:r>
        <w:rPr>
          <w:rStyle w:val="FootnoteReference"/>
          <w:spacing w:val="-2"/>
        </w:rPr>
        <w:footnoteReference w:id="9"/>
      </w:r>
      <w:r w:rsidRPr="0036239E">
        <w:rPr>
          <w:spacing w:val="-2"/>
        </w:rPr>
        <w:t xml:space="preserve"> </w:t>
      </w:r>
    </w:p>
    <w:p w:rsidR="00AE4D5A" w:rsidRDefault="00AE4D5A" w:rsidP="008E5E01">
      <w:pPr>
        <w:pStyle w:val="FigureTitle"/>
      </w:pPr>
      <w:r>
        <w:rPr>
          <w:b w:val="0"/>
        </w:rPr>
        <w:t>Figure 2.</w:t>
      </w:r>
      <w:r>
        <w:rPr>
          <w:b w:val="0"/>
          <w:noProof/>
        </w:rPr>
        <w:t>8</w:t>
      </w:r>
      <w:r>
        <w:tab/>
        <w:t>Sea and air traffic across Bass Strait</w:t>
      </w:r>
      <w:r w:rsidRPr="00364C1F">
        <w:rPr>
          <w:rStyle w:val="NoteLabel"/>
          <w:b/>
        </w:rPr>
        <w:t>a</w:t>
      </w:r>
    </w:p>
    <w:tbl>
      <w:tblPr>
        <w:tblW w:w="8778" w:type="dxa"/>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4"/>
        <w:gridCol w:w="4394"/>
      </w:tblGrid>
      <w:tr w:rsidR="00AE4D5A" w:rsidTr="008E5E01">
        <w:tc>
          <w:tcPr>
            <w:tcW w:w="4384" w:type="dxa"/>
          </w:tcPr>
          <w:p w:rsidR="00AE4D5A" w:rsidRPr="004744D4" w:rsidRDefault="00AE4D5A" w:rsidP="008E5E01">
            <w:pPr>
              <w:pStyle w:val="TableColumnHeading"/>
              <w:jc w:val="center"/>
              <w:rPr>
                <w:spacing w:val="-4"/>
              </w:rPr>
            </w:pPr>
            <w:r w:rsidRPr="004744D4">
              <w:rPr>
                <w:b/>
              </w:rPr>
              <w:t>Sea and air passengers</w:t>
            </w:r>
            <w:r w:rsidRPr="004744D4">
              <w:t xml:space="preserve"> </w:t>
            </w:r>
            <w:r>
              <w:br/>
              <w:t>(return journeys, million</w:t>
            </w:r>
            <w:r w:rsidRPr="004744D4">
              <w:t>)</w:t>
            </w:r>
          </w:p>
        </w:tc>
        <w:tc>
          <w:tcPr>
            <w:tcW w:w="4394" w:type="dxa"/>
          </w:tcPr>
          <w:p w:rsidR="00AE4D5A" w:rsidRDefault="00AE4D5A" w:rsidP="008E5E01">
            <w:pPr>
              <w:pStyle w:val="TableColumnHeading"/>
              <w:jc w:val="center"/>
            </w:pPr>
            <w:r w:rsidRPr="004744D4">
              <w:rPr>
                <w:b/>
              </w:rPr>
              <w:t>Motor vehicle and berth</w:t>
            </w:r>
            <w:r>
              <w:rPr>
                <w:b/>
              </w:rPr>
              <w:noBreakHyphen/>
            </w:r>
            <w:r w:rsidRPr="004744D4">
              <w:rPr>
                <w:b/>
              </w:rPr>
              <w:t>only passengers</w:t>
            </w:r>
            <w:r>
              <w:t xml:space="preserve"> </w:t>
            </w:r>
            <w:r>
              <w:br/>
              <w:t>(one way trips, million)</w:t>
            </w:r>
          </w:p>
        </w:tc>
      </w:tr>
      <w:tr w:rsidR="00AE4D5A" w:rsidTr="008E5E01">
        <w:tblPrEx>
          <w:tblCellMar>
            <w:left w:w="108" w:type="dxa"/>
            <w:right w:w="108" w:type="dxa"/>
          </w:tblCellMar>
        </w:tblPrEx>
        <w:tc>
          <w:tcPr>
            <w:tcW w:w="4384" w:type="dxa"/>
          </w:tcPr>
          <w:p w:rsidR="00AE4D5A" w:rsidRDefault="00AE4D5A" w:rsidP="008E5E01">
            <w:pPr>
              <w:pStyle w:val="Figure"/>
            </w:pPr>
            <w:r w:rsidRPr="00514707">
              <w:rPr>
                <w:noProof/>
              </w:rPr>
              <w:drawing>
                <wp:inline distT="0" distB="0" distL="0" distR="0" wp14:anchorId="6EBCEE36" wp14:editId="610B8B7F">
                  <wp:extent cx="2733675" cy="2276475"/>
                  <wp:effectExtent l="0" t="0" r="0" b="0"/>
                  <wp:docPr id="26" name="Chart 26" descr="Figure 2.8 Sea and air traffic across Bass Strait. The left panel shows changes in nominal freight rates for road and Bass Strait shipping between 196-97 and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c>
          <w:tcPr>
            <w:tcW w:w="4394" w:type="dxa"/>
          </w:tcPr>
          <w:p w:rsidR="00AE4D5A" w:rsidRDefault="00AE4D5A" w:rsidP="008E5E01">
            <w:pPr>
              <w:pStyle w:val="Figure"/>
            </w:pPr>
            <w:r w:rsidRPr="00514707">
              <w:rPr>
                <w:noProof/>
              </w:rPr>
              <w:drawing>
                <wp:inline distT="0" distB="0" distL="0" distR="0" wp14:anchorId="12F366F9" wp14:editId="1EC21E26">
                  <wp:extent cx="2714625" cy="2269095"/>
                  <wp:effectExtent l="0" t="0" r="9525" b="0"/>
                  <wp:docPr id="27" name="Chart 27" descr="The right panel shows number of motor vehicle and berth-only passenger trips (one-way) across Bass Strait between 1978-79 and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rsidR="00AE4D5A" w:rsidRDefault="00AE4D5A" w:rsidP="008E5E01">
      <w:pPr>
        <w:pStyle w:val="Note"/>
      </w:pPr>
      <w:proofErr w:type="spellStart"/>
      <w:r>
        <w:rPr>
          <w:rStyle w:val="NoteLabel"/>
        </w:rPr>
        <w:t>a</w:t>
      </w:r>
      <w:proofErr w:type="spellEnd"/>
      <w:r>
        <w:t xml:space="preserve"> Includes both visitors and Tasmanian residents.</w:t>
      </w:r>
    </w:p>
    <w:p w:rsidR="00AE4D5A" w:rsidRDefault="00AE4D5A" w:rsidP="008E5E01">
      <w:pPr>
        <w:pStyle w:val="Source"/>
      </w:pPr>
      <w:r>
        <w:rPr>
          <w:i/>
        </w:rPr>
        <w:t>Data source</w:t>
      </w:r>
      <w:r w:rsidRPr="00167F06">
        <w:t xml:space="preserve">: </w:t>
      </w:r>
      <w:r w:rsidRPr="00464363">
        <w:rPr>
          <w:rFonts w:cs="Arial"/>
          <w:szCs w:val="24"/>
        </w:rPr>
        <w:t>BITRE </w:t>
      </w:r>
      <w:r w:rsidRPr="00903666">
        <w:rPr>
          <w:rFonts w:cs="Arial"/>
        </w:rPr>
        <w:t>(2014)</w:t>
      </w:r>
      <w:r>
        <w:t>.</w:t>
      </w:r>
    </w:p>
    <w:p w:rsidR="00AE4D5A" w:rsidRPr="00AC5329" w:rsidRDefault="00AE4D5A" w:rsidP="008E5E01">
      <w:pPr>
        <w:pStyle w:val="BodyText"/>
      </w:pPr>
      <w:r>
        <w:lastRenderedPageBreak/>
        <w:t>In contrast, the number of passengers accompanying an eligible motor vehicle</w:t>
      </w:r>
      <w:r w:rsidRPr="0089638B">
        <w:rPr>
          <w:color w:val="FF0000"/>
        </w:rPr>
        <w:t xml:space="preserve"> </w:t>
      </w:r>
      <w:r>
        <w:t>has declined since the mid</w:t>
      </w:r>
      <w:r>
        <w:noBreakHyphen/>
        <w:t>2000s, with just under 300 000 people making the trip (with their vehicles) across Bass Strait in 2012</w:t>
      </w:r>
      <w:r>
        <w:noBreakHyphen/>
        <w:t>13 (figure 2.8, right panel).</w:t>
      </w:r>
      <w:r w:rsidRPr="00A61392">
        <w:t xml:space="preserve"> </w:t>
      </w:r>
      <w:r>
        <w:t>Given that there were 1.9 passengers per vehicle, this amounted to 152 000 eligible vehicles being shipped under the scheme in 2012</w:t>
      </w:r>
      <w:r>
        <w:noBreakHyphen/>
        <w:t>13.</w:t>
      </w:r>
    </w:p>
    <w:p w:rsidR="00AE4D5A" w:rsidRDefault="00AE4D5A" w:rsidP="008E5E01">
      <w:pPr>
        <w:pStyle w:val="Heading2"/>
      </w:pPr>
      <w:r>
        <w:t>2.</w:t>
      </w:r>
      <w:r>
        <w:rPr>
          <w:noProof/>
        </w:rPr>
        <w:t>5</w:t>
      </w:r>
      <w:r>
        <w:tab/>
        <w:t xml:space="preserve">The cost for passenger vehicles </w:t>
      </w:r>
    </w:p>
    <w:p w:rsidR="00AE4D5A" w:rsidRDefault="00AE4D5A" w:rsidP="008E5E01">
      <w:pPr>
        <w:pStyle w:val="BodyText"/>
      </w:pPr>
      <w:r>
        <w:t xml:space="preserve">On 30 June 2013, the fare for shipping a standard (accompanied) passenger car across Bass Strait was $288, which, with a rebate of $199, resulted in a net fare of $89 </w:t>
      </w:r>
      <w:r w:rsidRPr="003A49B3">
        <w:rPr>
          <w:szCs w:val="24"/>
        </w:rPr>
        <w:t>(BITRE 2014)</w:t>
      </w:r>
      <w:r>
        <w:t xml:space="preserve">. An indication of changes in pricing over time is provided by BITRE’s benchmark one way sea fare provided in the most recent BSPVES Monitoring Report (figure 2.9). </w:t>
      </w:r>
    </w:p>
    <w:p w:rsidR="00AE4D5A" w:rsidRDefault="00AE4D5A" w:rsidP="008E5E01">
      <w:pPr>
        <w:pStyle w:val="FigureTitle"/>
      </w:pPr>
      <w:r>
        <w:rPr>
          <w:b w:val="0"/>
        </w:rPr>
        <w:t>Figure 2.</w:t>
      </w:r>
      <w:r>
        <w:rPr>
          <w:b w:val="0"/>
          <w:noProof/>
        </w:rPr>
        <w:t>9</w:t>
      </w:r>
      <w:r>
        <w:tab/>
        <w:t>Real sea package prices and passengers accompanying an eligible motor vehicle, 1978</w:t>
      </w:r>
      <w:r>
        <w:noBreakHyphen/>
        <w:t>79 to 2012</w:t>
      </w:r>
      <w:r>
        <w:noBreakHyphen/>
      </w:r>
      <w:r w:rsidRPr="002F0D1D">
        <w:t>13</w:t>
      </w:r>
      <w:r w:rsidRPr="002F0D1D">
        <w:rPr>
          <w:rStyle w:val="NoteLabel"/>
          <w:b/>
        </w:rPr>
        <w:t xml:space="preserve">a, b, </w:t>
      </w:r>
      <w:r>
        <w:rPr>
          <w:rStyle w:val="NoteLabel"/>
          <w:b/>
        </w:rPr>
        <w:t>c</w:t>
      </w:r>
    </w:p>
    <w:p w:rsidR="00AE4D5A" w:rsidRDefault="00AE4D5A" w:rsidP="008E5E01">
      <w:pPr>
        <w:pStyle w:val="Subtitle"/>
      </w:pPr>
      <w:r>
        <w:t>Peak season, end June — real (CPI deflated) 2012</w:t>
      </w:r>
      <w:r>
        <w:noBreakHyphen/>
        <w:t>13 dollars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pPr>
            <w:r w:rsidRPr="00514707">
              <w:rPr>
                <w:noProof/>
              </w:rPr>
              <w:drawing>
                <wp:inline distT="0" distB="0" distL="0" distR="0" wp14:anchorId="180B5A6B" wp14:editId="069880B5">
                  <wp:extent cx="5400000" cy="2880000"/>
                  <wp:effectExtent l="0" t="0" r="0" b="0"/>
                  <wp:docPr id="28" name="Chart 28" descr="Figure 2.9 Real sea package prices and passengers accompanying an eligible motor vehicle, 1978-79 and 2012-13. Chart shows real package sea fares (both with and without rebate) and motor vehicle passengers between 1983-84 and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rsidR="00AE4D5A" w:rsidRPr="00B412E9" w:rsidRDefault="00AE4D5A" w:rsidP="008E5E01">
      <w:pPr>
        <w:pStyle w:val="Note"/>
      </w:pPr>
      <w:r>
        <w:rPr>
          <w:rStyle w:val="NoteLabel"/>
        </w:rPr>
        <w:t>a</w:t>
      </w:r>
      <w:r>
        <w:t xml:space="preserve"> BITRE advises that this fare series is indicative and should be treated with caution given changes in the characteristics of the ships used and the fact that passengers can choose different standards and prices of accommodation</w:t>
      </w:r>
      <w:r w:rsidRPr="00B412E9">
        <w:t>.</w:t>
      </w:r>
      <w:r>
        <w:t xml:space="preserve"> </w:t>
      </w:r>
      <w:r>
        <w:rPr>
          <w:rStyle w:val="NoteLabel"/>
        </w:rPr>
        <w:t>b</w:t>
      </w:r>
      <w:r>
        <w:t xml:space="preserve"> Series break from 2010</w:t>
      </w:r>
      <w:r>
        <w:noBreakHyphen/>
        <w:t>11 due to TT</w:t>
      </w:r>
      <w:r>
        <w:noBreakHyphen/>
        <w:t xml:space="preserve">Line fare restructure (on 17 May 2010). </w:t>
      </w:r>
      <w:r>
        <w:rPr>
          <w:rStyle w:val="NoteLabel"/>
        </w:rPr>
        <w:t>c</w:t>
      </w:r>
      <w:r>
        <w:t xml:space="preserve"> Consistent data on motor vehicle passengers not available prior to 1983</w:t>
      </w:r>
      <w:r>
        <w:noBreakHyphen/>
        <w:t>84.</w:t>
      </w:r>
    </w:p>
    <w:p w:rsidR="00AE4D5A" w:rsidRDefault="00AE4D5A" w:rsidP="008E5E01">
      <w:pPr>
        <w:pStyle w:val="Source"/>
      </w:pPr>
      <w:r>
        <w:rPr>
          <w:i/>
        </w:rPr>
        <w:t>Data source</w:t>
      </w:r>
      <w:r w:rsidRPr="00167F06">
        <w:t xml:space="preserve">: </w:t>
      </w:r>
      <w:r w:rsidRPr="00464363">
        <w:rPr>
          <w:rFonts w:cs="Arial"/>
          <w:szCs w:val="24"/>
        </w:rPr>
        <w:t>BITRE </w:t>
      </w:r>
      <w:r w:rsidRPr="003A49B3">
        <w:rPr>
          <w:rFonts w:cs="Arial"/>
        </w:rPr>
        <w:t>(2014)</w:t>
      </w:r>
      <w:r>
        <w:t>.</w:t>
      </w:r>
    </w:p>
    <w:p w:rsidR="00AE4D5A" w:rsidRDefault="00AE4D5A" w:rsidP="008E5E01">
      <w:pPr>
        <w:pStyle w:val="BodyText"/>
      </w:pPr>
      <w:r>
        <w:t>The BITRE data presented in figure 2.9 indicate that prices did not increase in real terms in the decade and a half to the mid</w:t>
      </w:r>
      <w:r>
        <w:noBreakHyphen/>
        <w:t xml:space="preserve">1990s. Following the introduction of the BSPVES, real package sea fares (excluding rebate) increased to be around 25 per cent higher a decade later. However, with the rebate, the package sea fare paid by </w:t>
      </w:r>
      <w:r>
        <w:lastRenderedPageBreak/>
        <w:t>passengers remained at around the same level, or below the fare paid prior to the introduction of the scheme in real terms in most subsequent years.</w:t>
      </w:r>
      <w:r w:rsidRPr="0067531A">
        <w:t xml:space="preserve"> </w:t>
      </w:r>
      <w:r>
        <w:t>However, latest data provided to the Commission by DIRD indicate that:</w:t>
      </w:r>
    </w:p>
    <w:p w:rsidR="00AE4D5A" w:rsidRDefault="00AE4D5A" w:rsidP="008E5E01">
      <w:pPr>
        <w:pStyle w:val="ListBullet"/>
      </w:pPr>
      <w:r>
        <w:t>sea fares increased substantially in 2012</w:t>
      </w:r>
      <w:r>
        <w:noBreakHyphen/>
        <w:t>13. In real terms, BITRE’s benchmark fare index fell 1.6 per cent in the year to June 2012, then increased sharply — by 10.1 per cent in the year to June 2013</w:t>
      </w:r>
    </w:p>
    <w:p w:rsidR="00AE4D5A" w:rsidRDefault="00AE4D5A" w:rsidP="008E5E01">
      <w:pPr>
        <w:pStyle w:val="ListBullet"/>
      </w:pPr>
      <w:r>
        <w:t>sea passenger numbers declined in both 2011</w:t>
      </w:r>
      <w:r>
        <w:noBreakHyphen/>
        <w:t>12 and 2012</w:t>
      </w:r>
      <w:r>
        <w:noBreakHyphen/>
        <w:t>13, to levels last seen in 2001</w:t>
      </w:r>
      <w:r>
        <w:noBreakHyphen/>
        <w:t>02, with the modal share of sea travel falling to 8 per cent. This contrasts with air travel, where passenger numbers decreased in 2011</w:t>
      </w:r>
      <w:r>
        <w:noBreakHyphen/>
        <w:t>12 then increased significantly in 2012</w:t>
      </w:r>
      <w:r>
        <w:noBreakHyphen/>
        <w:t>13</w:t>
      </w:r>
    </w:p>
    <w:p w:rsidR="00AE4D5A" w:rsidRDefault="00AE4D5A" w:rsidP="008E5E01">
      <w:pPr>
        <w:pStyle w:val="ListBullet"/>
      </w:pPr>
      <w:r>
        <w:t>the number of TT</w:t>
      </w:r>
      <w:r>
        <w:noBreakHyphen/>
        <w:t>Line voyages decreased from 827 in 2010</w:t>
      </w:r>
      <w:r>
        <w:noBreakHyphen/>
        <w:t>11 to 748 in 2012</w:t>
      </w:r>
      <w:r>
        <w:noBreakHyphen/>
        <w:t>13. Average passenger numbers per TT</w:t>
      </w:r>
      <w:r>
        <w:noBreakHyphen/>
        <w:t>Line voyage decreased from 493 in 2010</w:t>
      </w:r>
      <w:r>
        <w:noBreakHyphen/>
        <w:t>11 to 442 in 2012</w:t>
      </w:r>
      <w:r>
        <w:noBreakHyphen/>
        <w:t>13 (sub. 42, p. 15).</w:t>
      </w:r>
    </w:p>
    <w:p w:rsidR="00AE4D5A" w:rsidRDefault="00AE4D5A" w:rsidP="008E5E01">
      <w:pPr>
        <w:pStyle w:val="BodyText"/>
      </w:pPr>
      <w:r>
        <w:t xml:space="preserve">Overall, while the introduction of the BSPVES saw </w:t>
      </w:r>
      <w:r w:rsidRPr="0067531A">
        <w:t xml:space="preserve">a </w:t>
      </w:r>
      <w:r>
        <w:t>sharp immediate reduction in real (CPI adjusted) fares paid, most</w:t>
      </w:r>
      <w:r w:rsidRPr="0067531A">
        <w:t xml:space="preserve"> of the real reductions were recouped by TT</w:t>
      </w:r>
      <w:r>
        <w:noBreakHyphen/>
      </w:r>
      <w:r w:rsidRPr="0067531A">
        <w:t>Line</w:t>
      </w:r>
      <w:r>
        <w:t xml:space="preserve"> through increases in real fares</w:t>
      </w:r>
      <w:r w:rsidRPr="0067531A">
        <w:t xml:space="preserve"> in </w:t>
      </w:r>
      <w:r>
        <w:t xml:space="preserve">the four </w:t>
      </w:r>
      <w:r w:rsidRPr="0067531A">
        <w:t>subsequent years</w:t>
      </w:r>
      <w:r>
        <w:t xml:space="preserve"> to 2000</w:t>
      </w:r>
      <w:r>
        <w:noBreakHyphen/>
        <w:t>01</w:t>
      </w:r>
      <w:r w:rsidRPr="0067531A">
        <w:t>.</w:t>
      </w:r>
      <w:r>
        <w:t xml:space="preserve"> In the decade to 2010</w:t>
      </w:r>
      <w:r>
        <w:noBreakHyphen/>
        <w:t>11 real fares paid (by passengers) increased slowly before the strong upswing in the most recent year.</w:t>
      </w:r>
    </w:p>
    <w:p w:rsidR="00AE4D5A" w:rsidRDefault="00AE4D5A" w:rsidP="008E5E01">
      <w:pPr>
        <w:pStyle w:val="BodyText"/>
      </w:pPr>
      <w:r>
        <w:t>A comparison of sea package fares reveals a stark difference in the rates of growth prior to, and following, the introduction of the BSPVES. Before</w:t>
      </w:r>
      <w:r w:rsidRPr="00224981">
        <w:t xml:space="preserve"> the introduction of the BSPVES, the annual average change in real sea package fares in the 17 years between 1978</w:t>
      </w:r>
      <w:r>
        <w:noBreakHyphen/>
      </w:r>
      <w:r w:rsidRPr="00224981">
        <w:t>79 (earliest available year) and 1995</w:t>
      </w:r>
      <w:r>
        <w:noBreakHyphen/>
      </w:r>
      <w:r w:rsidRPr="00224981">
        <w:t xml:space="preserve">96 was -0.2 per </w:t>
      </w:r>
      <w:r>
        <w:t xml:space="preserve">cent. </w:t>
      </w:r>
      <w:r w:rsidRPr="00224981">
        <w:t xml:space="preserve">However, in the 17 years since </w:t>
      </w:r>
      <w:r>
        <w:t>then (1995</w:t>
      </w:r>
      <w:r>
        <w:noBreakHyphen/>
        <w:t>96 to 2012</w:t>
      </w:r>
      <w:r>
        <w:noBreakHyphen/>
        <w:t>13)</w:t>
      </w:r>
      <w:r w:rsidRPr="00224981">
        <w:t xml:space="preserve">, the </w:t>
      </w:r>
      <w:r>
        <w:t xml:space="preserve">real </w:t>
      </w:r>
      <w:r w:rsidRPr="00224981">
        <w:t xml:space="preserve">annual average rate of growth </w:t>
      </w:r>
      <w:r>
        <w:t>in sea package prices (excluding the rebate) was</w:t>
      </w:r>
      <w:r w:rsidRPr="00224981">
        <w:t xml:space="preserve"> 1.8 per cent.</w:t>
      </w:r>
      <w:r>
        <w:t xml:space="preserve"> The nominal rate of growth in sea package fares (i.e. without adjusting for CPI) over the period was over 4 per cent a year.</w:t>
      </w:r>
    </w:p>
    <w:p w:rsidR="00AE4D5A" w:rsidRDefault="00AE4D5A" w:rsidP="008E5E01">
      <w:pPr>
        <w:pStyle w:val="BodyText"/>
      </w:pPr>
      <w:r>
        <w:t>By comparison, sea freight transport prices for Australia overall increased at only around 1 per cent a year in the decade and a half to 2013 (figure 2.7). Bass Strait freight rates increased more rapidly (figure 2.6) — 1.7 per cent a year between 1996</w:t>
      </w:r>
      <w:r>
        <w:noBreakHyphen/>
        <w:t>97 and 2011</w:t>
      </w:r>
      <w:r>
        <w:noBreakHyphen/>
        <w:t>12. This was still below CPI (which increased at an annual average rate of just over 2.5 per cent over the period).</w:t>
      </w:r>
    </w:p>
    <w:p w:rsidR="00AE4D5A" w:rsidRDefault="00AE4D5A" w:rsidP="008E5E01">
      <w:pPr>
        <w:pStyle w:val="BodyText"/>
      </w:pPr>
      <w:r>
        <w:t>However, these indicators, as industry and national averages, do not reflect the unique operating costs for TT</w:t>
      </w:r>
      <w:r>
        <w:noBreakHyphen/>
        <w:t>Line over the period. TT</w:t>
      </w:r>
      <w:r>
        <w:noBreakHyphen/>
        <w:t>Line states that the increased fares following the introduction of the BSPVES reflected increased costs, noting, ‘</w:t>
      </w:r>
      <w:r w:rsidRPr="00224981">
        <w:t>Over the past five years, TT</w:t>
      </w:r>
      <w:r>
        <w:noBreakHyphen/>
      </w:r>
      <w:r w:rsidRPr="00224981">
        <w:t xml:space="preserve">Line’s operational expenses have </w:t>
      </w:r>
      <w:r>
        <w:t>grown at a rate higher than CPI’ (sub. </w:t>
      </w:r>
      <w:proofErr w:type="spellStart"/>
      <w:r>
        <w:t>DR84</w:t>
      </w:r>
      <w:proofErr w:type="spellEnd"/>
      <w:r>
        <w:t>, p. 6).</w:t>
      </w:r>
    </w:p>
    <w:p w:rsidR="00AE4D5A" w:rsidRDefault="00AE4D5A" w:rsidP="008E5E01">
      <w:pPr>
        <w:pStyle w:val="BodyText"/>
      </w:pPr>
      <w:r>
        <w:lastRenderedPageBreak/>
        <w:t>Further, in providing these data, BITRE noted that the real sea package price series should be treated with caution given:</w:t>
      </w:r>
    </w:p>
    <w:p w:rsidR="00AE4D5A" w:rsidRDefault="00AE4D5A" w:rsidP="008E5E01">
      <w:pPr>
        <w:pStyle w:val="QuoteBullet"/>
      </w:pPr>
      <w:r>
        <w:t xml:space="preserve">There have been major improvements in the ships used to provide the service, including changes in the </w:t>
      </w:r>
      <w:proofErr w:type="spellStart"/>
      <w:r>
        <w:t>on</w:t>
      </w:r>
      <w:r>
        <w:noBreakHyphen/>
        <w:t>board</w:t>
      </w:r>
      <w:proofErr w:type="spellEnd"/>
      <w:r>
        <w:t xml:space="preserve"> service offerings</w:t>
      </w:r>
    </w:p>
    <w:p w:rsidR="00AE4D5A" w:rsidRDefault="00AE4D5A" w:rsidP="008E5E01">
      <w:pPr>
        <w:pStyle w:val="QuoteBullet"/>
      </w:pPr>
      <w:r>
        <w:t xml:space="preserve">Passengers can choose different standards and prices of accommodation (including </w:t>
      </w:r>
      <w:r w:rsidR="00744B4C">
        <w:t>the option of no cabin upgrade)</w:t>
      </w:r>
    </w:p>
    <w:p w:rsidR="00AE4D5A" w:rsidRDefault="00AE4D5A" w:rsidP="008E5E01">
      <w:pPr>
        <w:pStyle w:val="QuoteBullet"/>
      </w:pPr>
      <w:r>
        <w:t>This comparison is for the peak season only (particularly as TT</w:t>
      </w:r>
      <w:r>
        <w:noBreakHyphen/>
        <w:t xml:space="preserve">Line dropped shoulder season fares on 14 September 2009). </w:t>
      </w:r>
      <w:r w:rsidRPr="003F2EDF">
        <w:rPr>
          <w:szCs w:val="24"/>
        </w:rPr>
        <w:t>(2014, p. 16)</w:t>
      </w:r>
    </w:p>
    <w:p w:rsidR="00AE4D5A" w:rsidRDefault="00AE4D5A" w:rsidP="008E5E01">
      <w:pPr>
        <w:pStyle w:val="BodyText"/>
      </w:pPr>
      <w:r>
        <w:t>This raises a number of issues including: the extent to which the subsidy may have affected the quality of services provided to passengers taking eligible vehicles across Bass Strait; the appropriate tradeoff between cost and quality of services and how this has affected the range of choices available to passengers seeking access to cheaper sea transport packages; and the future commercial viability of TT</w:t>
      </w:r>
      <w:r>
        <w:noBreakHyphen/>
        <w:t>Line’s passenger vehicle service. These issues are examined further in chapters 3 and 4.</w:t>
      </w:r>
    </w:p>
    <w:p w:rsidR="00AE4D5A" w:rsidRDefault="00AE4D5A" w:rsidP="008E5E01">
      <w:pPr>
        <w:pStyle w:val="Heading3"/>
      </w:pPr>
      <w:r>
        <w:t>Comparative cost disadvantage</w:t>
      </w:r>
    </w:p>
    <w:p w:rsidR="00AE4D5A" w:rsidRDefault="00AE4D5A" w:rsidP="008E5E01">
      <w:pPr>
        <w:pStyle w:val="BodyText"/>
        <w:tabs>
          <w:tab w:val="left" w:pos="1560"/>
        </w:tabs>
      </w:pPr>
      <w:r>
        <w:t xml:space="preserve">The transportation of </w:t>
      </w:r>
      <w:r w:rsidRPr="005D431F">
        <w:t>passenger</w:t>
      </w:r>
      <w:r>
        <w:t>s</w:t>
      </w:r>
      <w:r w:rsidRPr="005D431F">
        <w:t xml:space="preserve"> </w:t>
      </w:r>
      <w:r>
        <w:t>differs fundamentally from the transportation of freight</w:t>
      </w:r>
      <w:r w:rsidRPr="005D431F">
        <w:t>.</w:t>
      </w:r>
      <w:r>
        <w:t xml:space="preserve"> E</w:t>
      </w:r>
      <w:r w:rsidRPr="005D431F">
        <w:t>ach load of freight must be managed from its origin to its destination</w:t>
      </w:r>
      <w:r>
        <w:t xml:space="preserve">, loaded, unloaded and transferred. By contrast passengers are relatively autonomous and can board, exit and transfer without assistance, processing information and making choices between transport modes. Further, unlike freight, comfort and safety considerations are an important element of passenger travel </w:t>
      </w:r>
      <w:r w:rsidRPr="003A49B3">
        <w:t>(</w:t>
      </w:r>
      <w:proofErr w:type="spellStart"/>
      <w:r w:rsidRPr="003A49B3">
        <w:t>Rodrigue</w:t>
      </w:r>
      <w:proofErr w:type="spellEnd"/>
      <w:r w:rsidRPr="003A49B3">
        <w:t xml:space="preserve"> et al, 2013)</w:t>
      </w:r>
      <w:r>
        <w:t>. The greater range of options and decisions that need to be taken into account makes assessing cost disadvantages challenging.</w:t>
      </w:r>
    </w:p>
    <w:p w:rsidR="00AE4D5A" w:rsidRDefault="00AE4D5A" w:rsidP="008E5E01">
      <w:pPr>
        <w:pStyle w:val="BodyText"/>
      </w:pPr>
      <w:r>
        <w:t xml:space="preserve">A number of interrelated factors are likely to have a bearing on decisions by people to travel with their vehicle across Bass Strait including: budget; vehicle shipping prices; the length of the stay; the purpose of the visit; vehicle type; preferred travel route; and accommodation needs. Travel mode preferences are also important. The actual process of travelling often constitutes a valued service in and of itself. Hence, unlike freight, people will have preferences for different modes of travel. Some enjoy flying, while others enjoy driving or travelling by train or ship. </w:t>
      </w:r>
    </w:p>
    <w:p w:rsidR="00AE4D5A" w:rsidRDefault="00AE4D5A" w:rsidP="008E5E01">
      <w:pPr>
        <w:pStyle w:val="BodyText"/>
      </w:pPr>
      <w:r>
        <w:t>These factors make assessments of passenger costs more complex than freight costs. A range of assumptions would need to be made including in relation to:</w:t>
      </w:r>
    </w:p>
    <w:p w:rsidR="00AE4D5A" w:rsidRDefault="00AE4D5A" w:rsidP="008E5E01">
      <w:pPr>
        <w:pStyle w:val="ListBullet"/>
      </w:pPr>
      <w:r w:rsidRPr="00E77949">
        <w:rPr>
          <w:i/>
        </w:rPr>
        <w:t>vehicle costs</w:t>
      </w:r>
      <w:r>
        <w:t xml:space="preserve"> — including fuel and other on</w:t>
      </w:r>
      <w:r>
        <w:noBreakHyphen/>
        <w:t>road costs, drawing on, for example, Australian Taxation Office allowable per kilometre claim rates for motor vehicles of different sizes</w:t>
      </w:r>
    </w:p>
    <w:p w:rsidR="00AE4D5A" w:rsidRPr="00125950" w:rsidRDefault="00AE4D5A" w:rsidP="008E5E01">
      <w:pPr>
        <w:pStyle w:val="ListBullet2"/>
        <w:rPr>
          <w:spacing w:val="-2"/>
        </w:rPr>
      </w:pPr>
      <w:r w:rsidRPr="00125950">
        <w:rPr>
          <w:spacing w:val="-2"/>
        </w:rPr>
        <w:lastRenderedPageBreak/>
        <w:t>the 2012</w:t>
      </w:r>
      <w:r>
        <w:rPr>
          <w:spacing w:val="-2"/>
        </w:rPr>
        <w:noBreakHyphen/>
      </w:r>
      <w:r w:rsidRPr="00125950">
        <w:rPr>
          <w:spacing w:val="-2"/>
        </w:rPr>
        <w:t>13 rate of 74</w:t>
      </w:r>
      <w:r>
        <w:rPr>
          <w:spacing w:val="-2"/>
        </w:rPr>
        <w:t xml:space="preserve"> cents</w:t>
      </w:r>
      <w:r w:rsidRPr="00125950">
        <w:rPr>
          <w:spacing w:val="-2"/>
        </w:rPr>
        <w:t xml:space="preserve"> per kilometre for cars up to 2.6 litre</w:t>
      </w:r>
      <w:r>
        <w:rPr>
          <w:spacing w:val="-2"/>
        </w:rPr>
        <w:t>s</w:t>
      </w:r>
      <w:r w:rsidRPr="00125950">
        <w:rPr>
          <w:spacing w:val="-2"/>
        </w:rPr>
        <w:t xml:space="preserve"> applied to the 4</w:t>
      </w:r>
      <w:r>
        <w:rPr>
          <w:spacing w:val="-2"/>
        </w:rPr>
        <w:t>20 </w:t>
      </w:r>
      <w:r w:rsidRPr="00125950">
        <w:rPr>
          <w:spacing w:val="-2"/>
        </w:rPr>
        <w:t>km ‘straight line’ land bridge used in the TFES yields a vehicle cost of $31</w:t>
      </w:r>
      <w:r>
        <w:rPr>
          <w:spacing w:val="-2"/>
        </w:rPr>
        <w:t>1</w:t>
      </w:r>
      <w:r w:rsidRPr="00125950">
        <w:rPr>
          <w:spacing w:val="-2"/>
        </w:rPr>
        <w:t>.</w:t>
      </w:r>
      <w:r>
        <w:rPr>
          <w:spacing w:val="-2"/>
        </w:rPr>
        <w:t xml:space="preserve"> Similarly, the National Roads and Motorists’ Association (NRMA) estimate for the current running cost for an average family saloon (a standard Holden Commodore Sedan) in 2013 was 79 cents per kilometre (Tourism Industry Council Tasmania, sub. 48)</w:t>
      </w:r>
    </w:p>
    <w:p w:rsidR="00AE4D5A" w:rsidRDefault="00AE4D5A" w:rsidP="008E5E01">
      <w:pPr>
        <w:pStyle w:val="ListBullet"/>
      </w:pPr>
      <w:r w:rsidRPr="00E77949">
        <w:rPr>
          <w:i/>
        </w:rPr>
        <w:t>accommodation costs</w:t>
      </w:r>
      <w:r>
        <w:t xml:space="preserve"> — this would depend on the number of people travelling as well as the length of the journey/point of origin</w:t>
      </w:r>
    </w:p>
    <w:p w:rsidR="00AE4D5A" w:rsidRDefault="00AE4D5A" w:rsidP="008E5E01">
      <w:pPr>
        <w:pStyle w:val="ListBullet"/>
      </w:pPr>
      <w:r w:rsidRPr="00E77949">
        <w:rPr>
          <w:i/>
        </w:rPr>
        <w:t>time costs</w:t>
      </w:r>
      <w:r>
        <w:t xml:space="preserve"> — including the opportunity costs of time spent behind the wheel — including fatigue breaks and refuelling — time that could have been spent sightseeing and engaging in other leisure activities.</w:t>
      </w:r>
    </w:p>
    <w:p w:rsidR="00AE4D5A" w:rsidRDefault="00AE4D5A" w:rsidP="008E5E01">
      <w:pPr>
        <w:pStyle w:val="BodyText"/>
      </w:pPr>
      <w:r>
        <w:t xml:space="preserve">The resulting estimates could then be used as a basis for comparison with other costs such as travelling across Bass Strait either by sea, with a vehicle, or flying and hiring a passenger motor vehicle on arrival. </w:t>
      </w:r>
    </w:p>
    <w:p w:rsidR="00AE4D5A" w:rsidRPr="00A251AD" w:rsidRDefault="00AE4D5A" w:rsidP="008E5E01">
      <w:pPr>
        <w:pStyle w:val="BodyText"/>
        <w:rPr>
          <w:b/>
        </w:rPr>
      </w:pPr>
      <w:r>
        <w:t>Such an approach would need to ‘assume away’ many factors to produce an estimate of cost disadvantage. This would potentially lead to a significant overestimate or underestimate of the cost disadvantage for any one individual. BITRE does not maintain a set of parameters for accompanied passenger vehicle disadvantage. In its first BSPVES monitoring report, the (then) Bureau of Transport and Communications Economics included an estimate of the passenger vehicle costs based on the notional cost of driving an equivalent distance on a highway using NRMA estimates of an average family saloon (40 cents per kilometre)</w:t>
      </w:r>
      <w:r w:rsidRPr="006462AB">
        <w:t xml:space="preserve"> </w:t>
      </w:r>
      <w:r w:rsidRPr="003A49B3">
        <w:rPr>
          <w:szCs w:val="24"/>
        </w:rPr>
        <w:t>(</w:t>
      </w:r>
      <w:proofErr w:type="spellStart"/>
      <w:r w:rsidRPr="003A49B3">
        <w:rPr>
          <w:szCs w:val="24"/>
        </w:rPr>
        <w:t>BTCE</w:t>
      </w:r>
      <w:proofErr w:type="spellEnd"/>
      <w:r w:rsidRPr="003A49B3">
        <w:rPr>
          <w:szCs w:val="24"/>
        </w:rPr>
        <w:t> 1997)</w:t>
      </w:r>
      <w:r>
        <w:t>. This provided an equivalent highway cost of $170 for a one</w:t>
      </w:r>
      <w:r>
        <w:noBreakHyphen/>
        <w:t>way trip. However, in all subsequent monitoring reports this approach has not been used.</w:t>
      </w:r>
    </w:p>
    <w:p w:rsidR="00AE4D5A" w:rsidRDefault="00AE4D5A" w:rsidP="008E5E01">
      <w:pPr>
        <w:pStyle w:val="BodyText"/>
      </w:pPr>
      <w:r>
        <w:t xml:space="preserve">In summary, while the lack of an option to drive a vehicle to and from Tasmania can impose a cost disadvantage relative to travelling a similar distance on the mainland, as well as other indirect costs such as the loss of convenience for travellers unable to use their own vehicle, quantifying the extent of any disadvantage is likely to be even more problematic than that for freight. </w:t>
      </w:r>
    </w:p>
    <w:p w:rsidR="00AE4D5A" w:rsidRDefault="00AE4D5A" w:rsidP="008E5E01">
      <w:pPr>
        <w:pStyle w:val="BodyText"/>
      </w:pPr>
      <w:r>
        <w:t xml:space="preserve">That said, Tasmania’s overall geographic disadvantage for passenger travel has declined due to rapid falls in air fares across Bass Strait — for example, the Melbourne–Hobart Internet Discount Fare index was around 60 per cent lower in July 2013 compared to a decade earlier </w:t>
      </w:r>
      <w:r w:rsidRPr="000D4268">
        <w:rPr>
          <w:szCs w:val="24"/>
        </w:rPr>
        <w:t>(BITRE 2014)</w:t>
      </w:r>
      <w:r>
        <w:t xml:space="preserve">. The real costs of transport between the mainland and Tasmania — including the costs of flying and car rental — are much lower than at the time the subsidy was introduced. </w:t>
      </w:r>
    </w:p>
    <w:p w:rsidR="00AE4D5A" w:rsidRDefault="00AE4D5A" w:rsidP="00120072">
      <w:pPr>
        <w:pStyle w:val="BodyText"/>
      </w:pPr>
      <w:r w:rsidRPr="005B6309">
        <w:t xml:space="preserve">Car rental rates have also been declining in relative terms for some time. ABS data indicate that between 2000 and 2012 the underlying producer prices for the </w:t>
      </w:r>
      <w:r w:rsidRPr="005B6309">
        <w:lastRenderedPageBreak/>
        <w:t xml:space="preserve">Australian rental car industry increased at around half that of prices for the economy overall </w:t>
      </w:r>
      <w:r w:rsidRPr="00391C1B">
        <w:rPr>
          <w:szCs w:val="24"/>
        </w:rPr>
        <w:t>(ABS </w:t>
      </w:r>
      <w:proofErr w:type="spellStart"/>
      <w:r w:rsidRPr="00391C1B">
        <w:rPr>
          <w:szCs w:val="24"/>
        </w:rPr>
        <w:t>2013d</w:t>
      </w:r>
      <w:proofErr w:type="spellEnd"/>
      <w:r w:rsidRPr="00391C1B">
        <w:rPr>
          <w:szCs w:val="24"/>
        </w:rPr>
        <w:t>)</w:t>
      </w:r>
      <w:r w:rsidRPr="005B6309">
        <w:t>. These data do not provide a breakdown of prices for the Tasmanian car rental industry</w:t>
      </w:r>
      <w:r>
        <w:t>;</w:t>
      </w:r>
      <w:r w:rsidRPr="005B6309">
        <w:t xml:space="preserve"> however the declining long</w:t>
      </w:r>
      <w:r w:rsidRPr="005B6309">
        <w:noBreakHyphen/>
        <w:t xml:space="preserve">term trends in the national data are likely to be broadly reflective of trends in passenger motor vehicle rental rates in Tasmania. A comparison of car rental rates between Hobart and other capital cities by Austrade (sub. 41) indicated that Hobart’s rental rates were below those of </w:t>
      </w:r>
      <w:r>
        <w:t xml:space="preserve">the mainland </w:t>
      </w:r>
      <w:r w:rsidRPr="005B6309">
        <w:t>capitals. Austrade noted that the competition provided by the BSPVES is likely to assist in keeping car rental rates down in Tasmania, although the extent to which the BSPVES has played a role is unclear. The broader question of the scheme’s overall impacts, as well as those of the TFES, are discussed in the following chapter.</w:t>
      </w:r>
    </w:p>
    <w:p w:rsidR="00AE4D5A" w:rsidRDefault="00AE4D5A" w:rsidP="00120072">
      <w:pPr>
        <w:pStyle w:val="BodyText"/>
      </w:pPr>
    </w:p>
    <w:p w:rsidR="00AE4D5A" w:rsidRDefault="00AE4D5A" w:rsidP="00AE4D5A">
      <w:pPr>
        <w:sectPr w:rsidR="00AE4D5A" w:rsidSect="00AE4D5A">
          <w:headerReference w:type="even" r:id="rId54"/>
          <w:headerReference w:type="default" r:id="rId55"/>
          <w:footerReference w:type="even" r:id="rId56"/>
          <w:footerReference w:type="default" r:id="rId57"/>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Heading1"/>
        <w:spacing w:before="0"/>
      </w:pPr>
      <w:r>
        <w:lastRenderedPageBreak/>
        <w:t>3</w:t>
      </w:r>
      <w:r>
        <w:tab/>
        <w:t>Current and alternative arrangements</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F17CCE">
        <w:tc>
          <w:tcPr>
            <w:tcW w:w="8771" w:type="dxa"/>
            <w:tcBorders>
              <w:top w:val="single" w:sz="6" w:space="0" w:color="auto"/>
              <w:bottom w:val="nil"/>
            </w:tcBorders>
          </w:tcPr>
          <w:p w:rsidR="00AE4D5A" w:rsidRDefault="00AE4D5A" w:rsidP="008E5E01">
            <w:pPr>
              <w:keepNext/>
              <w:keepLines/>
              <w:spacing w:before="120" w:line="280" w:lineRule="exact"/>
              <w:ind w:left="1304" w:hanging="1304"/>
            </w:pPr>
            <w:r w:rsidRPr="00576D1E">
              <w:rPr>
                <w:rFonts w:ascii="Arial" w:hAnsi="Arial"/>
                <w:b/>
                <w:sz w:val="24"/>
              </w:rPr>
              <w:t>Key points</w:t>
            </w:r>
          </w:p>
        </w:tc>
      </w:tr>
      <w:tr w:rsidR="00AE4D5A" w:rsidTr="00F17CCE">
        <w:tc>
          <w:tcPr>
            <w:tcW w:w="8771" w:type="dxa"/>
            <w:tcBorders>
              <w:top w:val="nil"/>
              <w:bottom w:val="single" w:sz="4" w:space="0" w:color="auto"/>
            </w:tcBorders>
          </w:tcPr>
          <w:p w:rsidR="00AE4D5A" w:rsidRDefault="00AE4D5A" w:rsidP="00AE4D5A">
            <w:pPr>
              <w:pStyle w:val="BoxListBullet"/>
            </w:pPr>
            <w:r>
              <w:t xml:space="preserve">In their current form, the Tasmanian Freight Equalisation Scheme (TFES), the Tasmanian Wheat Freight Scheme (TWFS) and the Bass Strait Passenger Vehicle Equalisation Scheme (BSPVES) continue longstanding arrangements to partially offset the relatively higher cost of moving freight and passengers across Bass Strait by sea. The reference to equalisation misleadingly implies ‘full’ compensation for the cost disadvantage which is not inherent in the design and operation of the schemes. </w:t>
            </w:r>
          </w:p>
          <w:p w:rsidR="00AE4D5A" w:rsidRDefault="00AE4D5A" w:rsidP="00AE4D5A">
            <w:pPr>
              <w:pStyle w:val="BoxListBullet"/>
            </w:pPr>
            <w:r>
              <w:t xml:space="preserve">More than $2 billion has been outlaid since the inception of the schemes and they are expected to cost more than $2 billion in net present value terms over the next 15 years. </w:t>
            </w:r>
          </w:p>
          <w:p w:rsidR="00AE4D5A" w:rsidRDefault="00AE4D5A" w:rsidP="00AE4D5A">
            <w:pPr>
              <w:pStyle w:val="BoxListBullet"/>
            </w:pPr>
            <w:r>
              <w:t xml:space="preserve">The TFES, in attempting to measure a precise notional freight cost disadvantage, is complex and creates compliance costs for business and an administration burden for government, while a true measure of the recipient’s actual cost disadvantage remains inevitably elusive. </w:t>
            </w:r>
          </w:p>
          <w:p w:rsidR="00AE4D5A" w:rsidRDefault="00AE4D5A" w:rsidP="00AE4D5A">
            <w:pPr>
              <w:pStyle w:val="BoxListBullet"/>
            </w:pPr>
            <w:r>
              <w:t>To improve incentives to seek lower shipping costs, the Commission recommends a flat rate of assistance. In the absence of a flat rate, payment should be based on actual wharf</w:t>
            </w:r>
            <w:r>
              <w:noBreakHyphen/>
              <w:t>to</w:t>
            </w:r>
            <w:r>
              <w:noBreakHyphen/>
              <w:t>wharf costs to restore integrity to the scheme.</w:t>
            </w:r>
          </w:p>
          <w:p w:rsidR="00AE4D5A" w:rsidRDefault="00AE4D5A" w:rsidP="00AE4D5A">
            <w:pPr>
              <w:pStyle w:val="BoxListBullet"/>
            </w:pPr>
            <w:r>
              <w:t xml:space="preserve">In the absence of a direct regular international container shipping service to Tasmania, the Commission considers that there is a case for extending the TFES to all eligible commodities shipped to the Port of Melbourne or other mainland ports subject to no net increase in the overall quantum of assistance under the scheme. Importantly, this should be sequenced to avoid compromising the potential resumption of a direct service and to take account of the benefits of potential coastal shipping reform. </w:t>
            </w:r>
          </w:p>
          <w:p w:rsidR="00AE4D5A" w:rsidRDefault="00AE4D5A" w:rsidP="00AE4D5A">
            <w:pPr>
              <w:pStyle w:val="BoxListBullet"/>
            </w:pPr>
            <w:r>
              <w:t>To lower the compliance burden of the TFES the Commission recommends improved claiming processes. There should also be more comprehensive public reporting of scheme data to improve transparency.</w:t>
            </w:r>
          </w:p>
          <w:p w:rsidR="00AE4D5A" w:rsidRDefault="00AE4D5A" w:rsidP="00AE4D5A">
            <w:pPr>
              <w:pStyle w:val="BoxListBullet"/>
            </w:pPr>
            <w:r>
              <w:t>The TWFS is redundant and should be terminated. However, the Commission also recommends that assistance under the TFES for wheat and other grains be based on the lowest feasible cost option for transporting grain to Tasmania.</w:t>
            </w:r>
          </w:p>
          <w:p w:rsidR="00AE4D5A" w:rsidRPr="00576D1E" w:rsidRDefault="00AE4D5A" w:rsidP="00AE4D5A">
            <w:pPr>
              <w:pStyle w:val="BoxListBullet"/>
              <w:rPr>
                <w:b/>
                <w:sz w:val="24"/>
              </w:rPr>
            </w:pPr>
            <w:r>
              <w:t>There remains confusion about the main purpose of the BSPVES and the Australian Government should clearly articulate the scheme’s objectives. As some of the scheme’s benefit is inevitably captured by TT</w:t>
            </w:r>
            <w:r>
              <w:noBreakHyphen/>
              <w:t>Line, the Australian and Tasmanian Governments should ensure transparency as to who ultimately benefits from the scheme. There is also an imperative, given the operation of the schemes and that TT</w:t>
            </w:r>
            <w:r>
              <w:noBreakHyphen/>
              <w:t>Line competes with commercial operators in the freight market and the passenger and vehicle market is contestable, to ensure that TT</w:t>
            </w:r>
            <w:r>
              <w:noBreakHyphen/>
              <w:t>Line fully satisfies the principles of competitive neutrality across these services.</w:t>
            </w:r>
          </w:p>
        </w:tc>
      </w:tr>
    </w:tbl>
    <w:p w:rsidR="00AE4D5A" w:rsidRPr="008E0897" w:rsidRDefault="00AE4D5A" w:rsidP="008E5E01">
      <w:pPr>
        <w:keepNext/>
        <w:spacing w:before="600" w:line="400" w:lineRule="exact"/>
        <w:ind w:left="907" w:hanging="907"/>
        <w:outlineLvl w:val="1"/>
        <w:rPr>
          <w:rFonts w:ascii="Arial" w:hAnsi="Arial"/>
          <w:b/>
          <w:sz w:val="32"/>
          <w:szCs w:val="20"/>
        </w:rPr>
      </w:pPr>
      <w:r w:rsidRPr="008E0897">
        <w:rPr>
          <w:rFonts w:ascii="Arial" w:hAnsi="Arial"/>
          <w:b/>
          <w:sz w:val="32"/>
          <w:szCs w:val="20"/>
        </w:rPr>
        <w:lastRenderedPageBreak/>
        <w:t>3.</w:t>
      </w:r>
      <w:r w:rsidRPr="008E0897">
        <w:rPr>
          <w:rFonts w:ascii="Arial" w:hAnsi="Arial"/>
          <w:b/>
          <w:noProof/>
          <w:sz w:val="32"/>
          <w:szCs w:val="20"/>
        </w:rPr>
        <w:t>1</w:t>
      </w:r>
      <w:r w:rsidRPr="008E0897">
        <w:rPr>
          <w:rFonts w:ascii="Arial" w:hAnsi="Arial"/>
          <w:b/>
          <w:sz w:val="32"/>
          <w:szCs w:val="20"/>
        </w:rPr>
        <w:tab/>
        <w:t>About the schemes</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A brief history</w:t>
      </w:r>
    </w:p>
    <w:p w:rsidR="00AE4D5A" w:rsidRPr="00CE150D" w:rsidRDefault="00AE4D5A" w:rsidP="008E5E01">
      <w:pPr>
        <w:spacing w:before="240" w:line="320" w:lineRule="atLeast"/>
        <w:jc w:val="both"/>
        <w:rPr>
          <w:szCs w:val="20"/>
        </w:rPr>
      </w:pPr>
      <w:r w:rsidRPr="008E0897">
        <w:rPr>
          <w:szCs w:val="20"/>
        </w:rPr>
        <w:t xml:space="preserve">The Tasmanian Freight Equalisation Scheme (TFES), Tasmanian Wheat Freight Scheme (TWFS) and Bass Strait Passenger Vehicle Equalisation Scheme (BSPVES) continue longstanding arrangements to </w:t>
      </w:r>
      <w:r>
        <w:rPr>
          <w:szCs w:val="20"/>
        </w:rPr>
        <w:t xml:space="preserve">partially offset and thereby </w:t>
      </w:r>
      <w:r w:rsidRPr="008E0897">
        <w:rPr>
          <w:szCs w:val="20"/>
        </w:rPr>
        <w:t xml:space="preserve">subsidise the </w:t>
      </w:r>
      <w:r>
        <w:rPr>
          <w:szCs w:val="20"/>
        </w:rPr>
        <w:t xml:space="preserve">relatively higher </w:t>
      </w:r>
      <w:r w:rsidRPr="008E0897">
        <w:rPr>
          <w:szCs w:val="20"/>
        </w:rPr>
        <w:t>cost of moving freight and passenger vehicles across Bass Strait by sea (box 3.1).</w:t>
      </w:r>
      <w:r>
        <w:rPr>
          <w:szCs w:val="20"/>
        </w:rPr>
        <w:t xml:space="preserve"> </w:t>
      </w:r>
      <w:r w:rsidRPr="00CE150D">
        <w:rPr>
          <w:szCs w:val="20"/>
        </w:rPr>
        <w:t xml:space="preserve">The reference to equalisation misleadingly implies ‘full’ compensation for the cost disadvantage which is not </w:t>
      </w:r>
      <w:r>
        <w:rPr>
          <w:szCs w:val="20"/>
        </w:rPr>
        <w:t>inherent in the</w:t>
      </w:r>
      <w:r w:rsidRPr="00665301">
        <w:rPr>
          <w:szCs w:val="20"/>
        </w:rPr>
        <w:t xml:space="preserve"> desi</w:t>
      </w:r>
      <w:r w:rsidRPr="00784309">
        <w:rPr>
          <w:szCs w:val="20"/>
        </w:rPr>
        <w:t>gn and operation</w:t>
      </w:r>
      <w:r>
        <w:rPr>
          <w:szCs w:val="20"/>
        </w:rPr>
        <w:t xml:space="preserve"> of the schemes and has resulted in a widespread misunderstanding of the objective and scope of the schemes</w:t>
      </w:r>
      <w:r w:rsidRPr="00CE150D">
        <w:rPr>
          <w:szCs w:val="20"/>
        </w:rPr>
        <w:t>.</w:t>
      </w:r>
      <w:r>
        <w:rPr>
          <w:szCs w:val="20"/>
        </w:rPr>
        <w:t xml:space="preserve"> </w:t>
      </w:r>
    </w:p>
    <w:p w:rsidR="00AE4D5A" w:rsidRPr="008E0897" w:rsidRDefault="00AE4D5A" w:rsidP="008E5E01">
      <w:pPr>
        <w:spacing w:before="240" w:line="320" w:lineRule="atLeast"/>
        <w:jc w:val="both"/>
        <w:rPr>
          <w:szCs w:val="20"/>
        </w:rPr>
      </w:pPr>
      <w:r w:rsidRPr="008E0897">
        <w:rPr>
          <w:szCs w:val="20"/>
        </w:rPr>
        <w:t>The basis for assisting freight and passenger movements across Bass Strait is that the transport cost by ship is greater than for a comparable journey by road or rail. However, the schemes have also assumed broader economic development objectives expressed in the reviews that led to their introduction (table</w:t>
      </w:r>
      <w:r>
        <w:rPr>
          <w:szCs w:val="20"/>
        </w:rPr>
        <w:t> </w:t>
      </w:r>
      <w:r w:rsidRPr="008E0897">
        <w:rPr>
          <w:szCs w:val="20"/>
        </w:rPr>
        <w:t xml:space="preserve">3.1) and in subsequent </w:t>
      </w:r>
      <w:r>
        <w:rPr>
          <w:szCs w:val="20"/>
        </w:rPr>
        <w:t>comprehension of</w:t>
      </w:r>
      <w:r w:rsidRPr="008E0897">
        <w:rPr>
          <w:szCs w:val="20"/>
        </w:rPr>
        <w:t xml:space="preserve"> their purpose.</w:t>
      </w:r>
    </w:p>
    <w:p w:rsidR="00AE4D5A" w:rsidRPr="008E0897" w:rsidRDefault="00AE4D5A" w:rsidP="008E5E01">
      <w:pPr>
        <w:spacing w:before="240" w:line="320" w:lineRule="atLeast"/>
        <w:jc w:val="both"/>
        <w:rPr>
          <w:szCs w:val="20"/>
        </w:rPr>
      </w:pPr>
      <w:r w:rsidRPr="008E0897">
        <w:rPr>
          <w:szCs w:val="20"/>
        </w:rPr>
        <w:t>In the case of the TFES and BSPVES, these broader objectives were to promote economic development and a better</w:t>
      </w:r>
      <w:r w:rsidRPr="008E0897">
        <w:rPr>
          <w:szCs w:val="20"/>
        </w:rPr>
        <w:noBreakHyphen/>
        <w:t>functioning transport system in the context of developing transport markets in sea, road, rail and air. The TWFS reflected the need to address impediments to a nationally</w:t>
      </w:r>
      <w:r w:rsidRPr="008E0897">
        <w:rPr>
          <w:szCs w:val="20"/>
        </w:rPr>
        <w:noBreakHyphen/>
        <w:t>consistent price for wheat, a staple commodity at the time, and then subsequently to provide transitional support to Tasmanian wheat users for the move away from an administered wheat price.</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A brief overview of the schemes</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 xml:space="preserve">Tasmanian Freight Equalisation Scheme </w:t>
      </w:r>
    </w:p>
    <w:p w:rsidR="00AE4D5A" w:rsidRPr="008E0897" w:rsidRDefault="00AE4D5A" w:rsidP="008E5E01">
      <w:pPr>
        <w:spacing w:before="240" w:line="320" w:lineRule="atLeast"/>
        <w:jc w:val="both"/>
        <w:rPr>
          <w:szCs w:val="20"/>
        </w:rPr>
      </w:pPr>
      <w:r w:rsidRPr="008E0897">
        <w:rPr>
          <w:szCs w:val="20"/>
        </w:rPr>
        <w:t>Specified commodities, and commodities used by particular industries, shipped by container between Tasmania (including King Island and the Furneaux Group of islands) and the mainland can claim a rebate for the cost of transporting the goods by sea.</w:t>
      </w:r>
    </w:p>
    <w:p w:rsidR="00AE4D5A" w:rsidRDefault="00AE4D5A" w:rsidP="008E5E01">
      <w:pPr>
        <w:spacing w:before="240" w:line="320" w:lineRule="atLeast"/>
        <w:jc w:val="both"/>
        <w:rPr>
          <w:szCs w:val="20"/>
        </w:rPr>
      </w:pPr>
      <w:r w:rsidRPr="008E0897">
        <w:rPr>
          <w:szCs w:val="20"/>
        </w:rPr>
        <w:t xml:space="preserve">The northbound component of the TFES covers around 150 goods specified in schedule 1 of the Ministerial Directions for the scheme, which are produced or manufactured in Tasmania. A wide range of fresh, processed and manufactured goods, as well as ores and concentrates that are shipped northbound are eligible for assistance. As northbound goods must be intended for further processing or use on </w:t>
      </w:r>
      <w:r w:rsidRPr="008E0897">
        <w:rPr>
          <w:szCs w:val="20"/>
        </w:rPr>
        <w:lastRenderedPageBreak/>
        <w:t>the mainland, goods for export are not included unless they are transformed on the mainland prior to export.</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tc>
          <w:tcPr>
            <w:tcW w:w="8771" w:type="dxa"/>
            <w:tcBorders>
              <w:top w:val="single" w:sz="6" w:space="0" w:color="auto"/>
              <w:bottom w:val="nil"/>
            </w:tcBorders>
          </w:tcPr>
          <w:p w:rsidR="00AE4D5A" w:rsidRDefault="00AE4D5A">
            <w:pPr>
              <w:pStyle w:val="BoxTitle"/>
            </w:pPr>
            <w:r>
              <w:rPr>
                <w:b w:val="0"/>
              </w:rPr>
              <w:t>Box 3.</w:t>
            </w:r>
            <w:r>
              <w:rPr>
                <w:b w:val="0"/>
                <w:noProof/>
              </w:rPr>
              <w:t>1</w:t>
            </w:r>
            <w:r>
              <w:tab/>
              <w:t>A brief history of the TFES, TWFS and BSPVES</w:t>
            </w:r>
          </w:p>
        </w:tc>
      </w:tr>
      <w:tr w:rsidR="00AE4D5A">
        <w:trPr>
          <w:cantSplit/>
        </w:trPr>
        <w:tc>
          <w:tcPr>
            <w:tcW w:w="8771" w:type="dxa"/>
            <w:tcBorders>
              <w:top w:val="nil"/>
              <w:left w:val="single" w:sz="6" w:space="0" w:color="auto"/>
              <w:bottom w:val="nil"/>
              <w:right w:val="single" w:sz="6" w:space="0" w:color="auto"/>
            </w:tcBorders>
          </w:tcPr>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The TFES was introduced in 1976 following the 1976 Commission of Inquiry into Transport to and from Tasmania that found that the cost of freight was seen to be an obstacle to expanding existing Tasmanian industries and establishing new ones. The original stated policy objective was to make the costs of shipping eligible cargoes between Tasmania and the mainland approximate those moved over a similar distance by road or rail on the mainland. A 1998 review of the scheme’s structure by the TFES Review Authority recommended defining the freight cost disadvantage by applying a number of parameters (box 3.2). The Australian Government adopted the Review Authority’s recommendations and the scheme took its current form.</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Under the TWFS, wheat is the only bulk commodity that receives specific financial assistance for shipment to Tasmania. The TWFS had its origins in the Tasmanian Wheat Freight Levy which aimed to ensure the administered price for wheat was the same for Tasmanian and mainland users. In 1989, coinciding with the deregulation of the Australian wheat market, the levy was replaced by the Tasmanian Wheat Freight Subsidy Scheme (TWFSS) to address additional transport and handling costs for Tasmanian wheat users and provide transitional support to adjust to the removal of administered pricing for wheat. The TWFS was introduced in 2004 as an alternative to the TWFSS. Containerised wheat was included in the TFES in the 2004</w:t>
            </w:r>
            <w:r w:rsidRPr="008E0897">
              <w:rPr>
                <w:rFonts w:ascii="Arial" w:hAnsi="Arial"/>
                <w:sz w:val="22"/>
                <w:szCs w:val="20"/>
              </w:rPr>
              <w:noBreakHyphen/>
              <w:t>05 Budget.</w:t>
            </w:r>
          </w:p>
          <w:p w:rsidR="00AE4D5A" w:rsidRDefault="00AE4D5A" w:rsidP="008E5E01">
            <w:pPr>
              <w:pStyle w:val="Box"/>
            </w:pPr>
            <w:r w:rsidRPr="008E0897">
              <w:t xml:space="preserve">The BSPVES was introduced in 1996, extending a longstanding subsidy for passenger travel across Bass Strait. The BSPVES had the broader aim to help the Tasmanian tourism sector in particular and the Tasmanian economy more broadly. In 2001 the scheme was extended to cover eligible vehicles transported between King Island and the mainland. In 2002, the rebate was extended to caravans, motor homes, vehicles of people with disabilities and bicycles and became a set rate for each category of eligible vehicle that has been indexed to the consumer price index since 2008. </w:t>
            </w:r>
          </w:p>
        </w:tc>
      </w:tr>
      <w:tr w:rsidR="00AE4D5A">
        <w:trPr>
          <w:cantSplit/>
        </w:trPr>
        <w:tc>
          <w:tcPr>
            <w:tcW w:w="8771" w:type="dxa"/>
            <w:tcBorders>
              <w:top w:val="nil"/>
              <w:left w:val="single" w:sz="6" w:space="0" w:color="auto"/>
              <w:bottom w:val="nil"/>
              <w:right w:val="single" w:sz="6" w:space="0" w:color="auto"/>
            </w:tcBorders>
          </w:tcPr>
          <w:p w:rsidR="00AE4D5A" w:rsidRDefault="00AE4D5A" w:rsidP="00BF4A12">
            <w:pPr>
              <w:pStyle w:val="BoxSource"/>
            </w:pPr>
            <w:r w:rsidRPr="008E0897">
              <w:rPr>
                <w:i/>
              </w:rPr>
              <w:t>Sources</w:t>
            </w:r>
            <w:r w:rsidRPr="008E0897">
              <w:t xml:space="preserve">: </w:t>
            </w:r>
            <w:r w:rsidRPr="00E04C92">
              <w:rPr>
                <w:rFonts w:cs="Arial"/>
                <w:szCs w:val="24"/>
              </w:rPr>
              <w:t>CIE </w:t>
            </w:r>
            <w:r>
              <w:rPr>
                <w:rFonts w:cs="Arial"/>
                <w:szCs w:val="24"/>
              </w:rPr>
              <w:t>(</w:t>
            </w:r>
            <w:r w:rsidRPr="00E04C92">
              <w:rPr>
                <w:rFonts w:cs="Arial"/>
                <w:szCs w:val="24"/>
              </w:rPr>
              <w:t>2001)</w:t>
            </w:r>
            <w:r>
              <w:t xml:space="preserve">; </w:t>
            </w:r>
            <w:r w:rsidRPr="008E0897">
              <w:t>Department of Infrastructure and Regional Development (sub. 42)</w:t>
            </w:r>
            <w:r>
              <w:t xml:space="preserve">; </w:t>
            </w:r>
            <w:r w:rsidRPr="00E04C92">
              <w:rPr>
                <w:rFonts w:cs="Arial"/>
                <w:szCs w:val="24"/>
              </w:rPr>
              <w:t>Nimmo </w:t>
            </w:r>
            <w:r>
              <w:rPr>
                <w:rFonts w:cs="Arial"/>
                <w:szCs w:val="24"/>
              </w:rPr>
              <w:t>(</w:t>
            </w:r>
            <w:r w:rsidRPr="00E04C92">
              <w:rPr>
                <w:rFonts w:cs="Arial"/>
                <w:szCs w:val="24"/>
              </w:rPr>
              <w:t>1976)</w:t>
            </w:r>
            <w:r>
              <w:t xml:space="preserve">; </w:t>
            </w:r>
            <w:r w:rsidR="00BF4A12" w:rsidRPr="00E04C92">
              <w:rPr>
                <w:rFonts w:cs="Arial"/>
                <w:szCs w:val="24"/>
              </w:rPr>
              <w:t>Sharp </w:t>
            </w:r>
            <w:r w:rsidR="00BF4A12">
              <w:rPr>
                <w:rFonts w:cs="Arial"/>
                <w:szCs w:val="24"/>
              </w:rPr>
              <w:t>(</w:t>
            </w:r>
            <w:r w:rsidR="00BF4A12" w:rsidRPr="00E04C92">
              <w:rPr>
                <w:rFonts w:cs="Arial"/>
                <w:szCs w:val="24"/>
              </w:rPr>
              <w:t>1996)</w:t>
            </w:r>
            <w:r w:rsidR="00BF4A12">
              <w:rPr>
                <w:rFonts w:cs="Arial"/>
                <w:szCs w:val="24"/>
              </w:rPr>
              <w:t xml:space="preserve">; </w:t>
            </w:r>
            <w:r w:rsidRPr="00E04C92">
              <w:rPr>
                <w:rFonts w:cs="Arial"/>
                <w:szCs w:val="24"/>
              </w:rPr>
              <w:t>TFES Review Authority </w:t>
            </w:r>
            <w:r>
              <w:rPr>
                <w:rFonts w:cs="Arial"/>
                <w:szCs w:val="24"/>
              </w:rPr>
              <w:t>(</w:t>
            </w:r>
            <w:r w:rsidRPr="00E04C92">
              <w:rPr>
                <w:rFonts w:cs="Arial"/>
                <w:szCs w:val="24"/>
              </w:rPr>
              <w:t>1998)</w:t>
            </w:r>
            <w:r>
              <w:t xml:space="preserve">. </w:t>
            </w:r>
          </w:p>
        </w:tc>
      </w:tr>
      <w:tr w:rsidR="00AE4D5A">
        <w:trPr>
          <w:cantSplit/>
        </w:trPr>
        <w:tc>
          <w:tcPr>
            <w:tcW w:w="8771" w:type="dxa"/>
            <w:tcBorders>
              <w:top w:val="nil"/>
              <w:left w:val="single" w:sz="6" w:space="0" w:color="auto"/>
              <w:bottom w:val="single" w:sz="6" w:space="0" w:color="auto"/>
              <w:right w:val="single" w:sz="6" w:space="0" w:color="auto"/>
            </w:tcBorders>
          </w:tcPr>
          <w:p w:rsidR="00AE4D5A" w:rsidRDefault="00AE4D5A">
            <w:pPr>
              <w:pStyle w:val="Box"/>
              <w:spacing w:before="0" w:line="120" w:lineRule="exact"/>
            </w:pPr>
          </w:p>
        </w:tc>
      </w:tr>
    </w:tbl>
    <w:p w:rsidR="00AE4D5A" w:rsidRPr="008E0897" w:rsidRDefault="00AE4D5A" w:rsidP="008E5E01">
      <w:pPr>
        <w:spacing w:before="240" w:line="320" w:lineRule="atLeast"/>
        <w:jc w:val="both"/>
        <w:rPr>
          <w:szCs w:val="20"/>
        </w:rPr>
      </w:pPr>
      <w:r w:rsidRPr="008E0897">
        <w:rPr>
          <w:szCs w:val="20"/>
        </w:rPr>
        <w:t>The southbound component covers non</w:t>
      </w:r>
      <w:r w:rsidRPr="008E0897">
        <w:rPr>
          <w:szCs w:val="20"/>
        </w:rPr>
        <w:noBreakHyphen/>
        <w:t xml:space="preserve">consumer raw materials, machinery and equipment </w:t>
      </w:r>
      <w:r>
        <w:rPr>
          <w:szCs w:val="20"/>
        </w:rPr>
        <w:t xml:space="preserve">produced in Australia, or imports transformed on the mainland, </w:t>
      </w:r>
      <w:r w:rsidRPr="008E0897">
        <w:rPr>
          <w:szCs w:val="20"/>
        </w:rPr>
        <w:t xml:space="preserve">for use in the manufacturing, mining, agriculture, forestry, and fishing industries in Tasmania. </w:t>
      </w:r>
      <w:r>
        <w:rPr>
          <w:szCs w:val="20"/>
        </w:rPr>
        <w:t xml:space="preserve">Eligibility is determined by the Australian and New Zealand Standard Industrial Classification (ANZSIC) division the business belongs to, as determined by their primary activity. ANZSIC is the industrial classification system underpinning Australian Bureau of Statistics and Statistics New Zealand industry statistics </w:t>
      </w:r>
      <w:r w:rsidRPr="00D7530A">
        <w:t>(ABS and Statistics NZ 2006)</w:t>
      </w:r>
      <w:r>
        <w:rPr>
          <w:szCs w:val="20"/>
        </w:rPr>
        <w:t xml:space="preserve">. </w:t>
      </w:r>
    </w:p>
    <w:p w:rsidR="00AE4D5A" w:rsidRPr="008E0897" w:rsidRDefault="00AE4D5A" w:rsidP="008E5E01">
      <w:pPr>
        <w:pStyle w:val="BodyText"/>
      </w:pPr>
      <w:r w:rsidRPr="008E0897">
        <w:t xml:space="preserve">The cost of shipping brood mares and equipment used by professional sportspersons and entertainers can also be claimed under the TFES. </w:t>
      </w:r>
    </w:p>
    <w:p w:rsidR="00AE4D5A" w:rsidRPr="008E0897" w:rsidRDefault="00AE4D5A" w:rsidP="008E5E01">
      <w:pPr>
        <w:spacing w:before="240" w:line="320" w:lineRule="atLeast"/>
        <w:jc w:val="both"/>
        <w:rPr>
          <w:szCs w:val="20"/>
        </w:rPr>
      </w:pPr>
      <w:r w:rsidRPr="008E0897">
        <w:rPr>
          <w:szCs w:val="20"/>
        </w:rPr>
        <w:lastRenderedPageBreak/>
        <w:t>Imports, bulk freight and the back hauling of empty containers are not eligible for TFES assistance. Price equalised goods, where a vendor averages their mainland and Tasmanian transport costs and charges the same price free</w:t>
      </w:r>
      <w:r w:rsidRPr="008E0897">
        <w:rPr>
          <w:szCs w:val="20"/>
        </w:rPr>
        <w:noBreakHyphen/>
        <w:t>into</w:t>
      </w:r>
      <w:r w:rsidRPr="008E0897">
        <w:rPr>
          <w:szCs w:val="20"/>
        </w:rPr>
        <w:noBreakHyphen/>
        <w:t>store, are not eligible for assistance under the southbound component of the scheme.</w:t>
      </w:r>
    </w:p>
    <w:p w:rsidR="00AE4D5A" w:rsidRPr="008E0897" w:rsidRDefault="00AE4D5A" w:rsidP="008E5E01">
      <w:pPr>
        <w:spacing w:before="240" w:line="320" w:lineRule="atLeast"/>
        <w:jc w:val="both"/>
        <w:rPr>
          <w:szCs w:val="20"/>
        </w:rPr>
      </w:pPr>
      <w:r w:rsidRPr="008E0897">
        <w:rPr>
          <w:szCs w:val="20"/>
        </w:rPr>
        <w:t xml:space="preserve">The TFES subsidises the estimated </w:t>
      </w:r>
      <w:r>
        <w:rPr>
          <w:szCs w:val="20"/>
        </w:rPr>
        <w:t>and relative freight cost disadvantage</w:t>
      </w:r>
      <w:r w:rsidRPr="008E0897">
        <w:rPr>
          <w:szCs w:val="20"/>
        </w:rPr>
        <w:t>, not the full freight costs. The cost disadvantage is calculated as the difference between:</w:t>
      </w:r>
    </w:p>
    <w:p w:rsidR="00AE4D5A" w:rsidRPr="008E0897" w:rsidRDefault="00AE4D5A" w:rsidP="008E5E01">
      <w:pPr>
        <w:pStyle w:val="ListBullet"/>
      </w:pPr>
      <w:r w:rsidRPr="008E0897">
        <w:t>the costs incurred by shippers for moving freight across Bass Strait; and</w:t>
      </w:r>
    </w:p>
    <w:p w:rsidR="00AE4D5A" w:rsidRPr="008E0897" w:rsidRDefault="00AE4D5A" w:rsidP="008E5E01">
      <w:pPr>
        <w:pStyle w:val="ListBullet"/>
      </w:pPr>
      <w:r w:rsidRPr="008E0897">
        <w:t>the notional cost incurred by moving freight an equivalent</w:t>
      </w:r>
      <w:r>
        <w:t xml:space="preserve"> distance (approximately 420 kilometres</w:t>
      </w:r>
      <w:r w:rsidRPr="008E0897">
        <w:t>) on the mainland by road.</w:t>
      </w:r>
    </w:p>
    <w:p w:rsidR="00AE4D5A" w:rsidRPr="008E0897" w:rsidRDefault="00AE4D5A" w:rsidP="008E5E01">
      <w:pPr>
        <w:spacing w:before="240" w:line="320" w:lineRule="atLeast"/>
        <w:jc w:val="both"/>
        <w:rPr>
          <w:szCs w:val="20"/>
        </w:rPr>
      </w:pPr>
      <w:r w:rsidRPr="008E0897">
        <w:rPr>
          <w:szCs w:val="20"/>
        </w:rPr>
        <w:t>This amount is adjusted according to the parameters used to estimate the cost disadvantage</w:t>
      </w:r>
      <w:r>
        <w:rPr>
          <w:szCs w:val="20"/>
        </w:rPr>
        <w:t>, including a sliding scale of benefit, that is, the percentage rate of compensation falls with increasing cost disadvantage above certain thresholds</w:t>
      </w:r>
      <w:r w:rsidRPr="008E0897">
        <w:rPr>
          <w:szCs w:val="20"/>
        </w:rPr>
        <w:t xml:space="preserve"> (box 3.2).</w:t>
      </w:r>
    </w:p>
    <w:p w:rsidR="00AE4D5A" w:rsidRPr="008E0897" w:rsidRDefault="00AE4D5A" w:rsidP="008E5E01">
      <w:pPr>
        <w:spacing w:before="240" w:line="320" w:lineRule="atLeast"/>
        <w:jc w:val="both"/>
        <w:rPr>
          <w:szCs w:val="20"/>
        </w:rPr>
      </w:pPr>
      <w:r w:rsidRPr="008E0897">
        <w:rPr>
          <w:szCs w:val="20"/>
        </w:rPr>
        <w:t>The scheme is administered by the Department of Human Services (DHS) in Tasmania. Claimants submit a claim form comprising claim line items (</w:t>
      </w:r>
      <w:r>
        <w:rPr>
          <w:szCs w:val="20"/>
        </w:rPr>
        <w:t xml:space="preserve">the </w:t>
      </w:r>
      <w:r w:rsidRPr="008E0897">
        <w:rPr>
          <w:szCs w:val="20"/>
        </w:rPr>
        <w:t>details for each individual shipment) a</w:t>
      </w:r>
      <w:r>
        <w:rPr>
          <w:szCs w:val="20"/>
        </w:rPr>
        <w:t>nd evidence of shipment (box 3.6</w:t>
      </w:r>
      <w:r w:rsidRPr="008E0897">
        <w:rPr>
          <w:szCs w:val="20"/>
        </w:rPr>
        <w:t>).</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Tasmanian Wheat Freight Scheme</w:t>
      </w:r>
    </w:p>
    <w:p w:rsidR="00AE4D5A" w:rsidRPr="008E0897" w:rsidRDefault="00AE4D5A" w:rsidP="008E5E01">
      <w:pPr>
        <w:spacing w:before="240" w:line="320" w:lineRule="atLeast"/>
        <w:jc w:val="both"/>
        <w:rPr>
          <w:szCs w:val="20"/>
        </w:rPr>
      </w:pPr>
      <w:r w:rsidRPr="008E0897">
        <w:rPr>
          <w:szCs w:val="20"/>
        </w:rPr>
        <w:t>The TWFS provides a flat rate of assistance of up to $20.65 per tonne for bulk shipments of wheat from the mainland to Tasmania. Total payments are capped at $1.05 million each financial year. Claimants submit claims to DHS in Tasmania accompanied by evidence of shipment.</w:t>
      </w:r>
      <w:r>
        <w:rPr>
          <w:szCs w:val="20"/>
        </w:rPr>
        <w:t xml:space="preserve"> No claims have been made under the scheme since </w:t>
      </w:r>
      <w:r w:rsidRPr="00665301">
        <w:rPr>
          <w:szCs w:val="20"/>
        </w:rPr>
        <w:t>2009.</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Bass Strait Passenger Vehicle Equalisation Scheme</w:t>
      </w:r>
    </w:p>
    <w:p w:rsidR="00AE4D5A" w:rsidRDefault="00AE4D5A" w:rsidP="008E5E01">
      <w:pPr>
        <w:spacing w:before="240" w:line="320" w:lineRule="atLeast"/>
        <w:jc w:val="both"/>
        <w:rPr>
          <w:szCs w:val="20"/>
        </w:rPr>
      </w:pPr>
      <w:r w:rsidRPr="008E0897">
        <w:rPr>
          <w:szCs w:val="20"/>
        </w:rPr>
        <w:t xml:space="preserve">Persons travelling across Bass Strait by sea accompanying an eligible passenger vehicle receive the </w:t>
      </w:r>
      <w:r>
        <w:rPr>
          <w:szCs w:val="20"/>
        </w:rPr>
        <w:t xml:space="preserve">BSPVES </w:t>
      </w:r>
      <w:r w:rsidRPr="008E0897">
        <w:rPr>
          <w:szCs w:val="20"/>
        </w:rPr>
        <w:t>subsidy. Eligible vehicles include cars, motorhomes, buses, motorcycle and bicycles. For travellers with TT</w:t>
      </w:r>
      <w:r w:rsidRPr="008E0897">
        <w:rPr>
          <w:szCs w:val="20"/>
        </w:rPr>
        <w:noBreakHyphen/>
        <w:t>Line, which carries more than 99 per cent of eligible vehicles, the subsidy is deducted from the passenger fare at the time of payment and claimed by TT</w:t>
      </w:r>
      <w:r w:rsidRPr="008E0897">
        <w:rPr>
          <w:szCs w:val="20"/>
        </w:rPr>
        <w:noBreakHyphen/>
        <w:t>Line. The amount of the subsidy for a return journey ranges from up to $58 (for a bicycle) to up to $816 (for a car towing a caravan or motorhome).</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tc>
          <w:tcPr>
            <w:tcW w:w="8771" w:type="dxa"/>
            <w:tcBorders>
              <w:top w:val="single" w:sz="6" w:space="0" w:color="auto"/>
              <w:bottom w:val="nil"/>
            </w:tcBorders>
          </w:tcPr>
          <w:p w:rsidR="00AE4D5A" w:rsidRPr="00F17CCE" w:rsidRDefault="00AE4D5A" w:rsidP="00F17CCE">
            <w:pPr>
              <w:pStyle w:val="BoxTitle"/>
            </w:pPr>
            <w:r w:rsidRPr="00F17CCE">
              <w:rPr>
                <w:b w:val="0"/>
              </w:rPr>
              <w:t>Box 3.2</w:t>
            </w:r>
            <w:r w:rsidRPr="00F17CCE">
              <w:tab/>
              <w:t>TFES parameters</w:t>
            </w:r>
          </w:p>
        </w:tc>
      </w:tr>
      <w:tr w:rsidR="00AE4D5A" w:rsidTr="008E5E01">
        <w:trPr>
          <w:cantSplit/>
        </w:trPr>
        <w:tc>
          <w:tcPr>
            <w:tcW w:w="8771" w:type="dxa"/>
            <w:tcBorders>
              <w:top w:val="nil"/>
              <w:left w:val="single" w:sz="6" w:space="0" w:color="auto"/>
              <w:bottom w:val="nil"/>
              <w:right w:val="single" w:sz="6" w:space="0" w:color="auto"/>
            </w:tcBorders>
          </w:tcPr>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Road freight equivalent (RFE)</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The cost of transporting goods a similar distance by road on the mainland is deducted from the claimant’s wharf</w:t>
            </w:r>
            <w:r w:rsidRPr="008E0897">
              <w:rPr>
                <w:rFonts w:ascii="Arial" w:hAnsi="Arial"/>
                <w:sz w:val="22"/>
                <w:szCs w:val="20"/>
              </w:rPr>
              <w:noBreakHyphen/>
              <w:t>to</w:t>
            </w:r>
            <w:r w:rsidRPr="008E0897">
              <w:rPr>
                <w:rFonts w:ascii="Arial" w:hAnsi="Arial"/>
                <w:sz w:val="22"/>
                <w:szCs w:val="20"/>
              </w:rPr>
              <w:noBreakHyphen/>
              <w:t>wharf freight cost. Different RFEs are used for the scheme’s intrastate component.</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Part container load</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The TFES assistance is based on a standard 6.1 metre container known as a ‘twenty foot equivalent unit’ container, or TEU. Shipments that are less than a full container load are converted to a TEU</w:t>
            </w:r>
            <w:r w:rsidRPr="008E0897">
              <w:rPr>
                <w:rFonts w:ascii="Arial" w:hAnsi="Arial"/>
                <w:sz w:val="22"/>
                <w:szCs w:val="20"/>
              </w:rPr>
              <w:noBreakHyphen/>
              <w:t>equivalent size/full container load basis.</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Intermodal costs</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A fixed allowance of $100 per TEU is added to the wharf</w:t>
            </w:r>
            <w:r w:rsidRPr="008E0897">
              <w:rPr>
                <w:rFonts w:ascii="Arial" w:hAnsi="Arial"/>
                <w:sz w:val="22"/>
                <w:szCs w:val="20"/>
              </w:rPr>
              <w:noBreakHyphen/>
              <w:t>to</w:t>
            </w:r>
            <w:r w:rsidRPr="008E0897">
              <w:rPr>
                <w:rFonts w:ascii="Arial" w:hAnsi="Arial"/>
                <w:sz w:val="22"/>
                <w:szCs w:val="20"/>
              </w:rPr>
              <w:noBreakHyphen/>
              <w:t>wharf freight cost for the cost of transferring goods between different modes of transport.</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Dry or refrigerated freight</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 xml:space="preserve">Transporting refrigerated (‘reefer’) freight by road is more expensive than transporting dry freight. Thus the RFE is higher for refrigerated goods thereby lowering the TFES rebate available. </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Door</w:t>
            </w:r>
            <w:r w:rsidRPr="008E0897">
              <w:rPr>
                <w:rFonts w:ascii="Arial" w:hAnsi="Arial"/>
                <w:b/>
                <w:sz w:val="22"/>
                <w:szCs w:val="20"/>
              </w:rPr>
              <w:noBreakHyphen/>
              <w:t>to</w:t>
            </w:r>
            <w:r w:rsidRPr="008E0897">
              <w:rPr>
                <w:rFonts w:ascii="Arial" w:hAnsi="Arial"/>
                <w:b/>
                <w:sz w:val="22"/>
                <w:szCs w:val="20"/>
              </w:rPr>
              <w:noBreakHyphen/>
              <w:t>door billing</w:t>
            </w:r>
          </w:p>
          <w:p w:rsidR="00AE4D5A" w:rsidRPr="008E0897" w:rsidRDefault="00AE4D5A" w:rsidP="008E5E01">
            <w:pPr>
              <w:keepNext/>
              <w:spacing w:before="80" w:line="280" w:lineRule="atLeast"/>
              <w:jc w:val="both"/>
              <w:rPr>
                <w:rFonts w:ascii="Arial" w:hAnsi="Arial"/>
                <w:sz w:val="22"/>
                <w:szCs w:val="20"/>
              </w:rPr>
            </w:pPr>
            <w:r w:rsidRPr="008E0897">
              <w:rPr>
                <w:rFonts w:ascii="Arial" w:hAnsi="Arial"/>
                <w:sz w:val="22"/>
                <w:szCs w:val="20"/>
              </w:rPr>
              <w:t>As the TFES is only intended to provide assistance for wharf</w:t>
            </w:r>
            <w:r w:rsidRPr="008E0897">
              <w:rPr>
                <w:rFonts w:ascii="Arial" w:hAnsi="Arial"/>
                <w:sz w:val="22"/>
                <w:szCs w:val="20"/>
              </w:rPr>
              <w:noBreakHyphen/>
              <w:t>to</w:t>
            </w:r>
            <w:r w:rsidRPr="008E0897">
              <w:rPr>
                <w:rFonts w:ascii="Arial" w:hAnsi="Arial"/>
                <w:sz w:val="22"/>
                <w:szCs w:val="20"/>
              </w:rPr>
              <w:noBreakHyphen/>
              <w:t>wharf costs, up to $460 is deducted from freight costs billed on a door</w:t>
            </w:r>
            <w:r w:rsidRPr="008E0897">
              <w:rPr>
                <w:rFonts w:ascii="Arial" w:hAnsi="Arial"/>
                <w:sz w:val="22"/>
                <w:szCs w:val="20"/>
              </w:rPr>
              <w:noBreakHyphen/>
              <w:t>to</w:t>
            </w:r>
            <w:r w:rsidRPr="008E0897">
              <w:rPr>
                <w:rFonts w:ascii="Arial" w:hAnsi="Arial"/>
                <w:sz w:val="22"/>
                <w:szCs w:val="20"/>
              </w:rPr>
              <w:noBreakHyphen/>
              <w:t>door, wharf</w:t>
            </w:r>
            <w:r w:rsidRPr="008E0897">
              <w:rPr>
                <w:rFonts w:ascii="Arial" w:hAnsi="Arial"/>
                <w:sz w:val="22"/>
                <w:szCs w:val="20"/>
              </w:rPr>
              <w:noBreakHyphen/>
              <w:t>to</w:t>
            </w:r>
            <w:r w:rsidRPr="008E0897">
              <w:rPr>
                <w:rFonts w:ascii="Arial" w:hAnsi="Arial"/>
                <w:sz w:val="22"/>
                <w:szCs w:val="20"/>
              </w:rPr>
              <w:noBreakHyphen/>
              <w:t>door or door</w:t>
            </w:r>
            <w:r w:rsidRPr="008E0897">
              <w:rPr>
                <w:rFonts w:ascii="Arial" w:hAnsi="Arial"/>
                <w:sz w:val="22"/>
                <w:szCs w:val="20"/>
              </w:rPr>
              <w:noBreakHyphen/>
              <w:t>to</w:t>
            </w:r>
            <w:r w:rsidRPr="008E0897">
              <w:rPr>
                <w:rFonts w:ascii="Arial" w:hAnsi="Arial"/>
                <w:sz w:val="22"/>
                <w:szCs w:val="20"/>
              </w:rPr>
              <w:noBreakHyphen/>
              <w:t>wharf basis. For those with high land freight costs, this has the effect of increasing the rebate.</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Route</w:t>
            </w:r>
          </w:p>
          <w:p w:rsidR="00AE4D5A" w:rsidRPr="008E0897" w:rsidRDefault="00AE4D5A" w:rsidP="008E5E01">
            <w:pPr>
              <w:keepNext/>
              <w:spacing w:before="80" w:line="280" w:lineRule="atLeast"/>
              <w:jc w:val="both"/>
              <w:rPr>
                <w:rFonts w:ascii="Arial" w:hAnsi="Arial"/>
                <w:sz w:val="22"/>
                <w:szCs w:val="20"/>
              </w:rPr>
            </w:pPr>
            <w:r w:rsidRPr="008E0897">
              <w:rPr>
                <w:rFonts w:ascii="Arial" w:hAnsi="Arial"/>
                <w:sz w:val="22"/>
                <w:szCs w:val="20"/>
              </w:rPr>
              <w:t xml:space="preserve">Freight shipments between different parts of Tasmania and different states are eligible for the TFES, but adjustments are made because sea freight is cheaper than road or rail over longer distances. The freight charge is divided by a scaling factor to achieve a Bass Strait equivalent. Longer distances therefore have a larger scaling factor and attract a lower rebate. </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Density</w:t>
            </w:r>
          </w:p>
          <w:p w:rsidR="00AE4D5A" w:rsidRPr="008E0897" w:rsidRDefault="00AE4D5A" w:rsidP="008E5E01">
            <w:pPr>
              <w:keepNext/>
              <w:spacing w:before="80" w:line="280" w:lineRule="atLeast"/>
              <w:jc w:val="both"/>
              <w:rPr>
                <w:rFonts w:ascii="Arial" w:hAnsi="Arial"/>
                <w:sz w:val="22"/>
                <w:szCs w:val="20"/>
              </w:rPr>
            </w:pPr>
            <w:r w:rsidRPr="008E0897">
              <w:rPr>
                <w:rFonts w:ascii="Arial" w:hAnsi="Arial"/>
                <w:sz w:val="22"/>
                <w:szCs w:val="20"/>
              </w:rPr>
              <w:t>As high density or heavy cargo is cheaper to move by sea than by road or rail, it receives 60 per cent of the standard weight assistance.</w:t>
            </w:r>
          </w:p>
          <w:p w:rsidR="00AE4D5A" w:rsidRPr="008E0897" w:rsidRDefault="00AE4D5A" w:rsidP="008E5E01">
            <w:pPr>
              <w:keepNext/>
              <w:spacing w:before="120" w:line="280" w:lineRule="atLeast"/>
              <w:jc w:val="both"/>
              <w:rPr>
                <w:rFonts w:ascii="Arial" w:hAnsi="Arial"/>
                <w:b/>
                <w:sz w:val="22"/>
                <w:szCs w:val="20"/>
              </w:rPr>
            </w:pPr>
            <w:r w:rsidRPr="008E0897">
              <w:rPr>
                <w:rFonts w:ascii="Arial" w:hAnsi="Arial"/>
                <w:b/>
                <w:sz w:val="22"/>
                <w:szCs w:val="20"/>
              </w:rPr>
              <w:t>Median cost</w:t>
            </w:r>
          </w:p>
          <w:p w:rsidR="00AE4D5A" w:rsidRDefault="00AE4D5A" w:rsidP="008E5E01">
            <w:pPr>
              <w:pStyle w:val="Box"/>
              <w:spacing w:before="80"/>
            </w:pPr>
            <w:r w:rsidRPr="008E0897">
              <w:t>The rebate reduces as the cost disadvantage increases to provide an incentive for shippers to seek lower freight rates. Per TEU, the subsidy is 100 per cent up to $335.50, 75 per cent on amounts over $335.50 and up to $671, and 50 per cent on amounts over $671 and up to $1006.50. This caps the subsidy at $855 per TEU including fixed intermodal costs of $100. The thresholds are based on a ‘median’ cost disadvantage per TEU ($671) as recommended by the TFES Review Authority (1998).</w:t>
            </w:r>
          </w:p>
        </w:tc>
      </w:tr>
      <w:tr w:rsidR="00AE4D5A" w:rsidTr="008E5E01">
        <w:trPr>
          <w:cantSplit/>
        </w:trPr>
        <w:tc>
          <w:tcPr>
            <w:tcW w:w="8771" w:type="dxa"/>
            <w:tcBorders>
              <w:top w:val="nil"/>
              <w:left w:val="single" w:sz="6" w:space="0" w:color="auto"/>
              <w:bottom w:val="single" w:sz="4" w:space="0" w:color="auto"/>
              <w:right w:val="single" w:sz="6" w:space="0" w:color="auto"/>
            </w:tcBorders>
          </w:tcPr>
          <w:p w:rsidR="00AE4D5A" w:rsidRDefault="00AE4D5A" w:rsidP="00F17CCE">
            <w:pPr>
              <w:pStyle w:val="BoxSource"/>
            </w:pPr>
            <w:r w:rsidRPr="008E0897">
              <w:rPr>
                <w:i/>
              </w:rPr>
              <w:t>Source</w:t>
            </w:r>
            <w:r w:rsidRPr="008E0897">
              <w:t xml:space="preserve">: </w:t>
            </w:r>
            <w:proofErr w:type="spellStart"/>
            <w:r w:rsidRPr="00D7530A">
              <w:rPr>
                <w:rFonts w:cs="Arial"/>
                <w:szCs w:val="24"/>
              </w:rPr>
              <w:t>DITRDLG</w:t>
            </w:r>
            <w:proofErr w:type="spellEnd"/>
            <w:r w:rsidRPr="00D7530A">
              <w:rPr>
                <w:rFonts w:cs="Arial"/>
                <w:szCs w:val="24"/>
              </w:rPr>
              <w:t> </w:t>
            </w:r>
            <w:r w:rsidR="00F17CCE">
              <w:rPr>
                <w:rFonts w:cs="Arial"/>
                <w:szCs w:val="24"/>
              </w:rPr>
              <w:t>(</w:t>
            </w:r>
            <w:r w:rsidRPr="00D7530A">
              <w:rPr>
                <w:rFonts w:cs="Arial"/>
                <w:szCs w:val="24"/>
              </w:rPr>
              <w:t>2013)</w:t>
            </w:r>
            <w:r w:rsidR="00F17CCE">
              <w:rPr>
                <w:rFonts w:cs="Arial"/>
              </w:rPr>
              <w:t>.</w:t>
            </w:r>
          </w:p>
        </w:tc>
      </w:tr>
    </w:tbl>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lastRenderedPageBreak/>
        <w:t>Scheme funding</w:t>
      </w:r>
    </w:p>
    <w:p w:rsidR="00AE4D5A" w:rsidRPr="008E0897" w:rsidRDefault="00AE4D5A" w:rsidP="008E5E01">
      <w:pPr>
        <w:spacing w:before="240" w:line="320" w:lineRule="atLeast"/>
        <w:jc w:val="both"/>
        <w:rPr>
          <w:szCs w:val="20"/>
        </w:rPr>
      </w:pPr>
      <w:r w:rsidRPr="008E0897">
        <w:rPr>
          <w:szCs w:val="20"/>
        </w:rPr>
        <w:t xml:space="preserve">The TFES, TWFS and BSPVES receive appropriations across the forward estimates each year in the Commonwealth budget. More than $2 billion has been </w:t>
      </w:r>
      <w:r>
        <w:rPr>
          <w:szCs w:val="20"/>
        </w:rPr>
        <w:t xml:space="preserve">outlaid under the three schemes since their inception, </w:t>
      </w:r>
      <w:r w:rsidRPr="008E0897">
        <w:rPr>
          <w:szCs w:val="20"/>
        </w:rPr>
        <w:t xml:space="preserve">including more than $400 million under the BSPVES since 1996. Over the next 15 years, the net present value of expenditure under </w:t>
      </w:r>
      <w:r>
        <w:rPr>
          <w:szCs w:val="20"/>
        </w:rPr>
        <w:t>all</w:t>
      </w:r>
      <w:r w:rsidRPr="008E0897">
        <w:rPr>
          <w:szCs w:val="20"/>
        </w:rPr>
        <w:t xml:space="preserve"> three schemes is estimated to be more than $2 billion — including around $500 million for the BSPVES — assuming the schemes continue to grow in line with trends over the </w:t>
      </w:r>
      <w:r>
        <w:rPr>
          <w:szCs w:val="20"/>
        </w:rPr>
        <w:t>p</w:t>
      </w:r>
      <w:r w:rsidRPr="008E0897">
        <w:rPr>
          <w:szCs w:val="20"/>
        </w:rPr>
        <w:t>ast 10 years.</w:t>
      </w:r>
    </w:p>
    <w:p w:rsidR="00AE4D5A" w:rsidRPr="008E0897" w:rsidRDefault="00AE4D5A" w:rsidP="008E5E01">
      <w:pPr>
        <w:spacing w:before="240" w:line="320" w:lineRule="atLeast"/>
        <w:jc w:val="both"/>
        <w:rPr>
          <w:szCs w:val="20"/>
        </w:rPr>
      </w:pPr>
      <w:r w:rsidRPr="008E0897">
        <w:rPr>
          <w:szCs w:val="20"/>
        </w:rPr>
        <w:t>The $111 million in funding assistance under the TFES in 2012</w:t>
      </w:r>
      <w:r w:rsidRPr="008E0897">
        <w:rPr>
          <w:szCs w:val="20"/>
        </w:rPr>
        <w:noBreakHyphen/>
        <w:t xml:space="preserve">13 is the largest annual expenditure on </w:t>
      </w:r>
      <w:r>
        <w:rPr>
          <w:szCs w:val="20"/>
        </w:rPr>
        <w:t>that</w:t>
      </w:r>
      <w:r w:rsidRPr="008E0897">
        <w:rPr>
          <w:szCs w:val="20"/>
        </w:rPr>
        <w:t xml:space="preserve"> scheme (figure 3.1). This represented around 0.5 per cent of Tasmania’s gross state product in 2012</w:t>
      </w:r>
      <w:r w:rsidRPr="008E0897">
        <w:rPr>
          <w:szCs w:val="20"/>
        </w:rPr>
        <w:noBreakHyphen/>
        <w:t>13, or around $217 for each Tasmanian resident.</w:t>
      </w:r>
    </w:p>
    <w:p w:rsidR="00AE4D5A" w:rsidRPr="008E0897" w:rsidRDefault="00AE4D5A" w:rsidP="008E5E01">
      <w:pPr>
        <w:spacing w:before="240" w:line="320" w:lineRule="atLeast"/>
        <w:jc w:val="both"/>
        <w:rPr>
          <w:szCs w:val="20"/>
        </w:rPr>
      </w:pPr>
      <w:r w:rsidRPr="008E0897">
        <w:rPr>
          <w:szCs w:val="20"/>
        </w:rPr>
        <w:t xml:space="preserve">Expenditure on the TWFS has never reached the $1.05 million cap and there have been no claims since 2009. </w:t>
      </w:r>
    </w:p>
    <w:p w:rsidR="00AE4D5A" w:rsidRPr="008E0897" w:rsidRDefault="00AE4D5A" w:rsidP="008E5E01">
      <w:pPr>
        <w:spacing w:before="240" w:line="320" w:lineRule="atLeast"/>
        <w:jc w:val="both"/>
        <w:rPr>
          <w:szCs w:val="20"/>
        </w:rPr>
      </w:pPr>
      <w:r w:rsidRPr="008E0897">
        <w:rPr>
          <w:szCs w:val="20"/>
        </w:rPr>
        <w:t>BSPVES expenditure grew rapidly in line with the strong take</w:t>
      </w:r>
      <w:r w:rsidRPr="008E0897">
        <w:rPr>
          <w:szCs w:val="20"/>
        </w:rPr>
        <w:noBreakHyphen/>
        <w:t xml:space="preserve">up of the subsidy in the late 1990s and early 2000s, but has moderated over the </w:t>
      </w:r>
      <w:r>
        <w:rPr>
          <w:szCs w:val="20"/>
        </w:rPr>
        <w:t>p</w:t>
      </w:r>
      <w:r w:rsidRPr="008E0897">
        <w:rPr>
          <w:szCs w:val="20"/>
        </w:rPr>
        <w:t>ast decade (figure 3.1).</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t>Figure</w:t>
      </w:r>
      <w:r>
        <w:rPr>
          <w:rFonts w:ascii="Arial" w:hAnsi="Arial"/>
          <w:sz w:val="24"/>
        </w:rPr>
        <w:t> </w:t>
      </w:r>
      <w:r w:rsidRPr="008E0897">
        <w:rPr>
          <w:rFonts w:ascii="Arial" w:hAnsi="Arial"/>
          <w:sz w:val="24"/>
        </w:rPr>
        <w:t>3.</w:t>
      </w:r>
      <w:r w:rsidRPr="008E0897">
        <w:rPr>
          <w:rFonts w:ascii="Arial" w:hAnsi="Arial"/>
          <w:noProof/>
          <w:sz w:val="24"/>
        </w:rPr>
        <w:t>1</w:t>
      </w:r>
      <w:r w:rsidRPr="008E0897">
        <w:rPr>
          <w:rFonts w:ascii="Arial" w:hAnsi="Arial"/>
          <w:b/>
          <w:sz w:val="24"/>
        </w:rPr>
        <w:tab/>
        <w:t>TFES and BSPVES annual expenditure</w:t>
      </w:r>
    </w:p>
    <w:p w:rsidR="00AE4D5A" w:rsidRPr="008E0897" w:rsidRDefault="00AE4D5A" w:rsidP="008E5E01">
      <w:pPr>
        <w:keepNext/>
        <w:keepLines/>
        <w:spacing w:after="80" w:line="200" w:lineRule="exact"/>
        <w:ind w:left="1474"/>
        <w:rPr>
          <w:rFonts w:ascii="Arial" w:hAnsi="Arial"/>
          <w:sz w:val="20"/>
        </w:rPr>
      </w:pPr>
      <w:r w:rsidRPr="008E0897">
        <w:rPr>
          <w:rFonts w:ascii="Arial" w:hAnsi="Arial"/>
          <w:sz w:val="20"/>
        </w:rPr>
        <w:t>2003</w:t>
      </w:r>
      <w:r w:rsidRPr="008E0897">
        <w:rPr>
          <w:rFonts w:ascii="Arial" w:hAnsi="Arial"/>
          <w:sz w:val="20"/>
        </w:rPr>
        <w:noBreakHyphen/>
        <w:t>04 to 2012</w:t>
      </w:r>
      <w:r w:rsidRPr="008E0897">
        <w:rPr>
          <w:rFonts w:ascii="Arial" w:hAnsi="Arial"/>
          <w:sz w:val="20"/>
        </w:rPr>
        <w:noBreakHyphen/>
        <w:t>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RPr="008E0897" w:rsidTr="008E5E01">
        <w:tc>
          <w:tcPr>
            <w:tcW w:w="8777" w:type="dxa"/>
          </w:tcPr>
          <w:p w:rsidR="00AE4D5A" w:rsidRPr="008E0897" w:rsidRDefault="00AE4D5A" w:rsidP="008E5E01">
            <w:pPr>
              <w:keepNext/>
              <w:spacing w:before="120" w:after="120" w:line="240" w:lineRule="atLeast"/>
              <w:jc w:val="center"/>
              <w:rPr>
                <w:szCs w:val="20"/>
              </w:rPr>
            </w:pPr>
            <w:r w:rsidRPr="008043FE">
              <w:rPr>
                <w:noProof/>
                <w:szCs w:val="20"/>
              </w:rPr>
              <w:drawing>
                <wp:inline distT="0" distB="0" distL="0" distR="0" wp14:anchorId="238E5E52" wp14:editId="27C53CF8">
                  <wp:extent cx="4905374" cy="2790825"/>
                  <wp:effectExtent l="0" t="0" r="0" b="0"/>
                  <wp:docPr id="29" name="Chart 29" descr="Figure 3.1 TFES and BSPVES annual expenditure. This figure shows that TFES funding rose between 2003-04 and 2012-13 from around $84 million a year to $111 million. Over the same period BSPVES funding was relatively stable, around $34 million in 2003-04 and $35 million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 xml:space="preserve">: Department of Infrastructure and Regional Development </w:t>
      </w:r>
      <w:r>
        <w:rPr>
          <w:rFonts w:ascii="Arial" w:hAnsi="Arial"/>
          <w:sz w:val="18"/>
          <w:szCs w:val="20"/>
        </w:rPr>
        <w:t>(</w:t>
      </w:r>
      <w:r w:rsidRPr="008E0897">
        <w:rPr>
          <w:rFonts w:ascii="Arial" w:hAnsi="Arial"/>
          <w:sz w:val="18"/>
          <w:szCs w:val="20"/>
        </w:rPr>
        <w:t>annual reports</w:t>
      </w:r>
      <w:r>
        <w:rPr>
          <w:rFonts w:ascii="Arial" w:hAnsi="Arial"/>
          <w:sz w:val="18"/>
          <w:szCs w:val="20"/>
        </w:rPr>
        <w:t>)</w:t>
      </w:r>
      <w:r w:rsidRPr="008E0897">
        <w:rPr>
          <w:rFonts w:ascii="Arial" w:hAnsi="Arial"/>
          <w:sz w:val="18"/>
          <w:szCs w:val="20"/>
        </w:rPr>
        <w:t>.</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lastRenderedPageBreak/>
        <w:t>Previous reviews and monitoring of the schemes</w:t>
      </w:r>
    </w:p>
    <w:p w:rsidR="00AE4D5A" w:rsidRPr="008E0897" w:rsidRDefault="00AE4D5A" w:rsidP="008E5E01">
      <w:pPr>
        <w:spacing w:before="240" w:line="320" w:lineRule="atLeast"/>
        <w:jc w:val="both"/>
        <w:rPr>
          <w:szCs w:val="20"/>
        </w:rPr>
      </w:pPr>
      <w:r w:rsidRPr="008E0897">
        <w:rPr>
          <w:szCs w:val="20"/>
        </w:rPr>
        <w:t>The schemes have been subject to review and monitoring over the past three decades with aspects of the schemes considered in some detail (table 3.1). In addition to these reviews, there have been a series of Bureau of Infrastructure, Transport and Regional Development (BITRE) reports on the TFES parameters and the BSPVES.</w:t>
      </w:r>
    </w:p>
    <w:p w:rsidR="00AE4D5A" w:rsidRPr="008E0897" w:rsidRDefault="00AE4D5A" w:rsidP="008E5E01">
      <w:pPr>
        <w:spacing w:before="240" w:line="320" w:lineRule="atLeast"/>
        <w:jc w:val="both"/>
        <w:rPr>
          <w:szCs w:val="20"/>
        </w:rPr>
      </w:pPr>
      <w:r w:rsidRPr="008E0897">
        <w:rPr>
          <w:szCs w:val="20"/>
        </w:rPr>
        <w:t xml:space="preserve">Despite most reviews recommending changes to address problems with the TFES and TWFS, these schemes, and the BSPVES, remain largely unchanged since their introduction. While the Australian Government agreed in 2007 to the recommendations of the Commission’s inquiry into Tasmanian freight subsidy arrangements, and some minor changes to administration and scope were subsequently implemented, most of the changes to the </w:t>
      </w:r>
      <w:r>
        <w:rPr>
          <w:szCs w:val="20"/>
        </w:rPr>
        <w:t>TFES and TWFS</w:t>
      </w:r>
      <w:r w:rsidRPr="008E0897">
        <w:rPr>
          <w:szCs w:val="20"/>
        </w:rPr>
        <w:t xml:space="preserve"> that were recommended were not ultimately adopted. This </w:t>
      </w:r>
      <w:r>
        <w:rPr>
          <w:szCs w:val="20"/>
        </w:rPr>
        <w:t xml:space="preserve">decision </w:t>
      </w:r>
      <w:r w:rsidRPr="008E0897">
        <w:rPr>
          <w:szCs w:val="20"/>
        </w:rPr>
        <w:t xml:space="preserve">was on the basis that the Global Financial Crisis warranted maintenance of the level of assistance to Tasmanian businesses </w:t>
      </w:r>
      <w:r w:rsidRPr="009E3B08">
        <w:t>(Albanese 2008)</w:t>
      </w:r>
      <w:r w:rsidRPr="008E0897">
        <w:rPr>
          <w:szCs w:val="20"/>
        </w:rPr>
        <w:t>.</w:t>
      </w:r>
    </w:p>
    <w:p w:rsidR="00AE4D5A" w:rsidRPr="008E0897" w:rsidRDefault="00AE4D5A" w:rsidP="008E5E01">
      <w:pPr>
        <w:spacing w:before="240" w:line="320" w:lineRule="atLeast"/>
        <w:jc w:val="both"/>
        <w:rPr>
          <w:szCs w:val="20"/>
        </w:rPr>
      </w:pPr>
      <w:r>
        <w:rPr>
          <w:szCs w:val="20"/>
        </w:rPr>
        <w:t>T</w:t>
      </w:r>
      <w:r w:rsidRPr="008E0897">
        <w:rPr>
          <w:szCs w:val="20"/>
        </w:rPr>
        <w:t>he Commission’s 2006 inquiry recommendations are at appendix B.</w:t>
      </w:r>
    </w:p>
    <w:p w:rsidR="00AE4D5A" w:rsidRPr="008E0897" w:rsidRDefault="00AE4D5A" w:rsidP="008E5E01">
      <w:pPr>
        <w:keepNext/>
        <w:spacing w:before="600" w:line="400" w:lineRule="exact"/>
        <w:ind w:left="907" w:hanging="907"/>
        <w:outlineLvl w:val="1"/>
        <w:rPr>
          <w:rFonts w:ascii="Arial" w:hAnsi="Arial"/>
          <w:b/>
          <w:sz w:val="32"/>
          <w:szCs w:val="20"/>
        </w:rPr>
      </w:pPr>
      <w:r w:rsidRPr="008E0897">
        <w:rPr>
          <w:rFonts w:ascii="Arial" w:hAnsi="Arial"/>
          <w:b/>
          <w:sz w:val="32"/>
          <w:szCs w:val="20"/>
        </w:rPr>
        <w:t>3.</w:t>
      </w:r>
      <w:r w:rsidRPr="008E0897">
        <w:rPr>
          <w:rFonts w:ascii="Arial" w:hAnsi="Arial"/>
          <w:b/>
          <w:noProof/>
          <w:sz w:val="32"/>
          <w:szCs w:val="20"/>
        </w:rPr>
        <w:t>2</w:t>
      </w:r>
      <w:r w:rsidRPr="008E0897">
        <w:rPr>
          <w:rFonts w:ascii="Arial" w:hAnsi="Arial"/>
          <w:b/>
          <w:sz w:val="32"/>
          <w:szCs w:val="20"/>
        </w:rPr>
        <w:tab/>
        <w:t>Impacts of the schemes</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The Tasmanian Freight Equalisation Scheme</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Who benefits from the subsidy?</w:t>
      </w:r>
    </w:p>
    <w:p w:rsidR="00AE4D5A" w:rsidRPr="008E0897" w:rsidRDefault="00AE4D5A" w:rsidP="008E5E01">
      <w:pPr>
        <w:spacing w:before="240" w:line="320" w:lineRule="atLeast"/>
        <w:jc w:val="both"/>
        <w:rPr>
          <w:szCs w:val="20"/>
        </w:rPr>
      </w:pPr>
      <w:r w:rsidRPr="008E0897">
        <w:rPr>
          <w:szCs w:val="20"/>
        </w:rPr>
        <w:t>In 2011</w:t>
      </w:r>
      <w:r w:rsidRPr="008E0897">
        <w:rPr>
          <w:szCs w:val="20"/>
        </w:rPr>
        <w:noBreakHyphen/>
        <w:t>12, commodities shipped from Tasmania to the Australian mainland accounted for 71 per cent of the value of all claims. By value, the main commodities claimed for were frozen/processed/prepared vegetables, newsprint and fresh vegetables (table 3.2).</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lastRenderedPageBreak/>
        <w:t>Table</w:t>
      </w:r>
      <w:r>
        <w:rPr>
          <w:rFonts w:ascii="Arial" w:hAnsi="Arial"/>
          <w:sz w:val="24"/>
        </w:rPr>
        <w:t> </w:t>
      </w:r>
      <w:r w:rsidRPr="008E0897">
        <w:rPr>
          <w:rFonts w:ascii="Arial" w:hAnsi="Arial"/>
          <w:sz w:val="24"/>
        </w:rPr>
        <w:t>3.</w:t>
      </w:r>
      <w:r w:rsidRPr="008E0897">
        <w:rPr>
          <w:rFonts w:ascii="Arial" w:hAnsi="Arial"/>
          <w:noProof/>
          <w:sz w:val="24"/>
        </w:rPr>
        <w:t>1</w:t>
      </w:r>
      <w:r w:rsidRPr="008E0897">
        <w:rPr>
          <w:rFonts w:ascii="Arial" w:hAnsi="Arial"/>
          <w:b/>
          <w:sz w:val="24"/>
        </w:rPr>
        <w:tab/>
        <w:t>Reviews of Tasmania’s freight subsidy schemes</w:t>
      </w:r>
    </w:p>
    <w:tbl>
      <w:tblPr>
        <w:tblW w:w="5081" w:type="pct"/>
        <w:tblLayout w:type="fixed"/>
        <w:tblCellMar>
          <w:left w:w="0" w:type="dxa"/>
          <w:right w:w="0" w:type="dxa"/>
        </w:tblCellMar>
        <w:tblLook w:val="04A0" w:firstRow="1" w:lastRow="0" w:firstColumn="1" w:lastColumn="0" w:noHBand="0" w:noVBand="1"/>
      </w:tblPr>
      <w:tblGrid>
        <w:gridCol w:w="1844"/>
        <w:gridCol w:w="5669"/>
        <w:gridCol w:w="1418"/>
      </w:tblGrid>
      <w:tr w:rsidR="00AE4D5A" w:rsidRPr="008E0897" w:rsidTr="008E5E01">
        <w:tc>
          <w:tcPr>
            <w:tcW w:w="1032" w:type="pct"/>
            <w:tcBorders>
              <w:top w:val="single" w:sz="6" w:space="0" w:color="auto"/>
              <w:left w:val="nil"/>
              <w:bottom w:val="single" w:sz="6" w:space="0" w:color="auto"/>
              <w:right w:val="nil"/>
            </w:tcBorders>
            <w:hideMark/>
          </w:tcPr>
          <w:p w:rsidR="00AE4D5A" w:rsidRPr="008E0897" w:rsidRDefault="00AE4D5A" w:rsidP="008E5E01">
            <w:pPr>
              <w:keepNext/>
              <w:keepLines/>
              <w:spacing w:before="80" w:after="80" w:line="220" w:lineRule="atLeast"/>
              <w:ind w:left="6" w:right="113"/>
              <w:rPr>
                <w:rFonts w:ascii="Arial" w:hAnsi="Arial"/>
                <w:i/>
                <w:sz w:val="20"/>
                <w:szCs w:val="20"/>
              </w:rPr>
            </w:pPr>
            <w:r w:rsidRPr="008E0897">
              <w:rPr>
                <w:rFonts w:ascii="Arial" w:hAnsi="Arial"/>
                <w:i/>
                <w:sz w:val="20"/>
                <w:szCs w:val="20"/>
              </w:rPr>
              <w:t>Review body/year</w:t>
            </w:r>
          </w:p>
        </w:tc>
        <w:tc>
          <w:tcPr>
            <w:tcW w:w="3174" w:type="pct"/>
            <w:tcBorders>
              <w:top w:val="single" w:sz="6" w:space="0" w:color="auto"/>
              <w:left w:val="nil"/>
              <w:bottom w:val="single" w:sz="6" w:space="0" w:color="auto"/>
              <w:right w:val="nil"/>
            </w:tcBorders>
            <w:hideMark/>
          </w:tcPr>
          <w:p w:rsidR="00AE4D5A" w:rsidRPr="008E0897" w:rsidRDefault="00AE4D5A" w:rsidP="008E5E01">
            <w:pPr>
              <w:keepNext/>
              <w:keepLines/>
              <w:spacing w:before="80" w:after="80" w:line="220" w:lineRule="atLeast"/>
              <w:ind w:left="6" w:right="28"/>
              <w:rPr>
                <w:rFonts w:ascii="Arial" w:hAnsi="Arial"/>
                <w:i/>
                <w:sz w:val="20"/>
                <w:szCs w:val="20"/>
              </w:rPr>
            </w:pPr>
            <w:r w:rsidRPr="008E0897">
              <w:rPr>
                <w:rFonts w:ascii="Arial" w:hAnsi="Arial"/>
                <w:i/>
                <w:sz w:val="20"/>
                <w:szCs w:val="20"/>
              </w:rPr>
              <w:t>Key recommendations</w:t>
            </w:r>
          </w:p>
        </w:tc>
        <w:tc>
          <w:tcPr>
            <w:tcW w:w="794" w:type="pct"/>
            <w:tcBorders>
              <w:top w:val="single" w:sz="6" w:space="0" w:color="auto"/>
              <w:left w:val="nil"/>
              <w:bottom w:val="single" w:sz="6" w:space="0" w:color="auto"/>
              <w:right w:val="nil"/>
            </w:tcBorders>
            <w:hideMark/>
          </w:tcPr>
          <w:p w:rsidR="00AE4D5A" w:rsidRPr="008E0897" w:rsidRDefault="00AE4D5A" w:rsidP="008E5E01">
            <w:pPr>
              <w:keepNext/>
              <w:keepLines/>
              <w:spacing w:before="80" w:after="80" w:line="220" w:lineRule="atLeast"/>
              <w:ind w:left="6" w:right="28"/>
              <w:rPr>
                <w:rFonts w:ascii="Arial" w:hAnsi="Arial"/>
                <w:i/>
                <w:sz w:val="20"/>
                <w:szCs w:val="20"/>
              </w:rPr>
            </w:pPr>
            <w:r w:rsidRPr="008E0897">
              <w:rPr>
                <w:rFonts w:ascii="Arial" w:hAnsi="Arial"/>
                <w:i/>
                <w:sz w:val="20"/>
                <w:szCs w:val="20"/>
              </w:rPr>
              <w:t>Outcome</w:t>
            </w:r>
          </w:p>
        </w:tc>
      </w:tr>
      <w:tr w:rsidR="00AE4D5A" w:rsidRPr="008E0897" w:rsidTr="00874ECA">
        <w:trPr>
          <w:trHeight w:val="1388"/>
        </w:trPr>
        <w:tc>
          <w:tcPr>
            <w:tcW w:w="1032" w:type="pct"/>
            <w:tcBorders>
              <w:top w:val="single" w:sz="6" w:space="0" w:color="auto"/>
              <w:left w:val="nil"/>
              <w:right w:val="nil"/>
            </w:tcBorders>
            <w:shd w:val="clear" w:color="auto" w:fill="F2F2F2" w:themeFill="background1" w:themeFillShade="F2"/>
            <w:hideMark/>
          </w:tcPr>
          <w:p w:rsidR="00AE4D5A" w:rsidRPr="008E0897" w:rsidRDefault="00AE4D5A" w:rsidP="008E5E01">
            <w:pPr>
              <w:keepNext/>
              <w:keepLines/>
              <w:spacing w:before="80" w:after="80" w:line="220" w:lineRule="atLeast"/>
              <w:ind w:left="6" w:right="113"/>
              <w:rPr>
                <w:rFonts w:ascii="Arial" w:hAnsi="Arial"/>
                <w:sz w:val="18"/>
                <w:szCs w:val="18"/>
              </w:rPr>
            </w:pPr>
            <w:r w:rsidRPr="008E0897">
              <w:rPr>
                <w:rFonts w:ascii="Arial" w:hAnsi="Arial"/>
                <w:sz w:val="18"/>
                <w:szCs w:val="18"/>
              </w:rPr>
              <w:t>Commission of Inquiry into Transport to and</w:t>
            </w:r>
            <w:r>
              <w:rPr>
                <w:rFonts w:ascii="Arial" w:hAnsi="Arial"/>
                <w:sz w:val="18"/>
                <w:szCs w:val="18"/>
              </w:rPr>
              <w:t xml:space="preserve"> from Tasmania (Nimmo inquiry), </w:t>
            </w:r>
            <w:r w:rsidRPr="008E0897">
              <w:rPr>
                <w:rFonts w:ascii="Arial" w:hAnsi="Arial"/>
                <w:sz w:val="18"/>
                <w:szCs w:val="18"/>
              </w:rPr>
              <w:t>1976</w:t>
            </w:r>
          </w:p>
        </w:tc>
        <w:tc>
          <w:tcPr>
            <w:tcW w:w="3174" w:type="pct"/>
            <w:tcBorders>
              <w:top w:val="single" w:sz="6" w:space="0" w:color="auto"/>
              <w:left w:val="nil"/>
              <w:right w:val="nil"/>
            </w:tcBorders>
            <w:shd w:val="clear" w:color="auto" w:fill="F2F2F2" w:themeFill="background1" w:themeFillShade="F2"/>
            <w:hideMark/>
          </w:tcPr>
          <w:p w:rsidR="00AE4D5A" w:rsidRPr="008E0897" w:rsidRDefault="00AE4D5A" w:rsidP="008E5E01">
            <w:pPr>
              <w:keepNext/>
              <w:keepLines/>
              <w:spacing w:after="40" w:line="220" w:lineRule="atLeast"/>
              <w:ind w:right="28"/>
              <w:rPr>
                <w:rFonts w:ascii="Arial" w:hAnsi="Arial"/>
                <w:b/>
                <w:position w:val="6"/>
                <w:sz w:val="18"/>
                <w:szCs w:val="18"/>
              </w:rPr>
            </w:pPr>
            <w:r w:rsidRPr="008E0897">
              <w:rPr>
                <w:rFonts w:ascii="Arial" w:hAnsi="Arial"/>
                <w:sz w:val="18"/>
                <w:szCs w:val="18"/>
              </w:rPr>
              <w:t>Financial assistance for exporting goods for sale on the mainland</w:t>
            </w:r>
            <w:r w:rsidRPr="008E0897">
              <w:rPr>
                <w:rFonts w:ascii="Arial" w:hAnsi="Arial"/>
                <w:b/>
                <w:position w:val="6"/>
                <w:sz w:val="18"/>
                <w:szCs w:val="18"/>
              </w:rPr>
              <w:t>a</w:t>
            </w:r>
          </w:p>
          <w:p w:rsidR="00AE4D5A" w:rsidRPr="008E0897" w:rsidRDefault="00AE4D5A" w:rsidP="008E5E01">
            <w:pPr>
              <w:keepNext/>
              <w:keepLines/>
              <w:spacing w:after="40" w:line="220" w:lineRule="atLeast"/>
              <w:ind w:right="28"/>
              <w:rPr>
                <w:rFonts w:ascii="Arial" w:hAnsi="Arial"/>
                <w:sz w:val="18"/>
                <w:szCs w:val="18"/>
              </w:rPr>
            </w:pPr>
            <w:r w:rsidRPr="008E0897">
              <w:rPr>
                <w:rFonts w:ascii="Arial" w:hAnsi="Arial"/>
                <w:sz w:val="18"/>
                <w:szCs w:val="18"/>
              </w:rPr>
              <w:t>Increase passenger vehicle subsidy</w:t>
            </w:r>
          </w:p>
          <w:p w:rsidR="00AE4D5A" w:rsidRPr="008E0897" w:rsidRDefault="00AE4D5A" w:rsidP="008E5E01">
            <w:pPr>
              <w:keepNext/>
              <w:keepLines/>
              <w:spacing w:after="40" w:line="220" w:lineRule="atLeast"/>
              <w:ind w:right="28"/>
              <w:rPr>
                <w:rFonts w:ascii="Arial" w:hAnsi="Arial"/>
                <w:sz w:val="18"/>
                <w:szCs w:val="18"/>
              </w:rPr>
            </w:pPr>
            <w:r w:rsidRPr="008E0897">
              <w:rPr>
                <w:rFonts w:ascii="Arial" w:hAnsi="Arial"/>
                <w:sz w:val="18"/>
                <w:szCs w:val="18"/>
              </w:rPr>
              <w:t>Changes to vessels, scheduling and port operation</w:t>
            </w:r>
          </w:p>
          <w:p w:rsidR="00AE4D5A" w:rsidRPr="008E0897" w:rsidRDefault="00AE4D5A" w:rsidP="008E5E01">
            <w:pPr>
              <w:keepNext/>
              <w:keepLines/>
              <w:spacing w:after="40" w:line="220" w:lineRule="atLeast"/>
              <w:ind w:right="28"/>
              <w:rPr>
                <w:rFonts w:ascii="Arial" w:hAnsi="Arial"/>
                <w:sz w:val="18"/>
                <w:szCs w:val="18"/>
              </w:rPr>
            </w:pPr>
            <w:r w:rsidRPr="008E0897">
              <w:rPr>
                <w:rFonts w:ascii="Arial" w:hAnsi="Arial"/>
                <w:sz w:val="18"/>
                <w:szCs w:val="18"/>
              </w:rPr>
              <w:t>Government</w:t>
            </w:r>
            <w:r w:rsidRPr="008E0897">
              <w:rPr>
                <w:rFonts w:ascii="Arial" w:hAnsi="Arial"/>
                <w:sz w:val="18"/>
                <w:szCs w:val="18"/>
              </w:rPr>
              <w:noBreakHyphen/>
              <w:t>owned services to charge economic freight rates</w:t>
            </w:r>
          </w:p>
        </w:tc>
        <w:tc>
          <w:tcPr>
            <w:tcW w:w="794" w:type="pct"/>
            <w:tcBorders>
              <w:top w:val="single" w:sz="6" w:space="0" w:color="auto"/>
              <w:left w:val="nil"/>
              <w:right w:val="nil"/>
            </w:tcBorders>
            <w:shd w:val="clear" w:color="auto" w:fill="F2F2F2" w:themeFill="background1" w:themeFillShade="F2"/>
            <w:hideMark/>
          </w:tcPr>
          <w:p w:rsidR="00AE4D5A" w:rsidRPr="008E0897" w:rsidRDefault="00AE4D5A" w:rsidP="008E5E01">
            <w:pPr>
              <w:keepNext/>
              <w:keepLines/>
              <w:spacing w:before="80" w:after="80" w:line="220" w:lineRule="atLeast"/>
              <w:ind w:left="6" w:right="28"/>
              <w:rPr>
                <w:rFonts w:ascii="Arial" w:hAnsi="Arial"/>
                <w:sz w:val="18"/>
                <w:szCs w:val="18"/>
              </w:rPr>
            </w:pPr>
            <w:r w:rsidRPr="008E0897">
              <w:rPr>
                <w:rFonts w:ascii="Arial" w:hAnsi="Arial"/>
                <w:sz w:val="18"/>
                <w:szCs w:val="18"/>
              </w:rPr>
              <w:t>The TFES was introduced in 1976</w:t>
            </w:r>
          </w:p>
        </w:tc>
      </w:tr>
      <w:tr w:rsidR="00AE4D5A" w:rsidRPr="008E0897" w:rsidTr="00874ECA">
        <w:trPr>
          <w:trHeight w:val="2980"/>
        </w:trPr>
        <w:tc>
          <w:tcPr>
            <w:tcW w:w="1032" w:type="pct"/>
            <w:shd w:val="clear" w:color="auto" w:fill="auto"/>
            <w:hideMark/>
          </w:tcPr>
          <w:p w:rsidR="00AE4D5A" w:rsidRPr="008E0897" w:rsidRDefault="00AE4D5A" w:rsidP="008E5E01">
            <w:pPr>
              <w:keepNext/>
              <w:keepLines/>
              <w:spacing w:after="40" w:line="220" w:lineRule="atLeast"/>
              <w:ind w:left="6" w:right="113"/>
              <w:rPr>
                <w:rFonts w:ascii="Arial" w:hAnsi="Arial"/>
                <w:sz w:val="18"/>
                <w:szCs w:val="18"/>
              </w:rPr>
            </w:pPr>
            <w:r>
              <w:rPr>
                <w:rFonts w:ascii="Arial" w:hAnsi="Arial"/>
                <w:sz w:val="18"/>
                <w:szCs w:val="18"/>
              </w:rPr>
              <w:t xml:space="preserve">Interstate Commission, </w:t>
            </w:r>
            <w:r w:rsidRPr="008E0897">
              <w:rPr>
                <w:rFonts w:ascii="Arial" w:hAnsi="Arial"/>
                <w:sz w:val="18"/>
                <w:szCs w:val="18"/>
              </w:rPr>
              <w:t>1985</w:t>
            </w:r>
          </w:p>
        </w:tc>
        <w:tc>
          <w:tcPr>
            <w:tcW w:w="3174" w:type="pct"/>
            <w:shd w:val="clear" w:color="auto" w:fill="auto"/>
          </w:tcPr>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Replace the TFES with a Tasmanian Freight Compensation Scheme</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Exclude bulk commodities and cargoes shipped by air</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Continue the exclusion for exports</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Specified eligibility for cargoes and compensation rates</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Shippers pay a prescribed minimum of shipping costs</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Payments to major recipients discounted above a minimum level</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Ongoing monitoring and review of the scheme</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Establish a Tasmanian Association for Interstate Shippers to address other coastal shipping matters</w:t>
            </w:r>
          </w:p>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TFES and TWFS should be separate schemes as they have different objectives</w:t>
            </w:r>
          </w:p>
        </w:tc>
        <w:tc>
          <w:tcPr>
            <w:tcW w:w="794" w:type="pct"/>
            <w:shd w:val="clear" w:color="auto" w:fill="auto"/>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All adopted, with the exception of changing the nature of the scheme from equalisation to compensation</w:t>
            </w:r>
          </w:p>
        </w:tc>
      </w:tr>
      <w:tr w:rsidR="00AE4D5A" w:rsidRPr="008E0897" w:rsidTr="00874ECA">
        <w:trPr>
          <w:trHeight w:val="1846"/>
        </w:trPr>
        <w:tc>
          <w:tcPr>
            <w:tcW w:w="1032" w:type="pct"/>
            <w:shd w:val="clear" w:color="auto" w:fill="F2F2F2" w:themeFill="background1" w:themeFillShade="F2"/>
            <w:hideMark/>
          </w:tcPr>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Tasmanian Freight Equalisation Scheme Review Authority (Nixon in</w:t>
            </w:r>
            <w:r>
              <w:rPr>
                <w:rFonts w:ascii="Arial" w:hAnsi="Arial"/>
                <w:sz w:val="18"/>
                <w:szCs w:val="18"/>
              </w:rPr>
              <w:t xml:space="preserve">quiry), </w:t>
            </w:r>
            <w:r w:rsidRPr="008E0897">
              <w:rPr>
                <w:rFonts w:ascii="Arial" w:hAnsi="Arial"/>
                <w:sz w:val="18"/>
                <w:szCs w:val="18"/>
              </w:rPr>
              <w:t>1998</w:t>
            </w:r>
          </w:p>
        </w:tc>
        <w:tc>
          <w:tcPr>
            <w:tcW w:w="3174" w:type="pct"/>
            <w:shd w:val="clear" w:color="auto" w:fill="F2F2F2" w:themeFill="background1" w:themeFillShade="F2"/>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Basis of assistance should be a defined sea freight cost disadvantage expressed on a dollar per TEU basis</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Adjustments for freight density, export to states other than Victoria, door</w:t>
            </w:r>
            <w:r w:rsidRPr="008E0897">
              <w:rPr>
                <w:rFonts w:ascii="Arial" w:hAnsi="Arial"/>
                <w:sz w:val="18"/>
                <w:szCs w:val="18"/>
              </w:rPr>
              <w:noBreakHyphen/>
              <w:t>to</w:t>
            </w:r>
            <w:r w:rsidRPr="008E0897">
              <w:rPr>
                <w:rFonts w:ascii="Arial" w:hAnsi="Arial"/>
                <w:sz w:val="18"/>
                <w:szCs w:val="18"/>
              </w:rPr>
              <w:noBreakHyphen/>
              <w:t>door consignments, reefer freight</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Assistance for intermodal costs</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Increase in assistance as disadvantage increases up to a cap</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Regular review of scheme/parameters</w:t>
            </w:r>
          </w:p>
        </w:tc>
        <w:tc>
          <w:tcPr>
            <w:tcW w:w="794" w:type="pct"/>
            <w:shd w:val="clear" w:color="auto" w:fill="F2F2F2" w:themeFill="background1" w:themeFillShade="F2"/>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Adopted</w:t>
            </w:r>
          </w:p>
        </w:tc>
      </w:tr>
      <w:tr w:rsidR="00AE4D5A" w:rsidRPr="008E0897" w:rsidTr="00874ECA">
        <w:trPr>
          <w:trHeight w:val="853"/>
        </w:trPr>
        <w:tc>
          <w:tcPr>
            <w:tcW w:w="1032" w:type="pct"/>
            <w:shd w:val="clear" w:color="auto" w:fill="auto"/>
          </w:tcPr>
          <w:p w:rsidR="00AE4D5A" w:rsidRPr="008E0897" w:rsidRDefault="00AE4D5A" w:rsidP="008E5E01">
            <w:pPr>
              <w:keepNext/>
              <w:keepLines/>
              <w:spacing w:after="40" w:line="220" w:lineRule="atLeast"/>
              <w:ind w:left="6" w:right="113"/>
              <w:rPr>
                <w:rFonts w:ascii="Arial" w:hAnsi="Arial"/>
                <w:sz w:val="18"/>
                <w:szCs w:val="18"/>
              </w:rPr>
            </w:pPr>
            <w:r>
              <w:rPr>
                <w:rFonts w:ascii="Arial" w:hAnsi="Arial"/>
                <w:sz w:val="18"/>
                <w:szCs w:val="18"/>
              </w:rPr>
              <w:t xml:space="preserve">Productivity Commission, </w:t>
            </w:r>
            <w:r w:rsidRPr="008E0897">
              <w:rPr>
                <w:rFonts w:ascii="Arial" w:hAnsi="Arial"/>
                <w:sz w:val="18"/>
                <w:szCs w:val="18"/>
              </w:rPr>
              <w:t>2006</w:t>
            </w:r>
          </w:p>
        </w:tc>
        <w:tc>
          <w:tcPr>
            <w:tcW w:w="3174" w:type="pct"/>
            <w:shd w:val="clear" w:color="auto" w:fill="auto"/>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See appendix B for recommendations</w:t>
            </w:r>
          </w:p>
        </w:tc>
        <w:tc>
          <w:tcPr>
            <w:tcW w:w="794" w:type="pct"/>
            <w:shd w:val="clear" w:color="auto" w:fill="auto"/>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Accepted, but mostly not implemented</w:t>
            </w:r>
          </w:p>
        </w:tc>
      </w:tr>
      <w:tr w:rsidR="00AE4D5A" w:rsidRPr="008E0897" w:rsidTr="00874ECA">
        <w:trPr>
          <w:trHeight w:val="850"/>
        </w:trPr>
        <w:tc>
          <w:tcPr>
            <w:tcW w:w="1032" w:type="pct"/>
            <w:shd w:val="clear" w:color="auto" w:fill="F2F2F2" w:themeFill="background1" w:themeFillShade="F2"/>
            <w:hideMark/>
          </w:tcPr>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Auditor</w:t>
            </w:r>
            <w:r w:rsidRPr="008E0897">
              <w:rPr>
                <w:rFonts w:ascii="Arial" w:hAnsi="Arial"/>
                <w:sz w:val="18"/>
                <w:szCs w:val="18"/>
              </w:rPr>
              <w:noBreakHyphen/>
              <w:t xml:space="preserve">General </w:t>
            </w:r>
            <w:r>
              <w:rPr>
                <w:rFonts w:ascii="Arial" w:hAnsi="Arial"/>
                <w:sz w:val="18"/>
                <w:szCs w:val="18"/>
              </w:rPr>
              <w:t>(</w:t>
            </w:r>
            <w:r w:rsidRPr="008E0897">
              <w:rPr>
                <w:rFonts w:ascii="Arial" w:hAnsi="Arial"/>
                <w:sz w:val="18"/>
                <w:szCs w:val="18"/>
              </w:rPr>
              <w:t>TFES performance audi</w:t>
            </w:r>
            <w:r>
              <w:rPr>
                <w:rFonts w:ascii="Arial" w:hAnsi="Arial"/>
                <w:sz w:val="18"/>
                <w:szCs w:val="18"/>
              </w:rPr>
              <w:t xml:space="preserve">t), </w:t>
            </w:r>
            <w:r w:rsidRPr="008E0897">
              <w:rPr>
                <w:rFonts w:ascii="Arial" w:hAnsi="Arial"/>
                <w:sz w:val="18"/>
                <w:szCs w:val="18"/>
              </w:rPr>
              <w:t>2011</w:t>
            </w:r>
          </w:p>
        </w:tc>
        <w:tc>
          <w:tcPr>
            <w:tcW w:w="3174" w:type="pct"/>
            <w:shd w:val="clear" w:color="auto" w:fill="F2F2F2" w:themeFill="background1" w:themeFillShade="F2"/>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Introduce arrangements to reduce the risk of incorrect payments</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Strengthen quality assurance</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Improve data entry and data integrity</w:t>
            </w:r>
          </w:p>
        </w:tc>
        <w:tc>
          <w:tcPr>
            <w:tcW w:w="794" w:type="pct"/>
            <w:shd w:val="clear" w:color="auto" w:fill="F2F2F2" w:themeFill="background1" w:themeFillShade="F2"/>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 xml:space="preserve">DIT and DHS agreed with the report </w:t>
            </w:r>
          </w:p>
        </w:tc>
      </w:tr>
      <w:tr w:rsidR="00AE4D5A" w:rsidRPr="008E0897" w:rsidTr="00874ECA">
        <w:trPr>
          <w:trHeight w:val="564"/>
        </w:trPr>
        <w:tc>
          <w:tcPr>
            <w:tcW w:w="1032" w:type="pct"/>
            <w:shd w:val="clear" w:color="auto" w:fill="auto"/>
            <w:hideMark/>
          </w:tcPr>
          <w:p w:rsidR="00AE4D5A" w:rsidRPr="008E0897" w:rsidRDefault="00AE4D5A" w:rsidP="008E5E01">
            <w:pPr>
              <w:keepNext/>
              <w:keepLines/>
              <w:spacing w:after="40" w:line="220" w:lineRule="atLeast"/>
              <w:ind w:left="6" w:right="113"/>
              <w:rPr>
                <w:rFonts w:ascii="Arial" w:hAnsi="Arial"/>
                <w:sz w:val="18"/>
                <w:szCs w:val="18"/>
              </w:rPr>
            </w:pPr>
            <w:r>
              <w:rPr>
                <w:rFonts w:ascii="Arial" w:hAnsi="Arial"/>
                <w:sz w:val="18"/>
                <w:szCs w:val="18"/>
              </w:rPr>
              <w:t xml:space="preserve">DIT (Simplification Review), </w:t>
            </w:r>
            <w:r w:rsidRPr="008E0897">
              <w:rPr>
                <w:rFonts w:ascii="Arial" w:hAnsi="Arial"/>
                <w:sz w:val="18"/>
                <w:szCs w:val="18"/>
              </w:rPr>
              <w:t>2011</w:t>
            </w:r>
          </w:p>
        </w:tc>
        <w:tc>
          <w:tcPr>
            <w:tcW w:w="3174" w:type="pct"/>
            <w:shd w:val="clear" w:color="auto" w:fill="auto"/>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Changes to simplify the scheme were recommended in the lead up to the 2011</w:t>
            </w:r>
            <w:r w:rsidRPr="008E0897">
              <w:rPr>
                <w:rFonts w:ascii="Arial" w:hAnsi="Arial"/>
                <w:sz w:val="18"/>
                <w:szCs w:val="18"/>
              </w:rPr>
              <w:noBreakHyphen/>
              <w:t xml:space="preserve">12 Budget </w:t>
            </w:r>
          </w:p>
        </w:tc>
        <w:tc>
          <w:tcPr>
            <w:tcW w:w="794" w:type="pct"/>
            <w:shd w:val="clear" w:color="auto" w:fill="auto"/>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Not adopted</w:t>
            </w:r>
          </w:p>
        </w:tc>
      </w:tr>
      <w:tr w:rsidR="00AE4D5A" w:rsidRPr="008E0897" w:rsidTr="00874ECA">
        <w:tc>
          <w:tcPr>
            <w:tcW w:w="1032" w:type="pct"/>
            <w:tcBorders>
              <w:top w:val="nil"/>
              <w:left w:val="nil"/>
              <w:bottom w:val="single" w:sz="6" w:space="0" w:color="auto"/>
              <w:right w:val="nil"/>
            </w:tcBorders>
            <w:shd w:val="clear" w:color="auto" w:fill="F2F2F2" w:themeFill="background1" w:themeFillShade="F2"/>
            <w:hideMark/>
          </w:tcPr>
          <w:p w:rsidR="00AE4D5A" w:rsidRPr="008E0897" w:rsidRDefault="00AE4D5A" w:rsidP="008E5E01">
            <w:pPr>
              <w:keepNext/>
              <w:keepLines/>
              <w:spacing w:after="40" w:line="220" w:lineRule="atLeast"/>
              <w:ind w:left="6" w:right="113"/>
              <w:rPr>
                <w:rFonts w:ascii="Arial" w:hAnsi="Arial"/>
                <w:sz w:val="18"/>
                <w:szCs w:val="18"/>
              </w:rPr>
            </w:pPr>
            <w:r w:rsidRPr="008E0897">
              <w:rPr>
                <w:rFonts w:ascii="Arial" w:hAnsi="Arial"/>
                <w:sz w:val="18"/>
                <w:szCs w:val="18"/>
              </w:rPr>
              <w:t>Nation</w:t>
            </w:r>
            <w:r>
              <w:rPr>
                <w:rFonts w:ascii="Arial" w:hAnsi="Arial"/>
                <w:sz w:val="18"/>
                <w:szCs w:val="18"/>
              </w:rPr>
              <w:t>al Infrastructure Coordinator (</w:t>
            </w:r>
            <w:r w:rsidRPr="008E0897">
              <w:rPr>
                <w:rFonts w:ascii="Arial" w:hAnsi="Arial"/>
                <w:sz w:val="18"/>
                <w:szCs w:val="18"/>
              </w:rPr>
              <w:t>TFES</w:t>
            </w:r>
            <w:r>
              <w:rPr>
                <w:rFonts w:ascii="Arial" w:hAnsi="Arial"/>
                <w:sz w:val="18"/>
                <w:szCs w:val="18"/>
              </w:rPr>
              <w:t>, Tasmanian ports and shipping),</w:t>
            </w:r>
            <w:r w:rsidRPr="008E0897">
              <w:rPr>
                <w:rFonts w:ascii="Arial" w:hAnsi="Arial"/>
                <w:sz w:val="18"/>
                <w:szCs w:val="18"/>
              </w:rPr>
              <w:t xml:space="preserve"> 2012</w:t>
            </w:r>
          </w:p>
        </w:tc>
        <w:tc>
          <w:tcPr>
            <w:tcW w:w="3174" w:type="pct"/>
            <w:tcBorders>
              <w:top w:val="nil"/>
              <w:left w:val="nil"/>
              <w:bottom w:val="single" w:sz="6" w:space="0" w:color="auto"/>
              <w:right w:val="nil"/>
            </w:tcBorders>
            <w:shd w:val="clear" w:color="auto" w:fill="F2F2F2" w:themeFill="background1" w:themeFillShade="F2"/>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ACCC to review shipping costs and competition policy for sea freight and passenger services</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Refer possible TFES fraud to the Australian Federal Police</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Update BITRE examination of Tasmania’s freight disadvantage</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Consider including all non</w:t>
            </w:r>
            <w:r w:rsidRPr="008E0897">
              <w:rPr>
                <w:rFonts w:ascii="Arial" w:hAnsi="Arial"/>
                <w:sz w:val="18"/>
                <w:szCs w:val="18"/>
              </w:rPr>
              <w:noBreakHyphen/>
              <w:t>bulk goods in scheme</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Withdraw TFES funding and request Commonwealth Grants Commission consider the scheme in distributing GST revenues</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Create a freight logistics coordination team</w:t>
            </w:r>
          </w:p>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Consider compensation for the withdrawal of international shipping only if there is a strong case</w:t>
            </w:r>
          </w:p>
        </w:tc>
        <w:tc>
          <w:tcPr>
            <w:tcW w:w="794" w:type="pct"/>
            <w:tcBorders>
              <w:top w:val="nil"/>
              <w:left w:val="nil"/>
              <w:bottom w:val="single" w:sz="6" w:space="0" w:color="auto"/>
              <w:right w:val="nil"/>
            </w:tcBorders>
            <w:shd w:val="clear" w:color="auto" w:fill="F2F2F2" w:themeFill="background1" w:themeFillShade="F2"/>
            <w:hideMark/>
          </w:tcPr>
          <w:p w:rsidR="00AE4D5A" w:rsidRPr="008E0897" w:rsidRDefault="00AE4D5A" w:rsidP="008E5E01">
            <w:pPr>
              <w:keepNext/>
              <w:keepLines/>
              <w:spacing w:after="40" w:line="220" w:lineRule="atLeast"/>
              <w:ind w:left="6" w:right="28"/>
              <w:rPr>
                <w:rFonts w:ascii="Arial" w:hAnsi="Arial"/>
                <w:sz w:val="18"/>
                <w:szCs w:val="18"/>
              </w:rPr>
            </w:pPr>
            <w:r w:rsidRPr="008E0897">
              <w:rPr>
                <w:rFonts w:ascii="Arial" w:hAnsi="Arial"/>
                <w:sz w:val="18"/>
                <w:szCs w:val="18"/>
              </w:rPr>
              <w:t>Mostly not accepted</w:t>
            </w:r>
          </w:p>
        </w:tc>
      </w:tr>
    </w:tbl>
    <w:p w:rsidR="00AE4D5A" w:rsidRPr="008E0897" w:rsidRDefault="00AE4D5A" w:rsidP="008E5E01">
      <w:pPr>
        <w:keepLines/>
        <w:spacing w:before="80" w:line="220" w:lineRule="exact"/>
        <w:jc w:val="both"/>
        <w:rPr>
          <w:rFonts w:ascii="Arial" w:hAnsi="Arial"/>
          <w:sz w:val="18"/>
          <w:szCs w:val="20"/>
        </w:rPr>
      </w:pPr>
      <w:proofErr w:type="spellStart"/>
      <w:r w:rsidRPr="008E0897">
        <w:rPr>
          <w:rFonts w:ascii="Arial" w:hAnsi="Arial"/>
          <w:b/>
          <w:position w:val="6"/>
          <w:sz w:val="18"/>
          <w:szCs w:val="20"/>
        </w:rPr>
        <w:t>a</w:t>
      </w:r>
      <w:proofErr w:type="spellEnd"/>
      <w:r w:rsidRPr="008E0897">
        <w:rPr>
          <w:rFonts w:ascii="Arial" w:hAnsi="Arial"/>
          <w:sz w:val="18"/>
          <w:szCs w:val="20"/>
        </w:rPr>
        <w:t xml:space="preserve"> The </w:t>
      </w:r>
      <w:proofErr w:type="spellStart"/>
      <w:r w:rsidRPr="008E0897">
        <w:rPr>
          <w:rFonts w:ascii="Arial" w:hAnsi="Arial"/>
          <w:sz w:val="18"/>
          <w:szCs w:val="20"/>
        </w:rPr>
        <w:t>Nimmo</w:t>
      </w:r>
      <w:proofErr w:type="spellEnd"/>
      <w:r w:rsidRPr="008E0897">
        <w:rPr>
          <w:rFonts w:ascii="Arial" w:hAnsi="Arial"/>
          <w:sz w:val="18"/>
          <w:szCs w:val="20"/>
        </w:rPr>
        <w:t xml:space="preserve"> inquiry also recommended extending the scheme to southbound goods but had insufficient time to complete investigations into this element of the scheme. The Department of Transport conducted the investigations and the scheme was extended retrospectively to southbound commodities </w:t>
      </w:r>
      <w:r w:rsidRPr="008E0897">
        <w:rPr>
          <w:rFonts w:ascii="Arial" w:hAnsi="Arial" w:cs="Arial"/>
          <w:sz w:val="18"/>
        </w:rPr>
        <w:t>(</w:t>
      </w:r>
      <w:proofErr w:type="spellStart"/>
      <w:r w:rsidRPr="008E0897">
        <w:rPr>
          <w:rFonts w:ascii="Arial" w:hAnsi="Arial" w:cs="Arial"/>
          <w:sz w:val="18"/>
        </w:rPr>
        <w:t>ISC</w:t>
      </w:r>
      <w:proofErr w:type="spellEnd"/>
      <w:r w:rsidRPr="008E0897">
        <w:rPr>
          <w:rFonts w:ascii="Arial" w:hAnsi="Arial" w:cs="Arial"/>
          <w:sz w:val="18"/>
        </w:rPr>
        <w:t> </w:t>
      </w:r>
      <w:proofErr w:type="spellStart"/>
      <w:r w:rsidRPr="008E0897">
        <w:rPr>
          <w:rFonts w:ascii="Arial" w:hAnsi="Arial" w:cs="Arial"/>
          <w:sz w:val="18"/>
        </w:rPr>
        <w:t>1985b</w:t>
      </w:r>
      <w:proofErr w:type="spellEnd"/>
      <w:r w:rsidRPr="008E0897">
        <w:rPr>
          <w:rFonts w:ascii="Arial" w:hAnsi="Arial" w:cs="Arial"/>
          <w:sz w:val="18"/>
        </w:rPr>
        <w:t>)</w:t>
      </w:r>
      <w:r w:rsidRPr="008E0897">
        <w:rPr>
          <w:rFonts w:ascii="Arial" w:hAnsi="Arial"/>
          <w:sz w:val="18"/>
          <w:szCs w:val="20"/>
        </w:rPr>
        <w:t>. DIT = Department of Infrastructure and Transport.</w:t>
      </w:r>
      <w:r>
        <w:rPr>
          <w:rFonts w:ascii="Arial" w:hAnsi="Arial"/>
          <w:sz w:val="18"/>
          <w:szCs w:val="20"/>
        </w:rPr>
        <w:t xml:space="preserve"> </w:t>
      </w:r>
      <w:r w:rsidRPr="008E0897">
        <w:rPr>
          <w:rFonts w:ascii="Arial" w:hAnsi="Arial"/>
          <w:sz w:val="18"/>
          <w:szCs w:val="20"/>
        </w:rPr>
        <w:t>DHS = Department of Human Services.</w:t>
      </w:r>
      <w:r>
        <w:rPr>
          <w:rFonts w:ascii="Arial" w:hAnsi="Arial"/>
          <w:sz w:val="18"/>
          <w:szCs w:val="20"/>
        </w:rPr>
        <w:t xml:space="preserve"> </w:t>
      </w:r>
      <w:r w:rsidRPr="008E0897">
        <w:rPr>
          <w:rFonts w:ascii="Arial" w:hAnsi="Arial"/>
          <w:sz w:val="18"/>
          <w:szCs w:val="20"/>
        </w:rPr>
        <w:br/>
      </w:r>
      <w:r w:rsidRPr="008E0897">
        <w:rPr>
          <w:rFonts w:ascii="Arial" w:hAnsi="Arial"/>
          <w:i/>
          <w:sz w:val="18"/>
          <w:szCs w:val="20"/>
        </w:rPr>
        <w:t>Sources:</w:t>
      </w:r>
      <w:r w:rsidRPr="008E0897">
        <w:rPr>
          <w:rFonts w:ascii="Arial" w:hAnsi="Arial"/>
          <w:sz w:val="18"/>
          <w:szCs w:val="20"/>
        </w:rPr>
        <w:t xml:space="preserve"> </w:t>
      </w:r>
      <w:proofErr w:type="spellStart"/>
      <w:r w:rsidRPr="009E3B08">
        <w:rPr>
          <w:rFonts w:ascii="Arial" w:hAnsi="Arial" w:cs="Arial"/>
          <w:sz w:val="18"/>
        </w:rPr>
        <w:t>Nimmo</w:t>
      </w:r>
      <w:proofErr w:type="spellEnd"/>
      <w:r w:rsidRPr="009E3B08">
        <w:rPr>
          <w:rFonts w:ascii="Arial" w:hAnsi="Arial" w:cs="Arial"/>
          <w:sz w:val="18"/>
        </w:rPr>
        <w:t> </w:t>
      </w:r>
      <w:r>
        <w:rPr>
          <w:rFonts w:ascii="Arial" w:hAnsi="Arial" w:cs="Arial"/>
          <w:sz w:val="18"/>
        </w:rPr>
        <w:t>(</w:t>
      </w:r>
      <w:r w:rsidRPr="009E3B08">
        <w:rPr>
          <w:rFonts w:ascii="Arial" w:hAnsi="Arial" w:cs="Arial"/>
          <w:sz w:val="18"/>
        </w:rPr>
        <w:t>1976)</w:t>
      </w:r>
      <w:r>
        <w:rPr>
          <w:rFonts w:ascii="Arial" w:hAnsi="Arial"/>
          <w:sz w:val="18"/>
          <w:szCs w:val="20"/>
        </w:rPr>
        <w:t xml:space="preserve">; </w:t>
      </w:r>
      <w:proofErr w:type="spellStart"/>
      <w:r w:rsidRPr="00ED6FF2">
        <w:rPr>
          <w:rFonts w:ascii="Arial" w:hAnsi="Arial" w:cs="Arial"/>
          <w:sz w:val="18"/>
        </w:rPr>
        <w:t>ISC</w:t>
      </w:r>
      <w:proofErr w:type="spellEnd"/>
      <w:r w:rsidRPr="00ED6FF2">
        <w:rPr>
          <w:rFonts w:ascii="Arial" w:hAnsi="Arial" w:cs="Arial"/>
          <w:sz w:val="18"/>
        </w:rPr>
        <w:t> </w:t>
      </w:r>
      <w:r>
        <w:rPr>
          <w:rFonts w:ascii="Arial" w:hAnsi="Arial" w:cs="Arial"/>
          <w:sz w:val="18"/>
        </w:rPr>
        <w:t>(</w:t>
      </w:r>
      <w:proofErr w:type="spellStart"/>
      <w:r w:rsidRPr="00ED6FF2">
        <w:rPr>
          <w:rFonts w:ascii="Arial" w:hAnsi="Arial" w:cs="Arial"/>
          <w:sz w:val="18"/>
        </w:rPr>
        <w:t>1985b</w:t>
      </w:r>
      <w:proofErr w:type="spellEnd"/>
      <w:r w:rsidRPr="00ED6FF2">
        <w:rPr>
          <w:rFonts w:ascii="Arial" w:hAnsi="Arial" w:cs="Arial"/>
          <w:sz w:val="18"/>
        </w:rPr>
        <w:t>)</w:t>
      </w:r>
      <w:r>
        <w:rPr>
          <w:rFonts w:ascii="Arial" w:hAnsi="Arial"/>
          <w:sz w:val="18"/>
          <w:szCs w:val="20"/>
        </w:rPr>
        <w:t xml:space="preserve">; </w:t>
      </w:r>
      <w:proofErr w:type="spellStart"/>
      <w:r w:rsidRPr="009E3B08">
        <w:rPr>
          <w:rFonts w:ascii="Arial" w:hAnsi="Arial" w:cs="Arial"/>
          <w:sz w:val="18"/>
        </w:rPr>
        <w:t>TFES</w:t>
      </w:r>
      <w:proofErr w:type="spellEnd"/>
      <w:r w:rsidRPr="009E3B08">
        <w:rPr>
          <w:rFonts w:ascii="Arial" w:hAnsi="Arial" w:cs="Arial"/>
          <w:sz w:val="18"/>
        </w:rPr>
        <w:t xml:space="preserve"> Review Authority </w:t>
      </w:r>
      <w:r>
        <w:rPr>
          <w:rFonts w:ascii="Arial" w:hAnsi="Arial" w:cs="Arial"/>
          <w:sz w:val="18"/>
        </w:rPr>
        <w:t>(</w:t>
      </w:r>
      <w:r w:rsidRPr="009E3B08">
        <w:rPr>
          <w:rFonts w:ascii="Arial" w:hAnsi="Arial" w:cs="Arial"/>
          <w:sz w:val="18"/>
        </w:rPr>
        <w:t>1998)</w:t>
      </w:r>
      <w:r>
        <w:rPr>
          <w:rFonts w:ascii="Arial" w:hAnsi="Arial"/>
          <w:sz w:val="18"/>
          <w:szCs w:val="20"/>
        </w:rPr>
        <w:t xml:space="preserve">; </w:t>
      </w:r>
      <w:r w:rsidRPr="009E3B08">
        <w:rPr>
          <w:rFonts w:ascii="Arial" w:hAnsi="Arial" w:cs="Arial"/>
          <w:sz w:val="18"/>
        </w:rPr>
        <w:t>PC </w:t>
      </w:r>
      <w:r>
        <w:rPr>
          <w:rFonts w:ascii="Arial" w:hAnsi="Arial" w:cs="Arial"/>
          <w:sz w:val="18"/>
        </w:rPr>
        <w:t>(</w:t>
      </w:r>
      <w:proofErr w:type="spellStart"/>
      <w:r w:rsidRPr="009E3B08">
        <w:rPr>
          <w:rFonts w:ascii="Arial" w:hAnsi="Arial" w:cs="Arial"/>
          <w:sz w:val="18"/>
        </w:rPr>
        <w:t>2006</w:t>
      </w:r>
      <w:r w:rsidR="00BF4A12">
        <w:rPr>
          <w:rFonts w:ascii="Arial" w:hAnsi="Arial" w:cs="Arial"/>
          <w:sz w:val="18"/>
        </w:rPr>
        <w:t>b</w:t>
      </w:r>
      <w:proofErr w:type="spellEnd"/>
      <w:r w:rsidRPr="009E3B08">
        <w:rPr>
          <w:rFonts w:ascii="Arial" w:hAnsi="Arial" w:cs="Arial"/>
          <w:sz w:val="18"/>
        </w:rPr>
        <w:t>)</w:t>
      </w:r>
      <w:r>
        <w:rPr>
          <w:rFonts w:ascii="Arial" w:hAnsi="Arial"/>
          <w:sz w:val="18"/>
          <w:szCs w:val="20"/>
        </w:rPr>
        <w:t xml:space="preserve">; </w:t>
      </w:r>
      <w:proofErr w:type="spellStart"/>
      <w:r w:rsidRPr="009E3B08">
        <w:rPr>
          <w:rFonts w:ascii="Arial" w:hAnsi="Arial" w:cs="Arial"/>
          <w:sz w:val="18"/>
        </w:rPr>
        <w:t>ANAO</w:t>
      </w:r>
      <w:proofErr w:type="spellEnd"/>
      <w:r w:rsidRPr="009E3B08">
        <w:rPr>
          <w:rFonts w:ascii="Arial" w:hAnsi="Arial" w:cs="Arial"/>
          <w:sz w:val="18"/>
        </w:rPr>
        <w:t> </w:t>
      </w:r>
      <w:r>
        <w:rPr>
          <w:rFonts w:ascii="Arial" w:hAnsi="Arial" w:cs="Arial"/>
          <w:sz w:val="18"/>
        </w:rPr>
        <w:t>(</w:t>
      </w:r>
      <w:r w:rsidRPr="009E3B08">
        <w:rPr>
          <w:rFonts w:ascii="Arial" w:hAnsi="Arial" w:cs="Arial"/>
          <w:sz w:val="18"/>
        </w:rPr>
        <w:t>2011)</w:t>
      </w:r>
      <w:r>
        <w:rPr>
          <w:rFonts w:ascii="Arial" w:hAnsi="Arial"/>
          <w:sz w:val="18"/>
          <w:szCs w:val="20"/>
        </w:rPr>
        <w:t xml:space="preserve">; </w:t>
      </w:r>
      <w:r w:rsidR="00BF4A12">
        <w:rPr>
          <w:rFonts w:ascii="Arial" w:hAnsi="Arial"/>
          <w:sz w:val="18"/>
          <w:szCs w:val="20"/>
        </w:rPr>
        <w:t>Infrastructure Australia (</w:t>
      </w:r>
      <w:proofErr w:type="spellStart"/>
      <w:r w:rsidR="00BF4A12">
        <w:rPr>
          <w:rFonts w:ascii="Arial" w:hAnsi="Arial"/>
          <w:sz w:val="18"/>
          <w:szCs w:val="20"/>
        </w:rPr>
        <w:t>2012b</w:t>
      </w:r>
      <w:proofErr w:type="spellEnd"/>
      <w:r w:rsidR="00BF4A12">
        <w:rPr>
          <w:rFonts w:ascii="Arial" w:hAnsi="Arial"/>
          <w:sz w:val="18"/>
          <w:szCs w:val="20"/>
        </w:rPr>
        <w:t>)</w:t>
      </w:r>
      <w:r>
        <w:rPr>
          <w:rFonts w:ascii="Arial" w:hAnsi="Arial"/>
          <w:sz w:val="18"/>
          <w:szCs w:val="20"/>
        </w:rPr>
        <w:t>.</w:t>
      </w:r>
    </w:p>
    <w:p w:rsidR="00AE4D5A" w:rsidRPr="008E0897" w:rsidRDefault="00AE4D5A" w:rsidP="008E5E01">
      <w:pPr>
        <w:keepNext/>
        <w:spacing w:before="360" w:line="80" w:lineRule="exact"/>
        <w:rPr>
          <w:szCs w:val="20"/>
        </w:rPr>
      </w:pPr>
    </w:p>
    <w:p w:rsidR="00AE4D5A" w:rsidRPr="008E0897" w:rsidRDefault="00AE4D5A" w:rsidP="00DD59EE">
      <w:pPr>
        <w:keepNext/>
        <w:keepLines/>
        <w:spacing w:before="120" w:after="80" w:line="280" w:lineRule="exact"/>
        <w:ind w:left="1474" w:hanging="1474"/>
        <w:rPr>
          <w:rFonts w:ascii="Arial" w:hAnsi="Arial"/>
          <w:b/>
          <w:sz w:val="24"/>
        </w:rPr>
      </w:pPr>
      <w:r w:rsidRPr="008E0897">
        <w:rPr>
          <w:rFonts w:ascii="Arial" w:hAnsi="Arial"/>
          <w:sz w:val="24"/>
        </w:rPr>
        <w:t>Table</w:t>
      </w:r>
      <w:r>
        <w:rPr>
          <w:rFonts w:ascii="Arial" w:hAnsi="Arial"/>
          <w:sz w:val="24"/>
        </w:rPr>
        <w:t> </w:t>
      </w:r>
      <w:r w:rsidRPr="008E0897">
        <w:rPr>
          <w:rFonts w:ascii="Arial" w:hAnsi="Arial"/>
          <w:sz w:val="24"/>
        </w:rPr>
        <w:t>3.</w:t>
      </w:r>
      <w:r w:rsidRPr="008E0897">
        <w:rPr>
          <w:rFonts w:ascii="Arial" w:hAnsi="Arial"/>
          <w:noProof/>
          <w:sz w:val="24"/>
        </w:rPr>
        <w:t>2</w:t>
      </w:r>
      <w:r w:rsidRPr="008E0897">
        <w:rPr>
          <w:rFonts w:ascii="Arial" w:hAnsi="Arial"/>
          <w:b/>
          <w:sz w:val="24"/>
        </w:rPr>
        <w:tab/>
        <w:t>TFES top 10 commodities</w:t>
      </w:r>
    </w:p>
    <w:p w:rsidR="00AE4D5A" w:rsidRPr="008E0897" w:rsidRDefault="00AE4D5A" w:rsidP="008E5E01">
      <w:pPr>
        <w:keepNext/>
        <w:keepLines/>
        <w:spacing w:after="80" w:line="200" w:lineRule="exact"/>
        <w:ind w:left="1474"/>
        <w:rPr>
          <w:rFonts w:ascii="Arial" w:hAnsi="Arial"/>
          <w:sz w:val="20"/>
        </w:rPr>
      </w:pPr>
      <w:r w:rsidRPr="008E0897">
        <w:rPr>
          <w:rFonts w:ascii="Arial" w:hAnsi="Arial"/>
          <w:sz w:val="20"/>
        </w:rPr>
        <w:t>TFES paid for commodities shipped in 2011</w:t>
      </w:r>
      <w:r w:rsidRPr="008E0897">
        <w:rPr>
          <w:rFonts w:ascii="Arial" w:hAnsi="Arial"/>
          <w:sz w:val="20"/>
        </w:rPr>
        <w:noBreakHyphen/>
        <w:t>12</w:t>
      </w:r>
    </w:p>
    <w:tbl>
      <w:tblPr>
        <w:tblW w:w="5000" w:type="pct"/>
        <w:tblCellMar>
          <w:left w:w="0" w:type="dxa"/>
          <w:right w:w="0" w:type="dxa"/>
        </w:tblCellMar>
        <w:tblLook w:val="0000" w:firstRow="0" w:lastRow="0" w:firstColumn="0" w:lastColumn="0" w:noHBand="0" w:noVBand="0"/>
      </w:tblPr>
      <w:tblGrid>
        <w:gridCol w:w="2409"/>
        <w:gridCol w:w="1845"/>
        <w:gridCol w:w="142"/>
        <w:gridCol w:w="2691"/>
        <w:gridCol w:w="1702"/>
      </w:tblGrid>
      <w:tr w:rsidR="00AE4D5A" w:rsidRPr="008E0897" w:rsidTr="008E5E01">
        <w:tc>
          <w:tcPr>
            <w:tcW w:w="1370"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rPr>
                <w:rFonts w:ascii="Arial" w:hAnsi="Arial"/>
                <w:i/>
                <w:sz w:val="20"/>
                <w:szCs w:val="20"/>
              </w:rPr>
            </w:pPr>
            <w:r w:rsidRPr="008E0897">
              <w:rPr>
                <w:rFonts w:ascii="Arial" w:hAnsi="Arial"/>
                <w:i/>
                <w:sz w:val="20"/>
                <w:szCs w:val="20"/>
              </w:rPr>
              <w:t>Direction/commodity</w:t>
            </w:r>
          </w:p>
        </w:tc>
        <w:tc>
          <w:tcPr>
            <w:tcW w:w="1049"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jc w:val="right"/>
              <w:rPr>
                <w:rFonts w:ascii="Arial" w:hAnsi="Arial"/>
                <w:i/>
                <w:sz w:val="20"/>
                <w:szCs w:val="20"/>
              </w:rPr>
            </w:pPr>
            <w:r w:rsidRPr="008E0897">
              <w:rPr>
                <w:rFonts w:ascii="Arial" w:hAnsi="Arial"/>
                <w:i/>
                <w:sz w:val="20"/>
                <w:szCs w:val="20"/>
              </w:rPr>
              <w:t>Amount paid ($m)</w:t>
            </w:r>
          </w:p>
        </w:tc>
        <w:tc>
          <w:tcPr>
            <w:tcW w:w="81" w:type="pct"/>
            <w:tcBorders>
              <w:top w:val="single" w:sz="6" w:space="0" w:color="auto"/>
              <w:bottom w:val="single" w:sz="6" w:space="0" w:color="auto"/>
            </w:tcBorders>
          </w:tcPr>
          <w:p w:rsidR="00AE4D5A" w:rsidRPr="008E0897" w:rsidRDefault="00AE4D5A" w:rsidP="008E5E01">
            <w:pPr>
              <w:keepNext/>
              <w:keepLines/>
              <w:spacing w:before="80" w:after="80" w:line="220" w:lineRule="atLeast"/>
              <w:ind w:left="6" w:right="28"/>
              <w:rPr>
                <w:rFonts w:ascii="Arial" w:hAnsi="Arial"/>
                <w:i/>
                <w:sz w:val="20"/>
                <w:szCs w:val="20"/>
              </w:rPr>
            </w:pPr>
          </w:p>
        </w:tc>
        <w:tc>
          <w:tcPr>
            <w:tcW w:w="1531" w:type="pct"/>
            <w:tcBorders>
              <w:top w:val="single" w:sz="6" w:space="0" w:color="auto"/>
              <w:bottom w:val="single" w:sz="6" w:space="0" w:color="auto"/>
            </w:tcBorders>
          </w:tcPr>
          <w:p w:rsidR="00AE4D5A" w:rsidRPr="008E0897" w:rsidRDefault="00AE4D5A" w:rsidP="008E5E01">
            <w:pPr>
              <w:keepNext/>
              <w:keepLines/>
              <w:spacing w:before="80" w:after="80" w:line="220" w:lineRule="atLeast"/>
              <w:ind w:left="6" w:right="28"/>
              <w:rPr>
                <w:rFonts w:ascii="Arial" w:hAnsi="Arial"/>
                <w:i/>
                <w:sz w:val="20"/>
                <w:szCs w:val="20"/>
              </w:rPr>
            </w:pPr>
            <w:r w:rsidRPr="008E0897">
              <w:rPr>
                <w:rFonts w:ascii="Arial" w:hAnsi="Arial"/>
                <w:i/>
                <w:sz w:val="20"/>
                <w:szCs w:val="20"/>
              </w:rPr>
              <w:t>Direction/commodity</w:t>
            </w:r>
          </w:p>
        </w:tc>
        <w:tc>
          <w:tcPr>
            <w:tcW w:w="968" w:type="pct"/>
            <w:tcBorders>
              <w:top w:val="single" w:sz="6" w:space="0" w:color="auto"/>
              <w:bottom w:val="single" w:sz="6" w:space="0" w:color="auto"/>
            </w:tcBorders>
          </w:tcPr>
          <w:p w:rsidR="00AE4D5A" w:rsidRPr="008E0897" w:rsidRDefault="00AE4D5A" w:rsidP="008E5E01">
            <w:pPr>
              <w:keepNext/>
              <w:keepLines/>
              <w:spacing w:before="80" w:after="80" w:line="220" w:lineRule="atLeast"/>
              <w:ind w:left="6" w:right="28"/>
              <w:jc w:val="right"/>
              <w:rPr>
                <w:rFonts w:ascii="Arial" w:hAnsi="Arial"/>
                <w:i/>
                <w:sz w:val="20"/>
                <w:szCs w:val="20"/>
              </w:rPr>
            </w:pPr>
            <w:r w:rsidRPr="008E0897">
              <w:rPr>
                <w:rFonts w:ascii="Arial" w:hAnsi="Arial"/>
                <w:i/>
                <w:sz w:val="20"/>
                <w:szCs w:val="20"/>
              </w:rPr>
              <w:t>Amount paid ($m)</w:t>
            </w:r>
          </w:p>
        </w:tc>
      </w:tr>
      <w:tr w:rsidR="00AE4D5A" w:rsidRPr="008E0897" w:rsidTr="008E5E01">
        <w:tc>
          <w:tcPr>
            <w:tcW w:w="1370" w:type="pct"/>
            <w:tcBorders>
              <w:top w:val="single" w:sz="6" w:space="0" w:color="auto"/>
            </w:tcBorders>
          </w:tcPr>
          <w:p w:rsidR="00AE4D5A" w:rsidRPr="008E0897" w:rsidRDefault="00AE4D5A" w:rsidP="008E5E01">
            <w:pPr>
              <w:keepNext/>
              <w:keepLines/>
              <w:spacing w:before="80" w:after="80" w:line="220" w:lineRule="atLeast"/>
              <w:ind w:left="6" w:right="113"/>
              <w:rPr>
                <w:rFonts w:ascii="Arial" w:hAnsi="Arial"/>
                <w:b/>
                <w:sz w:val="20"/>
                <w:szCs w:val="20"/>
              </w:rPr>
            </w:pPr>
            <w:r w:rsidRPr="008E0897">
              <w:rPr>
                <w:rFonts w:ascii="Arial" w:hAnsi="Arial"/>
                <w:b/>
                <w:sz w:val="20"/>
                <w:szCs w:val="20"/>
              </w:rPr>
              <w:t>Northbound</w:t>
            </w:r>
          </w:p>
        </w:tc>
        <w:tc>
          <w:tcPr>
            <w:tcW w:w="1049" w:type="pct"/>
            <w:tcBorders>
              <w:top w:val="single" w:sz="6" w:space="0" w:color="auto"/>
            </w:tcBorders>
          </w:tcPr>
          <w:p w:rsidR="00AE4D5A" w:rsidRPr="008E0897" w:rsidRDefault="00AE4D5A" w:rsidP="008E5E01">
            <w:pPr>
              <w:keepNext/>
              <w:keepLines/>
              <w:spacing w:before="80" w:after="80" w:line="220" w:lineRule="atLeast"/>
              <w:ind w:left="6" w:right="113"/>
              <w:jc w:val="right"/>
              <w:rPr>
                <w:rFonts w:ascii="Arial" w:hAnsi="Arial"/>
                <w:sz w:val="20"/>
                <w:szCs w:val="20"/>
              </w:rPr>
            </w:pPr>
          </w:p>
        </w:tc>
        <w:tc>
          <w:tcPr>
            <w:tcW w:w="81" w:type="pct"/>
            <w:tcBorders>
              <w:top w:val="single" w:sz="6" w:space="0" w:color="auto"/>
            </w:tcBorders>
          </w:tcPr>
          <w:p w:rsidR="00AE4D5A" w:rsidRPr="008E0897" w:rsidRDefault="00AE4D5A" w:rsidP="008E5E01">
            <w:pPr>
              <w:keepNext/>
              <w:keepLines/>
              <w:spacing w:before="80" w:after="80" w:line="220" w:lineRule="atLeast"/>
              <w:ind w:left="6" w:right="28"/>
              <w:rPr>
                <w:rFonts w:ascii="Arial" w:hAnsi="Arial"/>
                <w:b/>
                <w:sz w:val="20"/>
                <w:szCs w:val="20"/>
              </w:rPr>
            </w:pPr>
          </w:p>
        </w:tc>
        <w:tc>
          <w:tcPr>
            <w:tcW w:w="1531" w:type="pct"/>
            <w:tcBorders>
              <w:top w:val="single" w:sz="6" w:space="0" w:color="auto"/>
            </w:tcBorders>
          </w:tcPr>
          <w:p w:rsidR="00AE4D5A" w:rsidRPr="008E0897" w:rsidRDefault="00AE4D5A" w:rsidP="008E5E01">
            <w:pPr>
              <w:keepNext/>
              <w:keepLines/>
              <w:spacing w:before="80" w:after="80" w:line="220" w:lineRule="atLeast"/>
              <w:ind w:left="6" w:right="28"/>
              <w:rPr>
                <w:rFonts w:ascii="Arial" w:hAnsi="Arial"/>
                <w:sz w:val="20"/>
                <w:szCs w:val="20"/>
              </w:rPr>
            </w:pPr>
            <w:r w:rsidRPr="008E0897">
              <w:rPr>
                <w:rFonts w:ascii="Arial" w:hAnsi="Arial"/>
                <w:b/>
                <w:sz w:val="20"/>
                <w:szCs w:val="20"/>
              </w:rPr>
              <w:t>Southbound</w:t>
            </w:r>
          </w:p>
        </w:tc>
        <w:tc>
          <w:tcPr>
            <w:tcW w:w="968" w:type="pct"/>
            <w:tcBorders>
              <w:top w:val="single" w:sz="6" w:space="0" w:color="auto"/>
            </w:tcBorders>
          </w:tcPr>
          <w:p w:rsidR="00AE4D5A" w:rsidRPr="008E0897" w:rsidRDefault="00AE4D5A" w:rsidP="008E5E01">
            <w:pPr>
              <w:keepNext/>
              <w:keepLines/>
              <w:spacing w:before="80" w:after="80" w:line="220" w:lineRule="atLeast"/>
              <w:ind w:left="6" w:right="28"/>
              <w:jc w:val="right"/>
              <w:rPr>
                <w:rFonts w:ascii="Arial" w:hAnsi="Arial"/>
                <w:sz w:val="20"/>
                <w:szCs w:val="20"/>
              </w:rPr>
            </w:pPr>
          </w:p>
        </w:tc>
      </w:tr>
      <w:tr w:rsidR="00AE4D5A" w:rsidRPr="008E0897" w:rsidTr="008E5E01">
        <w:tc>
          <w:tcPr>
            <w:tcW w:w="1370" w:type="pct"/>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Frozen/processed/</w:t>
            </w:r>
            <w:r w:rsidRPr="008E0897">
              <w:rPr>
                <w:rFonts w:ascii="Arial" w:hAnsi="Arial"/>
                <w:sz w:val="20"/>
                <w:szCs w:val="20"/>
              </w:rPr>
              <w:br/>
              <w:t xml:space="preserve"> prepared vegetables</w:t>
            </w:r>
          </w:p>
        </w:tc>
        <w:tc>
          <w:tcPr>
            <w:tcW w:w="1049" w:type="pct"/>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8.1</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Beer bottles/cans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3.0</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Newsprint</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7.7</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Wheat</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2.9</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Fresh vegetables</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6.8</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Fodder/straw or pellets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2.4</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Processed wood</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5.5</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Animal feed </w:t>
            </w:r>
            <w:r w:rsidRPr="008E0897">
              <w:rPr>
                <w:rFonts w:ascii="Arial" w:hAnsi="Arial"/>
                <w:sz w:val="20"/>
                <w:szCs w:val="20"/>
              </w:rPr>
              <w:br/>
              <w:t xml:space="preserve"> preparations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1.8</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Fresh/chilled fish</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3.7</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Mixed or other cereals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1.7</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Processed milk</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3.6</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Other paper </w:t>
            </w:r>
            <w:r w:rsidRPr="008E0897">
              <w:rPr>
                <w:rFonts w:ascii="Arial" w:hAnsi="Arial"/>
                <w:sz w:val="20"/>
                <w:szCs w:val="20"/>
              </w:rPr>
              <w:br/>
              <w:t xml:space="preserve"> products/printed matter</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1.4</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i/>
                <w:sz w:val="20"/>
                <w:szCs w:val="20"/>
              </w:rPr>
            </w:pPr>
            <w:r w:rsidRPr="008E0897">
              <w:rPr>
                <w:rFonts w:ascii="Arial" w:hAnsi="Arial"/>
                <w:sz w:val="20"/>
                <w:szCs w:val="20"/>
              </w:rPr>
              <w:t xml:space="preserve"> Waste and scrap metal</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3.5</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Cattle (adult)</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1.3</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i/>
                <w:sz w:val="20"/>
                <w:szCs w:val="20"/>
              </w:rPr>
            </w:pPr>
            <w:r w:rsidRPr="008E0897">
              <w:rPr>
                <w:rFonts w:ascii="Arial" w:hAnsi="Arial"/>
                <w:sz w:val="20"/>
                <w:szCs w:val="20"/>
              </w:rPr>
              <w:t xml:space="preserve"> Confectionery and </w:t>
            </w:r>
            <w:r w:rsidRPr="008E0897">
              <w:rPr>
                <w:rFonts w:ascii="Arial" w:hAnsi="Arial"/>
                <w:sz w:val="20"/>
                <w:szCs w:val="20"/>
              </w:rPr>
              <w:br/>
              <w:t xml:space="preserve"> chocolate products</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3.4</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Glass (other articles)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1.2</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i/>
                <w:sz w:val="20"/>
                <w:szCs w:val="20"/>
              </w:rPr>
            </w:pPr>
            <w:r w:rsidRPr="008E0897">
              <w:rPr>
                <w:rFonts w:ascii="Arial" w:hAnsi="Arial"/>
                <w:sz w:val="20"/>
                <w:szCs w:val="20"/>
              </w:rPr>
              <w:t xml:space="preserve"> Beer</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3.1</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Paper</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1.1</w:t>
            </w:r>
          </w:p>
        </w:tc>
      </w:tr>
      <w:tr w:rsidR="00AE4D5A" w:rsidRPr="008E0897" w:rsidTr="008E5E01">
        <w:tc>
          <w:tcPr>
            <w:tcW w:w="1370"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 Cheese and curd</w:t>
            </w:r>
          </w:p>
        </w:tc>
        <w:tc>
          <w:tcPr>
            <w:tcW w:w="104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2.7</w:t>
            </w:r>
          </w:p>
        </w:tc>
        <w:tc>
          <w:tcPr>
            <w:tcW w:w="81" w:type="pct"/>
          </w:tcPr>
          <w:p w:rsidR="00AE4D5A" w:rsidRPr="008E0897" w:rsidRDefault="00AE4D5A" w:rsidP="008E5E01">
            <w:pPr>
              <w:keepNext/>
              <w:keepLines/>
              <w:spacing w:after="40" w:line="220" w:lineRule="atLeast"/>
              <w:ind w:left="6" w:right="28"/>
              <w:rPr>
                <w:rFonts w:ascii="Arial" w:hAnsi="Arial"/>
                <w:sz w:val="20"/>
                <w:szCs w:val="20"/>
              </w:rPr>
            </w:pPr>
          </w:p>
        </w:tc>
        <w:tc>
          <w:tcPr>
            <w:tcW w:w="1531" w:type="pct"/>
          </w:tcPr>
          <w:p w:rsidR="00AE4D5A" w:rsidRPr="008E0897" w:rsidRDefault="00AE4D5A" w:rsidP="008E5E01">
            <w:pPr>
              <w:keepNext/>
              <w:keepLines/>
              <w:spacing w:after="40" w:line="220" w:lineRule="atLeast"/>
              <w:ind w:left="6" w:right="28"/>
              <w:rPr>
                <w:rFonts w:ascii="Arial" w:hAnsi="Arial"/>
                <w:sz w:val="20"/>
                <w:szCs w:val="20"/>
              </w:rPr>
            </w:pPr>
            <w:r w:rsidRPr="008E0897">
              <w:rPr>
                <w:rFonts w:ascii="Arial" w:hAnsi="Arial"/>
                <w:sz w:val="20"/>
                <w:szCs w:val="20"/>
              </w:rPr>
              <w:t xml:space="preserve"> Sugar/molasses</w:t>
            </w:r>
          </w:p>
        </w:tc>
        <w:tc>
          <w:tcPr>
            <w:tcW w:w="96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1.1</w:t>
            </w:r>
          </w:p>
        </w:tc>
      </w:tr>
      <w:tr w:rsidR="00AE4D5A" w:rsidRPr="008E0897" w:rsidTr="008E5E01">
        <w:tc>
          <w:tcPr>
            <w:tcW w:w="1370"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rPr>
                <w:rFonts w:ascii="Arial" w:hAnsi="Arial"/>
                <w:b/>
                <w:sz w:val="20"/>
                <w:szCs w:val="20"/>
              </w:rPr>
            </w:pPr>
            <w:r w:rsidRPr="008E0897">
              <w:rPr>
                <w:rFonts w:ascii="Arial" w:hAnsi="Arial"/>
                <w:b/>
                <w:sz w:val="20"/>
                <w:szCs w:val="20"/>
              </w:rPr>
              <w:t>Total (all commodity groups)</w:t>
            </w:r>
          </w:p>
        </w:tc>
        <w:tc>
          <w:tcPr>
            <w:tcW w:w="1049"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jc w:val="right"/>
              <w:rPr>
                <w:rFonts w:ascii="Arial" w:hAnsi="Arial"/>
                <w:b/>
                <w:sz w:val="20"/>
                <w:szCs w:val="20"/>
              </w:rPr>
            </w:pPr>
            <w:r w:rsidRPr="008E0897">
              <w:rPr>
                <w:rFonts w:ascii="Arial" w:hAnsi="Arial"/>
                <w:b/>
                <w:sz w:val="20"/>
                <w:szCs w:val="20"/>
              </w:rPr>
              <w:t>66.7</w:t>
            </w:r>
          </w:p>
        </w:tc>
        <w:tc>
          <w:tcPr>
            <w:tcW w:w="81" w:type="pct"/>
            <w:tcBorders>
              <w:bottom w:val="single" w:sz="4" w:space="0" w:color="auto"/>
            </w:tcBorders>
          </w:tcPr>
          <w:p w:rsidR="00AE4D5A" w:rsidRPr="008E0897" w:rsidRDefault="00AE4D5A" w:rsidP="008E5E01">
            <w:pPr>
              <w:keepNext/>
              <w:keepLines/>
              <w:spacing w:after="40" w:line="220" w:lineRule="atLeast"/>
              <w:ind w:left="6" w:right="28"/>
              <w:rPr>
                <w:rFonts w:ascii="Arial" w:hAnsi="Arial"/>
                <w:b/>
                <w:sz w:val="20"/>
                <w:szCs w:val="20"/>
              </w:rPr>
            </w:pPr>
          </w:p>
        </w:tc>
        <w:tc>
          <w:tcPr>
            <w:tcW w:w="1531" w:type="pct"/>
            <w:tcBorders>
              <w:bottom w:val="single" w:sz="4" w:space="0" w:color="auto"/>
            </w:tcBorders>
          </w:tcPr>
          <w:p w:rsidR="00AE4D5A" w:rsidRPr="008E0897" w:rsidRDefault="00AE4D5A" w:rsidP="008E5E01">
            <w:pPr>
              <w:keepNext/>
              <w:keepLines/>
              <w:spacing w:after="40" w:line="220" w:lineRule="atLeast"/>
              <w:ind w:left="6" w:right="28"/>
              <w:rPr>
                <w:rFonts w:ascii="Arial" w:hAnsi="Arial"/>
                <w:b/>
                <w:sz w:val="20"/>
                <w:szCs w:val="20"/>
              </w:rPr>
            </w:pPr>
            <w:r w:rsidRPr="008E0897">
              <w:rPr>
                <w:rFonts w:ascii="Arial" w:hAnsi="Arial"/>
                <w:b/>
                <w:sz w:val="20"/>
                <w:szCs w:val="20"/>
              </w:rPr>
              <w:t>Total (all commodity groups)</w:t>
            </w:r>
          </w:p>
        </w:tc>
        <w:tc>
          <w:tcPr>
            <w:tcW w:w="968" w:type="pct"/>
            <w:tcBorders>
              <w:bottom w:val="single" w:sz="4" w:space="0" w:color="auto"/>
            </w:tcBorders>
          </w:tcPr>
          <w:p w:rsidR="00AE4D5A" w:rsidRPr="008E0897" w:rsidRDefault="00AE4D5A" w:rsidP="008E5E01">
            <w:pPr>
              <w:keepNext/>
              <w:keepLines/>
              <w:spacing w:after="40" w:line="220" w:lineRule="atLeast"/>
              <w:ind w:left="6" w:right="28"/>
              <w:jc w:val="right"/>
              <w:rPr>
                <w:rFonts w:ascii="Arial" w:hAnsi="Arial"/>
                <w:b/>
                <w:sz w:val="20"/>
                <w:szCs w:val="20"/>
              </w:rPr>
            </w:pPr>
            <w:r w:rsidRPr="008E0897">
              <w:rPr>
                <w:rFonts w:ascii="Arial" w:hAnsi="Arial"/>
                <w:b/>
                <w:sz w:val="20"/>
                <w:szCs w:val="20"/>
              </w:rPr>
              <w:t>27.4</w:t>
            </w:r>
          </w:p>
        </w:tc>
      </w:tr>
    </w:tbl>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w:t>
      </w:r>
      <w:r w:rsidRPr="008E0897">
        <w:rPr>
          <w:rFonts w:ascii="Arial" w:hAnsi="Arial"/>
          <w:i/>
          <w:sz w:val="18"/>
          <w:szCs w:val="20"/>
        </w:rPr>
        <w:t xml:space="preserve"> </w:t>
      </w:r>
      <w:r w:rsidRPr="008E0897">
        <w:rPr>
          <w:rFonts w:ascii="Arial" w:hAnsi="Arial"/>
          <w:sz w:val="18"/>
          <w:szCs w:val="20"/>
        </w:rPr>
        <w:t>TFES database (unpublished)</w:t>
      </w:r>
      <w:r w:rsidRPr="008E0897">
        <w:rPr>
          <w:rFonts w:ascii="Arial" w:hAnsi="Arial"/>
          <w:i/>
          <w:sz w:val="18"/>
          <w:szCs w:val="20"/>
        </w:rPr>
        <w:t>.</w:t>
      </w:r>
    </w:p>
    <w:p w:rsidR="00AE4D5A" w:rsidRPr="008E0897" w:rsidRDefault="00AE4D5A" w:rsidP="008E5E01">
      <w:pPr>
        <w:spacing w:before="240" w:line="320" w:lineRule="atLeast"/>
        <w:jc w:val="both"/>
        <w:rPr>
          <w:szCs w:val="20"/>
        </w:rPr>
      </w:pPr>
      <w:r w:rsidRPr="008E0897">
        <w:rPr>
          <w:szCs w:val="20"/>
        </w:rPr>
        <w:t xml:space="preserve">The impact of the subsidies can be assessed by examining the direct benefits they provide to recipient industries and firms. </w:t>
      </w:r>
    </w:p>
    <w:p w:rsidR="00AE4D5A" w:rsidRPr="008E0897" w:rsidRDefault="00AE4D5A" w:rsidP="008E5E01">
      <w:pPr>
        <w:spacing w:before="240" w:line="320" w:lineRule="atLeast"/>
        <w:jc w:val="both"/>
        <w:rPr>
          <w:szCs w:val="20"/>
        </w:rPr>
      </w:pPr>
      <w:r w:rsidRPr="008E0897">
        <w:rPr>
          <w:szCs w:val="20"/>
        </w:rPr>
        <w:t>By industry, a substantial amount of the subsidy was paid for commodities produced by the manufacturing sector. The top claimant industry in 2011</w:t>
      </w:r>
      <w:r w:rsidRPr="008E0897">
        <w:rPr>
          <w:szCs w:val="20"/>
        </w:rPr>
        <w:noBreakHyphen/>
        <w:t>12 was the other food, beverages and tobacco industry which includes a range of processed foods and alcoholic beverages including vegetables, fish, confectionery, flour, oils, and beer (table 3.3).</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lastRenderedPageBreak/>
        <w:t>Table</w:t>
      </w:r>
      <w:r>
        <w:rPr>
          <w:rFonts w:ascii="Arial" w:hAnsi="Arial"/>
          <w:sz w:val="24"/>
        </w:rPr>
        <w:t> </w:t>
      </w:r>
      <w:r w:rsidRPr="008E0897">
        <w:rPr>
          <w:rFonts w:ascii="Arial" w:hAnsi="Arial"/>
          <w:sz w:val="24"/>
        </w:rPr>
        <w:t>3.</w:t>
      </w:r>
      <w:r w:rsidRPr="008E0897">
        <w:rPr>
          <w:rFonts w:ascii="Arial" w:hAnsi="Arial"/>
          <w:noProof/>
          <w:sz w:val="24"/>
        </w:rPr>
        <w:t>3</w:t>
      </w:r>
      <w:r w:rsidRPr="008E0897">
        <w:rPr>
          <w:rFonts w:ascii="Arial" w:hAnsi="Arial"/>
          <w:b/>
          <w:sz w:val="24"/>
        </w:rPr>
        <w:tab/>
        <w:t>TFES assistance by industry category</w:t>
      </w:r>
    </w:p>
    <w:p w:rsidR="00AE4D5A" w:rsidRPr="008E0897" w:rsidRDefault="00AE4D5A" w:rsidP="008E5E01">
      <w:pPr>
        <w:keepNext/>
        <w:keepLines/>
        <w:spacing w:after="80" w:line="200" w:lineRule="exact"/>
        <w:ind w:left="1474"/>
        <w:rPr>
          <w:rFonts w:ascii="Arial" w:hAnsi="Arial"/>
          <w:sz w:val="20"/>
        </w:rPr>
      </w:pPr>
      <w:r w:rsidRPr="008E0897">
        <w:rPr>
          <w:rFonts w:ascii="Arial" w:hAnsi="Arial"/>
          <w:sz w:val="20"/>
        </w:rPr>
        <w:t>For assistance paid in 2011</w:t>
      </w:r>
      <w:r w:rsidRPr="008E0897">
        <w:rPr>
          <w:rFonts w:ascii="Arial" w:hAnsi="Arial"/>
          <w:sz w:val="20"/>
        </w:rPr>
        <w:noBreakHyphen/>
        <w:t>12</w:t>
      </w:r>
    </w:p>
    <w:tbl>
      <w:tblPr>
        <w:tblW w:w="5000" w:type="pct"/>
        <w:tblCellMar>
          <w:left w:w="0" w:type="dxa"/>
          <w:right w:w="0" w:type="dxa"/>
        </w:tblCellMar>
        <w:tblLook w:val="0000" w:firstRow="0" w:lastRow="0" w:firstColumn="0" w:lastColumn="0" w:noHBand="0" w:noVBand="0"/>
      </w:tblPr>
      <w:tblGrid>
        <w:gridCol w:w="5671"/>
        <w:gridCol w:w="3118"/>
      </w:tblGrid>
      <w:tr w:rsidR="00AE4D5A" w:rsidRPr="008E0897" w:rsidTr="008E5E01">
        <w:tc>
          <w:tcPr>
            <w:tcW w:w="3226"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rPr>
                <w:rFonts w:ascii="Arial" w:hAnsi="Arial"/>
                <w:i/>
                <w:sz w:val="20"/>
                <w:szCs w:val="20"/>
              </w:rPr>
            </w:pPr>
            <w:r w:rsidRPr="008E0897">
              <w:rPr>
                <w:rFonts w:ascii="Arial" w:hAnsi="Arial"/>
                <w:i/>
                <w:sz w:val="20"/>
                <w:szCs w:val="20"/>
              </w:rPr>
              <w:t>Category</w:t>
            </w:r>
          </w:p>
        </w:tc>
        <w:tc>
          <w:tcPr>
            <w:tcW w:w="1774" w:type="pct"/>
            <w:tcBorders>
              <w:top w:val="single" w:sz="6" w:space="0" w:color="auto"/>
              <w:bottom w:val="single" w:sz="6" w:space="0" w:color="auto"/>
            </w:tcBorders>
          </w:tcPr>
          <w:p w:rsidR="00AE4D5A" w:rsidRPr="008E0897" w:rsidRDefault="00AE4D5A" w:rsidP="008E5E01">
            <w:pPr>
              <w:keepNext/>
              <w:keepLines/>
              <w:spacing w:before="80" w:after="80" w:line="220" w:lineRule="atLeast"/>
              <w:ind w:left="6" w:right="28"/>
              <w:jc w:val="right"/>
              <w:rPr>
                <w:rFonts w:ascii="Arial" w:hAnsi="Arial"/>
                <w:i/>
                <w:sz w:val="20"/>
                <w:szCs w:val="20"/>
              </w:rPr>
            </w:pPr>
            <w:r w:rsidRPr="008E0897">
              <w:rPr>
                <w:rFonts w:ascii="Arial" w:hAnsi="Arial"/>
                <w:i/>
                <w:sz w:val="20"/>
                <w:szCs w:val="20"/>
              </w:rPr>
              <w:t>Amount paid ($m)</w:t>
            </w:r>
          </w:p>
        </w:tc>
      </w:tr>
      <w:tr w:rsidR="00AE4D5A" w:rsidRPr="008E0897" w:rsidTr="008E5E01">
        <w:tc>
          <w:tcPr>
            <w:tcW w:w="3226" w:type="pct"/>
            <w:tcBorders>
              <w:top w:val="single" w:sz="6" w:space="0" w:color="auto"/>
            </w:tcBorders>
          </w:tcPr>
          <w:p w:rsidR="00AE4D5A" w:rsidRPr="008E0897" w:rsidRDefault="00AE4D5A" w:rsidP="008E5E01">
            <w:pPr>
              <w:keepNext/>
              <w:keepLines/>
              <w:spacing w:before="80" w:after="80" w:line="220" w:lineRule="atLeast"/>
              <w:ind w:left="6" w:right="113"/>
              <w:rPr>
                <w:rFonts w:ascii="Arial" w:hAnsi="Arial"/>
                <w:sz w:val="20"/>
                <w:szCs w:val="20"/>
              </w:rPr>
            </w:pPr>
            <w:r w:rsidRPr="008E0897">
              <w:rPr>
                <w:rFonts w:ascii="Arial" w:hAnsi="Arial"/>
                <w:sz w:val="20"/>
                <w:szCs w:val="20"/>
              </w:rPr>
              <w:t>Other food, beverages &amp; tobacco</w:t>
            </w:r>
          </w:p>
        </w:tc>
        <w:tc>
          <w:tcPr>
            <w:tcW w:w="1774" w:type="pct"/>
            <w:tcBorders>
              <w:top w:val="single" w:sz="6" w:space="0" w:color="auto"/>
            </w:tcBorders>
          </w:tcPr>
          <w:p w:rsidR="00AE4D5A" w:rsidRPr="008E0897" w:rsidRDefault="00AE4D5A" w:rsidP="008E5E01">
            <w:pPr>
              <w:keepNext/>
              <w:keepLines/>
              <w:spacing w:before="80" w:after="80" w:line="220" w:lineRule="atLeast"/>
              <w:ind w:left="6" w:right="28"/>
              <w:jc w:val="right"/>
              <w:rPr>
                <w:rFonts w:ascii="Arial" w:hAnsi="Arial"/>
                <w:sz w:val="20"/>
                <w:szCs w:val="20"/>
              </w:rPr>
            </w:pPr>
            <w:r w:rsidRPr="008E0897">
              <w:rPr>
                <w:rFonts w:ascii="Arial" w:hAnsi="Arial"/>
                <w:sz w:val="20"/>
                <w:szCs w:val="20"/>
              </w:rPr>
              <w:t>29.4</w:t>
            </w:r>
          </w:p>
        </w:tc>
      </w:tr>
      <w:tr w:rsidR="00AE4D5A" w:rsidRPr="008E0897" w:rsidTr="008E5E01">
        <w:tc>
          <w:tcPr>
            <w:tcW w:w="3226" w:type="pct"/>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agriculture</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18.0</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Paper &amp; paper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15.0</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Wood &amp; wood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7.9</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Dairy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6.8</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Metal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3.5</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Livestock</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3.4</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Chemical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2.4</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non</w:t>
            </w:r>
            <w:r w:rsidRPr="008E0897">
              <w:rPr>
                <w:rFonts w:ascii="Arial" w:hAnsi="Arial"/>
                <w:sz w:val="20"/>
                <w:szCs w:val="20"/>
              </w:rPr>
              <w:noBreakHyphen/>
              <w:t>metal mineral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1.7</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Meat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1.6</w:t>
            </w:r>
          </w:p>
        </w:tc>
      </w:tr>
      <w:tr w:rsidR="00AE4D5A" w:rsidRPr="008E0897" w:rsidTr="008E5E01">
        <w:tc>
          <w:tcPr>
            <w:tcW w:w="3226"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Rubber &amp; plastic products</w:t>
            </w:r>
          </w:p>
        </w:tc>
        <w:tc>
          <w:tcPr>
            <w:tcW w:w="1774"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1.4</w:t>
            </w:r>
          </w:p>
        </w:tc>
      </w:tr>
      <w:tr w:rsidR="00AE4D5A" w:rsidRPr="008E0897" w:rsidTr="008E5E01">
        <w:tc>
          <w:tcPr>
            <w:tcW w:w="3226"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Other categories </w:t>
            </w:r>
          </w:p>
        </w:tc>
        <w:tc>
          <w:tcPr>
            <w:tcW w:w="1774" w:type="pct"/>
            <w:tcBorders>
              <w:bottom w:val="single" w:sz="4" w:space="0" w:color="auto"/>
            </w:tcBorders>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1.8</w:t>
            </w:r>
          </w:p>
        </w:tc>
      </w:tr>
    </w:tbl>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w:t>
      </w:r>
      <w:r w:rsidRPr="008E0897">
        <w:rPr>
          <w:rFonts w:ascii="Arial" w:hAnsi="Arial"/>
          <w:i/>
          <w:sz w:val="18"/>
          <w:szCs w:val="20"/>
        </w:rPr>
        <w:t xml:space="preserve"> </w:t>
      </w:r>
      <w:r w:rsidRPr="008E0897">
        <w:rPr>
          <w:rFonts w:ascii="Arial" w:hAnsi="Arial"/>
          <w:sz w:val="18"/>
          <w:szCs w:val="20"/>
        </w:rPr>
        <w:t>TFES database (unpublished).</w:t>
      </w:r>
    </w:p>
    <w:p w:rsidR="00AE4D5A" w:rsidRPr="008E0897" w:rsidRDefault="00AE4D5A" w:rsidP="008E5E01">
      <w:pPr>
        <w:spacing w:before="240" w:line="320" w:lineRule="atLeast"/>
        <w:jc w:val="both"/>
        <w:rPr>
          <w:szCs w:val="20"/>
        </w:rPr>
      </w:pPr>
      <w:r w:rsidRPr="008E0897">
        <w:rPr>
          <w:szCs w:val="20"/>
        </w:rPr>
        <w:t>The subsidy is mostly paid to a small number of large firms. While the subsidy assisted around 1400 claimants in 2011</w:t>
      </w:r>
      <w:r w:rsidRPr="008E0897">
        <w:rPr>
          <w:szCs w:val="20"/>
        </w:rPr>
        <w:noBreakHyphen/>
        <w:t>12, the top 10 claimants received around half of the total payments (table 3.4). At the other end of the scale, the smallest 1000 claimants received 2.7 per cent of total assistance paid in 2011</w:t>
      </w:r>
      <w:r w:rsidRPr="008E0897">
        <w:rPr>
          <w:szCs w:val="20"/>
        </w:rPr>
        <w:noBreakHyphen/>
        <w:t xml:space="preserve">12. </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t>Table</w:t>
      </w:r>
      <w:r>
        <w:rPr>
          <w:rFonts w:ascii="Arial" w:hAnsi="Arial"/>
          <w:sz w:val="24"/>
        </w:rPr>
        <w:t> </w:t>
      </w:r>
      <w:r w:rsidRPr="008E0897">
        <w:rPr>
          <w:rFonts w:ascii="Arial" w:hAnsi="Arial"/>
          <w:sz w:val="24"/>
        </w:rPr>
        <w:t>3.</w:t>
      </w:r>
      <w:r w:rsidRPr="008E0897">
        <w:rPr>
          <w:rFonts w:ascii="Arial" w:hAnsi="Arial"/>
          <w:noProof/>
          <w:sz w:val="24"/>
        </w:rPr>
        <w:t>4</w:t>
      </w:r>
      <w:r w:rsidRPr="008E0897">
        <w:rPr>
          <w:rFonts w:ascii="Arial" w:hAnsi="Arial"/>
          <w:b/>
          <w:sz w:val="24"/>
        </w:rPr>
        <w:tab/>
        <w:t>TFES large claimants</w:t>
      </w:r>
    </w:p>
    <w:p w:rsidR="00AE4D5A" w:rsidRPr="008E0897" w:rsidRDefault="00AE4D5A" w:rsidP="008E5E01">
      <w:pPr>
        <w:keepNext/>
        <w:keepLines/>
        <w:spacing w:after="80" w:line="200" w:lineRule="exact"/>
        <w:ind w:left="1474"/>
        <w:rPr>
          <w:rFonts w:ascii="Arial" w:hAnsi="Arial"/>
          <w:b/>
          <w:position w:val="6"/>
          <w:sz w:val="18"/>
        </w:rPr>
      </w:pPr>
      <w:r w:rsidRPr="008E0897">
        <w:rPr>
          <w:rFonts w:ascii="Arial" w:hAnsi="Arial"/>
          <w:sz w:val="20"/>
        </w:rPr>
        <w:t>Top 10 claimants for commodities shipped in 2011</w:t>
      </w:r>
      <w:r w:rsidRPr="008E0897">
        <w:rPr>
          <w:rFonts w:ascii="Arial" w:hAnsi="Arial"/>
          <w:sz w:val="20"/>
        </w:rPr>
        <w:noBreakHyphen/>
        <w:t>12</w:t>
      </w:r>
    </w:p>
    <w:tbl>
      <w:tblPr>
        <w:tblW w:w="5000" w:type="pct"/>
        <w:tblCellMar>
          <w:left w:w="0" w:type="dxa"/>
          <w:right w:w="0" w:type="dxa"/>
        </w:tblCellMar>
        <w:tblLook w:val="0000" w:firstRow="0" w:lastRow="0" w:firstColumn="0" w:lastColumn="0" w:noHBand="0" w:noVBand="0"/>
      </w:tblPr>
      <w:tblGrid>
        <w:gridCol w:w="3289"/>
        <w:gridCol w:w="3686"/>
        <w:gridCol w:w="1814"/>
      </w:tblGrid>
      <w:tr w:rsidR="00AE4D5A" w:rsidRPr="008E0897" w:rsidTr="008E5E01">
        <w:tc>
          <w:tcPr>
            <w:tcW w:w="1871"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rPr>
                <w:rFonts w:ascii="Arial" w:hAnsi="Arial"/>
                <w:i/>
                <w:sz w:val="20"/>
                <w:szCs w:val="20"/>
              </w:rPr>
            </w:pPr>
            <w:r w:rsidRPr="008E0897">
              <w:rPr>
                <w:rFonts w:ascii="Arial" w:hAnsi="Arial"/>
                <w:i/>
                <w:sz w:val="20"/>
                <w:szCs w:val="20"/>
              </w:rPr>
              <w:t>Claimant</w:t>
            </w:r>
          </w:p>
        </w:tc>
        <w:tc>
          <w:tcPr>
            <w:tcW w:w="2097"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jc w:val="right"/>
              <w:rPr>
                <w:rFonts w:ascii="Arial" w:hAnsi="Arial"/>
                <w:i/>
                <w:sz w:val="20"/>
                <w:szCs w:val="20"/>
              </w:rPr>
            </w:pPr>
            <w:r w:rsidRPr="008E0897">
              <w:rPr>
                <w:rFonts w:ascii="Arial" w:hAnsi="Arial"/>
                <w:i/>
                <w:sz w:val="20"/>
                <w:szCs w:val="20"/>
              </w:rPr>
              <w:t>Main commodity claimed</w:t>
            </w:r>
          </w:p>
        </w:tc>
        <w:tc>
          <w:tcPr>
            <w:tcW w:w="1032"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28"/>
              <w:jc w:val="right"/>
              <w:rPr>
                <w:rFonts w:ascii="Arial" w:hAnsi="Arial"/>
                <w:i/>
                <w:sz w:val="20"/>
                <w:szCs w:val="20"/>
              </w:rPr>
            </w:pPr>
            <w:r w:rsidRPr="008E0897">
              <w:rPr>
                <w:rFonts w:ascii="Arial" w:hAnsi="Arial"/>
                <w:i/>
                <w:sz w:val="20"/>
                <w:szCs w:val="20"/>
              </w:rPr>
              <w:t>Amount paid ($m)</w:t>
            </w:r>
            <w:r w:rsidRPr="008E0897">
              <w:rPr>
                <w:rFonts w:ascii="Arial" w:hAnsi="Arial"/>
                <w:b/>
                <w:i/>
                <w:position w:val="6"/>
                <w:sz w:val="18"/>
                <w:szCs w:val="20"/>
              </w:rPr>
              <w:t>a</w:t>
            </w:r>
          </w:p>
        </w:tc>
      </w:tr>
      <w:tr w:rsidR="00AE4D5A" w:rsidRPr="008E0897" w:rsidTr="008E5E01">
        <w:tc>
          <w:tcPr>
            <w:tcW w:w="1871" w:type="pct"/>
            <w:tcBorders>
              <w:top w:val="single" w:sz="6" w:space="0" w:color="auto"/>
            </w:tcBorders>
          </w:tcPr>
          <w:p w:rsidR="00AE4D5A" w:rsidRPr="008E0897" w:rsidRDefault="00AE4D5A" w:rsidP="008E5E01">
            <w:pPr>
              <w:keepNext/>
              <w:keepLines/>
              <w:spacing w:before="80" w:after="80" w:line="220" w:lineRule="atLeast"/>
              <w:ind w:left="6" w:right="113"/>
              <w:rPr>
                <w:rFonts w:ascii="Arial" w:hAnsi="Arial"/>
                <w:sz w:val="20"/>
                <w:szCs w:val="20"/>
              </w:rPr>
            </w:pPr>
            <w:r>
              <w:rPr>
                <w:rFonts w:ascii="Arial" w:hAnsi="Arial"/>
                <w:sz w:val="20"/>
                <w:szCs w:val="20"/>
              </w:rPr>
              <w:t>Simplot Australia</w:t>
            </w:r>
            <w:r w:rsidRPr="008E0897">
              <w:rPr>
                <w:rFonts w:ascii="Arial" w:hAnsi="Arial"/>
                <w:b/>
                <w:position w:val="6"/>
                <w:sz w:val="18"/>
                <w:szCs w:val="20"/>
              </w:rPr>
              <w:t>b</w:t>
            </w:r>
          </w:p>
        </w:tc>
        <w:tc>
          <w:tcPr>
            <w:tcW w:w="2097" w:type="pct"/>
            <w:tcBorders>
              <w:top w:val="single" w:sz="6" w:space="0" w:color="auto"/>
            </w:tcBorders>
          </w:tcPr>
          <w:p w:rsidR="00AE4D5A" w:rsidRPr="008E0897" w:rsidRDefault="00AE4D5A" w:rsidP="008E5E01">
            <w:pPr>
              <w:keepNext/>
              <w:keepLines/>
              <w:spacing w:before="80" w:after="80" w:line="220" w:lineRule="atLeast"/>
              <w:ind w:left="6" w:right="113"/>
              <w:jc w:val="right"/>
              <w:rPr>
                <w:rFonts w:ascii="Arial" w:hAnsi="Arial"/>
                <w:sz w:val="20"/>
                <w:szCs w:val="20"/>
              </w:rPr>
            </w:pPr>
            <w:r>
              <w:rPr>
                <w:rFonts w:ascii="Arial" w:hAnsi="Arial"/>
                <w:sz w:val="20"/>
                <w:szCs w:val="20"/>
              </w:rPr>
              <w:t>Frozen/processed/prepared vegetables</w:t>
            </w:r>
          </w:p>
        </w:tc>
        <w:tc>
          <w:tcPr>
            <w:tcW w:w="1032" w:type="pct"/>
            <w:tcBorders>
              <w:top w:val="single" w:sz="6" w:space="0" w:color="auto"/>
            </w:tcBorders>
          </w:tcPr>
          <w:p w:rsidR="00AE4D5A" w:rsidRPr="008E0897" w:rsidRDefault="00AE4D5A" w:rsidP="008E5E01">
            <w:pPr>
              <w:keepNext/>
              <w:keepLines/>
              <w:spacing w:before="80" w:after="80" w:line="220" w:lineRule="atLeast"/>
              <w:ind w:left="6" w:right="113"/>
              <w:jc w:val="right"/>
              <w:rPr>
                <w:rFonts w:ascii="Arial" w:hAnsi="Arial"/>
                <w:sz w:val="20"/>
                <w:szCs w:val="20"/>
              </w:rPr>
            </w:pPr>
            <w:r>
              <w:rPr>
                <w:rFonts w:ascii="Arial" w:hAnsi="Arial"/>
                <w:sz w:val="20"/>
                <w:szCs w:val="20"/>
              </w:rPr>
              <w:t>10.7</w:t>
            </w:r>
          </w:p>
        </w:tc>
      </w:tr>
      <w:tr w:rsidR="00AE4D5A" w:rsidRPr="008E0897" w:rsidTr="008E5E01">
        <w:tc>
          <w:tcPr>
            <w:tcW w:w="1871" w:type="pct"/>
          </w:tcPr>
          <w:p w:rsidR="00AE4D5A" w:rsidRPr="008E0897" w:rsidRDefault="00AE4D5A" w:rsidP="008E5E01">
            <w:pPr>
              <w:keepNext/>
              <w:keepLines/>
              <w:spacing w:before="80" w:after="80" w:line="220" w:lineRule="atLeast"/>
              <w:ind w:left="6" w:right="113"/>
              <w:rPr>
                <w:rFonts w:ascii="Arial" w:hAnsi="Arial"/>
                <w:sz w:val="20"/>
                <w:szCs w:val="20"/>
              </w:rPr>
            </w:pPr>
            <w:r w:rsidRPr="008E0897">
              <w:rPr>
                <w:rFonts w:ascii="Arial" w:hAnsi="Arial"/>
                <w:sz w:val="20"/>
                <w:szCs w:val="20"/>
              </w:rPr>
              <w:t>Norske Skog Boyer</w:t>
            </w:r>
          </w:p>
        </w:tc>
        <w:tc>
          <w:tcPr>
            <w:tcW w:w="2097" w:type="pct"/>
          </w:tcPr>
          <w:p w:rsidR="00AE4D5A" w:rsidRPr="008E0897" w:rsidRDefault="00AE4D5A" w:rsidP="008E5E01">
            <w:pPr>
              <w:keepNext/>
              <w:keepLines/>
              <w:spacing w:before="80" w:after="80" w:line="220" w:lineRule="atLeast"/>
              <w:ind w:left="6" w:right="113"/>
              <w:jc w:val="right"/>
              <w:rPr>
                <w:rFonts w:ascii="Arial" w:hAnsi="Arial"/>
                <w:sz w:val="20"/>
                <w:szCs w:val="20"/>
              </w:rPr>
            </w:pPr>
            <w:r w:rsidRPr="008E0897">
              <w:rPr>
                <w:rFonts w:ascii="Arial" w:hAnsi="Arial"/>
                <w:sz w:val="20"/>
                <w:szCs w:val="20"/>
              </w:rPr>
              <w:t>Newsprint</w:t>
            </w:r>
          </w:p>
        </w:tc>
        <w:tc>
          <w:tcPr>
            <w:tcW w:w="1032" w:type="pct"/>
          </w:tcPr>
          <w:p w:rsidR="00AE4D5A" w:rsidRPr="008E0897" w:rsidRDefault="00AE4D5A" w:rsidP="008E5E01">
            <w:pPr>
              <w:keepNext/>
              <w:keepLines/>
              <w:spacing w:before="80" w:after="80" w:line="220" w:lineRule="atLeast"/>
              <w:ind w:left="6" w:right="113"/>
              <w:jc w:val="right"/>
              <w:rPr>
                <w:rFonts w:ascii="Arial" w:hAnsi="Arial"/>
                <w:sz w:val="20"/>
                <w:szCs w:val="20"/>
              </w:rPr>
            </w:pPr>
            <w:r w:rsidRPr="008E0897">
              <w:rPr>
                <w:rFonts w:ascii="Arial" w:hAnsi="Arial"/>
                <w:sz w:val="20"/>
                <w:szCs w:val="20"/>
              </w:rPr>
              <w:t>7.8</w:t>
            </w:r>
          </w:p>
        </w:tc>
      </w:tr>
      <w:tr w:rsidR="00AE4D5A" w:rsidRPr="008E0897" w:rsidTr="008E5E01">
        <w:tc>
          <w:tcPr>
            <w:tcW w:w="1871" w:type="pct"/>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Net Sea Freight Tasmania Pty Ltd</w:t>
            </w:r>
          </w:p>
        </w:tc>
        <w:tc>
          <w:tcPr>
            <w:tcW w:w="2097" w:type="pct"/>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Various (freight administration services)</w:t>
            </w:r>
          </w:p>
        </w:tc>
        <w:tc>
          <w:tcPr>
            <w:tcW w:w="1032" w:type="pct"/>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7.1</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J </w:t>
            </w:r>
            <w:proofErr w:type="spellStart"/>
            <w:r w:rsidRPr="008E0897">
              <w:rPr>
                <w:rFonts w:ascii="Arial" w:hAnsi="Arial"/>
                <w:sz w:val="20"/>
                <w:szCs w:val="20"/>
              </w:rPr>
              <w:t>Boag</w:t>
            </w:r>
            <w:proofErr w:type="spellEnd"/>
            <w:r w:rsidRPr="008E0897">
              <w:rPr>
                <w:rFonts w:ascii="Arial" w:hAnsi="Arial"/>
                <w:sz w:val="20"/>
                <w:szCs w:val="20"/>
              </w:rPr>
              <w:t xml:space="preserve"> &amp; Son</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Beer</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6.2</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Cadbury Australia</w:t>
            </w:r>
            <w:r>
              <w:rPr>
                <w:rFonts w:ascii="Arial" w:hAnsi="Arial"/>
                <w:b/>
                <w:position w:val="6"/>
                <w:sz w:val="18"/>
                <w:szCs w:val="20"/>
              </w:rPr>
              <w:t>c</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Confectionery and chocolate products</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4.8</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McCain</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Frozen/processed/prepared vegetable</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3.0</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 xml:space="preserve">Monson Shipping </w:t>
            </w:r>
            <w:r w:rsidR="00F17CCE">
              <w:rPr>
                <w:rFonts w:ascii="Arial" w:hAnsi="Arial"/>
                <w:sz w:val="20"/>
                <w:szCs w:val="20"/>
              </w:rPr>
              <w:t xml:space="preserve">Tasmania </w:t>
            </w:r>
            <w:r w:rsidRPr="008E0897">
              <w:rPr>
                <w:rFonts w:ascii="Arial" w:hAnsi="Arial"/>
                <w:sz w:val="20"/>
                <w:szCs w:val="20"/>
              </w:rPr>
              <w:t>Pty Ltd</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Processed wood</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2.9</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Cascade Brewery Co</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Beer</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2.7</w:t>
            </w:r>
          </w:p>
        </w:tc>
      </w:tr>
      <w:tr w:rsidR="00AE4D5A" w:rsidRPr="008E0897" w:rsidTr="008E5E01">
        <w:tc>
          <w:tcPr>
            <w:tcW w:w="1871"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proofErr w:type="spellStart"/>
            <w:r w:rsidRPr="008E0897">
              <w:rPr>
                <w:rFonts w:ascii="Arial" w:hAnsi="Arial"/>
                <w:sz w:val="20"/>
                <w:szCs w:val="20"/>
              </w:rPr>
              <w:t>Ertler</w:t>
            </w:r>
            <w:proofErr w:type="spellEnd"/>
            <w:r w:rsidRPr="008E0897">
              <w:rPr>
                <w:rFonts w:ascii="Arial" w:hAnsi="Arial"/>
                <w:sz w:val="20"/>
                <w:szCs w:val="20"/>
              </w:rPr>
              <w:t xml:space="preserve"> Trading Pty Ltd</w:t>
            </w:r>
          </w:p>
        </w:tc>
        <w:tc>
          <w:tcPr>
            <w:tcW w:w="2097"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Fresh vegetables</w:t>
            </w:r>
          </w:p>
        </w:tc>
        <w:tc>
          <w:tcPr>
            <w:tcW w:w="1032"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2.6</w:t>
            </w:r>
          </w:p>
        </w:tc>
      </w:tr>
      <w:tr w:rsidR="00AE4D5A" w:rsidRPr="008E0897" w:rsidTr="008E5E01">
        <w:tc>
          <w:tcPr>
            <w:tcW w:w="1871"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Murray Goulburn Co</w:t>
            </w:r>
            <w:r w:rsidRPr="008E0897">
              <w:rPr>
                <w:rFonts w:ascii="Arial" w:hAnsi="Arial"/>
                <w:sz w:val="20"/>
                <w:szCs w:val="20"/>
              </w:rPr>
              <w:noBreakHyphen/>
              <w:t>op Co Ltd</w:t>
            </w:r>
          </w:p>
        </w:tc>
        <w:tc>
          <w:tcPr>
            <w:tcW w:w="2097"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Dairy</w:t>
            </w:r>
          </w:p>
        </w:tc>
        <w:tc>
          <w:tcPr>
            <w:tcW w:w="1032"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2.5</w:t>
            </w:r>
          </w:p>
        </w:tc>
      </w:tr>
    </w:tbl>
    <w:p w:rsidR="00AE4D5A" w:rsidRPr="008E0897" w:rsidRDefault="00AE4D5A" w:rsidP="008E5E01">
      <w:pPr>
        <w:keepLines/>
        <w:spacing w:before="80" w:line="220" w:lineRule="exact"/>
        <w:jc w:val="both"/>
        <w:rPr>
          <w:rFonts w:ascii="Arial" w:hAnsi="Arial"/>
          <w:sz w:val="18"/>
          <w:szCs w:val="20"/>
        </w:rPr>
      </w:pPr>
      <w:r w:rsidRPr="008E0897">
        <w:rPr>
          <w:rFonts w:ascii="Arial" w:hAnsi="Arial"/>
          <w:b/>
          <w:position w:val="6"/>
          <w:sz w:val="18"/>
          <w:szCs w:val="20"/>
        </w:rPr>
        <w:t>a</w:t>
      </w:r>
      <w:r w:rsidRPr="008E0897">
        <w:rPr>
          <w:rFonts w:ascii="Arial" w:hAnsi="Arial"/>
          <w:sz w:val="18"/>
          <w:szCs w:val="20"/>
        </w:rPr>
        <w:t xml:space="preserve"> Rounded to nearest $ million. </w:t>
      </w:r>
      <w:r w:rsidRPr="008E0897">
        <w:rPr>
          <w:rFonts w:ascii="Arial" w:hAnsi="Arial"/>
          <w:b/>
          <w:position w:val="6"/>
          <w:sz w:val="18"/>
          <w:szCs w:val="20"/>
        </w:rPr>
        <w:t>b</w:t>
      </w:r>
      <w:r>
        <w:rPr>
          <w:rFonts w:ascii="Arial" w:hAnsi="Arial"/>
          <w:b/>
          <w:position w:val="6"/>
          <w:sz w:val="18"/>
          <w:szCs w:val="20"/>
        </w:rPr>
        <w:t xml:space="preserve"> </w:t>
      </w:r>
      <w:r>
        <w:rPr>
          <w:rFonts w:ascii="Arial" w:hAnsi="Arial"/>
          <w:sz w:val="18"/>
          <w:szCs w:val="20"/>
        </w:rPr>
        <w:t>Average 2010</w:t>
      </w:r>
      <w:r>
        <w:rPr>
          <w:rFonts w:ascii="Arial" w:hAnsi="Arial"/>
          <w:sz w:val="18"/>
          <w:szCs w:val="20"/>
        </w:rPr>
        <w:noBreakHyphen/>
        <w:t>11 and 2011</w:t>
      </w:r>
      <w:r>
        <w:rPr>
          <w:rFonts w:ascii="Arial" w:hAnsi="Arial"/>
          <w:sz w:val="18"/>
          <w:szCs w:val="20"/>
        </w:rPr>
        <w:noBreakHyphen/>
        <w:t>12.</w:t>
      </w:r>
      <w:r w:rsidRPr="008E0897">
        <w:rPr>
          <w:rFonts w:ascii="Arial" w:hAnsi="Arial"/>
          <w:sz w:val="18"/>
          <w:szCs w:val="20"/>
        </w:rPr>
        <w:t xml:space="preserve"> </w:t>
      </w:r>
      <w:r>
        <w:rPr>
          <w:rFonts w:ascii="Arial" w:hAnsi="Arial"/>
          <w:b/>
          <w:position w:val="6"/>
          <w:sz w:val="18"/>
          <w:szCs w:val="20"/>
        </w:rPr>
        <w:t xml:space="preserve">c </w:t>
      </w:r>
      <w:r w:rsidRPr="008E0897">
        <w:rPr>
          <w:rFonts w:ascii="Arial" w:hAnsi="Arial"/>
          <w:sz w:val="18"/>
          <w:szCs w:val="20"/>
        </w:rPr>
        <w:t>Mondelez Australia Pty Ltd</w:t>
      </w:r>
    </w:p>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 TFES database (unpublished).</w:t>
      </w:r>
    </w:p>
    <w:p w:rsidR="00AE4D5A" w:rsidRPr="008E0897" w:rsidRDefault="00AE4D5A" w:rsidP="008E5E01">
      <w:pPr>
        <w:spacing w:before="240" w:line="320" w:lineRule="atLeast"/>
        <w:jc w:val="both"/>
        <w:rPr>
          <w:szCs w:val="20"/>
        </w:rPr>
      </w:pPr>
      <w:r w:rsidRPr="008E0897">
        <w:rPr>
          <w:szCs w:val="20"/>
        </w:rPr>
        <w:t xml:space="preserve">The incentives built into the scheme, and its longevity, are likely to have had a significant impact on production, consumption and investment decisions by Tasmanian businesses and government over several decades. </w:t>
      </w:r>
    </w:p>
    <w:p w:rsidR="00AE4D5A" w:rsidRPr="008E0897" w:rsidRDefault="00AE4D5A" w:rsidP="008E5E01">
      <w:pPr>
        <w:spacing w:before="240" w:line="320" w:lineRule="atLeast"/>
        <w:jc w:val="both"/>
        <w:rPr>
          <w:szCs w:val="20"/>
        </w:rPr>
      </w:pPr>
      <w:r w:rsidRPr="008E0897">
        <w:rPr>
          <w:szCs w:val="20"/>
        </w:rPr>
        <w:lastRenderedPageBreak/>
        <w:t>Many participants highlighted the important role the TFES played in reducing freight costs and making Tasmanian businesses competitive with those on the mainland and internationally (box 3.</w:t>
      </w:r>
      <w:r>
        <w:rPr>
          <w:szCs w:val="20"/>
        </w:rPr>
        <w:t>5</w:t>
      </w:r>
      <w:r w:rsidRPr="008E0897">
        <w:rPr>
          <w:szCs w:val="20"/>
        </w:rPr>
        <w:t>). It is notable that a number of the main claimants mainly operate outside Australia and their alternative investment locations are not in Australia.</w:t>
      </w:r>
    </w:p>
    <w:p w:rsidR="00AE4D5A" w:rsidRPr="008E0897" w:rsidRDefault="00AE4D5A" w:rsidP="008E5E01">
      <w:pPr>
        <w:spacing w:before="240" w:line="320" w:lineRule="atLeast"/>
        <w:jc w:val="both"/>
        <w:rPr>
          <w:szCs w:val="20"/>
        </w:rPr>
      </w:pPr>
      <w:r w:rsidRPr="008E0897">
        <w:rPr>
          <w:szCs w:val="20"/>
        </w:rPr>
        <w:t>A common misconception is that all production and employment in those categories eligible for the TFES can be ascribed to the subsidy, when in fact it is the marginal or incremental effect of the subsidy that is relevant. Businesses consider a range of factors in making their choice of location, particularly inputs of labour and capital and the business environment. The availability of the freight subsidy would be one factor in determining the overall relative commercial merit in where to locate.</w:t>
      </w:r>
      <w:r>
        <w:rPr>
          <w:szCs w:val="20"/>
        </w:rPr>
        <w:t xml:space="preserve"> The scheme’s design is another factor, with uncertainty around eligibility favouring some investment on the mainland rather than in Tasmania (Houston’s Farm, trans., p. 198).</w:t>
      </w:r>
    </w:p>
    <w:p w:rsidR="00AE4D5A" w:rsidRPr="008E0897" w:rsidRDefault="00AE4D5A" w:rsidP="008E5E01">
      <w:pPr>
        <w:spacing w:before="240" w:line="320" w:lineRule="atLeast"/>
        <w:jc w:val="both"/>
        <w:rPr>
          <w:szCs w:val="20"/>
        </w:rPr>
      </w:pPr>
      <w:r w:rsidRPr="008E0897">
        <w:rPr>
          <w:szCs w:val="20"/>
        </w:rPr>
        <w:t>However, in the long term, the availability of the subsidy is unlikely to be a sufficient determinant of location choice. The third</w:t>
      </w:r>
      <w:r w:rsidRPr="008E0897">
        <w:rPr>
          <w:szCs w:val="20"/>
        </w:rPr>
        <w:noBreakHyphen/>
        <w:t>largest claimant in 2005</w:t>
      </w:r>
      <w:r w:rsidRPr="008E0897">
        <w:rPr>
          <w:szCs w:val="20"/>
        </w:rPr>
        <w:noBreakHyphen/>
        <w:t xml:space="preserve">06, Australian Paper, which was paid $6.3 million in that year, was sold in 2009 and its two Tasmanian plants subsequently closed </w:t>
      </w:r>
      <w:r w:rsidRPr="0093638D">
        <w:t>(PaperlinX </w:t>
      </w:r>
      <w:proofErr w:type="spellStart"/>
      <w:r w:rsidRPr="0093638D">
        <w:t>nd</w:t>
      </w:r>
      <w:proofErr w:type="spellEnd"/>
      <w:r w:rsidRPr="0093638D">
        <w:t>)</w:t>
      </w:r>
      <w:r w:rsidRPr="008E0897">
        <w:rPr>
          <w:szCs w:val="20"/>
        </w:rPr>
        <w:t>.</w:t>
      </w:r>
    </w:p>
    <w:p w:rsidR="00AE4D5A" w:rsidRDefault="00AE4D5A" w:rsidP="008E5E01">
      <w:pPr>
        <w:spacing w:before="240" w:line="320" w:lineRule="atLeast"/>
        <w:jc w:val="both"/>
        <w:rPr>
          <w:szCs w:val="20"/>
        </w:rPr>
      </w:pPr>
      <w:r w:rsidRPr="008E0897">
        <w:rPr>
          <w:szCs w:val="20"/>
        </w:rPr>
        <w:t xml:space="preserve">This would be consistent with the small contribution overall the scheme makes to firm costs. The scheme represents less than 1 per cent of total production costs in Tasmania’s agriculture, manufacturing and mining sectors and a little over 2 per cent of industry value added (table 3.5). </w:t>
      </w:r>
    </w:p>
    <w:p w:rsidR="00AE4D5A" w:rsidRPr="008E0897" w:rsidRDefault="00AE4D5A" w:rsidP="008E5E01">
      <w:pPr>
        <w:keepNext/>
        <w:spacing w:before="480" w:line="320" w:lineRule="exact"/>
        <w:outlineLvl w:val="4"/>
        <w:rPr>
          <w:i/>
          <w:szCs w:val="20"/>
        </w:rPr>
      </w:pPr>
      <w:r w:rsidRPr="008E0897">
        <w:rPr>
          <w:i/>
          <w:szCs w:val="20"/>
        </w:rPr>
        <w:t>Subsidy ‘leakage’</w:t>
      </w:r>
    </w:p>
    <w:p w:rsidR="00AE4D5A" w:rsidRPr="008E0897" w:rsidRDefault="00AE4D5A" w:rsidP="008E5E01">
      <w:pPr>
        <w:spacing w:before="240" w:line="320" w:lineRule="atLeast"/>
        <w:jc w:val="both"/>
        <w:rPr>
          <w:szCs w:val="20"/>
        </w:rPr>
      </w:pPr>
      <w:r w:rsidRPr="008E0897">
        <w:rPr>
          <w:szCs w:val="20"/>
        </w:rPr>
        <w:t>Even where claimants are eligible for the subsidy, the extent to which they benefit from it depends on the ‘incidence’ of the subsidy (box 3.3) — who ultimately ‘captures’ the subsidy. The incidence of a subsidy does not depend on who the subsidy is paid to</w:t>
      </w:r>
      <w:r>
        <w:rPr>
          <w:szCs w:val="20"/>
        </w:rPr>
        <w:t xml:space="preserve"> — instead it is determined by</w:t>
      </w:r>
      <w:r w:rsidRPr="008E0897">
        <w:rPr>
          <w:szCs w:val="20"/>
        </w:rPr>
        <w:t xml:space="preserve"> the relative price responsiveness of </w:t>
      </w:r>
      <w:r>
        <w:rPr>
          <w:szCs w:val="20"/>
        </w:rPr>
        <w:t xml:space="preserve">producers and consumers </w:t>
      </w:r>
      <w:r w:rsidRPr="008E0897">
        <w:rPr>
          <w:szCs w:val="20"/>
        </w:rPr>
        <w:t xml:space="preserve">and </w:t>
      </w:r>
      <w:r>
        <w:rPr>
          <w:szCs w:val="20"/>
        </w:rPr>
        <w:t>the level of competition in the market</w:t>
      </w:r>
      <w:r w:rsidRPr="008E0897">
        <w:rPr>
          <w:szCs w:val="20"/>
        </w:rPr>
        <w:t>.</w:t>
      </w:r>
      <w:r>
        <w:rPr>
          <w:szCs w:val="20"/>
        </w:rPr>
        <w:t xml:space="preserve"> Subsidy leakage dilutes the effectiveness of a subsidy</w:t>
      </w:r>
      <w:r w:rsidRPr="008E0897">
        <w:rPr>
          <w:szCs w:val="20"/>
        </w:rPr>
        <w:t>.</w:t>
      </w:r>
    </w:p>
    <w:p w:rsidR="00AE4D5A" w:rsidRDefault="00AE4D5A" w:rsidP="008E5E01">
      <w:pPr>
        <w:spacing w:before="240" w:line="320" w:lineRule="atLeast"/>
        <w:jc w:val="both"/>
        <w:rPr>
          <w:szCs w:val="20"/>
        </w:rPr>
      </w:pPr>
      <w:r w:rsidRPr="008E0897">
        <w:rPr>
          <w:szCs w:val="20"/>
        </w:rPr>
        <w:t xml:space="preserve">In 2006, the Commission found that there was the potential for subsidy leakage to occur where shipping companies were able </w:t>
      </w:r>
      <w:r>
        <w:rPr>
          <w:szCs w:val="20"/>
        </w:rPr>
        <w:t xml:space="preserve">to </w:t>
      </w:r>
      <w:r w:rsidRPr="008E0897">
        <w:rPr>
          <w:szCs w:val="20"/>
        </w:rPr>
        <w:t>increase their freight rates to capture some of the TFES assistance, that is, the incidence (benefit) of the subsidy could go to shipping companies.</w:t>
      </w:r>
      <w:r>
        <w:rPr>
          <w:szCs w:val="20"/>
        </w:rPr>
        <w:t xml:space="preserve"> </w:t>
      </w:r>
    </w:p>
    <w:p w:rsidR="00AE4D5A" w:rsidRDefault="00AE4D5A" w:rsidP="008E5E01">
      <w:pPr>
        <w:spacing w:before="240" w:line="320" w:lineRule="atLeast"/>
        <w:jc w:val="both"/>
        <w:rPr>
          <w:szCs w:val="20"/>
        </w:rPr>
      </w:pPr>
      <w:r>
        <w:rPr>
          <w:szCs w:val="20"/>
        </w:rPr>
        <w:t xml:space="preserve">As discussed in chapter 4, it is not clear whether the current shipping industry structure provides for effective competition and the Commission heard conflicting </w:t>
      </w:r>
      <w:r>
        <w:rPr>
          <w:szCs w:val="20"/>
        </w:rPr>
        <w:lastRenderedPageBreak/>
        <w:t xml:space="preserve">evidence. Ship owners and larger shippers consider the three shipping lines compete for volume on price and service offerings but other participants contend that there is a lack of competition. With few providers, and limited competition, the subsidy is inevitably shared with shipping companies — particularly for small shippers, who </w:t>
      </w:r>
      <w:r w:rsidRPr="008E0897">
        <w:rPr>
          <w:szCs w:val="20"/>
        </w:rPr>
        <w:t>are likely to have less negotiating power than businesses that ship large regular volumes.</w:t>
      </w:r>
    </w:p>
    <w:p w:rsidR="00AE4D5A" w:rsidRDefault="00AE4D5A" w:rsidP="008E5E01">
      <w:pPr>
        <w:spacing w:before="240" w:line="320" w:lineRule="atLeast"/>
        <w:jc w:val="both"/>
        <w:rPr>
          <w:szCs w:val="20"/>
        </w:rPr>
      </w:pPr>
      <w:r>
        <w:rPr>
          <w:szCs w:val="20"/>
        </w:rPr>
        <w:t>One of the shippers on the Bass Strait route, the Tasmanian Government</w:t>
      </w:r>
      <w:r>
        <w:rPr>
          <w:szCs w:val="20"/>
        </w:rPr>
        <w:noBreakHyphen/>
        <w:t>owned TT</w:t>
      </w:r>
      <w:r>
        <w:rPr>
          <w:szCs w:val="20"/>
        </w:rPr>
        <w:noBreakHyphen/>
        <w:t>Line, also provides passenger and vehicle services that are eligible for the BSPVES. T</w:t>
      </w:r>
      <w:r w:rsidRPr="008E0897">
        <w:rPr>
          <w:szCs w:val="20"/>
        </w:rPr>
        <w:t xml:space="preserve">he characteristics of </w:t>
      </w:r>
      <w:r>
        <w:rPr>
          <w:szCs w:val="20"/>
        </w:rPr>
        <w:t>that</w:t>
      </w:r>
      <w:r w:rsidRPr="008E0897">
        <w:rPr>
          <w:szCs w:val="20"/>
        </w:rPr>
        <w:t xml:space="preserve"> specific market combined with pricing over time suggests that TT</w:t>
      </w:r>
      <w:r w:rsidRPr="008E0897">
        <w:rPr>
          <w:szCs w:val="20"/>
        </w:rPr>
        <w:noBreakHyphen/>
        <w:t xml:space="preserve">Line </w:t>
      </w:r>
      <w:r>
        <w:rPr>
          <w:szCs w:val="20"/>
        </w:rPr>
        <w:t xml:space="preserve">also </w:t>
      </w:r>
      <w:r w:rsidRPr="008E0897">
        <w:rPr>
          <w:szCs w:val="20"/>
        </w:rPr>
        <w:t>receives at least so</w:t>
      </w:r>
      <w:r>
        <w:rPr>
          <w:szCs w:val="20"/>
        </w:rPr>
        <w:t xml:space="preserve">me of the benefit of the BSPVES subsidy. </w:t>
      </w:r>
    </w:p>
    <w:p w:rsidR="00AE4D5A" w:rsidRDefault="00AE4D5A" w:rsidP="008E5E01">
      <w:pPr>
        <w:spacing w:before="240" w:line="320" w:lineRule="atLeast"/>
        <w:jc w:val="both"/>
        <w:rPr>
          <w:szCs w:val="20"/>
        </w:rPr>
      </w:pPr>
      <w:r w:rsidRPr="008E0897">
        <w:rPr>
          <w:szCs w:val="20"/>
        </w:rPr>
        <w:t>When real fares (including the subsidy) fall, consumers benefit from the subsidy. This occurred initially when the scheme was i</w:t>
      </w:r>
      <w:r>
        <w:rPr>
          <w:szCs w:val="20"/>
        </w:rPr>
        <w:t>ntroduced</w:t>
      </w:r>
      <w:r w:rsidRPr="008E0897">
        <w:rPr>
          <w:szCs w:val="20"/>
        </w:rPr>
        <w:t>. However</w:t>
      </w:r>
      <w:r>
        <w:rPr>
          <w:szCs w:val="20"/>
        </w:rPr>
        <w:t>,</w:t>
      </w:r>
      <w:r w:rsidRPr="008E0897">
        <w:rPr>
          <w:szCs w:val="20"/>
        </w:rPr>
        <w:t xml:space="preserve"> </w:t>
      </w:r>
      <w:r>
        <w:rPr>
          <w:szCs w:val="20"/>
        </w:rPr>
        <w:t>TT</w:t>
      </w:r>
      <w:r>
        <w:rPr>
          <w:szCs w:val="20"/>
        </w:rPr>
        <w:noBreakHyphen/>
        <w:t xml:space="preserve">Line’s </w:t>
      </w:r>
      <w:r w:rsidRPr="008E0897">
        <w:rPr>
          <w:szCs w:val="20"/>
        </w:rPr>
        <w:t xml:space="preserve">real fares grew sharply in the first four years after the </w:t>
      </w:r>
      <w:r>
        <w:rPr>
          <w:szCs w:val="20"/>
        </w:rPr>
        <w:t>BSPVES was introduced</w:t>
      </w:r>
      <w:r w:rsidRPr="008E0897">
        <w:rPr>
          <w:szCs w:val="20"/>
        </w:rPr>
        <w:t xml:space="preserve"> and have continued to increase over the </w:t>
      </w:r>
      <w:r w:rsidRPr="00373BD9">
        <w:rPr>
          <w:szCs w:val="20"/>
        </w:rPr>
        <w:t>last</w:t>
      </w:r>
      <w:r>
        <w:rPr>
          <w:szCs w:val="20"/>
        </w:rPr>
        <w:t xml:space="preserve"> decade to reach levels similar to those before the subsidy was introduced (chapter 2, figure 2.9</w:t>
      </w:r>
      <w:r w:rsidRPr="008E0897">
        <w:rPr>
          <w:szCs w:val="20"/>
        </w:rPr>
        <w:t>). As TT</w:t>
      </w:r>
      <w:r w:rsidRPr="008E0897">
        <w:rPr>
          <w:szCs w:val="20"/>
        </w:rPr>
        <w:noBreakHyphen/>
        <w:t xml:space="preserve">Line is virtually the sole provider for the purposes of the subsidy, consumers have borne the increase in real fares. </w:t>
      </w:r>
    </w:p>
    <w:p w:rsidR="00AE4D5A" w:rsidRDefault="00AE4D5A" w:rsidP="008E5E01">
      <w:pPr>
        <w:spacing w:before="240" w:line="320" w:lineRule="atLeast"/>
        <w:jc w:val="both"/>
        <w:rPr>
          <w:szCs w:val="20"/>
        </w:rPr>
      </w:pPr>
      <w:r w:rsidRPr="008E0897">
        <w:rPr>
          <w:szCs w:val="20"/>
        </w:rPr>
        <w:t>To the extent that TT</w:t>
      </w:r>
      <w:r w:rsidRPr="008E0897">
        <w:rPr>
          <w:szCs w:val="20"/>
        </w:rPr>
        <w:noBreakHyphen/>
        <w:t xml:space="preserve">Line benefits from the </w:t>
      </w:r>
      <w:r>
        <w:rPr>
          <w:szCs w:val="20"/>
        </w:rPr>
        <w:t>BSPVES</w:t>
      </w:r>
      <w:r w:rsidRPr="008E0897">
        <w:rPr>
          <w:szCs w:val="20"/>
        </w:rPr>
        <w:t>, indexation creates less pressure on TT</w:t>
      </w:r>
      <w:r w:rsidRPr="008E0897">
        <w:rPr>
          <w:szCs w:val="20"/>
        </w:rPr>
        <w:noBreakHyphen/>
        <w:t>Line to minimise its costs, as part of these may be able to be recouped through the subsidy. In its submission to the inquiry, TT</w:t>
      </w:r>
      <w:r w:rsidRPr="008E0897">
        <w:rPr>
          <w:szCs w:val="20"/>
        </w:rPr>
        <w:noBreakHyphen/>
        <w:t>Line argued that indexation by the consumer price index (CPI) was inadequate as increases in maritime operating costs were significantly above the CPI (sub. 9).</w:t>
      </w:r>
    </w:p>
    <w:p w:rsidR="00AE4D5A" w:rsidRPr="008E0897" w:rsidRDefault="00AE4D5A" w:rsidP="008E5E01">
      <w:pPr>
        <w:spacing w:before="240" w:line="320" w:lineRule="atLeast"/>
        <w:jc w:val="both"/>
        <w:rPr>
          <w:szCs w:val="20"/>
        </w:rPr>
      </w:pPr>
      <w:r w:rsidRPr="008E0897">
        <w:rPr>
          <w:szCs w:val="20"/>
        </w:rPr>
        <w:t>The extent of</w:t>
      </w:r>
      <w:r>
        <w:rPr>
          <w:szCs w:val="20"/>
        </w:rPr>
        <w:t xml:space="preserve"> subsidy</w:t>
      </w:r>
      <w:r w:rsidRPr="008E0897">
        <w:rPr>
          <w:szCs w:val="20"/>
        </w:rPr>
        <w:t xml:space="preserve"> ‘leakage’ is difficult to assess without detailed modelling</w:t>
      </w:r>
      <w:r>
        <w:rPr>
          <w:szCs w:val="20"/>
        </w:rPr>
        <w:t xml:space="preserve"> and access to commercial cost data. Chapter 2 discusses the need for shipping lines to provide pricing and cost data to assess the </w:t>
      </w:r>
      <w:r w:rsidRPr="005D754F">
        <w:rPr>
          <w:szCs w:val="20"/>
        </w:rPr>
        <w:t>effectiveness</w:t>
      </w:r>
      <w:r>
        <w:rPr>
          <w:szCs w:val="20"/>
        </w:rPr>
        <w:t xml:space="preserve"> of the TFES. Commission estimates suggest that TT</w:t>
      </w:r>
      <w:r>
        <w:rPr>
          <w:szCs w:val="20"/>
        </w:rPr>
        <w:noBreakHyphen/>
        <w:t xml:space="preserve">Line has not earned a commercial rate of return over the past five years, as further discussed in chapter 4 of this report. </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lastRenderedPageBreak/>
        <w:t>Table</w:t>
      </w:r>
      <w:r>
        <w:rPr>
          <w:rFonts w:ascii="Arial" w:hAnsi="Arial"/>
          <w:sz w:val="24"/>
        </w:rPr>
        <w:t> </w:t>
      </w:r>
      <w:r w:rsidRPr="008E0897">
        <w:rPr>
          <w:rFonts w:ascii="Arial" w:hAnsi="Arial"/>
          <w:sz w:val="24"/>
        </w:rPr>
        <w:t>3.</w:t>
      </w:r>
      <w:r w:rsidRPr="008E0897">
        <w:rPr>
          <w:rFonts w:ascii="Arial" w:hAnsi="Arial"/>
          <w:noProof/>
          <w:sz w:val="24"/>
        </w:rPr>
        <w:t>5</w:t>
      </w:r>
      <w:r w:rsidRPr="008E0897">
        <w:rPr>
          <w:rFonts w:ascii="Arial" w:hAnsi="Arial"/>
          <w:b/>
          <w:sz w:val="24"/>
        </w:rPr>
        <w:tab/>
        <w:t>TFES assistance, industry costs and value added</w:t>
      </w:r>
    </w:p>
    <w:p w:rsidR="00AE4D5A" w:rsidRPr="008E0897" w:rsidRDefault="00AE4D5A" w:rsidP="008E5E01">
      <w:pPr>
        <w:keepNext/>
        <w:keepLines/>
        <w:spacing w:after="80" w:line="200" w:lineRule="exact"/>
        <w:ind w:left="1474"/>
        <w:rPr>
          <w:rFonts w:ascii="Arial" w:hAnsi="Arial"/>
          <w:sz w:val="20"/>
        </w:rPr>
      </w:pPr>
      <w:r w:rsidRPr="008E0897">
        <w:rPr>
          <w:rFonts w:ascii="Arial" w:hAnsi="Arial"/>
          <w:sz w:val="20"/>
        </w:rPr>
        <w:t>By assistance paid in 2011</w:t>
      </w:r>
      <w:r w:rsidRPr="008E0897">
        <w:rPr>
          <w:rFonts w:ascii="Arial" w:hAnsi="Arial"/>
          <w:sz w:val="20"/>
        </w:rPr>
        <w:noBreakHyphen/>
        <w:t>12</w:t>
      </w:r>
    </w:p>
    <w:tbl>
      <w:tblPr>
        <w:tblW w:w="5000" w:type="pct"/>
        <w:tblCellMar>
          <w:left w:w="0" w:type="dxa"/>
          <w:right w:w="0" w:type="dxa"/>
        </w:tblCellMar>
        <w:tblLook w:val="0000" w:firstRow="0" w:lastRow="0" w:firstColumn="0" w:lastColumn="0" w:noHBand="0" w:noVBand="0"/>
      </w:tblPr>
      <w:tblGrid>
        <w:gridCol w:w="4962"/>
        <w:gridCol w:w="1985"/>
        <w:gridCol w:w="1842"/>
      </w:tblGrid>
      <w:tr w:rsidR="00AE4D5A" w:rsidRPr="008E0897" w:rsidTr="008E5E01">
        <w:trPr>
          <w:trHeight w:val="177"/>
        </w:trPr>
        <w:tc>
          <w:tcPr>
            <w:tcW w:w="2823" w:type="pct"/>
            <w:vMerge w:val="restart"/>
            <w:tcBorders>
              <w:top w:val="single" w:sz="6" w:space="0" w:color="auto"/>
            </w:tcBorders>
            <w:shd w:val="clear" w:color="auto" w:fill="auto"/>
          </w:tcPr>
          <w:p w:rsidR="00AE4D5A" w:rsidRPr="008E0897" w:rsidRDefault="00AE4D5A" w:rsidP="008E5E01">
            <w:pPr>
              <w:keepNext/>
              <w:keepLines/>
              <w:spacing w:before="80" w:after="80" w:line="220" w:lineRule="atLeast"/>
              <w:ind w:left="6" w:right="113"/>
              <w:jc w:val="both"/>
              <w:rPr>
                <w:rFonts w:ascii="Arial" w:hAnsi="Arial"/>
                <w:i/>
                <w:sz w:val="20"/>
              </w:rPr>
            </w:pPr>
            <w:r w:rsidRPr="008E0897">
              <w:rPr>
                <w:rFonts w:ascii="Arial" w:hAnsi="Arial"/>
                <w:i/>
                <w:sz w:val="20"/>
                <w:szCs w:val="20"/>
              </w:rPr>
              <w:t>Industry</w:t>
            </w:r>
          </w:p>
        </w:tc>
        <w:tc>
          <w:tcPr>
            <w:tcW w:w="2177" w:type="pct"/>
            <w:gridSpan w:val="2"/>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28"/>
              <w:jc w:val="center"/>
              <w:rPr>
                <w:rFonts w:ascii="Arial" w:hAnsi="Arial"/>
                <w:i/>
                <w:sz w:val="20"/>
                <w:szCs w:val="20"/>
              </w:rPr>
            </w:pPr>
            <w:r w:rsidRPr="008E0897">
              <w:rPr>
                <w:rFonts w:ascii="Arial" w:hAnsi="Arial"/>
                <w:i/>
                <w:sz w:val="20"/>
                <w:szCs w:val="20"/>
              </w:rPr>
              <w:t>Proportion of industry costs</w:t>
            </w:r>
          </w:p>
        </w:tc>
      </w:tr>
      <w:tr w:rsidR="00AE4D5A" w:rsidRPr="008E0897" w:rsidTr="008E5E01">
        <w:trPr>
          <w:trHeight w:val="176"/>
        </w:trPr>
        <w:tc>
          <w:tcPr>
            <w:tcW w:w="2823" w:type="pct"/>
            <w:vMerge/>
            <w:tcBorders>
              <w:bottom w:val="single" w:sz="6" w:space="0" w:color="auto"/>
            </w:tcBorders>
            <w:shd w:val="clear" w:color="auto" w:fill="auto"/>
          </w:tcPr>
          <w:p w:rsidR="00AE4D5A" w:rsidRPr="008E0897" w:rsidRDefault="00AE4D5A" w:rsidP="008E5E01">
            <w:pPr>
              <w:keepNext/>
              <w:keepLines/>
              <w:spacing w:before="80" w:after="80" w:line="220" w:lineRule="atLeast"/>
              <w:ind w:left="6" w:right="113"/>
              <w:rPr>
                <w:rFonts w:ascii="Arial" w:hAnsi="Arial"/>
                <w:i/>
                <w:sz w:val="20"/>
                <w:szCs w:val="20"/>
              </w:rPr>
            </w:pPr>
          </w:p>
        </w:tc>
        <w:tc>
          <w:tcPr>
            <w:tcW w:w="1129" w:type="pct"/>
            <w:tcBorders>
              <w:top w:val="single" w:sz="6"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113"/>
              <w:jc w:val="right"/>
              <w:rPr>
                <w:rFonts w:ascii="Arial" w:hAnsi="Arial"/>
                <w:i/>
                <w:sz w:val="20"/>
                <w:szCs w:val="20"/>
              </w:rPr>
            </w:pPr>
            <w:r w:rsidRPr="008E0897">
              <w:rPr>
                <w:rFonts w:ascii="Arial" w:hAnsi="Arial"/>
                <w:i/>
                <w:sz w:val="20"/>
                <w:szCs w:val="20"/>
              </w:rPr>
              <w:t>Northbound TFES</w:t>
            </w:r>
          </w:p>
        </w:tc>
        <w:tc>
          <w:tcPr>
            <w:tcW w:w="1048" w:type="pct"/>
            <w:tcBorders>
              <w:top w:val="single" w:sz="4" w:space="0" w:color="auto"/>
              <w:bottom w:val="single" w:sz="6" w:space="0" w:color="auto"/>
            </w:tcBorders>
            <w:shd w:val="clear" w:color="auto" w:fill="auto"/>
          </w:tcPr>
          <w:p w:rsidR="00AE4D5A" w:rsidRPr="008E0897" w:rsidRDefault="00AE4D5A" w:rsidP="008E5E01">
            <w:pPr>
              <w:keepNext/>
              <w:keepLines/>
              <w:spacing w:before="80" w:after="80" w:line="220" w:lineRule="atLeast"/>
              <w:ind w:left="6" w:right="28"/>
              <w:jc w:val="right"/>
              <w:rPr>
                <w:rFonts w:ascii="Arial" w:hAnsi="Arial"/>
                <w:i/>
                <w:sz w:val="20"/>
                <w:szCs w:val="20"/>
              </w:rPr>
            </w:pPr>
            <w:r w:rsidRPr="008E0897">
              <w:rPr>
                <w:rFonts w:ascii="Arial" w:hAnsi="Arial"/>
                <w:i/>
                <w:sz w:val="20"/>
                <w:szCs w:val="20"/>
              </w:rPr>
              <w:t>Southbound TFES</w:t>
            </w:r>
          </w:p>
        </w:tc>
      </w:tr>
      <w:tr w:rsidR="00AE4D5A" w:rsidRPr="008E0897" w:rsidTr="008E5E01">
        <w:tc>
          <w:tcPr>
            <w:tcW w:w="2823" w:type="pct"/>
            <w:tcBorders>
              <w:top w:val="single" w:sz="6" w:space="0" w:color="auto"/>
            </w:tcBorders>
          </w:tcPr>
          <w:p w:rsidR="00AE4D5A" w:rsidRPr="008E0897" w:rsidRDefault="00AE4D5A" w:rsidP="008E5E01">
            <w:pPr>
              <w:keepNext/>
              <w:keepLines/>
              <w:spacing w:before="80" w:after="80" w:line="220" w:lineRule="atLeast"/>
              <w:ind w:left="6" w:right="113"/>
              <w:rPr>
                <w:rFonts w:ascii="Arial" w:hAnsi="Arial"/>
                <w:sz w:val="20"/>
                <w:szCs w:val="20"/>
              </w:rPr>
            </w:pPr>
          </w:p>
        </w:tc>
        <w:tc>
          <w:tcPr>
            <w:tcW w:w="1129" w:type="pct"/>
            <w:tcBorders>
              <w:top w:val="single" w:sz="6" w:space="0" w:color="auto"/>
            </w:tcBorders>
          </w:tcPr>
          <w:p w:rsidR="00AE4D5A" w:rsidRPr="008E0897" w:rsidRDefault="00AE4D5A" w:rsidP="008E5E01">
            <w:pPr>
              <w:keepNext/>
              <w:keepLines/>
              <w:spacing w:before="80" w:after="80" w:line="220" w:lineRule="atLeast"/>
              <w:ind w:left="6" w:right="113"/>
              <w:jc w:val="right"/>
              <w:rPr>
                <w:rFonts w:ascii="Arial" w:hAnsi="Arial"/>
                <w:sz w:val="20"/>
                <w:szCs w:val="20"/>
              </w:rPr>
            </w:pPr>
            <w:r w:rsidRPr="008E0897">
              <w:rPr>
                <w:rFonts w:ascii="Arial" w:hAnsi="Arial"/>
                <w:sz w:val="20"/>
                <w:szCs w:val="20"/>
              </w:rPr>
              <w:t>per cent</w:t>
            </w:r>
          </w:p>
        </w:tc>
        <w:tc>
          <w:tcPr>
            <w:tcW w:w="1048" w:type="pct"/>
            <w:tcBorders>
              <w:top w:val="single" w:sz="6" w:space="0" w:color="auto"/>
            </w:tcBorders>
          </w:tcPr>
          <w:p w:rsidR="00AE4D5A" w:rsidRPr="008E0897" w:rsidRDefault="00AE4D5A" w:rsidP="008E5E01">
            <w:pPr>
              <w:keepNext/>
              <w:keepLines/>
              <w:spacing w:before="80" w:after="80" w:line="220" w:lineRule="atLeast"/>
              <w:ind w:left="6" w:right="28"/>
              <w:jc w:val="right"/>
              <w:rPr>
                <w:rFonts w:ascii="Arial" w:hAnsi="Arial"/>
                <w:sz w:val="20"/>
                <w:szCs w:val="20"/>
              </w:rPr>
            </w:pPr>
            <w:r w:rsidRPr="008E0897">
              <w:rPr>
                <w:rFonts w:ascii="Arial" w:hAnsi="Arial"/>
                <w:sz w:val="20"/>
                <w:szCs w:val="20"/>
              </w:rPr>
              <w:t>per cent</w:t>
            </w:r>
          </w:p>
        </w:tc>
      </w:tr>
      <w:tr w:rsidR="00AE4D5A" w:rsidRPr="008E0897" w:rsidTr="008E5E01">
        <w:tc>
          <w:tcPr>
            <w:tcW w:w="2823" w:type="pct"/>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Livestock</w:t>
            </w:r>
          </w:p>
        </w:tc>
        <w:tc>
          <w:tcPr>
            <w:tcW w:w="1129" w:type="pct"/>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0.9</w:t>
            </w:r>
          </w:p>
        </w:tc>
        <w:tc>
          <w:tcPr>
            <w:tcW w:w="1048" w:type="pct"/>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0.7</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agriculture</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1.3</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1.3</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Fishing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0.0</w:t>
            </w:r>
          </w:p>
        </w:tc>
        <w:tc>
          <w:tcPr>
            <w:tcW w:w="1048" w:type="pct"/>
            <w:shd w:val="clear" w:color="auto" w:fill="auto"/>
          </w:tcPr>
          <w:p w:rsidR="00AE4D5A" w:rsidRPr="008E0897" w:rsidRDefault="00B734FF" w:rsidP="008E5E01">
            <w:pPr>
              <w:keepNext/>
              <w:keepLines/>
              <w:spacing w:after="40" w:line="220" w:lineRule="atLeast"/>
              <w:ind w:left="6" w:right="28"/>
              <w:jc w:val="right"/>
              <w:rPr>
                <w:rFonts w:ascii="Arial" w:hAnsi="Arial"/>
                <w:sz w:val="20"/>
                <w:szCs w:val="20"/>
              </w:rPr>
            </w:pPr>
            <w:r>
              <w:rPr>
                <w:rFonts w:ascii="Arial" w:hAnsi="Arial"/>
                <w:sz w:val="20"/>
                <w:szCs w:val="20"/>
              </w:rPr>
              <w:t>..</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Forestry</w:t>
            </w:r>
          </w:p>
        </w:tc>
        <w:tc>
          <w:tcPr>
            <w:tcW w:w="1129" w:type="pct"/>
            <w:shd w:val="clear" w:color="auto" w:fill="auto"/>
          </w:tcPr>
          <w:p w:rsidR="00AE4D5A" w:rsidRPr="008E0897" w:rsidRDefault="00B734FF" w:rsidP="00B734FF">
            <w:pPr>
              <w:keepNext/>
              <w:keepLines/>
              <w:spacing w:after="40" w:line="220" w:lineRule="atLeast"/>
              <w:ind w:left="6" w:right="113"/>
              <w:jc w:val="right"/>
              <w:rPr>
                <w:rFonts w:ascii="Arial" w:hAnsi="Arial"/>
                <w:sz w:val="20"/>
                <w:szCs w:val="20"/>
              </w:rPr>
            </w:pPr>
            <w:r>
              <w:rPr>
                <w:rFonts w:ascii="Arial" w:hAnsi="Arial"/>
                <w:sz w:val="20"/>
                <w:szCs w:val="20"/>
              </w:rPr>
              <w:t>..</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0.0</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Coal mining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proofErr w:type="spellStart"/>
            <w:r w:rsidRPr="008E0897">
              <w:rPr>
                <w:rFonts w:ascii="Arial" w:hAnsi="Arial"/>
                <w:sz w:val="20"/>
                <w:szCs w:val="20"/>
              </w:rPr>
              <w:t>n.r</w:t>
            </w:r>
            <w:proofErr w:type="spellEnd"/>
            <w:r w:rsidRPr="008E0897">
              <w:rPr>
                <w:rFonts w:ascii="Arial" w:hAnsi="Arial"/>
                <w:sz w:val="20"/>
                <w:szCs w:val="20"/>
              </w:rPr>
              <w:t>.</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proofErr w:type="spellStart"/>
            <w:r w:rsidRPr="008E0897">
              <w:rPr>
                <w:rFonts w:ascii="Arial" w:hAnsi="Arial"/>
                <w:sz w:val="20"/>
                <w:szCs w:val="20"/>
              </w:rPr>
              <w:t>n.r</w:t>
            </w:r>
            <w:proofErr w:type="spellEnd"/>
            <w:r w:rsidRPr="008E0897">
              <w:rPr>
                <w:rFonts w:ascii="Arial" w:hAnsi="Arial"/>
                <w:sz w:val="20"/>
                <w:szCs w:val="20"/>
              </w:rPr>
              <w:t>.</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metal ore mining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0.0</w:t>
            </w:r>
          </w:p>
        </w:tc>
        <w:tc>
          <w:tcPr>
            <w:tcW w:w="1048" w:type="pct"/>
            <w:shd w:val="clear" w:color="auto" w:fill="auto"/>
          </w:tcPr>
          <w:p w:rsidR="00AE4D5A" w:rsidRPr="008E0897" w:rsidRDefault="00F17CCE" w:rsidP="008E5E01">
            <w:pPr>
              <w:keepNext/>
              <w:keepLines/>
              <w:spacing w:after="40" w:line="220" w:lineRule="atLeast"/>
              <w:ind w:left="6" w:right="28"/>
              <w:jc w:val="right"/>
              <w:rPr>
                <w:rFonts w:ascii="Arial" w:hAnsi="Arial"/>
                <w:sz w:val="20"/>
                <w:szCs w:val="20"/>
              </w:rPr>
            </w:pPr>
            <w:proofErr w:type="spellStart"/>
            <w:r>
              <w:rPr>
                <w:rFonts w:ascii="Arial" w:hAnsi="Arial"/>
                <w:sz w:val="20"/>
                <w:szCs w:val="20"/>
              </w:rPr>
              <w:t>n.</w:t>
            </w:r>
            <w:r w:rsidR="00AE4D5A" w:rsidRPr="008E0897">
              <w:rPr>
                <w:rFonts w:ascii="Arial" w:hAnsi="Arial"/>
                <w:sz w:val="20"/>
                <w:szCs w:val="20"/>
              </w:rPr>
              <w:t>a</w:t>
            </w:r>
            <w:proofErr w:type="spellEnd"/>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mining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0.0</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0.1</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Meat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0.4</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0.0</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Dairy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1.3</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0.0</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food, beverages and tobacco</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1.4</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0.3</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Textiles, clothing and footwear</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0.3</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0.1</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Wood and wood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1.0</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0.1</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Paper and paper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2.0</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0.4</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petroleum and coal products</w:t>
            </w:r>
          </w:p>
        </w:tc>
        <w:tc>
          <w:tcPr>
            <w:tcW w:w="1129" w:type="pct"/>
            <w:shd w:val="clear" w:color="auto" w:fill="auto"/>
          </w:tcPr>
          <w:p w:rsidR="00AE4D5A" w:rsidRPr="008E0897" w:rsidRDefault="00B734FF" w:rsidP="008E5E01">
            <w:pPr>
              <w:keepNext/>
              <w:keepLines/>
              <w:spacing w:after="40" w:line="220" w:lineRule="atLeast"/>
              <w:ind w:left="6" w:right="113"/>
              <w:jc w:val="right"/>
              <w:rPr>
                <w:rFonts w:ascii="Arial" w:hAnsi="Arial"/>
                <w:sz w:val="20"/>
                <w:szCs w:val="20"/>
              </w:rPr>
            </w:pPr>
            <w:r>
              <w:rPr>
                <w:rFonts w:ascii="Arial" w:hAnsi="Arial"/>
                <w:sz w:val="20"/>
                <w:szCs w:val="20"/>
              </w:rPr>
              <w:t>..</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proofErr w:type="spellStart"/>
            <w:r w:rsidRPr="008E0897">
              <w:rPr>
                <w:rFonts w:ascii="Arial" w:hAnsi="Arial"/>
                <w:sz w:val="20"/>
                <w:szCs w:val="20"/>
              </w:rPr>
              <w:t>n.r</w:t>
            </w:r>
            <w:proofErr w:type="spellEnd"/>
            <w:r w:rsidRPr="008E0897">
              <w:rPr>
                <w:rFonts w:ascii="Arial" w:hAnsi="Arial"/>
                <w:sz w:val="20"/>
                <w:szCs w:val="20"/>
              </w:rPr>
              <w:t>.</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Chemical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0.1</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0.4</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Rubber and plastic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0.4</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0.4</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non</w:t>
            </w:r>
            <w:r w:rsidRPr="008E0897">
              <w:rPr>
                <w:rFonts w:ascii="Arial" w:hAnsi="Arial"/>
                <w:sz w:val="20"/>
                <w:szCs w:val="20"/>
              </w:rPr>
              <w:noBreakHyphen/>
              <w:t>metal mineral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0.3</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0.7</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Metal products</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0.5</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0.4</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equipment</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0.1</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0.0</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sz w:val="20"/>
                <w:szCs w:val="20"/>
              </w:rPr>
            </w:pPr>
            <w:r w:rsidRPr="008E0897">
              <w:rPr>
                <w:rFonts w:ascii="Arial" w:hAnsi="Arial"/>
                <w:sz w:val="20"/>
                <w:szCs w:val="20"/>
              </w:rPr>
              <w:t>Other manufacturing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sz w:val="20"/>
                <w:szCs w:val="20"/>
              </w:rPr>
            </w:pPr>
            <w:r w:rsidRPr="008E0897">
              <w:rPr>
                <w:rFonts w:ascii="Arial" w:hAnsi="Arial"/>
                <w:sz w:val="20"/>
                <w:szCs w:val="20"/>
              </w:rPr>
              <w:t>0.0</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sz w:val="20"/>
                <w:szCs w:val="20"/>
              </w:rPr>
            </w:pPr>
            <w:r w:rsidRPr="008E0897">
              <w:rPr>
                <w:rFonts w:ascii="Arial" w:hAnsi="Arial"/>
                <w:sz w:val="20"/>
                <w:szCs w:val="20"/>
              </w:rPr>
              <w:t>0.0</w:t>
            </w:r>
          </w:p>
        </w:tc>
      </w:tr>
      <w:tr w:rsidR="00AE4D5A" w:rsidRPr="008E0897" w:rsidTr="008E5E01">
        <w:tc>
          <w:tcPr>
            <w:tcW w:w="2823" w:type="pct"/>
            <w:shd w:val="clear" w:color="auto" w:fill="auto"/>
          </w:tcPr>
          <w:p w:rsidR="00AE4D5A" w:rsidRPr="008E0897" w:rsidRDefault="00AE4D5A" w:rsidP="008E5E01">
            <w:pPr>
              <w:keepNext/>
              <w:keepLines/>
              <w:spacing w:after="40" w:line="220" w:lineRule="atLeast"/>
              <w:ind w:left="6" w:right="113"/>
              <w:rPr>
                <w:rFonts w:ascii="Arial" w:hAnsi="Arial"/>
                <w:b/>
                <w:sz w:val="20"/>
                <w:szCs w:val="20"/>
              </w:rPr>
            </w:pPr>
            <w:r w:rsidRPr="008E0897">
              <w:rPr>
                <w:rFonts w:ascii="Arial" w:hAnsi="Arial"/>
                <w:b/>
                <w:sz w:val="20"/>
                <w:szCs w:val="20"/>
              </w:rPr>
              <w:t>Total costs (agriculture, mining, manufacturing)</w:t>
            </w:r>
          </w:p>
        </w:tc>
        <w:tc>
          <w:tcPr>
            <w:tcW w:w="1129" w:type="pct"/>
            <w:shd w:val="clear" w:color="auto" w:fill="auto"/>
          </w:tcPr>
          <w:p w:rsidR="00AE4D5A" w:rsidRPr="008E0897" w:rsidRDefault="00AE4D5A" w:rsidP="008E5E01">
            <w:pPr>
              <w:keepNext/>
              <w:keepLines/>
              <w:spacing w:after="40" w:line="220" w:lineRule="atLeast"/>
              <w:ind w:left="6" w:right="113"/>
              <w:jc w:val="right"/>
              <w:rPr>
                <w:rFonts w:ascii="Arial" w:hAnsi="Arial"/>
                <w:b/>
                <w:sz w:val="20"/>
                <w:szCs w:val="20"/>
              </w:rPr>
            </w:pPr>
            <w:r w:rsidRPr="008E0897">
              <w:rPr>
                <w:rFonts w:ascii="Arial" w:hAnsi="Arial"/>
                <w:b/>
                <w:sz w:val="20"/>
                <w:szCs w:val="20"/>
              </w:rPr>
              <w:t>0.6</w:t>
            </w:r>
          </w:p>
        </w:tc>
        <w:tc>
          <w:tcPr>
            <w:tcW w:w="1048" w:type="pct"/>
            <w:shd w:val="clear" w:color="auto" w:fill="auto"/>
          </w:tcPr>
          <w:p w:rsidR="00AE4D5A" w:rsidRPr="008E0897" w:rsidRDefault="00AE4D5A" w:rsidP="008E5E01">
            <w:pPr>
              <w:keepNext/>
              <w:keepLines/>
              <w:spacing w:after="40" w:line="220" w:lineRule="atLeast"/>
              <w:ind w:left="6" w:right="28"/>
              <w:jc w:val="right"/>
              <w:rPr>
                <w:rFonts w:ascii="Arial" w:hAnsi="Arial"/>
                <w:b/>
                <w:sz w:val="20"/>
                <w:szCs w:val="20"/>
              </w:rPr>
            </w:pPr>
            <w:r w:rsidRPr="008E0897">
              <w:rPr>
                <w:rFonts w:ascii="Arial" w:hAnsi="Arial"/>
                <w:b/>
                <w:sz w:val="20"/>
                <w:szCs w:val="20"/>
              </w:rPr>
              <w:t>0.2</w:t>
            </w:r>
          </w:p>
        </w:tc>
      </w:tr>
      <w:tr w:rsidR="00AE4D5A" w:rsidRPr="008E0897" w:rsidTr="008E5E01">
        <w:tc>
          <w:tcPr>
            <w:tcW w:w="2823"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rPr>
                <w:rFonts w:ascii="Arial" w:hAnsi="Arial"/>
                <w:b/>
                <w:sz w:val="20"/>
                <w:szCs w:val="20"/>
              </w:rPr>
            </w:pPr>
            <w:r w:rsidRPr="008E0897">
              <w:rPr>
                <w:rFonts w:ascii="Arial" w:hAnsi="Arial"/>
                <w:b/>
                <w:sz w:val="20"/>
                <w:szCs w:val="20"/>
              </w:rPr>
              <w:t>Value added (agriculture, mining, manufacturing)</w:t>
            </w:r>
          </w:p>
        </w:tc>
        <w:tc>
          <w:tcPr>
            <w:tcW w:w="1129" w:type="pct"/>
            <w:tcBorders>
              <w:bottom w:val="single" w:sz="4" w:space="0" w:color="auto"/>
            </w:tcBorders>
            <w:shd w:val="clear" w:color="auto" w:fill="auto"/>
          </w:tcPr>
          <w:p w:rsidR="00AE4D5A" w:rsidRPr="008E0897" w:rsidRDefault="00AE4D5A" w:rsidP="008E5E01">
            <w:pPr>
              <w:keepNext/>
              <w:keepLines/>
              <w:spacing w:after="40" w:line="220" w:lineRule="atLeast"/>
              <w:ind w:left="6" w:right="113"/>
              <w:jc w:val="right"/>
              <w:rPr>
                <w:rFonts w:ascii="Arial" w:hAnsi="Arial"/>
                <w:b/>
                <w:sz w:val="20"/>
                <w:szCs w:val="20"/>
              </w:rPr>
            </w:pPr>
            <w:r w:rsidRPr="008E0897">
              <w:rPr>
                <w:rFonts w:ascii="Arial" w:hAnsi="Arial"/>
                <w:b/>
                <w:sz w:val="20"/>
                <w:szCs w:val="20"/>
              </w:rPr>
              <w:t>1.7</w:t>
            </w:r>
          </w:p>
        </w:tc>
        <w:tc>
          <w:tcPr>
            <w:tcW w:w="1048" w:type="pct"/>
            <w:tcBorders>
              <w:bottom w:val="single" w:sz="4" w:space="0" w:color="auto"/>
            </w:tcBorders>
            <w:shd w:val="clear" w:color="auto" w:fill="auto"/>
          </w:tcPr>
          <w:p w:rsidR="00AE4D5A" w:rsidRPr="008E0897" w:rsidRDefault="00AE4D5A" w:rsidP="008E5E01">
            <w:pPr>
              <w:keepNext/>
              <w:keepLines/>
              <w:spacing w:after="40" w:line="220" w:lineRule="atLeast"/>
              <w:ind w:left="6" w:right="28"/>
              <w:jc w:val="right"/>
              <w:rPr>
                <w:rFonts w:ascii="Arial" w:hAnsi="Arial"/>
                <w:b/>
                <w:sz w:val="20"/>
                <w:szCs w:val="20"/>
              </w:rPr>
            </w:pPr>
            <w:r w:rsidRPr="008E0897">
              <w:rPr>
                <w:rFonts w:ascii="Arial" w:hAnsi="Arial"/>
                <w:b/>
                <w:sz w:val="20"/>
                <w:szCs w:val="20"/>
              </w:rPr>
              <w:t>0.6</w:t>
            </w:r>
          </w:p>
        </w:tc>
      </w:tr>
    </w:tbl>
    <w:p w:rsidR="00AE4D5A" w:rsidRPr="008E0897" w:rsidRDefault="00B734FF" w:rsidP="008E5E01">
      <w:pPr>
        <w:keepLines/>
        <w:spacing w:before="80" w:line="220" w:lineRule="exact"/>
        <w:jc w:val="both"/>
        <w:rPr>
          <w:rFonts w:ascii="Arial" w:hAnsi="Arial"/>
          <w:sz w:val="18"/>
          <w:szCs w:val="20"/>
        </w:rPr>
      </w:pPr>
      <w:r>
        <w:rPr>
          <w:rFonts w:ascii="Arial" w:hAnsi="Arial"/>
          <w:sz w:val="18"/>
          <w:szCs w:val="20"/>
        </w:rPr>
        <w:t>..</w:t>
      </w:r>
      <w:r w:rsidR="00AE4D5A" w:rsidRPr="008E0897">
        <w:rPr>
          <w:rFonts w:ascii="Arial" w:hAnsi="Arial"/>
          <w:sz w:val="18"/>
          <w:szCs w:val="20"/>
        </w:rPr>
        <w:t xml:space="preserve"> = not applicable.</w:t>
      </w:r>
      <w:r w:rsidR="00AE4D5A">
        <w:rPr>
          <w:rFonts w:ascii="Arial" w:hAnsi="Arial"/>
          <w:sz w:val="18"/>
          <w:szCs w:val="20"/>
        </w:rPr>
        <w:t xml:space="preserve"> </w:t>
      </w:r>
      <w:proofErr w:type="spellStart"/>
      <w:r w:rsidR="00AE4D5A" w:rsidRPr="008E0897">
        <w:rPr>
          <w:rFonts w:ascii="Arial" w:hAnsi="Arial"/>
          <w:sz w:val="18"/>
          <w:szCs w:val="20"/>
        </w:rPr>
        <w:t>n.r</w:t>
      </w:r>
      <w:proofErr w:type="spellEnd"/>
      <w:r w:rsidR="00AE4D5A" w:rsidRPr="008E0897">
        <w:rPr>
          <w:rFonts w:ascii="Arial" w:hAnsi="Arial"/>
          <w:sz w:val="18"/>
          <w:szCs w:val="20"/>
        </w:rPr>
        <w:t>. = not recorded as industry costs are unspecified.</w:t>
      </w:r>
    </w:p>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Sources</w:t>
      </w:r>
      <w:r w:rsidRPr="008E0897">
        <w:rPr>
          <w:rFonts w:ascii="Arial" w:hAnsi="Arial"/>
          <w:sz w:val="18"/>
          <w:szCs w:val="20"/>
        </w:rPr>
        <w:t xml:space="preserve">: TFES database (unpublished); </w:t>
      </w:r>
      <w:r w:rsidRPr="008E14EA">
        <w:rPr>
          <w:rFonts w:ascii="Arial" w:hAnsi="Arial" w:cs="Arial"/>
          <w:sz w:val="18"/>
        </w:rPr>
        <w:t>ABS </w:t>
      </w:r>
      <w:r>
        <w:rPr>
          <w:rFonts w:ascii="Arial" w:hAnsi="Arial" w:cs="Arial"/>
          <w:sz w:val="18"/>
        </w:rPr>
        <w:t>(</w:t>
      </w:r>
      <w:r w:rsidRPr="008E14EA">
        <w:rPr>
          <w:rFonts w:ascii="Arial" w:hAnsi="Arial" w:cs="Arial"/>
          <w:sz w:val="18"/>
        </w:rPr>
        <w:t>2013</w:t>
      </w:r>
      <w:r w:rsidR="00BF4A12">
        <w:rPr>
          <w:rFonts w:ascii="Arial" w:hAnsi="Arial" w:cs="Arial"/>
          <w:sz w:val="18"/>
        </w:rPr>
        <w:t>a</w:t>
      </w:r>
      <w:r w:rsidRPr="008E14EA">
        <w:rPr>
          <w:rFonts w:ascii="Arial" w:hAnsi="Arial" w:cs="Arial"/>
          <w:sz w:val="18"/>
        </w:rPr>
        <w:t>)</w:t>
      </w:r>
      <w:r w:rsidRPr="008E0897">
        <w:rPr>
          <w:rFonts w:ascii="Arial" w:hAnsi="Arial"/>
          <w:sz w:val="18"/>
          <w:szCs w:val="20"/>
        </w:rPr>
        <w:t>.</w:t>
      </w:r>
    </w:p>
    <w:p w:rsidR="00AE4D5A" w:rsidRPr="008E0897" w:rsidRDefault="00AE4D5A" w:rsidP="008E5E01">
      <w:pPr>
        <w:keepNext/>
        <w:spacing w:before="480" w:line="320" w:lineRule="exact"/>
        <w:outlineLvl w:val="4"/>
        <w:rPr>
          <w:i/>
          <w:szCs w:val="20"/>
        </w:rPr>
      </w:pPr>
      <w:r w:rsidRPr="008E0897">
        <w:rPr>
          <w:i/>
          <w:szCs w:val="20"/>
        </w:rPr>
        <w:t>Impact of</w:t>
      </w:r>
      <w:r>
        <w:rPr>
          <w:i/>
          <w:szCs w:val="20"/>
        </w:rPr>
        <w:t xml:space="preserve"> the scheme on the Bass Strait i</w:t>
      </w:r>
      <w:r w:rsidRPr="008E0897">
        <w:rPr>
          <w:i/>
          <w:szCs w:val="20"/>
        </w:rPr>
        <w:t>slands</w:t>
      </w:r>
      <w:r>
        <w:rPr>
          <w:i/>
          <w:szCs w:val="20"/>
        </w:rPr>
        <w:t xml:space="preserve"> </w:t>
      </w:r>
    </w:p>
    <w:p w:rsidR="00AE4D5A" w:rsidRDefault="00AE4D5A" w:rsidP="008E5E01">
      <w:pPr>
        <w:spacing w:before="240" w:line="320" w:lineRule="atLeast"/>
        <w:jc w:val="both"/>
        <w:rPr>
          <w:szCs w:val="20"/>
        </w:rPr>
      </w:pPr>
      <w:r w:rsidRPr="008E0897">
        <w:rPr>
          <w:szCs w:val="20"/>
        </w:rPr>
        <w:t>Intrastate claims are a very small proportion of overall claims, representing 0.4 per cent of the number of claim line items and 1.2 per cent of the total amount paid in 2011</w:t>
      </w:r>
      <w:r w:rsidRPr="008E0897">
        <w:rPr>
          <w:szCs w:val="20"/>
        </w:rPr>
        <w:noBreakHyphen/>
        <w:t>12. By amount of assistance paid, the main commodities shipped were cattle and fertiliser. In 2011</w:t>
      </w:r>
      <w:r w:rsidRPr="008E0897">
        <w:rPr>
          <w:szCs w:val="20"/>
        </w:rPr>
        <w:noBreakHyphen/>
        <w:t>12, around 85 per cent of the amount paid out under the intrastate component of the scheme was for southbound</w:t>
      </w:r>
      <w:r w:rsidRPr="008E0897">
        <w:rPr>
          <w:szCs w:val="20"/>
        </w:rPr>
        <w:noBreakHyphen/>
        <w:t>shipped commodities.</w:t>
      </w:r>
      <w:r>
        <w:rPr>
          <w:szCs w:val="20"/>
        </w:rPr>
        <w:t xml:space="preserve"> </w:t>
      </w:r>
    </w:p>
    <w:p w:rsidR="00AE4D5A" w:rsidRDefault="00AE4D5A" w:rsidP="008E5E01">
      <w:pPr>
        <w:spacing w:before="240" w:line="320" w:lineRule="atLeast"/>
        <w:jc w:val="both"/>
        <w:rPr>
          <w:szCs w:val="20"/>
        </w:rPr>
      </w:pPr>
      <w:r>
        <w:rPr>
          <w:szCs w:val="20"/>
        </w:rPr>
        <w:t xml:space="preserve">Following the closure of King Island’s abattoir in 2012, 97 per cent of the King Island area’s product is shipped domestically to get product to market (King Island Shipping Group, trans., p. 416). </w:t>
      </w:r>
    </w:p>
    <w:p w:rsidR="00AE4D5A" w:rsidRDefault="00AE4D5A" w:rsidP="008E5E01">
      <w:pPr>
        <w:spacing w:before="240" w:line="320" w:lineRule="atLeast"/>
        <w:jc w:val="both"/>
        <w:rPr>
          <w:szCs w:val="20"/>
        </w:rPr>
      </w:pPr>
      <w:r w:rsidRPr="008E0897">
        <w:rPr>
          <w:szCs w:val="20"/>
        </w:rPr>
        <w:t xml:space="preserve">Despite the 2008 extension of the scheme to intrastate freight, inquiry participants said that </w:t>
      </w:r>
      <w:r>
        <w:rPr>
          <w:szCs w:val="20"/>
        </w:rPr>
        <w:t xml:space="preserve">freight cost </w:t>
      </w:r>
      <w:r w:rsidRPr="008E0897">
        <w:rPr>
          <w:szCs w:val="20"/>
        </w:rPr>
        <w:t>disadvantages remain.</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tc>
          <w:tcPr>
            <w:tcW w:w="8771" w:type="dxa"/>
            <w:tcBorders>
              <w:top w:val="single" w:sz="6" w:space="0" w:color="auto"/>
              <w:bottom w:val="nil"/>
            </w:tcBorders>
          </w:tcPr>
          <w:p w:rsidR="00AE4D5A" w:rsidRDefault="00AE4D5A" w:rsidP="008E5E01">
            <w:pPr>
              <w:pStyle w:val="BoxTitle"/>
              <w:rPr>
                <w:i/>
              </w:rPr>
            </w:pPr>
            <w:r>
              <w:rPr>
                <w:b w:val="0"/>
              </w:rPr>
              <w:t>Box 3.</w:t>
            </w:r>
            <w:r>
              <w:rPr>
                <w:b w:val="0"/>
                <w:noProof/>
              </w:rPr>
              <w:t>3</w:t>
            </w:r>
            <w:r>
              <w:tab/>
              <w:t>The incidence of a subsidy</w:t>
            </w:r>
          </w:p>
        </w:tc>
      </w:tr>
      <w:tr w:rsidR="00AE4D5A">
        <w:trPr>
          <w:cantSplit/>
        </w:trPr>
        <w:tc>
          <w:tcPr>
            <w:tcW w:w="8771" w:type="dxa"/>
            <w:tcBorders>
              <w:top w:val="nil"/>
              <w:left w:val="single" w:sz="6" w:space="0" w:color="auto"/>
              <w:bottom w:val="nil"/>
              <w:right w:val="single" w:sz="6" w:space="0" w:color="auto"/>
            </w:tcBorders>
          </w:tcPr>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 xml:space="preserve">The economic rationale for a subsidy is to increase the production and consumption of the subsidised good or service. The subsidy increases the quantity produced and consumed from Q, without the subsidy, to QS (panel (a) and panel (b) in figure 3.2). Producers receive a higher price for their goods (an increase from P, the price without the subsidy to </w:t>
            </w:r>
            <w:proofErr w:type="spellStart"/>
            <w:r w:rsidRPr="008E0897">
              <w:rPr>
                <w:rFonts w:ascii="Arial" w:hAnsi="Arial"/>
                <w:sz w:val="22"/>
                <w:szCs w:val="20"/>
              </w:rPr>
              <w:t>PP</w:t>
            </w:r>
            <w:proofErr w:type="spellEnd"/>
            <w:r w:rsidRPr="008E0897">
              <w:rPr>
                <w:rFonts w:ascii="Arial" w:hAnsi="Arial"/>
                <w:sz w:val="22"/>
                <w:szCs w:val="20"/>
              </w:rPr>
              <w:t>, the price with the subsidy) and consumers pay a lower price (a decrease from P to PC, the price with the subsidy). The amount of the subsidy is the difference between the price paid by consumers and the price received by producers.</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Where producers and consumers respond in a similar way to the change in price, the benefit is shared fairly evenly between them. Panel (a) shows the benefit to producers (shaded green) and consumers (shaded blue) to be similar. However, where a producer or consumer is less sensitive to price changes they will receive a greater benefit from the subsidy. This is because the subsidy is less effective at changing behaviour making it more likely that they receive a ‘windfall’ gain. Panel (b) shows that the benefit to producers (shaded green), who are less responsive to the price change than consumers, is larger than that for consumers (shaded blue).</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t>Figure</w:t>
            </w:r>
            <w:r>
              <w:rPr>
                <w:rFonts w:ascii="Arial" w:hAnsi="Arial"/>
                <w:sz w:val="24"/>
              </w:rPr>
              <w:t> </w:t>
            </w:r>
            <w:r w:rsidRPr="008E0897">
              <w:rPr>
                <w:rFonts w:ascii="Arial" w:hAnsi="Arial"/>
                <w:sz w:val="24"/>
              </w:rPr>
              <w:t>3.</w:t>
            </w:r>
            <w:r w:rsidRPr="008E0897">
              <w:rPr>
                <w:rFonts w:ascii="Arial" w:hAnsi="Arial"/>
                <w:noProof/>
                <w:sz w:val="24"/>
              </w:rPr>
              <w:t>2</w:t>
            </w:r>
            <w:r w:rsidRPr="008E0897">
              <w:rPr>
                <w:rFonts w:ascii="Arial" w:hAnsi="Arial"/>
                <w:b/>
                <w:sz w:val="24"/>
              </w:rPr>
              <w:tab/>
              <w:t>The effect of a subsidy</w:t>
            </w:r>
          </w:p>
          <w:p w:rsidR="00AE4D5A" w:rsidRPr="008E0897" w:rsidRDefault="00AE4D5A" w:rsidP="008E5E01">
            <w:pPr>
              <w:keepNext/>
              <w:keepLines/>
              <w:spacing w:after="80" w:line="200" w:lineRule="exact"/>
              <w:ind w:left="1474"/>
              <w:rPr>
                <w:rFonts w:ascii="Arial" w:hAnsi="Arial"/>
                <w:sz w:val="20"/>
              </w:rPr>
            </w:pP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423"/>
            </w:tblGrid>
            <w:tr w:rsidR="00AE4D5A" w:rsidRPr="008E0897" w:rsidTr="008E5E01">
              <w:trPr>
                <w:trHeight w:val="583"/>
              </w:trPr>
              <w:tc>
                <w:tcPr>
                  <w:tcW w:w="8423" w:type="dxa"/>
                </w:tcPr>
                <w:p w:rsidR="00AE4D5A" w:rsidRPr="008E0897" w:rsidRDefault="00AE4D5A" w:rsidP="008E5E01">
                  <w:pPr>
                    <w:keepNext/>
                    <w:spacing w:before="120" w:after="120" w:line="240" w:lineRule="atLeast"/>
                    <w:rPr>
                      <w:rFonts w:ascii="Arial" w:hAnsi="Arial"/>
                      <w:sz w:val="22"/>
                      <w:szCs w:val="20"/>
                    </w:rPr>
                  </w:pPr>
                  <w:r w:rsidRPr="008E0897">
                    <w:rPr>
                      <w:rFonts w:ascii="Arial" w:hAnsi="Arial"/>
                      <w:sz w:val="22"/>
                      <w:szCs w:val="20"/>
                    </w:rPr>
                    <w:t xml:space="preserve">             Panel (a)                                                     Panel (b)</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4"/>
                    <w:gridCol w:w="4204"/>
                  </w:tblGrid>
                  <w:tr w:rsidR="00AE4D5A" w:rsidRPr="008E0897" w:rsidTr="008E5E01">
                    <w:tc>
                      <w:tcPr>
                        <w:tcW w:w="4204" w:type="dxa"/>
                      </w:tcPr>
                      <w:p w:rsidR="00AE4D5A" w:rsidRPr="008E0897" w:rsidRDefault="00AE4D5A" w:rsidP="008E5E01">
                        <w:pPr>
                          <w:keepNext/>
                          <w:spacing w:before="120" w:after="120" w:line="240" w:lineRule="atLeast"/>
                          <w:jc w:val="center"/>
                          <w:rPr>
                            <w:rFonts w:ascii="Arial" w:hAnsi="Arial"/>
                            <w:sz w:val="22"/>
                            <w:szCs w:val="20"/>
                          </w:rPr>
                        </w:pPr>
                        <w:r w:rsidRPr="00B16F01">
                          <w:rPr>
                            <w:rFonts w:ascii="Arial" w:hAnsi="Arial"/>
                            <w:noProof/>
                            <w:sz w:val="22"/>
                            <w:szCs w:val="22"/>
                          </w:rPr>
                          <w:drawing>
                            <wp:inline distT="0" distB="0" distL="0" distR="0" wp14:anchorId="54C0AD04" wp14:editId="7EBA51C2">
                              <wp:extent cx="2078990" cy="2001520"/>
                              <wp:effectExtent l="0" t="0" r="0" b="0"/>
                              <wp:docPr id="30" name="Picture 30" descr="Figure 3.2 The effect of a subsidy. Panel (a) of figure 3.2 shows that the effect of the subsidy is shared equally between producers and consumers when their relative price response is simi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holloway\AppData\Local\Microsoft\Windows\Temporary Internet Files\Content.Word\figure-1.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078990" cy="2001520"/>
                                      </a:xfrm>
                                      <a:prstGeom prst="rect">
                                        <a:avLst/>
                                      </a:prstGeom>
                                      <a:noFill/>
                                      <a:ln>
                                        <a:noFill/>
                                      </a:ln>
                                    </pic:spPr>
                                  </pic:pic>
                                </a:graphicData>
                              </a:graphic>
                            </wp:inline>
                          </w:drawing>
                        </w:r>
                      </w:p>
                    </w:tc>
                    <w:tc>
                      <w:tcPr>
                        <w:tcW w:w="4204" w:type="dxa"/>
                      </w:tcPr>
                      <w:p w:rsidR="00AE4D5A" w:rsidRPr="008E0897" w:rsidRDefault="00AE4D5A" w:rsidP="008E5E01">
                        <w:pPr>
                          <w:keepNext/>
                          <w:spacing w:before="120" w:after="120" w:line="240" w:lineRule="atLeast"/>
                          <w:jc w:val="center"/>
                          <w:rPr>
                            <w:rFonts w:ascii="Arial" w:hAnsi="Arial"/>
                            <w:sz w:val="22"/>
                            <w:szCs w:val="20"/>
                          </w:rPr>
                        </w:pPr>
                        <w:r w:rsidRPr="00B16F01">
                          <w:rPr>
                            <w:rFonts w:ascii="Arial" w:hAnsi="Arial"/>
                            <w:noProof/>
                            <w:sz w:val="22"/>
                            <w:szCs w:val="22"/>
                          </w:rPr>
                          <w:drawing>
                            <wp:inline distT="0" distB="0" distL="0" distR="0" wp14:anchorId="4CDF817A" wp14:editId="357704DB">
                              <wp:extent cx="2156460" cy="2018665"/>
                              <wp:effectExtent l="0" t="0" r="0" b="635"/>
                              <wp:docPr id="31" name="Picture 31" descr="Panel (b) of figure 3.2 shows that producers receive relatively more of the benefit of the subsidy than consumers when producers are relatively less price responsive to the subsidy than consum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holloway\AppData\Local\Microsoft\Windows\Temporary Internet Files\Content.Word\figure-2.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156460" cy="2018665"/>
                                      </a:xfrm>
                                      <a:prstGeom prst="rect">
                                        <a:avLst/>
                                      </a:prstGeom>
                                      <a:noFill/>
                                      <a:ln>
                                        <a:noFill/>
                                      </a:ln>
                                    </pic:spPr>
                                  </pic:pic>
                                </a:graphicData>
                              </a:graphic>
                            </wp:inline>
                          </w:drawing>
                        </w:r>
                      </w:p>
                    </w:tc>
                  </w:tr>
                </w:tbl>
                <w:p w:rsidR="00AE4D5A" w:rsidRPr="008E0897" w:rsidRDefault="00AE4D5A" w:rsidP="008E5E01">
                  <w:pPr>
                    <w:keepNext/>
                    <w:spacing w:before="120" w:after="120" w:line="240" w:lineRule="atLeast"/>
                    <w:jc w:val="center"/>
                    <w:rPr>
                      <w:rFonts w:ascii="Arial" w:hAnsi="Arial"/>
                      <w:sz w:val="22"/>
                      <w:szCs w:val="20"/>
                    </w:rPr>
                  </w:pPr>
                </w:p>
              </w:tc>
            </w:tr>
          </w:tbl>
          <w:p w:rsidR="00AE4D5A" w:rsidRDefault="00AE4D5A">
            <w:pPr>
              <w:pStyle w:val="Box"/>
            </w:pPr>
            <w:r w:rsidRPr="008E0897">
              <w:t>This means that while the benefit of the subsidy is shared between producers and consumers, the extent to which they benefit (the incidence of the subsidy) depends on their relative responsiveness to the price change. In turn, this responsiveness depends on factors including the ability to substitute one set of goods or services for another set of goods and services.</w:t>
            </w:r>
          </w:p>
        </w:tc>
      </w:tr>
      <w:tr w:rsidR="00AE4D5A">
        <w:trPr>
          <w:cantSplit/>
        </w:trPr>
        <w:tc>
          <w:tcPr>
            <w:tcW w:w="8771" w:type="dxa"/>
            <w:tcBorders>
              <w:top w:val="nil"/>
              <w:left w:val="single" w:sz="6" w:space="0" w:color="auto"/>
              <w:bottom w:val="single" w:sz="6" w:space="0" w:color="auto"/>
              <w:right w:val="single" w:sz="6" w:space="0" w:color="auto"/>
            </w:tcBorders>
          </w:tcPr>
          <w:p w:rsidR="00AE4D5A" w:rsidRDefault="00AE4D5A">
            <w:pPr>
              <w:pStyle w:val="Box"/>
              <w:spacing w:before="0" w:line="120" w:lineRule="exact"/>
            </w:pPr>
          </w:p>
        </w:tc>
      </w:tr>
    </w:tbl>
    <w:p w:rsidR="00AE4D5A" w:rsidRPr="008E0897" w:rsidRDefault="00AE4D5A" w:rsidP="008E5E01">
      <w:pPr>
        <w:spacing w:before="240" w:line="320" w:lineRule="atLeast"/>
        <w:jc w:val="both"/>
        <w:rPr>
          <w:szCs w:val="20"/>
        </w:rPr>
      </w:pPr>
      <w:r w:rsidRPr="008E0897">
        <w:rPr>
          <w:szCs w:val="20"/>
        </w:rPr>
        <w:t>Flinders Council said that air freight as well as sea freight was considered critical to ensure sustainable access for the region (sub. 23). Air transport is eligible for the subsidy in very limited circumstances such as when a shipping service is not available due to industrial dispute, mechanical failure or vessel maintenance.</w:t>
      </w:r>
    </w:p>
    <w:p w:rsidR="00AE4D5A" w:rsidRPr="008E0897" w:rsidRDefault="00AE4D5A" w:rsidP="008E5E01">
      <w:pPr>
        <w:spacing w:before="240" w:line="320" w:lineRule="atLeast"/>
        <w:jc w:val="both"/>
        <w:rPr>
          <w:szCs w:val="20"/>
        </w:rPr>
      </w:pPr>
      <w:r w:rsidRPr="008E0897">
        <w:rPr>
          <w:szCs w:val="20"/>
        </w:rPr>
        <w:lastRenderedPageBreak/>
        <w:t xml:space="preserve">The Commission notes that adopting a level of assistance reflecting BITRE’s 2013 estimation of the freight cost disadvantage for </w:t>
      </w:r>
      <w:r>
        <w:rPr>
          <w:szCs w:val="20"/>
        </w:rPr>
        <w:t xml:space="preserve">the </w:t>
      </w:r>
      <w:r w:rsidRPr="008E0897">
        <w:rPr>
          <w:szCs w:val="20"/>
        </w:rPr>
        <w:t>Bass Strait islands would increase the subsidy to King Island and reduce it for the Furneaux Group of islands. This reflects changes in the sea freight cost and road freight equivalent cost per TEU. As noted in chapter 2, payment rates</w:t>
      </w:r>
      <w:r>
        <w:rPr>
          <w:szCs w:val="20"/>
        </w:rPr>
        <w:t xml:space="preserve"> should be determined following rate reviews, informed by a public process, and with appropriate</w:t>
      </w:r>
      <w:r w:rsidRPr="008E0897">
        <w:rPr>
          <w:szCs w:val="20"/>
        </w:rPr>
        <w:t xml:space="preserve"> transitional arrangements</w:t>
      </w:r>
      <w:r>
        <w:rPr>
          <w:szCs w:val="20"/>
        </w:rPr>
        <w:t xml:space="preserve"> determined as part of the review process.</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Bass Strait Passenger Vehicle Equalisation Scheme</w:t>
      </w:r>
      <w:r>
        <w:rPr>
          <w:rFonts w:ascii="Arial" w:hAnsi="Arial"/>
          <w:b/>
          <w:szCs w:val="20"/>
        </w:rPr>
        <w:t xml:space="preserve"> </w:t>
      </w:r>
    </w:p>
    <w:p w:rsidR="00AE4D5A" w:rsidRPr="008E0897" w:rsidRDefault="00AE4D5A" w:rsidP="008E5E01">
      <w:pPr>
        <w:spacing w:before="240" w:line="320" w:lineRule="atLeast"/>
        <w:jc w:val="both"/>
        <w:rPr>
          <w:szCs w:val="20"/>
        </w:rPr>
      </w:pPr>
      <w:r w:rsidRPr="008E0897">
        <w:rPr>
          <w:szCs w:val="20"/>
        </w:rPr>
        <w:t>The Tasmanian Government</w:t>
      </w:r>
      <w:r w:rsidRPr="008E0897">
        <w:rPr>
          <w:szCs w:val="20"/>
        </w:rPr>
        <w:noBreakHyphen/>
        <w:t>owned TT</w:t>
      </w:r>
      <w:r w:rsidRPr="008E0897">
        <w:rPr>
          <w:szCs w:val="20"/>
        </w:rPr>
        <w:noBreakHyphen/>
        <w:t>Line dominates the Bass Strait passenger vehicle transport market carrying more than 99 per cent of passengers accompanying eligible motor vehicles in 2011</w:t>
      </w:r>
      <w:r w:rsidRPr="008E0897">
        <w:rPr>
          <w:szCs w:val="20"/>
        </w:rPr>
        <w:noBreakHyphen/>
        <w:t>12 and 2012</w:t>
      </w:r>
      <w:r w:rsidRPr="008E0897">
        <w:rPr>
          <w:szCs w:val="20"/>
        </w:rPr>
        <w:noBreakHyphen/>
        <w:t xml:space="preserve">13 </w:t>
      </w:r>
      <w:r w:rsidRPr="00720167">
        <w:t>(BITRE 2014)</w:t>
      </w:r>
      <w:r w:rsidRPr="008E0897">
        <w:rPr>
          <w:szCs w:val="20"/>
        </w:rPr>
        <w:t xml:space="preserve">. SeaRoad Holdings was the </w:t>
      </w:r>
      <w:r>
        <w:rPr>
          <w:szCs w:val="20"/>
        </w:rPr>
        <w:t xml:space="preserve">only </w:t>
      </w:r>
      <w:r w:rsidRPr="008E0897">
        <w:rPr>
          <w:szCs w:val="20"/>
        </w:rPr>
        <w:t>other operator providing (very limited</w:t>
      </w:r>
      <w:r>
        <w:rPr>
          <w:szCs w:val="20"/>
        </w:rPr>
        <w:t xml:space="preserve"> vehicle only) Bass Strait </w:t>
      </w:r>
      <w:r w:rsidRPr="008E0897">
        <w:rPr>
          <w:szCs w:val="20"/>
        </w:rPr>
        <w:t>services. TT</w:t>
      </w:r>
      <w:r w:rsidRPr="008E0897">
        <w:rPr>
          <w:szCs w:val="20"/>
        </w:rPr>
        <w:noBreakHyphen/>
        <w:t xml:space="preserve">Line’s ships are licensed to carry up to 1400 people and 500 vehicles and </w:t>
      </w:r>
      <w:r>
        <w:rPr>
          <w:szCs w:val="20"/>
        </w:rPr>
        <w:t>have a freight capacity of 160 TEUs per vessel</w:t>
      </w:r>
      <w:r w:rsidRPr="008E0897">
        <w:rPr>
          <w:szCs w:val="20"/>
        </w:rPr>
        <w:t>. TT</w:t>
      </w:r>
      <w:r w:rsidRPr="008E0897">
        <w:rPr>
          <w:szCs w:val="20"/>
        </w:rPr>
        <w:noBreakHyphen/>
        <w:t>Line provides travel options for those wishing to cross Bass Strait with their vehicle on day trips, or on overnight crossings with accommodation and entertainment options.</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Who benefits from the subsidy?</w:t>
      </w:r>
    </w:p>
    <w:p w:rsidR="00AE4D5A" w:rsidRDefault="00AE4D5A" w:rsidP="008E5E01">
      <w:pPr>
        <w:spacing w:before="240" w:line="320" w:lineRule="atLeast"/>
        <w:jc w:val="both"/>
        <w:rPr>
          <w:szCs w:val="20"/>
        </w:rPr>
      </w:pPr>
      <w:r w:rsidRPr="008E0897">
        <w:rPr>
          <w:szCs w:val="20"/>
        </w:rPr>
        <w:t>Around 330 700 passengers travelled on TT</w:t>
      </w:r>
      <w:r w:rsidRPr="008E0897">
        <w:rPr>
          <w:szCs w:val="20"/>
        </w:rPr>
        <w:noBreakHyphen/>
        <w:t>Line in 2012</w:t>
      </w:r>
      <w:r w:rsidRPr="008E0897">
        <w:rPr>
          <w:szCs w:val="20"/>
        </w:rPr>
        <w:noBreakHyphen/>
        <w:t xml:space="preserve">13 with reimbursements that year for around 151 900 eligible vehicles </w:t>
      </w:r>
      <w:r w:rsidRPr="008E0897">
        <w:t>(TT</w:t>
      </w:r>
      <w:r>
        <w:noBreakHyphen/>
      </w:r>
      <w:r w:rsidRPr="008E0897">
        <w:t>Line 2013</w:t>
      </w:r>
      <w:r w:rsidRPr="008E0897">
        <w:rPr>
          <w:szCs w:val="20"/>
        </w:rPr>
        <w:t xml:space="preserve">, </w:t>
      </w:r>
      <w:r w:rsidRPr="008E0897">
        <w:t>BITRE 2014)</w:t>
      </w:r>
      <w:r w:rsidRPr="008E0897">
        <w:rPr>
          <w:szCs w:val="20"/>
        </w:rPr>
        <w:t>. The number of people travelling by sea in 2012</w:t>
      </w:r>
      <w:r w:rsidRPr="008E0897">
        <w:rPr>
          <w:szCs w:val="20"/>
        </w:rPr>
        <w:noBreakHyphen/>
        <w:t>13 was 9.3 per cent lower than in 2011</w:t>
      </w:r>
      <w:r w:rsidRPr="008E0897">
        <w:rPr>
          <w:szCs w:val="20"/>
        </w:rPr>
        <w:noBreakHyphen/>
        <w:t>12, and fell to levels not seen since 2000</w:t>
      </w:r>
      <w:r w:rsidRPr="008E0897">
        <w:rPr>
          <w:szCs w:val="20"/>
        </w:rPr>
        <w:noBreakHyphen/>
        <w:t>01 following a decrease of more than 17 per cent in 2011</w:t>
      </w:r>
      <w:r w:rsidRPr="008E0897">
        <w:rPr>
          <w:szCs w:val="20"/>
        </w:rPr>
        <w:noBreakHyphen/>
        <w:t xml:space="preserve">12 </w:t>
      </w:r>
      <w:r w:rsidRPr="00DB749F">
        <w:t>(BITRE 2014)</w:t>
      </w:r>
      <w:r w:rsidRPr="008E0897">
        <w:rPr>
          <w:szCs w:val="20"/>
        </w:rPr>
        <w:t>.</w:t>
      </w:r>
    </w:p>
    <w:p w:rsidR="00AE4D5A" w:rsidRDefault="00AE4D5A" w:rsidP="008E5E01">
      <w:pPr>
        <w:spacing w:before="240" w:line="320" w:lineRule="atLeast"/>
        <w:jc w:val="both"/>
        <w:rPr>
          <w:szCs w:val="20"/>
        </w:rPr>
      </w:pPr>
      <w:r>
        <w:rPr>
          <w:szCs w:val="20"/>
        </w:rPr>
        <w:t xml:space="preserve">According to the Tourism Industry Council Tasmania (TICT), 40 per cent of the scheme’s beneficiaries are Tasmanian outbound motorists (trans., p. 96), that is, Tasmanian residents travelling to the mainland with their vehicle. </w:t>
      </w:r>
    </w:p>
    <w:p w:rsidR="00AE4D5A" w:rsidRPr="008E0897" w:rsidRDefault="00AE4D5A" w:rsidP="008E5E01">
      <w:pPr>
        <w:spacing w:before="240" w:line="320" w:lineRule="atLeast"/>
        <w:jc w:val="both"/>
        <w:rPr>
          <w:szCs w:val="20"/>
        </w:rPr>
      </w:pPr>
      <w:r w:rsidRPr="008E0897">
        <w:rPr>
          <w:szCs w:val="20"/>
        </w:rPr>
        <w:t xml:space="preserve">BITRE data </w:t>
      </w:r>
      <w:r>
        <w:rPr>
          <w:szCs w:val="20"/>
        </w:rPr>
        <w:t>indicate</w:t>
      </w:r>
      <w:r w:rsidRPr="008E0897">
        <w:rPr>
          <w:szCs w:val="20"/>
        </w:rPr>
        <w:t xml:space="preserve"> that the </w:t>
      </w:r>
      <w:r>
        <w:rPr>
          <w:szCs w:val="20"/>
        </w:rPr>
        <w:t>main</w:t>
      </w:r>
      <w:r w:rsidRPr="008E0897">
        <w:rPr>
          <w:szCs w:val="20"/>
        </w:rPr>
        <w:t xml:space="preserve"> growth areas for vehicles using the subsidy has been vehicles with caravans or motor homes. Participants at the December inquiry roundtables</w:t>
      </w:r>
      <w:r>
        <w:rPr>
          <w:szCs w:val="20"/>
        </w:rPr>
        <w:t xml:space="preserve"> and the Tasmanian Government</w:t>
      </w:r>
      <w:r w:rsidRPr="008E0897">
        <w:rPr>
          <w:szCs w:val="20"/>
        </w:rPr>
        <w:t xml:space="preserve"> advised that the passengers of these vehicles were likely to be ‘grey nomads’</w:t>
      </w:r>
      <w:r>
        <w:rPr>
          <w:szCs w:val="20"/>
        </w:rPr>
        <w:t xml:space="preserve"> (sub. </w:t>
      </w:r>
      <w:proofErr w:type="spellStart"/>
      <w:r>
        <w:rPr>
          <w:szCs w:val="20"/>
        </w:rPr>
        <w:t>DR85</w:t>
      </w:r>
      <w:proofErr w:type="spellEnd"/>
      <w:r>
        <w:rPr>
          <w:szCs w:val="20"/>
        </w:rPr>
        <w:t>)</w:t>
      </w:r>
      <w:r w:rsidRPr="008E0897">
        <w:rPr>
          <w:szCs w:val="20"/>
        </w:rPr>
        <w:t>. Between 2002 when these vehicles became eligible for the subsidy and 2012</w:t>
      </w:r>
      <w:r w:rsidRPr="008E0897">
        <w:rPr>
          <w:szCs w:val="20"/>
        </w:rPr>
        <w:noBreakHyphen/>
        <w:t>13, vehicles with caravans had grown by 42 per cent, and motor homes had grown by 34 per cent, to comprise 7</w:t>
      </w:r>
      <w:r>
        <w:rPr>
          <w:szCs w:val="20"/>
        </w:rPr>
        <w:t> </w:t>
      </w:r>
      <w:r w:rsidRPr="008E0897">
        <w:rPr>
          <w:szCs w:val="20"/>
        </w:rPr>
        <w:t xml:space="preserve">per cent and 5 per cent of eligible vehicles respectively </w:t>
      </w:r>
      <w:r w:rsidRPr="00AE4852">
        <w:t>(BITRE 2014)</w:t>
      </w:r>
      <w:r w:rsidRPr="008E0897">
        <w:rPr>
          <w:szCs w:val="20"/>
        </w:rPr>
        <w:t xml:space="preserve">. </w:t>
      </w:r>
      <w:r>
        <w:rPr>
          <w:szCs w:val="20"/>
        </w:rPr>
        <w:t xml:space="preserve">As such the ‘grey nomads’ represent a growing but minority share of the eligible vehicle scheme recipients. </w:t>
      </w:r>
      <w:r w:rsidRPr="008E0897">
        <w:rPr>
          <w:szCs w:val="20"/>
        </w:rPr>
        <w:t xml:space="preserve">By contrast, the number of motor cars fell by 37 per cent over the same period </w:t>
      </w:r>
      <w:r w:rsidRPr="00557611">
        <w:t>(BITRE 2014)</w:t>
      </w:r>
      <w:r w:rsidRPr="008E0897">
        <w:rPr>
          <w:szCs w:val="20"/>
        </w:rPr>
        <w:t xml:space="preserve">. </w:t>
      </w:r>
    </w:p>
    <w:p w:rsidR="00AE4D5A" w:rsidRPr="008E0897" w:rsidRDefault="00AE4D5A" w:rsidP="008E5E01">
      <w:pPr>
        <w:spacing w:before="240" w:line="320" w:lineRule="atLeast"/>
        <w:jc w:val="both"/>
        <w:rPr>
          <w:szCs w:val="20"/>
        </w:rPr>
      </w:pPr>
      <w:r>
        <w:rPr>
          <w:szCs w:val="20"/>
        </w:rPr>
        <w:lastRenderedPageBreak/>
        <w:t>TICT</w:t>
      </w:r>
      <w:r w:rsidRPr="008E0897">
        <w:rPr>
          <w:szCs w:val="20"/>
        </w:rPr>
        <w:t>, Tourism and Transport Forum, and Cradle Coast Tourism Executive stated that the traditional touring market remains critically important to Tasmania’s tourism industry and economy (sub. 48). Tourism Research Australia indicates that there were around 1.3 million visitors to areas in Tasmania outside Hobart in 2012</w:t>
      </w:r>
      <w:r w:rsidRPr="008E0897">
        <w:rPr>
          <w:szCs w:val="20"/>
        </w:rPr>
        <w:noBreakHyphen/>
        <w:t>13, generating 48 per cent of total domestic overnight visitor expenditure in Tasmania, excluding airfares and long distance transport costs</w:t>
      </w:r>
      <w:r w:rsidRPr="008E0897">
        <w:t xml:space="preserve"> </w:t>
      </w:r>
      <w:r w:rsidRPr="001371D0">
        <w:t>(Tourism Research Australia 2013)</w:t>
      </w:r>
      <w:r w:rsidRPr="008E0897">
        <w:rPr>
          <w:szCs w:val="20"/>
        </w:rPr>
        <w:t>. To provide a sense of contribution, some 18 000 vehicles with caravans or motor homes were eligible vehicles transported by TT</w:t>
      </w:r>
      <w:r w:rsidRPr="008E0897">
        <w:rPr>
          <w:szCs w:val="20"/>
        </w:rPr>
        <w:noBreakHyphen/>
        <w:t>Line to Tasmania in 2012</w:t>
      </w:r>
      <w:r w:rsidRPr="008E0897">
        <w:rPr>
          <w:szCs w:val="20"/>
        </w:rPr>
        <w:noBreakHyphen/>
        <w:t xml:space="preserve">13 </w:t>
      </w:r>
      <w:r w:rsidRPr="009401B2">
        <w:t>(BITRE 2014)</w:t>
      </w:r>
      <w:r w:rsidRPr="008E0897">
        <w:rPr>
          <w:szCs w:val="20"/>
        </w:rPr>
        <w:t>.</w:t>
      </w:r>
    </w:p>
    <w:p w:rsidR="00AE4D5A" w:rsidRPr="008E0897" w:rsidRDefault="00AE4D5A" w:rsidP="008E5E01">
      <w:pPr>
        <w:spacing w:before="240" w:line="320" w:lineRule="atLeast"/>
        <w:jc w:val="both"/>
        <w:rPr>
          <w:szCs w:val="20"/>
        </w:rPr>
      </w:pPr>
      <w:r w:rsidRPr="008E0897">
        <w:rPr>
          <w:szCs w:val="20"/>
        </w:rPr>
        <w:t>One unintended consequence of the scheme, suggested by Austrade, was that passengers travelling with their own vehicles provide competition for hire car companies which put downward pressure on hire car prices (sub. 41).</w:t>
      </w:r>
    </w:p>
    <w:p w:rsidR="00AE4D5A" w:rsidRPr="008E0897" w:rsidRDefault="00AE4D5A" w:rsidP="008E5E01">
      <w:pPr>
        <w:spacing w:before="240" w:line="320" w:lineRule="atLeast"/>
        <w:jc w:val="both"/>
        <w:rPr>
          <w:szCs w:val="20"/>
        </w:rPr>
      </w:pPr>
      <w:r w:rsidRPr="008E0897">
        <w:rPr>
          <w:szCs w:val="20"/>
        </w:rPr>
        <w:t>A further unintended consequence of the subsidy could be that part of the benefit of the subsidy is inevitably captured by TT</w:t>
      </w:r>
      <w:r w:rsidRPr="008E0897">
        <w:rPr>
          <w:szCs w:val="20"/>
        </w:rPr>
        <w:noBreakHyphen/>
        <w:t xml:space="preserve">Line </w:t>
      </w:r>
      <w:r>
        <w:rPr>
          <w:szCs w:val="20"/>
        </w:rPr>
        <w:t xml:space="preserve">(as previously discussed) </w:t>
      </w:r>
      <w:r w:rsidRPr="008E0897">
        <w:rPr>
          <w:szCs w:val="20"/>
        </w:rPr>
        <w:t>thereby diluting the subsidy’s effectiveness</w:t>
      </w:r>
      <w:r>
        <w:rPr>
          <w:szCs w:val="20"/>
        </w:rPr>
        <w:t>.</w:t>
      </w:r>
    </w:p>
    <w:p w:rsidR="00AE4D5A" w:rsidRPr="008E0897" w:rsidRDefault="00AE4D5A" w:rsidP="008E5E01">
      <w:pPr>
        <w:keepNext/>
        <w:spacing w:before="600" w:line="400" w:lineRule="exact"/>
        <w:ind w:left="907" w:hanging="907"/>
        <w:outlineLvl w:val="1"/>
        <w:rPr>
          <w:rFonts w:ascii="Arial" w:hAnsi="Arial"/>
          <w:b/>
          <w:sz w:val="32"/>
          <w:szCs w:val="20"/>
        </w:rPr>
      </w:pPr>
      <w:r w:rsidRPr="008E0897">
        <w:rPr>
          <w:rFonts w:ascii="Arial" w:hAnsi="Arial"/>
          <w:b/>
          <w:sz w:val="32"/>
          <w:szCs w:val="20"/>
        </w:rPr>
        <w:t>3.</w:t>
      </w:r>
      <w:r w:rsidRPr="008E0897">
        <w:rPr>
          <w:rFonts w:ascii="Arial" w:hAnsi="Arial"/>
          <w:b/>
          <w:noProof/>
          <w:sz w:val="32"/>
          <w:szCs w:val="20"/>
        </w:rPr>
        <w:t>3</w:t>
      </w:r>
      <w:r w:rsidRPr="008E0897">
        <w:rPr>
          <w:rFonts w:ascii="Arial" w:hAnsi="Arial"/>
          <w:b/>
          <w:sz w:val="32"/>
          <w:szCs w:val="20"/>
        </w:rPr>
        <w:tab/>
        <w:t>Effectiveness of the schemes</w:t>
      </w:r>
    </w:p>
    <w:p w:rsidR="00AE4D5A" w:rsidRDefault="00AE4D5A" w:rsidP="008E5E01">
      <w:pPr>
        <w:pStyle w:val="BodyText"/>
      </w:pPr>
      <w:r>
        <w:t xml:space="preserve">There is no coherent economic rationale for the TFES. </w:t>
      </w:r>
      <w:r w:rsidRPr="00D029D0">
        <w:t xml:space="preserve">The reference to equalisation in </w:t>
      </w:r>
      <w:r>
        <w:t xml:space="preserve">the TFES and BSPVES </w:t>
      </w:r>
      <w:r w:rsidRPr="00D029D0">
        <w:t>misleadingly implies ‘full’ compensation for the cost disadvantage which is not inherent in th</w:t>
      </w:r>
      <w:r>
        <w:t>e design and operation of the schemes. The TFES phases out payments as the level of disadvantage increases to encourage shippers to seek lower freight costs, and therefore does not fully compensate all shippers for their parameter</w:t>
      </w:r>
      <w:r>
        <w:noBreakHyphen/>
        <w:t xml:space="preserve">determined ‘sea freight disadvantage’. As such, the schemes as designed and administered are not consistent with an objective of full equalisation which is arguably unattainable. </w:t>
      </w:r>
    </w:p>
    <w:p w:rsidR="00AE4D5A" w:rsidRDefault="00AE4D5A" w:rsidP="008E5E01">
      <w:pPr>
        <w:pStyle w:val="BodyText"/>
      </w:pPr>
      <w:r>
        <w:t>The purpose of the scheme was misunderstood by many participants as offsetting increasing or absolute freight costs, rather than mitigating the relative and notional cost disadvantage of moving freight by sea (box 3.5).</w:t>
      </w:r>
    </w:p>
    <w:p w:rsidR="00AE4D5A" w:rsidRPr="008E0897" w:rsidRDefault="00AE4D5A" w:rsidP="008E5E01">
      <w:pPr>
        <w:spacing w:before="240" w:line="320" w:lineRule="atLeast"/>
        <w:jc w:val="both"/>
        <w:rPr>
          <w:szCs w:val="20"/>
        </w:rPr>
      </w:pPr>
      <w:r w:rsidRPr="008E0897">
        <w:rPr>
          <w:szCs w:val="20"/>
        </w:rPr>
        <w:t xml:space="preserve">The Australian Government’s stated </w:t>
      </w:r>
      <w:r>
        <w:rPr>
          <w:szCs w:val="20"/>
        </w:rPr>
        <w:t xml:space="preserve">current </w:t>
      </w:r>
      <w:r w:rsidRPr="008E0897">
        <w:rPr>
          <w:szCs w:val="20"/>
        </w:rPr>
        <w:t xml:space="preserve">intention is to retain the TFES and BSPVES. The terms of reference request that the Commission assess the effectiveness of the current schemes and recommend appropriate future approaches. </w:t>
      </w:r>
      <w:r>
        <w:t>As requested by the terms of reference, this report canvasses possible improvements to the schemes that would go some way to correcting the identified deficiencies. These are largely focused on addressing some of the perverse incentives created by the scheme while reducing complexity, and thereby lowering the compliance burden on businesses and administrative costs to government.</w:t>
      </w:r>
    </w:p>
    <w:p w:rsidR="00AE4D5A" w:rsidRPr="008E0897" w:rsidRDefault="00AE4D5A" w:rsidP="008E5E01">
      <w:pPr>
        <w:spacing w:before="240" w:line="320" w:lineRule="atLeast"/>
        <w:jc w:val="both"/>
        <w:rPr>
          <w:szCs w:val="20"/>
        </w:rPr>
      </w:pPr>
      <w:r w:rsidRPr="008E0897">
        <w:rPr>
          <w:szCs w:val="20"/>
        </w:rPr>
        <w:lastRenderedPageBreak/>
        <w:t>Some of the inherent deficiencies associated with the scheme</w:t>
      </w:r>
      <w:r>
        <w:rPr>
          <w:szCs w:val="20"/>
        </w:rPr>
        <w:t>s</w:t>
      </w:r>
      <w:r w:rsidRPr="008E0897">
        <w:rPr>
          <w:szCs w:val="20"/>
        </w:rPr>
        <w:t xml:space="preserve"> will not be eradicated. </w:t>
      </w:r>
      <w:r>
        <w:rPr>
          <w:szCs w:val="20"/>
        </w:rPr>
        <w:t>In relation to the TFES, the</w:t>
      </w:r>
      <w:r w:rsidRPr="008E0897">
        <w:rPr>
          <w:szCs w:val="20"/>
        </w:rPr>
        <w:t xml:space="preserve"> scheme design relies on eligibility </w:t>
      </w:r>
      <w:r>
        <w:rPr>
          <w:szCs w:val="20"/>
        </w:rPr>
        <w:t>criteria</w:t>
      </w:r>
      <w:r w:rsidRPr="008E0897">
        <w:rPr>
          <w:szCs w:val="20"/>
        </w:rPr>
        <w:t xml:space="preserve"> </w:t>
      </w:r>
      <w:r>
        <w:rPr>
          <w:szCs w:val="20"/>
        </w:rPr>
        <w:t>that</w:t>
      </w:r>
      <w:r w:rsidRPr="008E0897">
        <w:rPr>
          <w:szCs w:val="20"/>
        </w:rPr>
        <w:t xml:space="preserve"> </w:t>
      </w:r>
      <w:r>
        <w:rPr>
          <w:szCs w:val="20"/>
        </w:rPr>
        <w:t>appear</w:t>
      </w:r>
      <w:r w:rsidRPr="008E0897">
        <w:rPr>
          <w:szCs w:val="20"/>
        </w:rPr>
        <w:t xml:space="preserve"> arbitrary. Any eligibility rules place limits on the extent to which changing the scheme design can address these issues. </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Tasmanian Freight Equalisation Scheme</w:t>
      </w:r>
    </w:p>
    <w:p w:rsidR="00AE4D5A" w:rsidRPr="008E0897" w:rsidRDefault="00AE4D5A" w:rsidP="008E5E01">
      <w:pPr>
        <w:pStyle w:val="Heading4"/>
      </w:pPr>
      <w:r>
        <w:t>Scheme incentives</w:t>
      </w:r>
    </w:p>
    <w:p w:rsidR="00AE4D5A" w:rsidRDefault="00AE4D5A" w:rsidP="008E5E01">
      <w:pPr>
        <w:spacing w:before="240" w:line="320" w:lineRule="atLeast"/>
        <w:jc w:val="both"/>
        <w:rPr>
          <w:szCs w:val="20"/>
        </w:rPr>
      </w:pPr>
      <w:r>
        <w:rPr>
          <w:szCs w:val="20"/>
        </w:rPr>
        <w:t>Inherent in the scheme is the perverse incentive that as the movement of freight on the mainland becomes more efficient, the cost disadvantage is estimated to increase leading to an increase in the rate of the subsidy. This dilutes the incentive to increase the efficiency of freight movements across Bass Strait.</w:t>
      </w:r>
    </w:p>
    <w:p w:rsidR="00AE4D5A" w:rsidRPr="008E0897" w:rsidRDefault="00AE4D5A">
      <w:pPr>
        <w:spacing w:before="240" w:line="320" w:lineRule="atLeast"/>
        <w:jc w:val="both"/>
        <w:rPr>
          <w:szCs w:val="20"/>
        </w:rPr>
      </w:pPr>
      <w:r>
        <w:rPr>
          <w:szCs w:val="20"/>
        </w:rPr>
        <w:t>Businesses also change their behaviour to access and maximise the value of assistance under the scheme — an incentive created by the</w:t>
      </w:r>
      <w:r w:rsidRPr="008E0897">
        <w:rPr>
          <w:szCs w:val="20"/>
        </w:rPr>
        <w:t xml:space="preserve"> ‘dividing</w:t>
      </w:r>
      <w:r>
        <w:rPr>
          <w:szCs w:val="20"/>
        </w:rPr>
        <w:t xml:space="preserve"> lines’ for eligibility through:</w:t>
      </w:r>
    </w:p>
    <w:p w:rsidR="00AE4D5A" w:rsidRPr="00EC4660" w:rsidRDefault="00AE4D5A">
      <w:pPr>
        <w:pStyle w:val="ListBullet"/>
      </w:pPr>
      <w:r w:rsidRPr="00EC4660">
        <w:t>the exclusion for exports — the Commission heard anecdotal evidence that this encourages manufacturing processes on the mainland prior to export to access the subsidy</w:t>
      </w:r>
    </w:p>
    <w:p w:rsidR="00AE4D5A" w:rsidRPr="00EC4660" w:rsidRDefault="00AE4D5A">
      <w:pPr>
        <w:pStyle w:val="ListBullet"/>
      </w:pPr>
      <w:r w:rsidRPr="00EC4660">
        <w:t>the scheme’s coverage for bulk and non</w:t>
      </w:r>
      <w:r w:rsidRPr="00EC4660">
        <w:noBreakHyphen/>
        <w:t>bulk goods under the southbound component of the scheme — wheat and other bulk goods have been shipped in containers to be eligible for the subsidy</w:t>
      </w:r>
    </w:p>
    <w:p w:rsidR="00AE4D5A" w:rsidRPr="00EC4660" w:rsidRDefault="00AE4D5A">
      <w:pPr>
        <w:pStyle w:val="ListBullet"/>
      </w:pPr>
      <w:r>
        <w:t>rules under</w:t>
      </w:r>
      <w:r w:rsidRPr="00EC4660">
        <w:t xml:space="preserve"> the southbound component of the scheme, which </w:t>
      </w:r>
      <w:r>
        <w:t>are</w:t>
      </w:r>
      <w:r w:rsidRPr="00EC4660">
        <w:t xml:space="preserve"> based on the ANZSIC division </w:t>
      </w:r>
      <w:r>
        <w:t>a</w:t>
      </w:r>
      <w:r w:rsidRPr="00EC4660">
        <w:t xml:space="preserve"> business belongs to — evidence was presented that this discourages vertically integrated business structures.</w:t>
      </w:r>
    </w:p>
    <w:p w:rsidR="00AE4D5A" w:rsidRDefault="00AE4D5A" w:rsidP="008E5E01">
      <w:pPr>
        <w:spacing w:before="240" w:line="320" w:lineRule="atLeast"/>
        <w:jc w:val="both"/>
        <w:rPr>
          <w:szCs w:val="20"/>
        </w:rPr>
      </w:pPr>
      <w:r w:rsidRPr="008E0897">
        <w:rPr>
          <w:szCs w:val="20"/>
        </w:rPr>
        <w:t>These boundaries are creating perverse incentives and distortions in economic activity and business inefficiencies.</w:t>
      </w:r>
      <w:r>
        <w:rPr>
          <w:szCs w:val="20"/>
        </w:rPr>
        <w:t xml:space="preserve"> </w:t>
      </w:r>
    </w:p>
    <w:p w:rsidR="00AE4D5A" w:rsidRDefault="00AE4D5A" w:rsidP="008E5E01">
      <w:pPr>
        <w:pStyle w:val="Heading5"/>
      </w:pPr>
      <w:r>
        <w:t>Incentives to minimise shipping costs</w:t>
      </w:r>
    </w:p>
    <w:p w:rsidR="00AE4D5A" w:rsidRDefault="00AE4D5A" w:rsidP="008E5E01">
      <w:pPr>
        <w:spacing w:before="240" w:line="320" w:lineRule="atLeast"/>
        <w:jc w:val="both"/>
        <w:rPr>
          <w:szCs w:val="20"/>
        </w:rPr>
      </w:pPr>
      <w:r>
        <w:rPr>
          <w:szCs w:val="20"/>
        </w:rPr>
        <w:t>In 2006, the Commission</w:t>
      </w:r>
      <w:r w:rsidRPr="008E0897">
        <w:rPr>
          <w:szCs w:val="20"/>
        </w:rPr>
        <w:t xml:space="preserve"> </w:t>
      </w:r>
      <w:r>
        <w:rPr>
          <w:szCs w:val="20"/>
        </w:rPr>
        <w:t>found</w:t>
      </w:r>
      <w:r w:rsidRPr="008E0897">
        <w:rPr>
          <w:szCs w:val="20"/>
        </w:rPr>
        <w:t xml:space="preserve"> that the use of a sliding scale, around a median, creates weaker than normal commercial incentives for cost minimisation, or incentives to maximise claims. </w:t>
      </w:r>
      <w:r>
        <w:rPr>
          <w:szCs w:val="20"/>
        </w:rPr>
        <w:t>T</w:t>
      </w:r>
      <w:r w:rsidRPr="008E0897">
        <w:rPr>
          <w:szCs w:val="20"/>
        </w:rPr>
        <w:t xml:space="preserve">he Commission </w:t>
      </w:r>
      <w:r>
        <w:rPr>
          <w:szCs w:val="20"/>
        </w:rPr>
        <w:t xml:space="preserve">at that time </w:t>
      </w:r>
      <w:r w:rsidRPr="008E0897">
        <w:rPr>
          <w:szCs w:val="20"/>
        </w:rPr>
        <w:t xml:space="preserve">recommended a single flat rate of assistance </w:t>
      </w:r>
      <w:r>
        <w:rPr>
          <w:szCs w:val="20"/>
        </w:rPr>
        <w:t xml:space="preserve">to </w:t>
      </w:r>
      <w:r w:rsidRPr="008E0897">
        <w:rPr>
          <w:szCs w:val="20"/>
        </w:rPr>
        <w:t>improve the commercial incentives for Tasmanian producers to minimise transport costs</w:t>
      </w:r>
      <w:r>
        <w:rPr>
          <w:szCs w:val="20"/>
        </w:rPr>
        <w:t xml:space="preserve"> and </w:t>
      </w:r>
      <w:r w:rsidRPr="008E0897">
        <w:rPr>
          <w:szCs w:val="20"/>
        </w:rPr>
        <w:t>address the in</w:t>
      </w:r>
      <w:r w:rsidRPr="008E0897">
        <w:rPr>
          <w:szCs w:val="20"/>
        </w:rPr>
        <w:noBreakHyphen/>
        <w:t>built incentives to overestimate the sea freight cost disadvantage</w:t>
      </w:r>
      <w:r>
        <w:rPr>
          <w:szCs w:val="20"/>
        </w:rPr>
        <w:t>.</w:t>
      </w:r>
    </w:p>
    <w:p w:rsidR="00AE4D5A" w:rsidRDefault="00AE4D5A" w:rsidP="008E5E01">
      <w:pPr>
        <w:spacing w:before="240" w:line="320" w:lineRule="atLeast"/>
        <w:jc w:val="both"/>
        <w:rPr>
          <w:szCs w:val="20"/>
        </w:rPr>
      </w:pPr>
      <w:r w:rsidRPr="008E0897">
        <w:rPr>
          <w:szCs w:val="20"/>
        </w:rPr>
        <w:lastRenderedPageBreak/>
        <w:t>It would also remove the incentive for claimants to structure freight bills in a way that maximises the value of the subsidy. A particular concern raised by the Commission in 2006 is the potential for door</w:t>
      </w:r>
      <w:r w:rsidRPr="008E0897">
        <w:rPr>
          <w:szCs w:val="20"/>
        </w:rPr>
        <w:noBreakHyphen/>
        <w:t>to</w:t>
      </w:r>
      <w:r w:rsidRPr="008E0897">
        <w:rPr>
          <w:szCs w:val="20"/>
        </w:rPr>
        <w:noBreakHyphen/>
        <w:t>door, door</w:t>
      </w:r>
      <w:r w:rsidRPr="008E0897">
        <w:rPr>
          <w:szCs w:val="20"/>
        </w:rPr>
        <w:noBreakHyphen/>
        <w:t>to</w:t>
      </w:r>
      <w:r w:rsidRPr="008E0897">
        <w:rPr>
          <w:szCs w:val="20"/>
        </w:rPr>
        <w:noBreakHyphen/>
        <w:t>wharf and wharf</w:t>
      </w:r>
      <w:r w:rsidRPr="008E0897">
        <w:rPr>
          <w:szCs w:val="20"/>
        </w:rPr>
        <w:noBreakHyphen/>
        <w:t>to</w:t>
      </w:r>
      <w:r w:rsidRPr="008E0897">
        <w:rPr>
          <w:szCs w:val="20"/>
        </w:rPr>
        <w:noBreakHyphen/>
        <w:t>door claims to provide this opportunity. While the TFES provides assistance for the notional wharf</w:t>
      </w:r>
      <w:r w:rsidRPr="008E0897">
        <w:rPr>
          <w:szCs w:val="20"/>
        </w:rPr>
        <w:noBreakHyphen/>
        <w:t>to</w:t>
      </w:r>
      <w:r w:rsidRPr="008E0897">
        <w:rPr>
          <w:szCs w:val="20"/>
        </w:rPr>
        <w:noBreakHyphen/>
        <w:t>wharf freight cost disadvantage, claimants can also claim on a door</w:t>
      </w:r>
      <w:r w:rsidRPr="008E0897">
        <w:rPr>
          <w:szCs w:val="20"/>
        </w:rPr>
        <w:noBreakHyphen/>
        <w:t>to</w:t>
      </w:r>
      <w:r w:rsidRPr="008E0897">
        <w:rPr>
          <w:szCs w:val="20"/>
        </w:rPr>
        <w:noBreakHyphen/>
        <w:t>door, door</w:t>
      </w:r>
      <w:r w:rsidRPr="008E0897">
        <w:rPr>
          <w:szCs w:val="20"/>
        </w:rPr>
        <w:noBreakHyphen/>
        <w:t>to</w:t>
      </w:r>
      <w:r w:rsidRPr="008E0897">
        <w:rPr>
          <w:szCs w:val="20"/>
        </w:rPr>
        <w:noBreakHyphen/>
        <w:t>wharf or wharf</w:t>
      </w:r>
      <w:r w:rsidRPr="008E0897">
        <w:rPr>
          <w:szCs w:val="20"/>
        </w:rPr>
        <w:noBreakHyphen/>
        <w:t>to</w:t>
      </w:r>
      <w:r w:rsidRPr="008E0897">
        <w:rPr>
          <w:szCs w:val="20"/>
        </w:rPr>
        <w:noBreakHyphen/>
        <w:t>door basis and deduct $230 for each land</w:t>
      </w:r>
      <w:r w:rsidRPr="008E0897">
        <w:rPr>
          <w:szCs w:val="20"/>
        </w:rPr>
        <w:noBreakHyphen/>
        <w:t xml:space="preserve">side component. </w:t>
      </w:r>
    </w:p>
    <w:p w:rsidR="00AE4D5A" w:rsidRPr="008E0897" w:rsidRDefault="00AE4D5A" w:rsidP="008E5E01">
      <w:pPr>
        <w:spacing w:before="240" w:line="320" w:lineRule="atLeast"/>
        <w:jc w:val="both"/>
        <w:rPr>
          <w:szCs w:val="20"/>
        </w:rPr>
      </w:pPr>
      <w:r w:rsidRPr="008E0897">
        <w:rPr>
          <w:szCs w:val="20"/>
        </w:rPr>
        <w:t>In 2006, the Commission found that where the door</w:t>
      </w:r>
      <w:r w:rsidRPr="008E0897">
        <w:rPr>
          <w:szCs w:val="20"/>
        </w:rPr>
        <w:noBreakHyphen/>
        <w:t>to</w:t>
      </w:r>
      <w:r w:rsidRPr="008E0897">
        <w:rPr>
          <w:szCs w:val="20"/>
        </w:rPr>
        <w:noBreakHyphen/>
        <w:t>wharf or wharf</w:t>
      </w:r>
      <w:r w:rsidRPr="008E0897">
        <w:rPr>
          <w:szCs w:val="20"/>
        </w:rPr>
        <w:noBreakHyphen/>
        <w:t>to</w:t>
      </w:r>
      <w:r w:rsidRPr="008E0897">
        <w:rPr>
          <w:szCs w:val="20"/>
        </w:rPr>
        <w:noBreakHyphen/>
        <w:t>door cost component is more than $230, it provides an incentive to claim using a door</w:t>
      </w:r>
      <w:r w:rsidRPr="008E0897">
        <w:rPr>
          <w:szCs w:val="20"/>
        </w:rPr>
        <w:noBreakHyphen/>
        <w:t>to</w:t>
      </w:r>
      <w:r w:rsidRPr="008E0897">
        <w:rPr>
          <w:szCs w:val="20"/>
        </w:rPr>
        <w:noBreakHyphen/>
        <w:t xml:space="preserve">door invoice which would provide a higher rebate. </w:t>
      </w:r>
    </w:p>
    <w:p w:rsidR="00AE4D5A" w:rsidRPr="008E0897" w:rsidRDefault="00AE4D5A" w:rsidP="008E5E01">
      <w:pPr>
        <w:spacing w:before="240" w:line="320" w:lineRule="atLeast"/>
        <w:jc w:val="both"/>
        <w:rPr>
          <w:szCs w:val="20"/>
        </w:rPr>
      </w:pPr>
      <w:r w:rsidRPr="008E0897">
        <w:rPr>
          <w:szCs w:val="20"/>
        </w:rPr>
        <w:t>Analysis of the TFES database suggests that most claim line items are still presented on a basis other than wharf</w:t>
      </w:r>
      <w:r w:rsidRPr="008E0897">
        <w:rPr>
          <w:szCs w:val="20"/>
        </w:rPr>
        <w:noBreakHyphen/>
        <w:t>to</w:t>
      </w:r>
      <w:r w:rsidRPr="008E0897">
        <w:rPr>
          <w:szCs w:val="20"/>
        </w:rPr>
        <w:noBreakHyphen/>
        <w:t xml:space="preserve">wharf costs. </w:t>
      </w:r>
    </w:p>
    <w:p w:rsidR="00AE4D5A" w:rsidRDefault="00AE4D5A" w:rsidP="008E5E01">
      <w:pPr>
        <w:spacing w:before="240" w:line="320" w:lineRule="atLeast"/>
        <w:jc w:val="both"/>
        <w:rPr>
          <w:szCs w:val="20"/>
        </w:rPr>
      </w:pPr>
      <w:r>
        <w:rPr>
          <w:szCs w:val="20"/>
        </w:rPr>
        <w:t>While m</w:t>
      </w:r>
      <w:r w:rsidRPr="008E0897">
        <w:rPr>
          <w:szCs w:val="20"/>
        </w:rPr>
        <w:t>oving to a flat rate of assistance would create ‘winners’ and ‘losers’ compared to the current scheme parameters</w:t>
      </w:r>
      <w:r>
        <w:rPr>
          <w:szCs w:val="20"/>
        </w:rPr>
        <w:t>, a number of participants acknowledged the benefits of a flat rate such as certainty, transparency for applicants in understanding how it impacts their freight costs and lowering the claims burden for government. The Tasmanian Government said that:</w:t>
      </w:r>
    </w:p>
    <w:p w:rsidR="00AE4D5A" w:rsidRDefault="00AE4D5A" w:rsidP="008E5E01">
      <w:pPr>
        <w:pStyle w:val="Quote"/>
      </w:pPr>
      <w:r>
        <w:t>… the adoption of a flat rate of assistance applied on a per</w:t>
      </w:r>
      <w:r>
        <w:noBreakHyphen/>
        <w:t>TEU basis has the potential to reduce administrative costs for both the Australian Government and shippers, improve incentives for shippers to seek out the lowest freight rates and address ongoing perceptions about alleged ‘gaming’ of the Scheme. (sub. </w:t>
      </w:r>
      <w:proofErr w:type="spellStart"/>
      <w:r>
        <w:t>DR85</w:t>
      </w:r>
      <w:proofErr w:type="spellEnd"/>
      <w:r>
        <w:t>, p. 9)</w:t>
      </w:r>
    </w:p>
    <w:p w:rsidR="00AE4D5A" w:rsidRDefault="00AE4D5A" w:rsidP="008E5E01">
      <w:pPr>
        <w:spacing w:before="240" w:line="320" w:lineRule="atLeast"/>
        <w:jc w:val="both"/>
        <w:rPr>
          <w:szCs w:val="20"/>
        </w:rPr>
      </w:pPr>
      <w:r>
        <w:rPr>
          <w:szCs w:val="20"/>
        </w:rPr>
        <w:t>Houston’s Farm suggested that a flat rate would go some way to addressing the complexity in the southbound component of the scheme (trans., p. 207).</w:t>
      </w:r>
    </w:p>
    <w:p w:rsidR="00AE4D5A" w:rsidRDefault="00AE4D5A" w:rsidP="008E5E01">
      <w:pPr>
        <w:spacing w:before="240" w:line="320" w:lineRule="atLeast"/>
        <w:jc w:val="both"/>
        <w:rPr>
          <w:szCs w:val="20"/>
        </w:rPr>
      </w:pPr>
      <w:r>
        <w:rPr>
          <w:szCs w:val="20"/>
        </w:rPr>
        <w:t>Veolia Environmental Services agreed with a flat rate on the basis that they were not disadvantaged in comparison with the current scheme, adding that:</w:t>
      </w:r>
    </w:p>
    <w:p w:rsidR="00AE4D5A" w:rsidRDefault="00AE4D5A" w:rsidP="008E5E01">
      <w:pPr>
        <w:pStyle w:val="Quote"/>
      </w:pPr>
      <w:r>
        <w:t>… by having a single flat rate subsidy it would take out a major variable component when tendering for long term contracts (between 7 and 9 years). (sub. DR103, p. 7)</w:t>
      </w:r>
    </w:p>
    <w:p w:rsidR="00AE4D5A" w:rsidRDefault="00AE4D5A" w:rsidP="008E5E01">
      <w:pPr>
        <w:spacing w:before="240" w:line="320" w:lineRule="atLeast"/>
        <w:jc w:val="both"/>
        <w:rPr>
          <w:szCs w:val="20"/>
        </w:rPr>
      </w:pPr>
      <w:r>
        <w:rPr>
          <w:szCs w:val="20"/>
        </w:rPr>
        <w:t>Net Sea Freight did not support a flat rate on the basis that it would disadvantage less frequent shippers and it commented that in any case was not needed as the current scheme already provided an incentive to seek lower freight rates (sub. </w:t>
      </w:r>
      <w:proofErr w:type="spellStart"/>
      <w:r>
        <w:rPr>
          <w:szCs w:val="20"/>
        </w:rPr>
        <w:t>DR75</w:t>
      </w:r>
      <w:proofErr w:type="spellEnd"/>
      <w:r>
        <w:rPr>
          <w:szCs w:val="20"/>
        </w:rPr>
        <w:t>). However, a flat rate would improve commercial incentives to minimise shipping costs as producers would retain the full benefit of any transport cost savings and bear the full cost of any increase.</w:t>
      </w:r>
    </w:p>
    <w:p w:rsidR="00AE4D5A" w:rsidRPr="006A0234" w:rsidRDefault="00AE4D5A" w:rsidP="008E5E01">
      <w:pPr>
        <w:spacing w:before="240" w:line="320" w:lineRule="atLeast"/>
        <w:jc w:val="both"/>
      </w:pPr>
      <w:r>
        <w:rPr>
          <w:szCs w:val="20"/>
        </w:rPr>
        <w:t xml:space="preserve">Net Sea Freight also challenged the view that it would reduce compliance costs to recipients as information currently required would still need to be submitted to DHS (box 3.6). GA Cossar and Co commented that a flat rate would still mean </w:t>
      </w:r>
      <w:r>
        <w:rPr>
          <w:szCs w:val="20"/>
        </w:rPr>
        <w:lastRenderedPageBreak/>
        <w:t>converting non</w:t>
      </w:r>
      <w:r>
        <w:rPr>
          <w:szCs w:val="20"/>
        </w:rPr>
        <w:noBreakHyphen/>
        <w:t>containerised freight (livestock and farm equipment) to a container equivalent (sub. </w:t>
      </w:r>
      <w:proofErr w:type="spellStart"/>
      <w:r>
        <w:rPr>
          <w:szCs w:val="20"/>
        </w:rPr>
        <w:t>DR82</w:t>
      </w:r>
      <w:proofErr w:type="spellEnd"/>
      <w:r>
        <w:rPr>
          <w:szCs w:val="20"/>
        </w:rPr>
        <w:t xml:space="preserve">). However, a flat rate would still reduce the number of parameters and the requirement for supporting evidence and this would benefit claimants. </w:t>
      </w:r>
    </w:p>
    <w:p w:rsidR="00AE4D5A" w:rsidDel="00A17F84" w:rsidRDefault="00AE4D5A" w:rsidP="008E5E01">
      <w:pPr>
        <w:spacing w:before="240" w:line="320" w:lineRule="atLeast"/>
        <w:jc w:val="both"/>
        <w:rPr>
          <w:szCs w:val="20"/>
        </w:rPr>
      </w:pPr>
      <w:r w:rsidDel="00A17F84">
        <w:rPr>
          <w:szCs w:val="20"/>
        </w:rPr>
        <w:t xml:space="preserve">A </w:t>
      </w:r>
      <w:r>
        <w:rPr>
          <w:szCs w:val="20"/>
        </w:rPr>
        <w:t>further</w:t>
      </w:r>
      <w:r w:rsidDel="00A17F84">
        <w:rPr>
          <w:szCs w:val="20"/>
        </w:rPr>
        <w:t xml:space="preserve"> consideration for </w:t>
      </w:r>
      <w:r>
        <w:rPr>
          <w:szCs w:val="20"/>
        </w:rPr>
        <w:t>some</w:t>
      </w:r>
      <w:r w:rsidDel="00A17F84">
        <w:rPr>
          <w:szCs w:val="20"/>
        </w:rPr>
        <w:t xml:space="preserve"> participants </w:t>
      </w:r>
      <w:r>
        <w:rPr>
          <w:szCs w:val="20"/>
        </w:rPr>
        <w:t xml:space="preserve">in relation to the flat rate </w:t>
      </w:r>
      <w:r w:rsidDel="00A17F84">
        <w:rPr>
          <w:szCs w:val="20"/>
        </w:rPr>
        <w:t xml:space="preserve">was the </w:t>
      </w:r>
      <w:r>
        <w:rPr>
          <w:szCs w:val="20"/>
        </w:rPr>
        <w:t>amount of the subsidy</w:t>
      </w:r>
      <w:r w:rsidDel="00A17F84">
        <w:rPr>
          <w:szCs w:val="20"/>
        </w:rPr>
        <w:t xml:space="preserve">. </w:t>
      </w:r>
    </w:p>
    <w:p w:rsidR="00AE4D5A" w:rsidRDefault="00AE4D5A" w:rsidP="008E5E01">
      <w:pPr>
        <w:spacing w:before="240" w:line="320" w:lineRule="atLeast"/>
        <w:jc w:val="both"/>
        <w:rPr>
          <w:szCs w:val="20"/>
        </w:rPr>
      </w:pPr>
      <w:r>
        <w:rPr>
          <w:szCs w:val="20"/>
        </w:rPr>
        <w:t>The King Island Shipping Group suggested a zone based approach for a flat rate that would accommodate the different costs faced by island shippers (trans., p. 421). Similarly, the Tasmanian Farmers and Graziers Association (TFGA) King Island Branch sought for King Island’s unique costs associated with their freight task to King Island to be considered:</w:t>
      </w:r>
    </w:p>
    <w:p w:rsidR="00AE4D5A" w:rsidRDefault="00AE4D5A" w:rsidP="008E5E01">
      <w:pPr>
        <w:pStyle w:val="Quote"/>
      </w:pPr>
      <w:r>
        <w:t>We are open to price gouging through imperfect competition. The reality is that the volume of freight will never be enough to create true competition. (sub. </w:t>
      </w:r>
      <w:proofErr w:type="spellStart"/>
      <w:r>
        <w:t>DR79</w:t>
      </w:r>
      <w:proofErr w:type="spellEnd"/>
      <w:r>
        <w:t>, p. 1)</w:t>
      </w:r>
    </w:p>
    <w:p w:rsidR="00AE4D5A" w:rsidRDefault="00AE4D5A" w:rsidP="008E5E01">
      <w:pPr>
        <w:spacing w:before="240" w:line="320" w:lineRule="atLeast"/>
        <w:jc w:val="both"/>
        <w:rPr>
          <w:szCs w:val="20"/>
        </w:rPr>
      </w:pPr>
      <w:r>
        <w:rPr>
          <w:szCs w:val="20"/>
        </w:rPr>
        <w:t>Continuing a zone based approach to the TFES as reflected in a different flat rate for the subsidy would ensure the freight cost disadvantage of the Bass Strait islands is appropriately considered.</w:t>
      </w:r>
    </w:p>
    <w:p w:rsidR="00AE4D5A" w:rsidRDefault="00AE4D5A" w:rsidP="008E5E01">
      <w:pPr>
        <w:spacing w:before="240" w:line="320" w:lineRule="atLeast"/>
        <w:jc w:val="both"/>
        <w:rPr>
          <w:szCs w:val="20"/>
        </w:rPr>
      </w:pPr>
      <w:r w:rsidRPr="008E0897">
        <w:rPr>
          <w:szCs w:val="20"/>
        </w:rPr>
        <w:t>While not supporting the introduction of a flat rate, Mondelez said there could be a case for a simplified calculated percentage rate compensation, based on a comparison of mainland freight rates and Bass Strait sea freight rates (sub. 24) and GA Cossar &amp; Co also suggested a percentage subsidy (sub</w:t>
      </w:r>
      <w:r>
        <w:rPr>
          <w:szCs w:val="20"/>
        </w:rPr>
        <w:t>s</w:t>
      </w:r>
      <w:r w:rsidRPr="008E0897">
        <w:rPr>
          <w:szCs w:val="20"/>
        </w:rPr>
        <w:t>. 7</w:t>
      </w:r>
      <w:r>
        <w:rPr>
          <w:szCs w:val="20"/>
        </w:rPr>
        <w:t xml:space="preserve"> and </w:t>
      </w:r>
      <w:proofErr w:type="spellStart"/>
      <w:r>
        <w:rPr>
          <w:szCs w:val="20"/>
        </w:rPr>
        <w:t>DR82</w:t>
      </w:r>
      <w:proofErr w:type="spellEnd"/>
      <w:r w:rsidRPr="008E0897">
        <w:rPr>
          <w:szCs w:val="20"/>
        </w:rPr>
        <w:t>).</w:t>
      </w:r>
      <w:r>
        <w:rPr>
          <w:szCs w:val="20"/>
        </w:rPr>
        <w:t xml:space="preserve"> The Commission does not support a percentage rate form of assistance — it is not a flat rate and it would not have the same incentive effect as a flat rate in terms of minimising shipping costs as it would reward shippers who sought higher costs by providing a larger rebate. </w:t>
      </w:r>
    </w:p>
    <w:p w:rsidR="00AE4D5A" w:rsidRPr="008E0897" w:rsidRDefault="00AE4D5A" w:rsidP="008E5E01">
      <w:pPr>
        <w:spacing w:before="240" w:line="320" w:lineRule="atLeast"/>
        <w:jc w:val="both"/>
        <w:rPr>
          <w:szCs w:val="20"/>
        </w:rPr>
      </w:pPr>
      <w:r>
        <w:rPr>
          <w:szCs w:val="20"/>
        </w:rPr>
        <w:t>The Department of Infrastructure and Regional Development (DIRD)</w:t>
      </w:r>
      <w:r w:rsidRPr="008E0897">
        <w:rPr>
          <w:szCs w:val="20"/>
        </w:rPr>
        <w:t xml:space="preserve"> stated that further work would be required to assess the dollar amount of a flat rate that would provide reasonable assistance without </w:t>
      </w:r>
      <w:r>
        <w:rPr>
          <w:szCs w:val="20"/>
        </w:rPr>
        <w:t xml:space="preserve">diluting the commercial incentive </w:t>
      </w:r>
      <w:r w:rsidRPr="008E0897">
        <w:rPr>
          <w:szCs w:val="20"/>
        </w:rPr>
        <w:t xml:space="preserve">to find the cheapest shipping cost (sub. 42). </w:t>
      </w:r>
      <w:r>
        <w:rPr>
          <w:szCs w:val="20"/>
        </w:rPr>
        <w:t>A public process would be required to determine the rate to take shippers’ costs into account, including the particular freight cost disadvantage faced by the Bass Strait islands. The quantum of assistance that would form the basis of the flat rate ‘funding envelope’ also needs to be addressed in the context of the scope of eligibility of northbound commodities (discussed below). The Commission considers that such a determination would need to be made by the Australian Government in 2014 given the anticipated timing of related processes.</w:t>
      </w:r>
    </w:p>
    <w:p w:rsidR="00AE4D5A" w:rsidRPr="00D7530A" w:rsidRDefault="00AE4D5A" w:rsidP="008E5E01">
      <w:pPr>
        <w:pStyle w:val="FindingTitle"/>
        <w:framePr w:wrap="auto"/>
        <w:tabs>
          <w:tab w:val="right" w:pos="8789"/>
        </w:tabs>
        <w:rPr>
          <w:sz w:val="22"/>
          <w:szCs w:val="22"/>
        </w:rPr>
      </w:pPr>
      <w:r w:rsidRPr="00D7530A">
        <w:rPr>
          <w:sz w:val="22"/>
          <w:szCs w:val="22"/>
        </w:rPr>
        <w:lastRenderedPageBreak/>
        <w:t xml:space="preserve">Recommendation 2 </w:t>
      </w:r>
    </w:p>
    <w:p w:rsidR="00AE4D5A" w:rsidRPr="00343F2F" w:rsidRDefault="00AE4D5A" w:rsidP="008E5E01">
      <w:pPr>
        <w:pStyle w:val="Rec"/>
      </w:pPr>
      <w:r w:rsidRPr="00343F2F">
        <w:t>The Australian Government should introduce payment of freight assistance as a flat rate of subsidy per TEU (twenty foot equivalent unit) shipped.</w:t>
      </w:r>
    </w:p>
    <w:p w:rsidR="00AE4D5A" w:rsidRPr="00343F2F" w:rsidRDefault="00AE4D5A" w:rsidP="008E5E01">
      <w:pPr>
        <w:pStyle w:val="Rec"/>
      </w:pPr>
      <w:r w:rsidRPr="00343F2F">
        <w:t>The Bureau of Infrastructure, Transport and Regional Economics should recommend separate dollar amounts per TEU of assistance for the Tasmanian mainland, King Island, and the Furneaux Group of islands, informed by a public consultation process, and taking the following into account:</w:t>
      </w:r>
    </w:p>
    <w:p w:rsidR="00AE4D5A" w:rsidRPr="00343F2F" w:rsidRDefault="00AE4D5A" w:rsidP="008E5E01">
      <w:pPr>
        <w:pStyle w:val="RecBullet"/>
      </w:pPr>
      <w:r w:rsidRPr="00343F2F">
        <w:t xml:space="preserve">a reasonable amount to partially offset the freight cost disadvantage associated with Bass Strait shipping and informed by the Government’s overall </w:t>
      </w:r>
      <w:r>
        <w:t>budget commitment to the scheme</w:t>
      </w:r>
    </w:p>
    <w:p w:rsidR="00AE4D5A" w:rsidRPr="00343F2F" w:rsidRDefault="00AE4D5A" w:rsidP="008E5E01">
      <w:pPr>
        <w:pStyle w:val="RecBullet"/>
      </w:pPr>
      <w:r w:rsidRPr="00343F2F">
        <w:t>that the flat rate should include a zone structure for eligible shippers on King Island and the Furneaux Group of islands in recognition of their relatively greater shipping freight cost disadvantage and l</w:t>
      </w:r>
      <w:r>
        <w:t>imited shipping service options</w:t>
      </w:r>
    </w:p>
    <w:p w:rsidR="00AE4D5A" w:rsidRPr="00343F2F" w:rsidRDefault="00AE4D5A" w:rsidP="008E5E01">
      <w:pPr>
        <w:pStyle w:val="RecBullet"/>
      </w:pPr>
      <w:r w:rsidRPr="00343F2F">
        <w:t>that the flat rate should provide assistance that is compatible with the incentive to seek the lowest shipping cost and not a percentage of transport cos</w:t>
      </w:r>
      <w:r>
        <w:t>ts incurred</w:t>
      </w:r>
    </w:p>
    <w:p w:rsidR="00AE4D5A" w:rsidRPr="00343F2F" w:rsidRDefault="00AE4D5A" w:rsidP="008E5E01">
      <w:pPr>
        <w:pStyle w:val="RecBullet"/>
      </w:pPr>
      <w:r w:rsidRPr="00343F2F">
        <w:t>an appropriate transition period to the new flat rates reflecting any quantum of change and the ten</w:t>
      </w:r>
      <w:r>
        <w:t>or</w:t>
      </w:r>
      <w:r w:rsidRPr="00343F2F">
        <w:t xml:space="preserve"> of shipping contracts.</w:t>
      </w:r>
    </w:p>
    <w:p w:rsidR="00AE4D5A" w:rsidRDefault="00AE4D5A" w:rsidP="008E5E01">
      <w:pPr>
        <w:pStyle w:val="Rec"/>
      </w:pPr>
      <w:r w:rsidRPr="00343F2F">
        <w:t xml:space="preserve">The commencement of this consultation process is contingent on the resolution of the issues related to recommendation 6. </w:t>
      </w:r>
    </w:p>
    <w:p w:rsidR="00AE4D5A" w:rsidRDefault="00AE4D5A" w:rsidP="008E5E01">
      <w:pPr>
        <w:spacing w:before="240" w:line="320" w:lineRule="atLeast"/>
        <w:jc w:val="both"/>
        <w:rPr>
          <w:szCs w:val="20"/>
        </w:rPr>
      </w:pPr>
      <w:r>
        <w:t xml:space="preserve">If the Government chooses to retain the existing arrangements, </w:t>
      </w:r>
      <w:r>
        <w:rPr>
          <w:szCs w:val="20"/>
        </w:rPr>
        <w:t>in the absence of a flat rate, paying assistance based on actual wharf</w:t>
      </w:r>
      <w:r>
        <w:rPr>
          <w:szCs w:val="20"/>
        </w:rPr>
        <w:noBreakHyphen/>
        <w:t>to</w:t>
      </w:r>
      <w:r>
        <w:rPr>
          <w:szCs w:val="20"/>
        </w:rPr>
        <w:noBreakHyphen/>
        <w:t>wharf costs would restore some integrity to the scheme by removing the incentive to over claim embodied in the door</w:t>
      </w:r>
      <w:r>
        <w:rPr>
          <w:szCs w:val="20"/>
        </w:rPr>
        <w:noBreakHyphen/>
        <w:t>to</w:t>
      </w:r>
      <w:r>
        <w:rPr>
          <w:szCs w:val="20"/>
        </w:rPr>
        <w:noBreakHyphen/>
        <w:t>door parameter adjustment. To the extent claimants will need to provide additional information, as stated by Net Sea Freight (sub. </w:t>
      </w:r>
      <w:proofErr w:type="spellStart"/>
      <w:r>
        <w:rPr>
          <w:szCs w:val="20"/>
        </w:rPr>
        <w:t>DR75</w:t>
      </w:r>
      <w:proofErr w:type="spellEnd"/>
      <w:r>
        <w:rPr>
          <w:szCs w:val="20"/>
        </w:rPr>
        <w:t xml:space="preserve">), the Commission acknowledges that this is needed to restore the intent and integrity of the scheme. </w:t>
      </w:r>
    </w:p>
    <w:p w:rsidR="00AE4D5A" w:rsidRDefault="00AE4D5A" w:rsidP="008E5E01">
      <w:pPr>
        <w:pStyle w:val="BodyText"/>
      </w:pPr>
      <w:r>
        <w:t>While the Commission considers that BITRE’s methodology in estimating and updating the TFES parameters appears sound and transparent, the Commission is of the view that the process for undertaking rate reviews would be improved by the release of a draft report and a public submission process prior to the release of a final report.</w:t>
      </w:r>
    </w:p>
    <w:p w:rsidR="00AE4D5A" w:rsidRDefault="00AE4D5A" w:rsidP="008E5E01">
      <w:pPr>
        <w:pStyle w:val="BodyText"/>
      </w:pPr>
      <w:r>
        <w:t>To the extent that this results in a significant reduction of TFES assistance, a transition period would assist business planning. The Commission considers it would be appropriate for the Government to determine a transition period having regard to the updated parameters and therefore the required adjustment.</w:t>
      </w:r>
    </w:p>
    <w:p w:rsidR="00AE4D5A" w:rsidRPr="00D7530A" w:rsidDel="00F000D1" w:rsidRDefault="00AE4D5A" w:rsidP="008E5E01">
      <w:pPr>
        <w:pStyle w:val="FindingTitle"/>
        <w:framePr w:wrap="auto"/>
        <w:tabs>
          <w:tab w:val="right" w:pos="8789"/>
        </w:tabs>
        <w:rPr>
          <w:sz w:val="22"/>
          <w:szCs w:val="22"/>
        </w:rPr>
      </w:pPr>
      <w:r w:rsidRPr="00D7530A">
        <w:rPr>
          <w:sz w:val="22"/>
          <w:szCs w:val="22"/>
        </w:rPr>
        <w:lastRenderedPageBreak/>
        <w:t xml:space="preserve">Recommendation 5 </w:t>
      </w:r>
    </w:p>
    <w:p w:rsidR="00AE4D5A" w:rsidRPr="00D705BE" w:rsidDel="00F000D1" w:rsidRDefault="00AE4D5A" w:rsidP="008E5E01">
      <w:pPr>
        <w:pStyle w:val="Rec"/>
      </w:pPr>
      <w:r w:rsidDel="00F000D1">
        <w:t>If the Australian Government chooses to retain the Tasmanian Freight Equalisation Scheme in its current form</w:t>
      </w:r>
      <w:r>
        <w:t>,</w:t>
      </w:r>
      <w:r w:rsidDel="00F000D1">
        <w:t xml:space="preserve"> the rate should be based on parameters recommended by the Bureau of Infrastructure, Transport and Re</w:t>
      </w:r>
      <w:r>
        <w:t>gional</w:t>
      </w:r>
      <w:r w:rsidDel="00F000D1">
        <w:t xml:space="preserve"> Economics, informed by a public </w:t>
      </w:r>
      <w:r>
        <w:t xml:space="preserve">consultation </w:t>
      </w:r>
      <w:r w:rsidDel="00F000D1">
        <w:t>process, and payable only on the basis of evidence of actual wharf</w:t>
      </w:r>
      <w:r w:rsidDel="00F000D1">
        <w:noBreakHyphen/>
        <w:t>to</w:t>
      </w:r>
      <w:r w:rsidDel="00F000D1">
        <w:noBreakHyphen/>
        <w:t>wharf costs.</w:t>
      </w:r>
    </w:p>
    <w:p w:rsidR="00AE4D5A" w:rsidRDefault="00AE4D5A" w:rsidP="008E5E01">
      <w:pPr>
        <w:keepNext/>
        <w:spacing w:before="480" w:line="320" w:lineRule="exact"/>
        <w:outlineLvl w:val="4"/>
        <w:rPr>
          <w:i/>
          <w:szCs w:val="20"/>
        </w:rPr>
      </w:pPr>
      <w:r>
        <w:rPr>
          <w:i/>
          <w:szCs w:val="20"/>
        </w:rPr>
        <w:t>Changes to the northbound component of the scheme</w:t>
      </w:r>
    </w:p>
    <w:p w:rsidR="00AE4D5A" w:rsidRPr="008E0897" w:rsidRDefault="00AE4D5A" w:rsidP="008E5E01">
      <w:pPr>
        <w:spacing w:before="240" w:line="320" w:lineRule="atLeast"/>
        <w:jc w:val="both"/>
        <w:rPr>
          <w:szCs w:val="20"/>
        </w:rPr>
      </w:pPr>
      <w:r w:rsidRPr="008E0897">
        <w:rPr>
          <w:szCs w:val="20"/>
        </w:rPr>
        <w:t xml:space="preserve">The exclusion </w:t>
      </w:r>
      <w:r>
        <w:rPr>
          <w:szCs w:val="20"/>
        </w:rPr>
        <w:t>of</w:t>
      </w:r>
      <w:r w:rsidRPr="008E0897">
        <w:rPr>
          <w:szCs w:val="20"/>
        </w:rPr>
        <w:t xml:space="preserve"> exports</w:t>
      </w:r>
      <w:r>
        <w:rPr>
          <w:szCs w:val="20"/>
        </w:rPr>
        <w:t xml:space="preserve"> from the TFES</w:t>
      </w:r>
      <w:r w:rsidRPr="008E0897">
        <w:rPr>
          <w:szCs w:val="20"/>
        </w:rPr>
        <w:t xml:space="preserve"> </w:t>
      </w:r>
      <w:r>
        <w:rPr>
          <w:szCs w:val="20"/>
        </w:rPr>
        <w:t xml:space="preserve">was the main policy issue raised by participants </w:t>
      </w:r>
      <w:r w:rsidRPr="008E0897">
        <w:rPr>
          <w:szCs w:val="20"/>
        </w:rPr>
        <w:t>(box 3.</w:t>
      </w:r>
      <w:r>
        <w:rPr>
          <w:szCs w:val="20"/>
        </w:rPr>
        <w:t>5</w:t>
      </w:r>
      <w:r w:rsidRPr="008E0897">
        <w:rPr>
          <w:szCs w:val="20"/>
        </w:rPr>
        <w:t xml:space="preserve">). The TFES Review Authority (1998) recommended against providing the subsidy to exports </w:t>
      </w:r>
      <w:r>
        <w:rPr>
          <w:szCs w:val="20"/>
        </w:rPr>
        <w:t xml:space="preserve">because of its potential to undermine direct </w:t>
      </w:r>
      <w:r w:rsidRPr="008E0897">
        <w:rPr>
          <w:szCs w:val="20"/>
        </w:rPr>
        <w:t xml:space="preserve">international shipping services. </w:t>
      </w:r>
      <w:r>
        <w:rPr>
          <w:szCs w:val="20"/>
        </w:rPr>
        <w:t>S</w:t>
      </w:r>
      <w:r w:rsidRPr="008E0897">
        <w:rPr>
          <w:szCs w:val="20"/>
        </w:rPr>
        <w:t>ince May 2011, Tasmania has been without a direct international container ship</w:t>
      </w:r>
      <w:r>
        <w:rPr>
          <w:szCs w:val="20"/>
        </w:rPr>
        <w:t>ping service following the AAA c</w:t>
      </w:r>
      <w:r w:rsidRPr="008E0897">
        <w:rPr>
          <w:szCs w:val="20"/>
        </w:rPr>
        <w:t>onsortium</w:t>
      </w:r>
      <w:r>
        <w:rPr>
          <w:szCs w:val="20"/>
        </w:rPr>
        <w:t>’s withdrawal of its</w:t>
      </w:r>
      <w:r w:rsidRPr="008E0897">
        <w:rPr>
          <w:szCs w:val="20"/>
        </w:rPr>
        <w:t xml:space="preserve"> </w:t>
      </w:r>
      <w:r>
        <w:rPr>
          <w:szCs w:val="20"/>
        </w:rPr>
        <w:t>weekly service</w:t>
      </w:r>
      <w:r w:rsidRPr="008E0897">
        <w:rPr>
          <w:szCs w:val="20"/>
        </w:rPr>
        <w:t xml:space="preserve"> from Bell Bay. Consequently, non</w:t>
      </w:r>
      <w:r w:rsidRPr="008E0897">
        <w:rPr>
          <w:szCs w:val="20"/>
        </w:rPr>
        <w:noBreakHyphen/>
        <w:t xml:space="preserve">bulk shipping exports have to tranship through </w:t>
      </w:r>
      <w:r>
        <w:rPr>
          <w:szCs w:val="20"/>
        </w:rPr>
        <w:t xml:space="preserve">the Port of </w:t>
      </w:r>
      <w:r w:rsidRPr="008E0897">
        <w:rPr>
          <w:szCs w:val="20"/>
        </w:rPr>
        <w:t xml:space="preserve">Melbourne to access international markets. </w:t>
      </w:r>
    </w:p>
    <w:p w:rsidR="00AE4D5A" w:rsidRDefault="00AE4D5A" w:rsidP="008E5E01">
      <w:pPr>
        <w:spacing w:before="240" w:line="320" w:lineRule="atLeast"/>
        <w:jc w:val="both"/>
        <w:rPr>
          <w:szCs w:val="20"/>
        </w:rPr>
      </w:pPr>
      <w:r w:rsidRPr="008E0897">
        <w:rPr>
          <w:szCs w:val="20"/>
        </w:rPr>
        <w:t xml:space="preserve">In light of issues raised with the northbound component of the scheme, the Commission </w:t>
      </w:r>
      <w:r>
        <w:rPr>
          <w:szCs w:val="20"/>
        </w:rPr>
        <w:t xml:space="preserve">sought feedback in the draft report on the potential impact on businesses, industries and the economy of extending payments under the TFES to all eligible commodities shipped to the Port of Melbourne. </w:t>
      </w:r>
    </w:p>
    <w:p w:rsidR="00AE4D5A" w:rsidRDefault="00AE4D5A" w:rsidP="008E5E01">
      <w:pPr>
        <w:pStyle w:val="BodyText"/>
      </w:pPr>
      <w:r>
        <w:t>A number of participants including Harvest Moon, Net Sea Freight, Norske Skog and Fruit Growers Tasmania supported the extension of the TFES. Norske Skog said that the following factors meant a single direct service would limit Tasmania’s linkage to overseas markets:</w:t>
      </w:r>
    </w:p>
    <w:p w:rsidR="00AE4D5A" w:rsidRDefault="00AE4D5A" w:rsidP="008E5E01">
      <w:pPr>
        <w:pStyle w:val="Quote"/>
      </w:pPr>
      <w:r>
        <w:t>No single freight provider services all destination ports currently used by Tasmanian exporters, requiring trans</w:t>
      </w:r>
      <w:r>
        <w:noBreakHyphen/>
        <w:t>shipment arrangements and associated costs for many/most … No single freight provider offers the most competitive rate into all destination ports that they do service … No single freight provider will be able to offer the intervals of service required by many of our exporters to satisfy their need to be responsive to market expectations … A single freight provider would not provide a sound basis for ongoing competition on those routes, increasing the potential for longer term rate escalation. (sub. </w:t>
      </w:r>
      <w:proofErr w:type="spellStart"/>
      <w:r>
        <w:t>DR110</w:t>
      </w:r>
      <w:proofErr w:type="spellEnd"/>
      <w:r>
        <w:t>, p. 6)</w:t>
      </w:r>
    </w:p>
    <w:p w:rsidR="00AE4D5A" w:rsidRDefault="00AE4D5A" w:rsidP="008E5E01">
      <w:pPr>
        <w:spacing w:before="240" w:line="320" w:lineRule="atLeast"/>
        <w:jc w:val="both"/>
        <w:rPr>
          <w:szCs w:val="20"/>
        </w:rPr>
      </w:pPr>
      <w:r>
        <w:rPr>
          <w:szCs w:val="20"/>
        </w:rPr>
        <w:t>Other participants, including Veolia Environmental Services, Cuthbertson Bros and the Tasmanian Exporters Group preferred a direct international service. The Tasmanian Exporters Group said that it was:</w:t>
      </w:r>
    </w:p>
    <w:p w:rsidR="00AE4D5A" w:rsidRDefault="00AE4D5A" w:rsidP="008E5E01">
      <w:pPr>
        <w:pStyle w:val="Quote"/>
      </w:pPr>
      <w:r>
        <w:t>… far better to have a long</w:t>
      </w:r>
      <w:r>
        <w:noBreakHyphen/>
        <w:t>lasting solution and it introduces competition … and it will be a lesser freight cost than what is currently the case. (trans., p. 138).</w:t>
      </w:r>
    </w:p>
    <w:p w:rsidR="00AE4D5A" w:rsidRDefault="00AE4D5A" w:rsidP="008E5E01">
      <w:pPr>
        <w:pStyle w:val="BodyText"/>
      </w:pPr>
      <w:r>
        <w:lastRenderedPageBreak/>
        <w:t>Veolia Environmental Services said that:</w:t>
      </w:r>
    </w:p>
    <w:p w:rsidR="00AE4D5A" w:rsidRDefault="00AE4D5A" w:rsidP="008E5E01">
      <w:pPr>
        <w:pStyle w:val="Quote"/>
      </w:pPr>
      <w:r>
        <w:t>… the introduction of an international shipping line with no cabotage restrictions, would provide the most competitive pressure on rates. (sub</w:t>
      </w:r>
      <w:r w:rsidR="00C62222">
        <w:t>.</w:t>
      </w:r>
      <w:r>
        <w:t xml:space="preserve"> DR103, p. 11)</w:t>
      </w:r>
    </w:p>
    <w:p w:rsidR="00AE4D5A" w:rsidRDefault="00AE4D5A" w:rsidP="008E5E01">
      <w:pPr>
        <w:pStyle w:val="BodyText"/>
      </w:pPr>
      <w:r>
        <w:t xml:space="preserve">The Commission considers that in the absence of a regular direct international container service to Tasmania, there is a case for extending the TFES to all eligible commodities, including those transhipped through the Port of Melbourne or other mainland ports, and ultimately to export markets, subject to no net increase in the overall quantum of assistance under the scheme. </w:t>
      </w:r>
    </w:p>
    <w:p w:rsidR="00AE4D5A" w:rsidRDefault="00AE4D5A" w:rsidP="008E5E01">
      <w:pPr>
        <w:spacing w:before="240" w:line="320" w:lineRule="atLeast"/>
        <w:jc w:val="both"/>
        <w:rPr>
          <w:szCs w:val="20"/>
        </w:rPr>
      </w:pPr>
      <w:r>
        <w:rPr>
          <w:szCs w:val="20"/>
        </w:rPr>
        <w:t xml:space="preserve">However, after the release of the Commission’s draft report, the Tasmanian Government announced that it had selected Swire Shipping as the preferred carrier for an international container shipping service from Bell Bay. This follows a competitive selection process, facilitated with the advice and involvement of consultants Thompson Clarke. This development raises a number of difficult sequencing obstacles that inevitably require deferral of the Australian Government’s consideration of extending the TFES to exports. </w:t>
      </w:r>
    </w:p>
    <w:p w:rsidR="00AE4D5A" w:rsidRDefault="00AE4D5A" w:rsidP="008E5E01">
      <w:pPr>
        <w:spacing w:before="240" w:line="320" w:lineRule="atLeast"/>
        <w:jc w:val="both"/>
        <w:rPr>
          <w:szCs w:val="20"/>
        </w:rPr>
      </w:pPr>
      <w:r>
        <w:rPr>
          <w:szCs w:val="20"/>
        </w:rPr>
        <w:t xml:space="preserve">First, although the long term commercial sustainability of a direct international service is not certain now or in the future, extending the TFES would inevitably compromise the viability of a (more cost effective) international shipping service. Second, a direct international shipping service would add competitive pressure to the domestic Bass Strait route. Third, it would also introduce the prospect of two subsidies (through the TFES and Tasmanian Government assistance to transition to the new international service) working at cross purposes. </w:t>
      </w:r>
    </w:p>
    <w:p w:rsidR="00AE4D5A" w:rsidRPr="008E0897" w:rsidRDefault="00AE4D5A" w:rsidP="008E5E01">
      <w:pPr>
        <w:spacing w:before="240" w:line="320" w:lineRule="atLeast"/>
        <w:jc w:val="both"/>
        <w:rPr>
          <w:szCs w:val="20"/>
        </w:rPr>
      </w:pPr>
      <w:r>
        <w:rPr>
          <w:szCs w:val="20"/>
        </w:rPr>
        <w:t xml:space="preserve">Reforms to coastal shipping would also have some impact on competition and Tasmanian shipping costs (chapter 4). </w:t>
      </w:r>
    </w:p>
    <w:p w:rsidR="00AE4D5A" w:rsidRDefault="00AE4D5A" w:rsidP="008E5E01">
      <w:pPr>
        <w:pStyle w:val="BodyText"/>
      </w:pPr>
      <w:r>
        <w:t>Given the sequencing obstacles associated with recent and anticipated developments, t</w:t>
      </w:r>
      <w:r w:rsidRPr="00A20DF4">
        <w:t xml:space="preserve">he </w:t>
      </w:r>
      <w:r>
        <w:t xml:space="preserve">Commission recommends that the </w:t>
      </w:r>
      <w:r w:rsidRPr="00A20DF4">
        <w:t xml:space="preserve">Australian Government should determine the </w:t>
      </w:r>
      <w:r>
        <w:t xml:space="preserve">merit and </w:t>
      </w:r>
      <w:r w:rsidRPr="00A20DF4">
        <w:t xml:space="preserve">timing of such an extension following: </w:t>
      </w:r>
    </w:p>
    <w:p w:rsidR="00AE4D5A" w:rsidRPr="0040796B" w:rsidRDefault="00AE4D5A" w:rsidP="008E5E01">
      <w:pPr>
        <w:pStyle w:val="ListBullet"/>
      </w:pPr>
      <w:r w:rsidRPr="00223146">
        <w:t>discussion with the Tasmanian Government to ensure a mutually consistent po</w:t>
      </w:r>
      <w:r>
        <w:t>licy approach</w:t>
      </w:r>
    </w:p>
    <w:p w:rsidR="00AE4D5A" w:rsidRPr="00A57E29" w:rsidRDefault="00AE4D5A" w:rsidP="008E5E01">
      <w:pPr>
        <w:pStyle w:val="ListBullet"/>
      </w:pPr>
      <w:r w:rsidRPr="00A57E29">
        <w:t>the extent to which the potential resumption of a commercially viable direct service would be compromised by such an extension of the scheme, and advanced by potential coastal shipping reform</w:t>
      </w:r>
    </w:p>
    <w:p w:rsidR="00AE4D5A" w:rsidRPr="00223146" w:rsidRDefault="00AE4D5A" w:rsidP="008E5E01">
      <w:pPr>
        <w:pStyle w:val="ListBullet"/>
      </w:pPr>
      <w:r w:rsidRPr="00223146">
        <w:t xml:space="preserve">agreement </w:t>
      </w:r>
      <w:r>
        <w:t>having been secured with</w:t>
      </w:r>
      <w:r w:rsidRPr="00223146">
        <w:t xml:space="preserve"> relevant shipping lines to provide pricing and cost data to BITRE (as discussed in chapter</w:t>
      </w:r>
      <w:r>
        <w:t> </w:t>
      </w:r>
      <w:r w:rsidRPr="00223146">
        <w:t>2).</w:t>
      </w:r>
    </w:p>
    <w:p w:rsidR="00AE4D5A" w:rsidRDefault="00AE4D5A" w:rsidP="008E5E01">
      <w:pPr>
        <w:pStyle w:val="BodyText"/>
      </w:pPr>
      <w:r>
        <w:lastRenderedPageBreak/>
        <w:t xml:space="preserve">The merit of this case is also premised on no net increase in the overall quantum of assistance under the scheme. </w:t>
      </w:r>
    </w:p>
    <w:p w:rsidR="00AE4D5A" w:rsidRDefault="00AE4D5A" w:rsidP="008E5E01">
      <w:pPr>
        <w:spacing w:before="240" w:line="320" w:lineRule="atLeast"/>
        <w:jc w:val="both"/>
        <w:rPr>
          <w:szCs w:val="20"/>
        </w:rPr>
      </w:pPr>
      <w:r>
        <w:rPr>
          <w:szCs w:val="20"/>
        </w:rPr>
        <w:t>As with all subsidies, extending the TFES would have efficiency and distributional effects through its impact on input and output markets. Broadening the scheme by extending payments to more goods should improve allocative efficiency in Tasmania, at least between producers that export internationally and those that sell to the Australian mainland. However, over time, if the overall quantum of assistance materially increases, this will be to the further detriment of Tasmanian consumers, who are already adversely affected by the scheme. To the extent that some resources shift into industries and firms that supply exports at the expense of firms that trade domestically, the supply to domestic consumers would be reduced and they will face a higher price for Tasmanian produced goods (box 3.4).</w:t>
      </w:r>
    </w:p>
    <w:p w:rsidR="00AE4D5A" w:rsidRDefault="00AE4D5A" w:rsidP="008E5E01">
      <w:pPr>
        <w:pStyle w:val="BodyText"/>
      </w:pPr>
      <w:r>
        <w:t>If such an extension resulted in a corollary increase in the quantum of assistance under the TFES, those benefits would be more than offset by the negative impact of a material increase in the overall subsidy on Tasmanian consumers and the Australian economy more broadly (box 3.4).</w:t>
      </w:r>
    </w:p>
    <w:p w:rsidR="00AE4D5A" w:rsidRDefault="00AE4D5A" w:rsidP="008E5E01">
      <w:pPr>
        <w:pStyle w:val="BodyText"/>
      </w:pPr>
      <w:r>
        <w:t xml:space="preserve">The decision on the total quantum of assistance under the TFES is ultimately one for the Australian Government. The Commission, for the reasons outlined above, views the appropriate and overall quantum of assistance afforded under the TFES with the aforementioned scope extension, to be initially around the current and anticipated total payments and then subject to review in four years. This view is premised on containing the negative economic impact of the scheme on Tasmanian consumers and the Australian economy more broadly whilst securing a modicum of allocative efficiency by broadening eligibility in a cost neutral way. A review at that time will also be informed by anticipated developments, both policy and investment decisions influencing shipping capacity, that will likely impact the cost of Bass Strait shipping. </w:t>
      </w:r>
    </w:p>
    <w:p w:rsidR="00AE4D5A" w:rsidRDefault="00AE4D5A" w:rsidP="008E5E01">
      <w:pPr>
        <w:pStyle w:val="BodyText"/>
      </w:pPr>
      <w:r>
        <w:t xml:space="preserve">The implied average flat rate of assistance under such an extension to the scheme is a function of the quantum of overall assistance and the number of eligible recipients and their volumes. As such, the implied average flat rate assistance could be around </w:t>
      </w:r>
      <w:r w:rsidRPr="00B7572D">
        <w:t>$</w:t>
      </w:r>
      <w:r>
        <w:t xml:space="preserve">735 per TEU (including intermodal costs) if the scheme is not extended to all eligible commodities transhipped through the Port of Melbourne or other mainland ports, and within a range of </w:t>
      </w:r>
      <w:r w:rsidRPr="00B7572D">
        <w:t>$</w:t>
      </w:r>
      <w:r>
        <w:t>470–</w:t>
      </w:r>
      <w:r w:rsidRPr="00B7572D">
        <w:t>$</w:t>
      </w:r>
      <w:r>
        <w:t xml:space="preserve">570 per TEU (depending on export volumes) if the scheme is extended. Importantly, these figures are purely indicative given the paucity of export data from Tasmania and the uncertainty surrounding the dynamic impacts of any changes, and would be subject to </w:t>
      </w:r>
      <w:proofErr w:type="spellStart"/>
      <w:r>
        <w:t>zonal</w:t>
      </w:r>
      <w:proofErr w:type="spellEnd"/>
      <w:r>
        <w:t xml:space="preserve"> arrangements and </w:t>
      </w:r>
      <w:proofErr w:type="spellStart"/>
      <w:r>
        <w:t>TEU</w:t>
      </w:r>
      <w:proofErr w:type="spellEnd"/>
      <w:r>
        <w:t xml:space="preserve"> equivalent calculations by BITRE informed by a public consultation process.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lastRenderedPageBreak/>
              <w:t>Box 3.</w:t>
            </w:r>
            <w:r>
              <w:rPr>
                <w:b w:val="0"/>
                <w:noProof/>
              </w:rPr>
              <w:t>4</w:t>
            </w:r>
            <w:r>
              <w:tab/>
              <w:t>The distributional effects of the TFES subsidy</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The TFES reduces Australia</w:t>
            </w:r>
            <w:r>
              <w:noBreakHyphen/>
              <w:t>wide welfare, as any gains to Tasmania are more than offset by a corresponding reduction in welfare for the rest of Australia. If it is assumed that Tasmanian producers are small in the mainland market and do not affect mainland prices, then the TFES (for northbound freight) can be illustrated as follows.</w:t>
            </w:r>
          </w:p>
          <w:p w:rsidR="00AE4D5A" w:rsidRDefault="00AE4D5A" w:rsidP="008E5E01">
            <w:pPr>
              <w:pStyle w:val="Box"/>
            </w:pPr>
            <w:r>
              <w:t xml:space="preserve">In the absence of the TFES, Tasmanian consumers purchase OB units of Tasmanian produced goods, at a price of </w:t>
            </w:r>
            <w:proofErr w:type="spellStart"/>
            <w:r>
              <w:t>OE</w:t>
            </w:r>
            <w:proofErr w:type="spellEnd"/>
            <w:r>
              <w:t xml:space="preserve">, with BC freighted to the mainland. The TFES increases the price Tasmanian producers receive (by reducing their freight costs) from </w:t>
            </w:r>
            <w:proofErr w:type="spellStart"/>
            <w:r>
              <w:t>OE</w:t>
            </w:r>
            <w:proofErr w:type="spellEnd"/>
            <w:r>
              <w:t xml:space="preserve"> to OF. Producers prefer to sell to the mainland to receive a higher price, which also increases the price to Tasmanian consumers (from </w:t>
            </w:r>
            <w:proofErr w:type="spellStart"/>
            <w:r>
              <w:t>OE</w:t>
            </w:r>
            <w:proofErr w:type="spellEnd"/>
            <w:r>
              <w:t xml:space="preserve"> to OF). This causes the quantity demanded by Tasmanian consumers to contract to OA. Overall Tasmanian production expands from OC to OD with AD shipped to the mainland with a subsidy of </w:t>
            </w:r>
            <w:proofErr w:type="spellStart"/>
            <w:r>
              <w:t>EF</w:t>
            </w:r>
            <w:proofErr w:type="spellEnd"/>
            <w:r>
              <w:t>.</w:t>
            </w:r>
          </w:p>
          <w:p w:rsidR="00AE4D5A" w:rsidRDefault="00AE4D5A" w:rsidP="00992690">
            <w:pPr>
              <w:pStyle w:val="FigureTitle"/>
            </w:pPr>
            <w:r>
              <w:rPr>
                <w:b w:val="0"/>
              </w:rPr>
              <w:t>Figure 3.3</w:t>
            </w:r>
            <w:r>
              <w:tab/>
              <w:t>Effect of the northbound component of the TFES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494"/>
            </w:tblGrid>
            <w:tr w:rsidR="00AE4D5A" w:rsidTr="008E5E01">
              <w:tc>
                <w:tcPr>
                  <w:tcW w:w="8494" w:type="dxa"/>
                </w:tcPr>
                <w:p w:rsidR="00AE4D5A" w:rsidRDefault="00AE4D5A" w:rsidP="008E5E01">
                  <w:pPr>
                    <w:pStyle w:val="Figure"/>
                  </w:pPr>
                  <w:r>
                    <w:rPr>
                      <w:noProof/>
                    </w:rPr>
                    <w:drawing>
                      <wp:inline distT="0" distB="0" distL="0" distR="0" wp14:anchorId="32020FBD" wp14:editId="142298C2">
                        <wp:extent cx="4603115" cy="3206750"/>
                        <wp:effectExtent l="0" t="0" r="6985" b="0"/>
                        <wp:docPr id="64" name="Picture 64" descr="Figure 3.3 Effect of the northbound component of the TFES. This figure shows that the price Tasmanian producers receive increases due to the subsidy, and production expands, while the quantity demanded by Tasmanian consumers falls and the price they pay incre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03115" cy="3206750"/>
                                </a:xfrm>
                                <a:prstGeom prst="rect">
                                  <a:avLst/>
                                </a:prstGeom>
                                <a:noFill/>
                              </pic:spPr>
                            </pic:pic>
                          </a:graphicData>
                        </a:graphic>
                      </wp:inline>
                    </w:drawing>
                  </w:r>
                </w:p>
              </w:tc>
            </w:tr>
          </w:tbl>
          <w:p w:rsidR="00AE4D5A" w:rsidRDefault="00AE4D5A" w:rsidP="008E5E01">
            <w:pPr>
              <w:pStyle w:val="Box"/>
            </w:pPr>
            <w:r>
              <w:t>As a result, the subsidy:</w:t>
            </w:r>
          </w:p>
          <w:p w:rsidR="00AE4D5A" w:rsidRDefault="00AE4D5A" w:rsidP="002C0A13">
            <w:pPr>
              <w:pStyle w:val="BoxListBullet"/>
            </w:pPr>
            <w:r>
              <w:t>increases profits for eligible Tasmanian firms (</w:t>
            </w:r>
            <w:proofErr w:type="spellStart"/>
            <w:r>
              <w:t>W+X+Y</w:t>
            </w:r>
            <w:proofErr w:type="spellEnd"/>
            <w:r>
              <w:t>)</w:t>
            </w:r>
          </w:p>
          <w:p w:rsidR="00AE4D5A" w:rsidRDefault="00AE4D5A" w:rsidP="002C0A13">
            <w:pPr>
              <w:pStyle w:val="BoxListBullet"/>
            </w:pPr>
            <w:r>
              <w:t>reduces welfare for Tasmanian consumers (</w:t>
            </w:r>
            <w:proofErr w:type="spellStart"/>
            <w:r>
              <w:t>W+X</w:t>
            </w:r>
            <w:proofErr w:type="spellEnd"/>
            <w:r>
              <w:t xml:space="preserve">) </w:t>
            </w:r>
          </w:p>
          <w:p w:rsidR="00AE4D5A" w:rsidRDefault="00AE4D5A" w:rsidP="002C0A13">
            <w:pPr>
              <w:pStyle w:val="BoxListBullet"/>
            </w:pPr>
            <w:r>
              <w:t>adds costs for taxpayers who fund the subsidy (</w:t>
            </w:r>
            <w:proofErr w:type="spellStart"/>
            <w:r>
              <w:t>X+Y+Z</w:t>
            </w:r>
            <w:proofErr w:type="spellEnd"/>
            <w:r>
              <w:t>)</w:t>
            </w:r>
          </w:p>
          <w:p w:rsidR="00AE4D5A" w:rsidRDefault="00AE4D5A" w:rsidP="002C0A13">
            <w:pPr>
              <w:pStyle w:val="BoxListBullet"/>
            </w:pPr>
            <w:r>
              <w:t>r</w:t>
            </w:r>
            <w:r w:rsidR="00F17CCE">
              <w:t>educes Australian welfare (</w:t>
            </w:r>
            <w:proofErr w:type="spellStart"/>
            <w:r w:rsidR="00F17CCE">
              <w:t>X+Z</w:t>
            </w:r>
            <w:proofErr w:type="spellEnd"/>
            <w:r w:rsidR="00F17CCE">
              <w:t>)</w:t>
            </w:r>
            <w:r w:rsidR="00A309FA">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bl>
    <w:p w:rsidR="00F17CCE" w:rsidRDefault="00871493" w:rsidP="00871493">
      <w:pPr>
        <w:pStyle w:val="Continued"/>
      </w:pPr>
      <w:r>
        <w:t>(Continued next page)</w:t>
      </w:r>
    </w:p>
    <w:p w:rsidR="00F17CCE" w:rsidRDefault="00F17CCE">
      <w:pPr>
        <w:rPr>
          <w:szCs w:val="20"/>
        </w:rPr>
      </w:pPr>
      <w:r>
        <w:br w:type="page"/>
      </w:r>
    </w:p>
    <w:p w:rsidR="00AE4D5A" w:rsidRPr="00D7530A"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 xml:space="preserve">Box 3.4 </w:t>
            </w:r>
            <w:r w:rsidR="00871493">
              <w:rPr>
                <w:b w:val="0"/>
              </w:rPr>
              <w:tab/>
            </w:r>
            <w:r>
              <w:rPr>
                <w:b w:val="0"/>
              </w:rPr>
              <w:t>(cont</w:t>
            </w:r>
            <w:r w:rsidR="00871493">
              <w:rPr>
                <w:b w:val="0"/>
              </w:rPr>
              <w:t>inued</w:t>
            </w:r>
            <w:r>
              <w:rPr>
                <w:b w:val="0"/>
              </w:rPr>
              <w:t>)</w:t>
            </w:r>
            <w:r>
              <w:tab/>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To the extent that mainland prices are affected by the quantity shipped (that is the mainland demand curve slopes downwards), the benefits of the subsidy will be shared between Tasmanian producers and mainland consumers. However, Australia will still have a net welfare loss.</w:t>
            </w:r>
          </w:p>
          <w:p w:rsidR="00AE4D5A" w:rsidRPr="00E435BF" w:rsidRDefault="00AE4D5A" w:rsidP="008E5E01">
            <w:pPr>
              <w:pStyle w:val="Box"/>
            </w:pPr>
            <w:r>
              <w:t xml:space="preserve">If the TFES is extended (but in a cost neutral way by reducing the rate), the net welfare effects will depend on the relative slopes of the demand curves of Tasmanian, mainland and international consumers. While the welfare effects of extending the TFES is an empirical question, Tasmanian producers are likely to be the main beneficiaries with Tasmanian consumers likely to bear additional welfare costs. </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bl>
    <w:p w:rsidR="00AE4D5A" w:rsidRDefault="00AE4D5A" w:rsidP="008E5E01">
      <w:pPr>
        <w:spacing w:before="240" w:line="320" w:lineRule="atLeast"/>
        <w:jc w:val="both"/>
        <w:rPr>
          <w:szCs w:val="20"/>
        </w:rPr>
      </w:pPr>
      <w:r>
        <w:rPr>
          <w:szCs w:val="20"/>
        </w:rPr>
        <w:t>While those receiving assistance under the TFES are likely to be the main beneficiaries of an extension to the TFES, the impact on particular businesses would depend on their individual business model, the quantum of the TFES rate and the final destination of their goods:</w:t>
      </w:r>
    </w:p>
    <w:p w:rsidR="00AE4D5A" w:rsidRDefault="00AE4D5A" w:rsidP="008E5E01">
      <w:pPr>
        <w:pStyle w:val="ListBullet"/>
      </w:pPr>
      <w:r>
        <w:t>businesses shipping mainly to overseas destinations would benefit although the benefit to those preferring a direct service would be diminished where extending the TFES compromised the future viability of a more cost</w:t>
      </w:r>
      <w:r>
        <w:noBreakHyphen/>
        <w:t>effective direct international container service</w:t>
      </w:r>
    </w:p>
    <w:p w:rsidR="00AE4D5A" w:rsidRDefault="00AE4D5A" w:rsidP="008E5E01">
      <w:pPr>
        <w:pStyle w:val="ListBullet"/>
      </w:pPr>
      <w:r>
        <w:t>the benefits to businesses who ship to both mainland and overseas destinations would depend on the overall net impact of the extension of TFES eligibility to exports relative to the rate reduction on current eligible volumes</w:t>
      </w:r>
    </w:p>
    <w:p w:rsidR="00AE4D5A" w:rsidRDefault="00AE4D5A" w:rsidP="008E5E01">
      <w:pPr>
        <w:pStyle w:val="ListBullet"/>
      </w:pPr>
      <w:r>
        <w:t>businesses shipping primarily to and from the mainland would receive a lower level of assistance per TEU.</w:t>
      </w:r>
    </w:p>
    <w:p w:rsidR="00AE4D5A" w:rsidRDefault="00AE4D5A" w:rsidP="008E5E01">
      <w:pPr>
        <w:spacing w:before="240" w:line="320" w:lineRule="atLeast"/>
        <w:jc w:val="both"/>
        <w:rPr>
          <w:szCs w:val="20"/>
        </w:rPr>
      </w:pPr>
      <w:r>
        <w:rPr>
          <w:szCs w:val="20"/>
        </w:rPr>
        <w:t xml:space="preserve">A deferred policy decision on this issue would also provide some lead time to address the paucity of data to inform the Government’s consideration of future rate reviews and the overall </w:t>
      </w:r>
      <w:r w:rsidRPr="005D754F">
        <w:rPr>
          <w:szCs w:val="20"/>
        </w:rPr>
        <w:t>effect</w:t>
      </w:r>
      <w:r w:rsidRPr="00EA1F7F">
        <w:rPr>
          <w:szCs w:val="20"/>
        </w:rPr>
        <w:t>iveness</w:t>
      </w:r>
      <w:r>
        <w:rPr>
          <w:szCs w:val="20"/>
        </w:rPr>
        <w:t xml:space="preserve"> of the TFES.</w:t>
      </w:r>
    </w:p>
    <w:p w:rsidR="00AE4D5A" w:rsidRPr="00D7530A" w:rsidRDefault="00AE4D5A" w:rsidP="008E5E01">
      <w:pPr>
        <w:pStyle w:val="FindingTitle"/>
        <w:framePr w:wrap="auto"/>
        <w:tabs>
          <w:tab w:val="right" w:pos="8789"/>
        </w:tabs>
        <w:rPr>
          <w:sz w:val="22"/>
          <w:szCs w:val="22"/>
        </w:rPr>
      </w:pPr>
      <w:r w:rsidRPr="00D7530A">
        <w:rPr>
          <w:sz w:val="22"/>
          <w:szCs w:val="22"/>
        </w:rPr>
        <w:t xml:space="preserve">RECOMMENDATION 6 </w:t>
      </w:r>
    </w:p>
    <w:p w:rsidR="00AE4D5A" w:rsidRDefault="00AE4D5A" w:rsidP="008E5E01">
      <w:pPr>
        <w:pStyle w:val="Rec"/>
      </w:pPr>
      <w:r>
        <w:t>In the absence of a regular direct international container service (direct service) from Tasmania, there is a case to extend the Tasmanian Freight Equalisation Scheme to all eligible commodities (as specified in the Ministerial Directions) shipped to the Port of Melbourne or any other mainland ports and subject to no net increase in the overall assistance provided by the scheme. The Australian Government should determine the merit and timing of such an extension following:</w:t>
      </w:r>
    </w:p>
    <w:p w:rsidR="00AE4D5A" w:rsidRDefault="00AE4D5A" w:rsidP="008E5E01">
      <w:pPr>
        <w:pStyle w:val="RecBullet"/>
      </w:pPr>
      <w:r>
        <w:t>discussion with the Tasmanian Government to ensure a mutually consistent policy approach</w:t>
      </w:r>
    </w:p>
    <w:p w:rsidR="00AE4D5A" w:rsidRDefault="00AE4D5A" w:rsidP="008E5E01">
      <w:pPr>
        <w:pStyle w:val="RecBullet"/>
      </w:pPr>
      <w:r>
        <w:lastRenderedPageBreak/>
        <w:t>an assessment of the extent to which the potential resumption of a commercially viable direct service would be compromised by such an extension of the scheme, and advanced by potential coastal shipping reform</w:t>
      </w:r>
    </w:p>
    <w:p w:rsidR="00AE4D5A" w:rsidRDefault="00AE4D5A" w:rsidP="008E5E01">
      <w:pPr>
        <w:pStyle w:val="RecBullet"/>
      </w:pPr>
      <w:r>
        <w:t>agreement having been secured with the relevant shipping lines to provide pricing and cost data to the Bureau of Infrastructure, Transport and Regional Economics (as per recommendation 3).</w:t>
      </w:r>
    </w:p>
    <w:p w:rsidR="00AE4D5A" w:rsidRPr="008E0897" w:rsidRDefault="00AE4D5A" w:rsidP="008E5E01">
      <w:pPr>
        <w:keepNext/>
        <w:spacing w:before="480" w:line="320" w:lineRule="exact"/>
        <w:outlineLvl w:val="4"/>
        <w:rPr>
          <w:i/>
          <w:szCs w:val="20"/>
        </w:rPr>
      </w:pPr>
      <w:r>
        <w:rPr>
          <w:i/>
          <w:szCs w:val="20"/>
        </w:rPr>
        <w:t>Changes to the s</w:t>
      </w:r>
      <w:r w:rsidRPr="008E0897">
        <w:rPr>
          <w:i/>
          <w:szCs w:val="20"/>
        </w:rPr>
        <w:t>outhbound component</w:t>
      </w:r>
      <w:r>
        <w:rPr>
          <w:i/>
          <w:szCs w:val="20"/>
        </w:rPr>
        <w:t xml:space="preserve"> of the scheme</w:t>
      </w:r>
    </w:p>
    <w:p w:rsidR="00AE4D5A" w:rsidRDefault="00AE4D5A" w:rsidP="008E5E01">
      <w:pPr>
        <w:spacing w:before="240" w:line="320" w:lineRule="atLeast"/>
        <w:jc w:val="both"/>
        <w:rPr>
          <w:szCs w:val="20"/>
        </w:rPr>
      </w:pPr>
      <w:r w:rsidRPr="008E0897">
        <w:rPr>
          <w:szCs w:val="20"/>
        </w:rPr>
        <w:t>The TFES provides assistance for some commodities that would otherwise be shipped in bulk. Wheat shipments under the TFES are a particular beneficiary with wheat the second largest southbound claim by value in 2011</w:t>
      </w:r>
      <w:r w:rsidRPr="008E0897">
        <w:rPr>
          <w:szCs w:val="20"/>
        </w:rPr>
        <w:noBreakHyphen/>
        <w:t>12 (table 3.2). Since 2004</w:t>
      </w:r>
      <w:r w:rsidRPr="008E0897">
        <w:rPr>
          <w:szCs w:val="20"/>
        </w:rPr>
        <w:noBreakHyphen/>
        <w:t>05, the TFES has provided a subsidy for containerised wheat in addition to the TWFS which provides a subsidy for bulk</w:t>
      </w:r>
      <w:r w:rsidRPr="008E0897">
        <w:rPr>
          <w:szCs w:val="20"/>
        </w:rPr>
        <w:noBreakHyphen/>
        <w:t xml:space="preserve">shipped wheat. </w:t>
      </w:r>
    </w:p>
    <w:p w:rsidR="00AE4D5A" w:rsidRPr="008E0897" w:rsidRDefault="00AE4D5A" w:rsidP="008E5E01">
      <w:pPr>
        <w:spacing w:before="240" w:line="320" w:lineRule="atLeast"/>
        <w:jc w:val="both"/>
        <w:rPr>
          <w:szCs w:val="20"/>
        </w:rPr>
      </w:pPr>
      <w:r w:rsidRPr="008E0897">
        <w:rPr>
          <w:szCs w:val="20"/>
        </w:rPr>
        <w:t>This duplication arose in the 2004</w:t>
      </w:r>
      <w:r w:rsidRPr="008E0897">
        <w:rPr>
          <w:szCs w:val="20"/>
        </w:rPr>
        <w:noBreakHyphen/>
        <w:t>05 Budget when the Australian Government ceased the bulk wheat freight subsidy and provided additional funds to the TFES to pay the TFES subsidy for containerised wheat. The bulk wheat freight subsidy was subsequently reinstated but the additional assistance under the TFES remained. The Commission notes that shipping wheat in containers may not be the most efficient process available.</w:t>
      </w:r>
    </w:p>
    <w:p w:rsidR="00AE4D5A" w:rsidRPr="008E0897" w:rsidRDefault="00AE4D5A" w:rsidP="008E5E01">
      <w:pPr>
        <w:spacing w:before="240" w:line="320" w:lineRule="atLeast"/>
        <w:jc w:val="both"/>
        <w:rPr>
          <w:szCs w:val="20"/>
        </w:rPr>
      </w:pPr>
      <w:r w:rsidRPr="008E0897">
        <w:rPr>
          <w:szCs w:val="20"/>
        </w:rPr>
        <w:t>Claims for wheat under the southbound component of the TFES have increased significantly in recent years, as shippers moved from bulk shipping to containers to access the</w:t>
      </w:r>
      <w:r>
        <w:rPr>
          <w:szCs w:val="20"/>
        </w:rPr>
        <w:t xml:space="preserve"> higher TFES subsidy. Figure 3.4</w:t>
      </w:r>
      <w:r w:rsidRPr="008E0897">
        <w:rPr>
          <w:szCs w:val="20"/>
        </w:rPr>
        <w:t xml:space="preserve"> shows that the number of tonnes shipped and the subsidy paid per tonne were higher for the TFES than for the TWFS and there were no claims under the TWFS in 2005</w:t>
      </w:r>
      <w:r w:rsidRPr="008E0897">
        <w:rPr>
          <w:szCs w:val="20"/>
        </w:rPr>
        <w:noBreakHyphen/>
        <w:t>06, and there have been none since August 2009. For wheat shipped in containers, the number of tonnes increased by 17 per cent and the subsidy paid per tonne increased by 19 per cent between 2005</w:t>
      </w:r>
      <w:r w:rsidRPr="008E0897">
        <w:rPr>
          <w:szCs w:val="20"/>
        </w:rPr>
        <w:noBreakHyphen/>
        <w:t>06 and 2011</w:t>
      </w:r>
      <w:r w:rsidRPr="008E0897">
        <w:rPr>
          <w:szCs w:val="20"/>
        </w:rPr>
        <w:noBreakHyphen/>
        <w:t xml:space="preserve">12. </w:t>
      </w:r>
    </w:p>
    <w:p w:rsidR="00AE4D5A" w:rsidRDefault="00AE4D5A" w:rsidP="008E5E01">
      <w:pPr>
        <w:spacing w:before="240" w:line="320" w:lineRule="atLeast"/>
        <w:jc w:val="both"/>
        <w:rPr>
          <w:szCs w:val="20"/>
        </w:rPr>
      </w:pPr>
      <w:r w:rsidRPr="008E0897">
        <w:rPr>
          <w:szCs w:val="20"/>
        </w:rPr>
        <w:t>There is likely to have been a loss of efficiency in the move to containerised wheat transport.</w:t>
      </w:r>
      <w:r>
        <w:rPr>
          <w:szCs w:val="20"/>
        </w:rPr>
        <w:t xml:space="preserve"> GA Cossar and Co</w:t>
      </w:r>
      <w:r w:rsidR="00F17CCE">
        <w:rPr>
          <w:szCs w:val="20"/>
        </w:rPr>
        <w:t>.</w:t>
      </w:r>
      <w:r>
        <w:rPr>
          <w:szCs w:val="20"/>
        </w:rPr>
        <w:t xml:space="preserve"> noted that the substitution from bulk to containers could have scheme cost, as well as efficiency effects. Under the scheme road</w:t>
      </w:r>
      <w:r>
        <w:rPr>
          <w:szCs w:val="20"/>
        </w:rPr>
        <w:noBreakHyphen/>
        <w:t>making material was put in bags to be made eligible under the TFES, which, while saving money for the claimant, meant that:</w:t>
      </w:r>
    </w:p>
    <w:p w:rsidR="00AE4D5A" w:rsidRPr="008E0897" w:rsidRDefault="00AE4D5A" w:rsidP="008E5E01">
      <w:pPr>
        <w:pStyle w:val="Quote"/>
      </w:pPr>
      <w:r>
        <w:t xml:space="preserve">… the federal government has paid for a freight subsidy scheme and they may have paid $20 a tonne [of] which $19 a tonne has gone to putting stuff in bags in Tasmania and taking it out of bags and providing bags. (trans., p. 282). </w:t>
      </w:r>
    </w:p>
    <w:p w:rsidR="00207B70" w:rsidRDefault="00207B70">
      <w:pPr>
        <w:rPr>
          <w:szCs w:val="20"/>
        </w:rPr>
      </w:pPr>
      <w:r>
        <w:rPr>
          <w:szCs w:val="20"/>
        </w:rPr>
        <w:br w:type="page"/>
      </w:r>
    </w:p>
    <w:p w:rsidR="00AE4D5A" w:rsidRDefault="00AE4D5A" w:rsidP="008E5E01">
      <w:pPr>
        <w:spacing w:before="240" w:line="320" w:lineRule="atLeast"/>
        <w:jc w:val="both"/>
        <w:rPr>
          <w:szCs w:val="20"/>
        </w:rPr>
      </w:pPr>
      <w:r>
        <w:rPr>
          <w:szCs w:val="20"/>
        </w:rPr>
        <w:lastRenderedPageBreak/>
        <w:t>GA Cossar and Co</w:t>
      </w:r>
      <w:r w:rsidR="00F17CCE">
        <w:rPr>
          <w:szCs w:val="20"/>
        </w:rPr>
        <w:t>.</w:t>
      </w:r>
      <w:r>
        <w:rPr>
          <w:szCs w:val="20"/>
        </w:rPr>
        <w:t xml:space="preserve"> also described the exclusion of goods shipped in bulk as a distortion (sub. </w:t>
      </w:r>
      <w:proofErr w:type="spellStart"/>
      <w:r>
        <w:rPr>
          <w:szCs w:val="20"/>
        </w:rPr>
        <w:t>DR82</w:t>
      </w:r>
      <w:proofErr w:type="spellEnd"/>
      <w:r>
        <w:rPr>
          <w:szCs w:val="20"/>
        </w:rPr>
        <w:t xml:space="preserve">). The exclusion was recommended by the TFES Review Authority which considered that most goods shipped in bulk form would continue to be shipped that way in the presence of a land bridge </w:t>
      </w:r>
      <w:r w:rsidRPr="00D11241">
        <w:t>(TFES Review Authority 1998)</w:t>
      </w:r>
      <w:r>
        <w:rPr>
          <w:szCs w:val="20"/>
        </w:rPr>
        <w:t>.</w:t>
      </w:r>
    </w:p>
    <w:p w:rsidR="00AE4D5A" w:rsidRPr="008E0897" w:rsidRDefault="00AE4D5A" w:rsidP="008E5E01">
      <w:pPr>
        <w:spacing w:before="240" w:line="320" w:lineRule="atLeast"/>
        <w:jc w:val="both"/>
        <w:rPr>
          <w:szCs w:val="20"/>
        </w:rPr>
      </w:pPr>
      <w:r w:rsidRPr="008E0897">
        <w:rPr>
          <w:szCs w:val="20"/>
        </w:rPr>
        <w:t xml:space="preserve">To be eligible to claim under the southbound component of the scheme, a person must be engaged in one or more of the following industries — manufacturing, mining, agriculture, forestry or fishing. However, eligibility is determined by ANZSIC division. Where an applicant is involved in activities that cover more than one ANZSIC division, DHS decides </w:t>
      </w:r>
      <w:r>
        <w:rPr>
          <w:szCs w:val="20"/>
        </w:rPr>
        <w:t xml:space="preserve">in </w:t>
      </w:r>
      <w:r w:rsidRPr="008E0897">
        <w:rPr>
          <w:szCs w:val="20"/>
        </w:rPr>
        <w:t>which ANZSIC division the business belongs and therefore whether it is eligible for TFES assistance.</w:t>
      </w:r>
    </w:p>
    <w:p w:rsidR="00AE4D5A" w:rsidRDefault="00AE4D5A" w:rsidP="008E5E01">
      <w:pPr>
        <w:spacing w:before="240" w:line="320" w:lineRule="atLeast"/>
        <w:jc w:val="both"/>
        <w:rPr>
          <w:szCs w:val="20"/>
        </w:rPr>
      </w:pPr>
      <w:r w:rsidRPr="008E0897">
        <w:rPr>
          <w:szCs w:val="20"/>
        </w:rPr>
        <w:t>Participants advised that this discourages efficient business structures as the design of the scheme requires separate entities to claim for commodities for use in different ANZSIC classified business activities covered under the scheme, that would otherwise be claimed by one vertically integrated entity.</w:t>
      </w:r>
      <w:r>
        <w:rPr>
          <w:szCs w:val="20"/>
        </w:rPr>
        <w:t xml:space="preserve"> </w:t>
      </w:r>
    </w:p>
    <w:p w:rsidR="00AE4D5A" w:rsidRDefault="00AE4D5A" w:rsidP="008E5E01">
      <w:pPr>
        <w:spacing w:before="240" w:line="320" w:lineRule="atLeast"/>
        <w:jc w:val="both"/>
        <w:rPr>
          <w:szCs w:val="20"/>
        </w:rPr>
      </w:pPr>
      <w:r>
        <w:rPr>
          <w:szCs w:val="20"/>
        </w:rPr>
        <w:t xml:space="preserve">There was evidence that this disadvantages some businesses. </w:t>
      </w:r>
      <w:proofErr w:type="spellStart"/>
      <w:r>
        <w:rPr>
          <w:szCs w:val="20"/>
        </w:rPr>
        <w:t>Vos</w:t>
      </w:r>
      <w:proofErr w:type="spellEnd"/>
      <w:r>
        <w:rPr>
          <w:szCs w:val="20"/>
        </w:rPr>
        <w:t xml:space="preserve"> Construction and Joinery said that:</w:t>
      </w:r>
    </w:p>
    <w:p w:rsidR="00AE4D5A" w:rsidRDefault="00AE4D5A" w:rsidP="008E5E01">
      <w:pPr>
        <w:pStyle w:val="Quote"/>
      </w:pPr>
      <w:r>
        <w:t>… we are eligible to receive around $40,000 to $50,000 per year in subsidies. However, due to a technicality with the freight equalisation legislation, we are unable to claim the Southbound subsidy due to our joinery business not being our main business activity … (sub. 62, p. 1)</w:t>
      </w:r>
    </w:p>
    <w:p w:rsidR="00AE4D5A" w:rsidRDefault="00AE4D5A" w:rsidP="008E5E01">
      <w:pPr>
        <w:pStyle w:val="BodyText"/>
      </w:pPr>
      <w:r>
        <w:t>Given the eligibility requirements for the southbound component of the TFES provide incentives for inefficient business structures, the Commission considers that DIRD should examine whether alternative arrangements could be made for assessing eligibility.</w:t>
      </w:r>
    </w:p>
    <w:p w:rsidR="00AE4D5A" w:rsidRPr="00D7530A" w:rsidRDefault="00AE4D5A" w:rsidP="008E5E01">
      <w:pPr>
        <w:pStyle w:val="FindingTitle"/>
        <w:framePr w:wrap="auto"/>
        <w:tabs>
          <w:tab w:val="right" w:pos="8789"/>
        </w:tabs>
        <w:rPr>
          <w:sz w:val="22"/>
          <w:szCs w:val="22"/>
        </w:rPr>
      </w:pPr>
      <w:r w:rsidRPr="00D7530A">
        <w:rPr>
          <w:sz w:val="22"/>
          <w:szCs w:val="22"/>
        </w:rPr>
        <w:t>Recommendation 11</w:t>
      </w:r>
    </w:p>
    <w:p w:rsidR="00AE4D5A" w:rsidRDefault="00AE4D5A" w:rsidP="008E5E01">
      <w:pPr>
        <w:pStyle w:val="Rec"/>
      </w:pPr>
      <w:r>
        <w:t>The Department of Infrastructure and Regional Development should, subject to confirming feasibility, assess claimants under the southbound component of the Tasmanian Freight Equalisation Scheme on a basis that would avoid the need for claimants to establish a separate legal entity to qualify for assistance, taking into account the compliance costs for businesses and the administration costs to the Australian Government.</w:t>
      </w:r>
    </w:p>
    <w:p w:rsidR="00207B70" w:rsidRDefault="00AE4D5A" w:rsidP="00207B70">
      <w:pPr>
        <w:pStyle w:val="BodyText"/>
      </w:pPr>
      <w:r>
        <w:t>The Commission’s draft report sought information on the potential impacts on firms and industries of extending the northbound component of the scheme and removing the southbound component of the scheme for all goods shipped from the Australian mainland to Tasmania.</w:t>
      </w:r>
      <w:r w:rsidR="00207B70">
        <w:br w:type="page"/>
      </w:r>
    </w:p>
    <w:p w:rsidR="00AE4D5A" w:rsidRDefault="00AE4D5A" w:rsidP="008E5E01">
      <w:pPr>
        <w:pStyle w:val="BodyText"/>
      </w:pPr>
      <w:r>
        <w:lastRenderedPageBreak/>
        <w:t xml:space="preserve">While there was general support for including exports, participants said this should not be at the expense of removing the southbound component of the TFES. </w:t>
      </w:r>
      <w:r w:rsidRPr="008E0897">
        <w:t xml:space="preserve">Around 600 claimants made claims </w:t>
      </w:r>
      <w:r>
        <w:t xml:space="preserve">only </w:t>
      </w:r>
      <w:r w:rsidRPr="008E0897">
        <w:t>under the southbound component in 2011</w:t>
      </w:r>
      <w:r w:rsidRPr="008E0897">
        <w:noBreakHyphen/>
        <w:t xml:space="preserve">12 with total claims paid of around $10 million. </w:t>
      </w:r>
    </w:p>
    <w:p w:rsidR="00AE4D5A" w:rsidRDefault="00AE4D5A" w:rsidP="008E5E01">
      <w:pPr>
        <w:pStyle w:val="BodyText"/>
      </w:pPr>
      <w:r>
        <w:t>Participants highlighted the importance of the southbound component to many industries and firms.</w:t>
      </w:r>
    </w:p>
    <w:p w:rsidR="00AE4D5A" w:rsidRDefault="00AE4D5A" w:rsidP="008E5E01">
      <w:pPr>
        <w:spacing w:before="240" w:line="320" w:lineRule="atLeast"/>
        <w:jc w:val="both"/>
        <w:rPr>
          <w:szCs w:val="20"/>
        </w:rPr>
      </w:pPr>
      <w:r>
        <w:rPr>
          <w:szCs w:val="20"/>
        </w:rPr>
        <w:t>Net Sea Freight argued that industries that were reliant on inputs sourced from the mainland, such as mining, bore high input costs relative to their mainland competitors due to the cost of shipping across Bass Strait (sub. </w:t>
      </w:r>
      <w:proofErr w:type="spellStart"/>
      <w:r>
        <w:rPr>
          <w:szCs w:val="20"/>
        </w:rPr>
        <w:t>DR75</w:t>
      </w:r>
      <w:proofErr w:type="spellEnd"/>
      <w:r>
        <w:rPr>
          <w:szCs w:val="20"/>
        </w:rPr>
        <w:t>). Further, they would not benefit from an extension of the subsidy to exports as they shipped in bulk (Net Sea Freight, sub. </w:t>
      </w:r>
      <w:proofErr w:type="spellStart"/>
      <w:r>
        <w:rPr>
          <w:szCs w:val="20"/>
        </w:rPr>
        <w:t>DR75</w:t>
      </w:r>
      <w:proofErr w:type="spellEnd"/>
      <w:r>
        <w:rPr>
          <w:szCs w:val="20"/>
        </w:rPr>
        <w:t>). The Commission heard that high value agriculture, aquaculture and viticulture firms would have their operations severely affected by removal of the southbound component of the scheme (Net Sea Freight, sub. </w:t>
      </w:r>
      <w:proofErr w:type="spellStart"/>
      <w:r>
        <w:rPr>
          <w:szCs w:val="20"/>
        </w:rPr>
        <w:t>DR75</w:t>
      </w:r>
      <w:proofErr w:type="spellEnd"/>
      <w:r>
        <w:rPr>
          <w:szCs w:val="20"/>
        </w:rPr>
        <w:t xml:space="preserve">). </w:t>
      </w:r>
    </w:p>
    <w:p w:rsidR="00AE4D5A" w:rsidRDefault="00AE4D5A" w:rsidP="008E5E01">
      <w:pPr>
        <w:pStyle w:val="BodyText"/>
      </w:pPr>
      <w:r>
        <w:t>Participants from the Bass Strait islands, in particular, were concerned at the impact on businesses’ viability if southbound assistance were to be removed. Both the King Island Shipping Group and the TFGA (King Island Branch) emphasised the importance of the southbound component to the viability of the islands’ livestock industry. The TFGA (King Island Branch) commented that:</w:t>
      </w:r>
    </w:p>
    <w:p w:rsidR="00AE4D5A" w:rsidRPr="00FE362F" w:rsidRDefault="00AE4D5A">
      <w:pPr>
        <w:pStyle w:val="Quote"/>
      </w:pPr>
      <w:r>
        <w:t>If TFES is removed from King Island for southbound freight, the ramifications to an already weak farming business community will have a strong negative effect on the Island economy and a reduction in farm productivity. Under current arrangements we rely heavily on fertiliser, trade cattle and farm inputs that travel south bound from Victoria. (sub. </w:t>
      </w:r>
      <w:proofErr w:type="spellStart"/>
      <w:r>
        <w:t>DR79</w:t>
      </w:r>
      <w:proofErr w:type="spellEnd"/>
      <w:r>
        <w:t>, p. 2)</w:t>
      </w:r>
    </w:p>
    <w:p w:rsidR="00AE4D5A" w:rsidRDefault="00AE4D5A" w:rsidP="008E5E01">
      <w:pPr>
        <w:spacing w:before="240" w:line="320" w:lineRule="atLeast"/>
        <w:jc w:val="both"/>
        <w:rPr>
          <w:szCs w:val="20"/>
        </w:rPr>
      </w:pPr>
      <w:r>
        <w:rPr>
          <w:szCs w:val="20"/>
        </w:rPr>
        <w:t>More broadly, participants such as Wine Tasmania were concerned that a lack of local substitutes for inputs would deter investment (sub. </w:t>
      </w:r>
      <w:proofErr w:type="spellStart"/>
      <w:r>
        <w:rPr>
          <w:szCs w:val="20"/>
        </w:rPr>
        <w:t>DR78</w:t>
      </w:r>
      <w:proofErr w:type="spellEnd"/>
      <w:r>
        <w:rPr>
          <w:szCs w:val="20"/>
        </w:rPr>
        <w:t xml:space="preserve">). </w:t>
      </w:r>
    </w:p>
    <w:p w:rsidR="00AE4D5A" w:rsidRPr="008E0897" w:rsidRDefault="00AE4D5A" w:rsidP="008E5E01">
      <w:pPr>
        <w:keepNext/>
        <w:spacing w:before="480" w:line="320" w:lineRule="exact"/>
        <w:outlineLvl w:val="3"/>
        <w:rPr>
          <w:rFonts w:ascii="Arial" w:hAnsi="Arial"/>
          <w:i/>
          <w:sz w:val="24"/>
          <w:szCs w:val="20"/>
        </w:rPr>
      </w:pPr>
      <w:r w:rsidRPr="008E0897">
        <w:rPr>
          <w:rFonts w:ascii="Arial" w:hAnsi="Arial"/>
          <w:i/>
          <w:sz w:val="24"/>
          <w:szCs w:val="20"/>
        </w:rPr>
        <w:t>Complexity, compliance and administration issues with the scheme</w:t>
      </w:r>
    </w:p>
    <w:p w:rsidR="00AE4D5A" w:rsidRPr="008E0897" w:rsidRDefault="00AE4D5A" w:rsidP="008E5E01">
      <w:pPr>
        <w:spacing w:before="240" w:line="320" w:lineRule="atLeast"/>
        <w:jc w:val="both"/>
        <w:rPr>
          <w:szCs w:val="20"/>
        </w:rPr>
      </w:pPr>
      <w:r w:rsidRPr="008E0897">
        <w:rPr>
          <w:szCs w:val="20"/>
        </w:rPr>
        <w:t>The scheme’s complexity arises from its use of several parameters in an attempt to measure a precise freight cost disadvantage per TEU shipped</w:t>
      </w:r>
      <w:r>
        <w:rPr>
          <w:szCs w:val="20"/>
        </w:rPr>
        <w:t xml:space="preserve"> coupled with a sliding scale of assistance</w:t>
      </w:r>
      <w:r w:rsidRPr="008E0897">
        <w:rPr>
          <w:szCs w:val="20"/>
        </w:rPr>
        <w:t xml:space="preserve">. However, the scheme is </w:t>
      </w:r>
      <w:r>
        <w:rPr>
          <w:szCs w:val="20"/>
        </w:rPr>
        <w:t xml:space="preserve">inevitably </w:t>
      </w:r>
      <w:r w:rsidRPr="008E0897">
        <w:rPr>
          <w:szCs w:val="20"/>
        </w:rPr>
        <w:t xml:space="preserve">unable to achieve a true measure of cost disadvantage </w:t>
      </w:r>
      <w:r>
        <w:rPr>
          <w:szCs w:val="20"/>
        </w:rPr>
        <w:t>while still imposing</w:t>
      </w:r>
      <w:r w:rsidRPr="008E0897">
        <w:rPr>
          <w:szCs w:val="20"/>
        </w:rPr>
        <w:t xml:space="preserve"> onerous reporting obligations on businesses and administration costs on government. The diversity of circumstances and experience of shippers also means that they may not be able to reconcile their own individual experience with BITRE’s </w:t>
      </w:r>
      <w:r>
        <w:rPr>
          <w:szCs w:val="20"/>
        </w:rPr>
        <w:t>parameter</w:t>
      </w:r>
      <w:r>
        <w:rPr>
          <w:szCs w:val="20"/>
        </w:rPr>
        <w:noBreakHyphen/>
        <w:t xml:space="preserve">based </w:t>
      </w:r>
      <w:r w:rsidRPr="008E0897">
        <w:rPr>
          <w:szCs w:val="20"/>
        </w:rPr>
        <w:t>estimate of the cost disadvantage.</w:t>
      </w:r>
    </w:p>
    <w:p w:rsidR="00AE4D5A" w:rsidRPr="008E0897" w:rsidRDefault="00AE4D5A" w:rsidP="008E5E01">
      <w:pPr>
        <w:spacing w:before="240" w:line="320" w:lineRule="atLeast"/>
        <w:jc w:val="both"/>
        <w:rPr>
          <w:szCs w:val="20"/>
        </w:rPr>
      </w:pPr>
      <w:r w:rsidRPr="008E0897">
        <w:rPr>
          <w:szCs w:val="20"/>
        </w:rPr>
        <w:lastRenderedPageBreak/>
        <w:t xml:space="preserve">Complexity </w:t>
      </w:r>
      <w:r>
        <w:rPr>
          <w:szCs w:val="20"/>
        </w:rPr>
        <w:t xml:space="preserve">of the scheme </w:t>
      </w:r>
      <w:r w:rsidRPr="008E0897">
        <w:rPr>
          <w:szCs w:val="20"/>
        </w:rPr>
        <w:t>was one of the issues raised by participants (box 3.</w:t>
      </w:r>
      <w:r>
        <w:rPr>
          <w:szCs w:val="20"/>
        </w:rPr>
        <w:t>5</w:t>
      </w:r>
      <w:r w:rsidRPr="008E0897">
        <w:rPr>
          <w:szCs w:val="20"/>
        </w:rPr>
        <w:t>). Claimants who are not able to self</w:t>
      </w:r>
      <w:r w:rsidRPr="008E0897">
        <w:rPr>
          <w:szCs w:val="20"/>
        </w:rPr>
        <w:noBreakHyphen/>
        <w:t>assess must provide numerous pieces of information for each claim line item to enable DHS to calculate eligibility for the subsidy and t</w:t>
      </w:r>
      <w:r>
        <w:rPr>
          <w:szCs w:val="20"/>
        </w:rPr>
        <w:t>he amount of assistance (box 3.6</w:t>
      </w:r>
      <w:r w:rsidRPr="008E0897">
        <w:rPr>
          <w:szCs w:val="20"/>
        </w:rPr>
        <w:t xml:space="preserve">). DHS processes around 200 000 claim line items each year. </w:t>
      </w:r>
    </w:p>
    <w:p w:rsidR="00AE4D5A" w:rsidRPr="008E0897" w:rsidRDefault="00AE4D5A" w:rsidP="008E5E01">
      <w:pPr>
        <w:spacing w:before="240" w:line="320" w:lineRule="atLeast"/>
        <w:jc w:val="both"/>
        <w:rPr>
          <w:szCs w:val="20"/>
        </w:rPr>
      </w:pPr>
      <w:r w:rsidRPr="008E0897">
        <w:rPr>
          <w:szCs w:val="20"/>
        </w:rPr>
        <w:t>DIRD (sub. 42) raised a number of concerns about the scheme’s complexity including:</w:t>
      </w:r>
    </w:p>
    <w:p w:rsidR="00AE4D5A" w:rsidRPr="008E0897" w:rsidRDefault="00AE4D5A" w:rsidP="008E5E01">
      <w:pPr>
        <w:pStyle w:val="ListBullet"/>
      </w:pPr>
      <w:r>
        <w:t>that it reduces transparency and complicates administration, which adds</w:t>
      </w:r>
      <w:r w:rsidRPr="008E0897">
        <w:t xml:space="preserve"> to the regulatory burden and </w:t>
      </w:r>
      <w:r>
        <w:t>leads</w:t>
      </w:r>
      <w:r w:rsidRPr="008E0897">
        <w:t xml:space="preserve"> to a dilution of the scheme’s objectives</w:t>
      </w:r>
    </w:p>
    <w:p w:rsidR="00AE4D5A" w:rsidRPr="008E0897" w:rsidRDefault="00AE4D5A" w:rsidP="008E5E01">
      <w:pPr>
        <w:pStyle w:val="ListBullet"/>
      </w:pPr>
      <w:r w:rsidRPr="008E0897">
        <w:t>the large number of requests to review claims which generates administrative work for DHS assessors and DIRD</w:t>
      </w:r>
    </w:p>
    <w:p w:rsidR="00AE4D5A" w:rsidRPr="008E0897" w:rsidRDefault="00AE4D5A" w:rsidP="008E5E01">
      <w:pPr>
        <w:pStyle w:val="ListBullet"/>
      </w:pPr>
      <w:r w:rsidRPr="008E0897">
        <w:t xml:space="preserve">ambiguity in the Ministerial Directions which </w:t>
      </w:r>
      <w:r>
        <w:t>leads</w:t>
      </w:r>
      <w:r w:rsidRPr="008E0897">
        <w:t xml:space="preserve"> to multiple and conflicting interpretations. This </w:t>
      </w:r>
      <w:r>
        <w:t>has led</w:t>
      </w:r>
      <w:r w:rsidRPr="008E0897">
        <w:t xml:space="preserve"> to situations where a significant proportion of claims </w:t>
      </w:r>
      <w:r>
        <w:t>appear</w:t>
      </w:r>
      <w:r w:rsidRPr="008E0897">
        <w:t xml:space="preserve"> to </w:t>
      </w:r>
      <w:r>
        <w:t xml:space="preserve">have </w:t>
      </w:r>
      <w:r w:rsidRPr="008E0897">
        <w:t>be</w:t>
      </w:r>
      <w:r>
        <w:t>en</w:t>
      </w:r>
      <w:r w:rsidRPr="008E0897">
        <w:t xml:space="preserve"> made on an ‘inferred’ basis, with the potential to provide an arbitrary advantage or disadvantage to businesses depending on the interpretation</w:t>
      </w:r>
    </w:p>
    <w:p w:rsidR="00AE4D5A" w:rsidRDefault="00AE4D5A" w:rsidP="008E5E01">
      <w:pPr>
        <w:pStyle w:val="ListBullet"/>
      </w:pPr>
      <w:r w:rsidRPr="008E0897">
        <w:t>eligibility for some niche categories such as sportspersons, entertainers and brood</w:t>
      </w:r>
      <w:r>
        <w:t xml:space="preserve"> </w:t>
      </w:r>
      <w:r w:rsidRPr="008E0897">
        <w:t xml:space="preserve">mares, that are not commodities intended for sale. </w:t>
      </w:r>
    </w:p>
    <w:p w:rsidR="00AE4D5A" w:rsidRDefault="00AE4D5A" w:rsidP="008E5E01">
      <w:pPr>
        <w:spacing w:before="240" w:line="320" w:lineRule="atLeast"/>
        <w:jc w:val="both"/>
        <w:rPr>
          <w:szCs w:val="20"/>
        </w:rPr>
      </w:pPr>
      <w:r w:rsidRPr="00BA553A">
        <w:rPr>
          <w:szCs w:val="20"/>
        </w:rPr>
        <w:t>In 2011</w:t>
      </w:r>
      <w:r w:rsidRPr="00BA553A">
        <w:rPr>
          <w:szCs w:val="20"/>
        </w:rPr>
        <w:noBreakHyphen/>
        <w:t>12, there were around 400 claim line items for entertainers, sportspersons and horses receiving around $224 000 in assistance.</w:t>
      </w:r>
    </w:p>
    <w:p w:rsidR="00AE4D5A" w:rsidRPr="008E0897" w:rsidRDefault="00AE4D5A" w:rsidP="008E5E01">
      <w:pPr>
        <w:spacing w:before="240" w:line="320" w:lineRule="atLeast"/>
        <w:jc w:val="both"/>
        <w:rPr>
          <w:szCs w:val="20"/>
        </w:rPr>
      </w:pPr>
      <w:r w:rsidRPr="008E0897">
        <w:rPr>
          <w:szCs w:val="20"/>
        </w:rPr>
        <w:t>Moving to a flat rate of assistance would remove the main source of scheme complexity — the parameters used to calculate claimants’ notional wharf</w:t>
      </w:r>
      <w:r w:rsidRPr="008E0897">
        <w:rPr>
          <w:szCs w:val="20"/>
        </w:rPr>
        <w:noBreakHyphen/>
        <w:t>to</w:t>
      </w:r>
      <w:r w:rsidRPr="008E0897">
        <w:rPr>
          <w:szCs w:val="20"/>
        </w:rPr>
        <w:noBreakHyphen/>
        <w:t xml:space="preserve">wharf freight cost disadvantage. </w:t>
      </w:r>
    </w:p>
    <w:p w:rsidR="00AE4D5A" w:rsidRPr="008E0897" w:rsidRDefault="00AE4D5A" w:rsidP="008E5E01">
      <w:pPr>
        <w:spacing w:before="240" w:line="320" w:lineRule="atLeast"/>
        <w:jc w:val="both"/>
        <w:rPr>
          <w:szCs w:val="20"/>
        </w:rPr>
      </w:pPr>
      <w:r w:rsidRPr="008E0897">
        <w:rPr>
          <w:szCs w:val="20"/>
        </w:rPr>
        <w:t>The limited uptake of online claiming increases compliance and administration costs. In 2011, the Auditor</w:t>
      </w:r>
      <w:r w:rsidRPr="008E0897">
        <w:rPr>
          <w:szCs w:val="20"/>
        </w:rPr>
        <w:noBreakHyphen/>
        <w:t xml:space="preserve">General found a number of shortcomings in several areas of program administration, including compliance, quality assurance and claim management </w:t>
      </w:r>
      <w:r w:rsidRPr="00F870C8">
        <w:t>(</w:t>
      </w:r>
      <w:proofErr w:type="spellStart"/>
      <w:r w:rsidRPr="00F870C8">
        <w:t>ANAO</w:t>
      </w:r>
      <w:proofErr w:type="spellEnd"/>
      <w:r w:rsidRPr="00F870C8">
        <w:t> 2011)</w:t>
      </w:r>
      <w:r w:rsidRPr="008E0897">
        <w:rPr>
          <w:szCs w:val="20"/>
        </w:rPr>
        <w:t>. DIRD advised that while actions have been taken to improve compliance in response to the Auditor</w:t>
      </w:r>
      <w:r w:rsidRPr="008E0897">
        <w:rPr>
          <w:szCs w:val="20"/>
        </w:rPr>
        <w:noBreakHyphen/>
        <w:t xml:space="preserve">General’s report, funding to pursue compliance activities is limited (sub. 42). </w:t>
      </w:r>
    </w:p>
    <w:p w:rsidR="00AE4D5A" w:rsidRPr="008E0897" w:rsidRDefault="00AE4D5A" w:rsidP="008E5E01">
      <w:pPr>
        <w:spacing w:before="240" w:line="320" w:lineRule="atLeast"/>
        <w:jc w:val="both"/>
        <w:rPr>
          <w:szCs w:val="20"/>
        </w:rPr>
      </w:pPr>
      <w:r w:rsidRPr="008E0897">
        <w:rPr>
          <w:szCs w:val="20"/>
        </w:rPr>
        <w:t>In 2007, in response to the Commission’s inquiry, the Australian Government increased funding to develop a new approach to verifying wharf</w:t>
      </w:r>
      <w:r w:rsidRPr="008E0897">
        <w:rPr>
          <w:szCs w:val="20"/>
        </w:rPr>
        <w:noBreakHyphen/>
        <w:t>to</w:t>
      </w:r>
      <w:r w:rsidRPr="008E0897">
        <w:rPr>
          <w:szCs w:val="20"/>
        </w:rPr>
        <w:noBreakHyphen/>
        <w:t>wharf costs, supported by upgraded technology and risk management. However, DIRD advised that while online claiming is available, the complexity of the process and the need for detailed supporting evidence mean that most claims are lodged through the TFES bulk upload system by mail to DHS or in person (sub. 42).</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pPr>
              <w:pStyle w:val="BoxTitle"/>
            </w:pPr>
            <w:r>
              <w:rPr>
                <w:b w:val="0"/>
              </w:rPr>
              <w:t>Box 3.</w:t>
            </w:r>
            <w:r>
              <w:rPr>
                <w:b w:val="0"/>
                <w:noProof/>
              </w:rPr>
              <w:t>5</w:t>
            </w:r>
            <w:r>
              <w:tab/>
              <w:t>Participants’ views on the TFES</w:t>
            </w:r>
          </w:p>
        </w:tc>
      </w:tr>
      <w:tr w:rsidR="00AE4D5A" w:rsidTr="008E5E01">
        <w:trPr>
          <w:cantSplit/>
        </w:trPr>
        <w:tc>
          <w:tcPr>
            <w:tcW w:w="8771" w:type="dxa"/>
            <w:tcBorders>
              <w:top w:val="nil"/>
              <w:left w:val="single" w:sz="6" w:space="0" w:color="auto"/>
              <w:bottom w:val="single" w:sz="4" w:space="0" w:color="auto"/>
              <w:right w:val="single" w:sz="6" w:space="0" w:color="auto"/>
            </w:tcBorders>
          </w:tcPr>
          <w:p w:rsidR="00AE4D5A" w:rsidRDefault="00AE4D5A" w:rsidP="008E5E01">
            <w:pPr>
              <w:keepNext/>
              <w:spacing w:before="120" w:line="280" w:lineRule="atLeast"/>
              <w:jc w:val="both"/>
              <w:rPr>
                <w:rFonts w:ascii="Arial" w:hAnsi="Arial" w:cs="Arial"/>
                <w:sz w:val="22"/>
                <w:szCs w:val="22"/>
              </w:rPr>
            </w:pPr>
            <w:r w:rsidRPr="008E0897">
              <w:rPr>
                <w:rFonts w:ascii="Arial" w:hAnsi="Arial" w:cs="Arial"/>
                <w:sz w:val="22"/>
                <w:szCs w:val="22"/>
              </w:rPr>
              <w:t>Participants’ views on the purpose of the scheme exposed the absence of a common understanding of the purpose of the scheme. Its objectives in respect of freight costs were described variously as being to ‘normalise’ (SeaRoad Holdings, sub. 35, p.</w:t>
            </w:r>
            <w:r>
              <w:rPr>
                <w:rFonts w:ascii="Arial" w:hAnsi="Arial" w:cs="Arial"/>
                <w:sz w:val="22"/>
                <w:szCs w:val="22"/>
              </w:rPr>
              <w:t> </w:t>
            </w:r>
            <w:r w:rsidRPr="008E0897">
              <w:rPr>
                <w:rFonts w:ascii="Arial" w:hAnsi="Arial" w:cs="Arial"/>
                <w:sz w:val="22"/>
                <w:szCs w:val="22"/>
              </w:rPr>
              <w:t>6), ‘offset’ (Net Sea Freight, sub. 26, p.</w:t>
            </w:r>
            <w:r>
              <w:rPr>
                <w:rFonts w:ascii="Arial" w:hAnsi="Arial" w:cs="Arial"/>
                <w:sz w:val="22"/>
                <w:szCs w:val="22"/>
              </w:rPr>
              <w:t> </w:t>
            </w:r>
            <w:r w:rsidRPr="008E0897">
              <w:rPr>
                <w:rFonts w:ascii="Arial" w:hAnsi="Arial" w:cs="Arial"/>
                <w:sz w:val="22"/>
                <w:szCs w:val="22"/>
              </w:rPr>
              <w:t xml:space="preserve">11) or ‘compensate’ (Regional Development Australia </w:t>
            </w:r>
            <w:r w:rsidRPr="008E0897">
              <w:rPr>
                <w:rFonts w:ascii="Arial" w:hAnsi="Arial" w:cs="Arial"/>
                <w:sz w:val="22"/>
                <w:szCs w:val="22"/>
              </w:rPr>
              <w:noBreakHyphen/>
              <w:t xml:space="preserve"> Tasmania, sub. 17, p.</w:t>
            </w:r>
            <w:r>
              <w:rPr>
                <w:rFonts w:ascii="Arial" w:hAnsi="Arial" w:cs="Arial"/>
                <w:sz w:val="22"/>
                <w:szCs w:val="22"/>
              </w:rPr>
              <w:t> </w:t>
            </w:r>
            <w:r w:rsidRPr="008E0897">
              <w:rPr>
                <w:rFonts w:ascii="Arial" w:hAnsi="Arial" w:cs="Arial"/>
                <w:sz w:val="22"/>
                <w:szCs w:val="22"/>
              </w:rPr>
              <w:t>26 and Mondelez, sub. 24, p.</w:t>
            </w:r>
            <w:r>
              <w:rPr>
                <w:rFonts w:ascii="Arial" w:hAnsi="Arial" w:cs="Arial"/>
                <w:sz w:val="22"/>
                <w:szCs w:val="22"/>
              </w:rPr>
              <w:t> </w:t>
            </w:r>
            <w:r w:rsidRPr="008E0897">
              <w:rPr>
                <w:rFonts w:ascii="Arial" w:hAnsi="Arial" w:cs="Arial"/>
                <w:sz w:val="22"/>
                <w:szCs w:val="22"/>
              </w:rPr>
              <w:t>10).</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Participants stressed the importance of the TFES to businesses located in Tasmania. Mondelez said:</w:t>
            </w:r>
          </w:p>
          <w:p w:rsidR="00AE4D5A" w:rsidRPr="008E0897" w:rsidRDefault="00AE4D5A" w:rsidP="008E5E01">
            <w:pPr>
              <w:keepNext/>
              <w:spacing w:before="60" w:line="260" w:lineRule="exact"/>
              <w:ind w:left="284"/>
              <w:jc w:val="both"/>
              <w:rPr>
                <w:rFonts w:ascii="Arial" w:hAnsi="Arial"/>
                <w:sz w:val="20"/>
                <w:szCs w:val="20"/>
              </w:rPr>
            </w:pPr>
            <w:r w:rsidRPr="008E0897">
              <w:rPr>
                <w:rFonts w:ascii="Arial" w:hAnsi="Arial"/>
                <w:sz w:val="20"/>
                <w:szCs w:val="20"/>
              </w:rPr>
              <w:t xml:space="preserve">The TFES is critical to Mondelez International’s operations in Tasmania. </w:t>
            </w:r>
            <w:r w:rsidRPr="008E0897">
              <w:rPr>
                <w:rFonts w:ascii="Arial" w:hAnsi="Arial"/>
                <w:sz w:val="20"/>
                <w:szCs w:val="20"/>
              </w:rPr>
              <w:br/>
              <w:t>(sub. 24, p. 3)</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Norske Skog highlighted the scheme’s importance to their ongoing operations:</w:t>
            </w:r>
          </w:p>
          <w:p w:rsidR="00AE4D5A" w:rsidRPr="008E0897" w:rsidRDefault="00AE4D5A" w:rsidP="008E5E01">
            <w:pPr>
              <w:keepNext/>
              <w:spacing w:before="60" w:line="260" w:lineRule="exact"/>
              <w:ind w:left="284"/>
              <w:jc w:val="both"/>
              <w:rPr>
                <w:rFonts w:ascii="Arial" w:hAnsi="Arial"/>
                <w:sz w:val="20"/>
                <w:szCs w:val="20"/>
              </w:rPr>
            </w:pPr>
            <w:r w:rsidRPr="008E0897">
              <w:rPr>
                <w:rFonts w:ascii="Arial" w:hAnsi="Arial"/>
                <w:sz w:val="20"/>
                <w:szCs w:val="20"/>
              </w:rPr>
              <w:t>… any reduction in assistance would jeopardise Norske Skog’s ability to operate a sustainable business in Tasmania. (sub. 39, p. 17)</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Harvest Moon pointed to the scheme’s contribution to addressing the disadvantage faced by Tasmanian shippers:</w:t>
            </w:r>
          </w:p>
          <w:p w:rsidR="00AE4D5A" w:rsidRPr="008E0897" w:rsidRDefault="00AE4D5A" w:rsidP="008E5E01">
            <w:pPr>
              <w:keepNext/>
              <w:spacing w:before="60" w:line="260" w:lineRule="exact"/>
              <w:ind w:left="284"/>
              <w:jc w:val="both"/>
              <w:rPr>
                <w:rFonts w:ascii="Arial" w:hAnsi="Arial"/>
                <w:sz w:val="20"/>
                <w:szCs w:val="20"/>
              </w:rPr>
            </w:pPr>
            <w:r w:rsidRPr="008E0897">
              <w:rPr>
                <w:rFonts w:ascii="Arial" w:hAnsi="Arial"/>
                <w:sz w:val="20"/>
                <w:szCs w:val="20"/>
              </w:rPr>
              <w:t>The TFES does not provide Tasmanian based shippers with an unfair disadvantage versus mainland companies. It simply means we are only disadvantaged by $15 to $20 / tonne rather than $85 to $90 / tonne. (sub. 21, p. 2)</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 xml:space="preserve">Submissions also provided evidence of problems stemming from the design of the scheme. </w:t>
            </w:r>
            <w:r w:rsidRPr="008E0897">
              <w:rPr>
                <w:rFonts w:ascii="Arial" w:hAnsi="Arial" w:cs="Arial"/>
                <w:sz w:val="22"/>
                <w:szCs w:val="22"/>
              </w:rPr>
              <w:t>Participants outlined the perverse incentives the exclusion for exports created to move manufacturing processes to the mainland, with Cuthbertson Bros saying that the scheme:</w:t>
            </w:r>
          </w:p>
          <w:p w:rsidR="00AE4D5A" w:rsidRPr="008E0897" w:rsidRDefault="00AE4D5A" w:rsidP="008E5E01">
            <w:pPr>
              <w:keepNext/>
              <w:spacing w:before="60" w:line="260" w:lineRule="exact"/>
              <w:ind w:left="284"/>
              <w:jc w:val="both"/>
              <w:rPr>
                <w:rFonts w:ascii="Arial" w:hAnsi="Arial"/>
                <w:sz w:val="20"/>
                <w:szCs w:val="20"/>
              </w:rPr>
            </w:pPr>
            <w:r w:rsidRPr="008E0897">
              <w:rPr>
                <w:rFonts w:ascii="Arial" w:hAnsi="Arial"/>
                <w:sz w:val="20"/>
                <w:szCs w:val="20"/>
              </w:rPr>
              <w:t>… discourages capital investment and employment in Tasmania to the benefit of Victoria, in particular. (sub. 3, p. 1)</w:t>
            </w:r>
          </w:p>
          <w:p w:rsidR="00AE4D5A" w:rsidRPr="008E0897" w:rsidRDefault="00AE4D5A" w:rsidP="008E5E01">
            <w:pPr>
              <w:keepNext/>
              <w:spacing w:before="120" w:line="280" w:lineRule="atLeast"/>
              <w:jc w:val="both"/>
              <w:rPr>
                <w:rFonts w:ascii="Arial" w:hAnsi="Arial" w:cs="Arial"/>
                <w:sz w:val="22"/>
                <w:szCs w:val="22"/>
              </w:rPr>
            </w:pPr>
            <w:r w:rsidRPr="008E0897">
              <w:rPr>
                <w:rFonts w:ascii="Arial" w:hAnsi="Arial" w:cs="Arial"/>
                <w:sz w:val="22"/>
                <w:szCs w:val="22"/>
              </w:rPr>
              <w:t>Participants also said the scheme’s complexity and compliance requirements created onerous compliance. According to GA Cossar &amp; Co:</w:t>
            </w:r>
          </w:p>
          <w:p w:rsidR="00AE4D5A" w:rsidRPr="008E0897" w:rsidRDefault="00AE4D5A" w:rsidP="008E5E01">
            <w:pPr>
              <w:keepNext/>
              <w:spacing w:before="60" w:line="260" w:lineRule="exact"/>
              <w:ind w:left="284"/>
              <w:jc w:val="both"/>
              <w:rPr>
                <w:rFonts w:ascii="Arial" w:hAnsi="Arial"/>
                <w:sz w:val="20"/>
                <w:szCs w:val="20"/>
              </w:rPr>
            </w:pPr>
            <w:r w:rsidRPr="008E0897">
              <w:rPr>
                <w:rFonts w:ascii="Arial" w:hAnsi="Arial"/>
                <w:sz w:val="20"/>
                <w:szCs w:val="20"/>
              </w:rPr>
              <w:t xml:space="preserve">The [TFES Guidelines] is a document of 82 pages. At the risk of understatement, it would be reasonable to conclude that the interpretation of this complex document may be beyond some of those it is intended to assist. </w:t>
            </w:r>
            <w:r w:rsidRPr="008E0897">
              <w:rPr>
                <w:rFonts w:ascii="Arial" w:hAnsi="Arial" w:cs="Arial"/>
                <w:sz w:val="20"/>
                <w:szCs w:val="22"/>
              </w:rPr>
              <w:t>(sub. 7, p. 2)</w:t>
            </w:r>
          </w:p>
          <w:p w:rsidR="00AE4D5A" w:rsidRPr="008E0897" w:rsidRDefault="00AE4D5A" w:rsidP="008E5E01">
            <w:pPr>
              <w:keepNext/>
              <w:spacing w:before="120" w:line="280" w:lineRule="atLeast"/>
              <w:jc w:val="both"/>
              <w:rPr>
                <w:rFonts w:ascii="Arial" w:hAnsi="Arial" w:cs="Arial"/>
                <w:sz w:val="22"/>
                <w:szCs w:val="22"/>
              </w:rPr>
            </w:pPr>
            <w:r w:rsidRPr="008E0897">
              <w:rPr>
                <w:rFonts w:ascii="Arial" w:hAnsi="Arial" w:cs="Arial"/>
                <w:sz w:val="22"/>
                <w:szCs w:val="22"/>
              </w:rPr>
              <w:t xml:space="preserve">According to the Department of Infrastructure and Regional Development, the scheme’s complexity increases errors and the incentives to maximise claims: </w:t>
            </w:r>
          </w:p>
          <w:p w:rsidR="00AE4D5A" w:rsidRDefault="00AE4D5A" w:rsidP="008E5E01">
            <w:pPr>
              <w:pStyle w:val="Box"/>
              <w:rPr>
                <w:rFonts w:cs="Arial"/>
                <w:sz w:val="20"/>
                <w:szCs w:val="22"/>
              </w:rPr>
            </w:pPr>
            <w:r w:rsidRPr="008E0897">
              <w:rPr>
                <w:sz w:val="20"/>
              </w:rPr>
              <w:t xml:space="preserve">A number of administrative issues have arisen from the complexity of the scheme including a very large overpayment (notified to DHS by the firm involved) and incorrect and inconsistent payments. </w:t>
            </w:r>
            <w:r w:rsidRPr="008E0897">
              <w:rPr>
                <w:rFonts w:cs="Arial"/>
                <w:sz w:val="20"/>
                <w:szCs w:val="22"/>
              </w:rPr>
              <w:t>(sub. 42, p. 20)</w:t>
            </w:r>
            <w:r>
              <w:rPr>
                <w:rFonts w:cs="Arial"/>
                <w:sz w:val="20"/>
                <w:szCs w:val="22"/>
              </w:rPr>
              <w:t>.</w:t>
            </w:r>
          </w:p>
          <w:p w:rsidR="00AE4D5A" w:rsidRDefault="00AE4D5A" w:rsidP="008E5E01">
            <w:pPr>
              <w:pStyle w:val="Box"/>
            </w:pPr>
          </w:p>
        </w:tc>
      </w:tr>
    </w:tbl>
    <w:p w:rsidR="00DD59EE" w:rsidRPr="008E0897" w:rsidRDefault="00DD59EE" w:rsidP="00DD59EE">
      <w:pPr>
        <w:spacing w:before="240" w:line="320" w:lineRule="atLeast"/>
        <w:jc w:val="both"/>
        <w:rPr>
          <w:szCs w:val="20"/>
        </w:rPr>
      </w:pPr>
      <w:r w:rsidRPr="008E0897">
        <w:rPr>
          <w:szCs w:val="20"/>
        </w:rPr>
        <w:t xml:space="preserve">Adopting a flat rate is likely to lead to a substantial </w:t>
      </w:r>
      <w:r>
        <w:rPr>
          <w:szCs w:val="20"/>
        </w:rPr>
        <w:t>lowering</w:t>
      </w:r>
      <w:r w:rsidRPr="008E0897">
        <w:rPr>
          <w:szCs w:val="20"/>
        </w:rPr>
        <w:t xml:space="preserve"> </w:t>
      </w:r>
      <w:r>
        <w:rPr>
          <w:szCs w:val="20"/>
        </w:rPr>
        <w:t>of</w:t>
      </w:r>
      <w:r w:rsidRPr="008E0897">
        <w:rPr>
          <w:szCs w:val="20"/>
        </w:rPr>
        <w:t xml:space="preserve"> the compliance and administration burden under the TFES. However, this </w:t>
      </w:r>
      <w:r>
        <w:rPr>
          <w:szCs w:val="20"/>
        </w:rPr>
        <w:t>may only provide some marginal reduction in</w:t>
      </w:r>
      <w:r w:rsidRPr="008E0897">
        <w:rPr>
          <w:szCs w:val="20"/>
        </w:rPr>
        <w:t xml:space="preserve"> the compliance burden on claimants and the administration burden on government arising from the material required to accompany claims. DIRD states that some actions which could be taken to improve compliance, in particular improved information technology systems, have not been pursued due to </w:t>
      </w:r>
      <w:r w:rsidRPr="008E0897">
        <w:rPr>
          <w:szCs w:val="20"/>
        </w:rPr>
        <w:lastRenderedPageBreak/>
        <w:t xml:space="preserve">a lack of funds (sub. 42). Improved information technology systems may provide some scope to </w:t>
      </w:r>
      <w:r>
        <w:rPr>
          <w:szCs w:val="20"/>
        </w:rPr>
        <w:t>lower</w:t>
      </w:r>
      <w:r w:rsidRPr="008E0897">
        <w:rPr>
          <w:szCs w:val="20"/>
        </w:rPr>
        <w:t xml:space="preserve"> the compliance burden on businesses and administrative costs to government without compromising quality assurance and the integrity of the scheme.</w:t>
      </w:r>
    </w:p>
    <w:p w:rsidR="00AE4D5A" w:rsidRPr="00D7530A" w:rsidRDefault="00AE4D5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tc>
          <w:tcPr>
            <w:tcW w:w="8771" w:type="dxa"/>
            <w:tcBorders>
              <w:top w:val="single" w:sz="6" w:space="0" w:color="auto"/>
              <w:bottom w:val="nil"/>
            </w:tcBorders>
          </w:tcPr>
          <w:p w:rsidR="00AE4D5A" w:rsidRDefault="00AE4D5A">
            <w:pPr>
              <w:pStyle w:val="BoxTitle"/>
            </w:pPr>
            <w:r>
              <w:rPr>
                <w:b w:val="0"/>
              </w:rPr>
              <w:t>Box 3.</w:t>
            </w:r>
            <w:r>
              <w:rPr>
                <w:b w:val="0"/>
                <w:noProof/>
              </w:rPr>
              <w:t>6</w:t>
            </w:r>
            <w:r>
              <w:tab/>
              <w:t>Shipment details required to make a claim</w:t>
            </w:r>
          </w:p>
        </w:tc>
      </w:tr>
      <w:tr w:rsidR="00AE4D5A">
        <w:trPr>
          <w:cantSplit/>
        </w:trPr>
        <w:tc>
          <w:tcPr>
            <w:tcW w:w="8771" w:type="dxa"/>
            <w:tcBorders>
              <w:top w:val="nil"/>
              <w:left w:val="single" w:sz="6" w:space="0" w:color="auto"/>
              <w:bottom w:val="nil"/>
              <w:right w:val="single" w:sz="6" w:space="0" w:color="auto"/>
            </w:tcBorders>
          </w:tcPr>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According to the TFES guidelines, each shipment requires the following details for the processing of claims:</w:t>
            </w:r>
          </w:p>
          <w:p w:rsidR="00AE4D5A" w:rsidRPr="006A0234" w:rsidRDefault="00AE4D5A" w:rsidP="00A309FA">
            <w:pPr>
              <w:pStyle w:val="BoxListBullet"/>
            </w:pPr>
            <w:r w:rsidRPr="009F3108">
              <w:t>transport company used</w:t>
            </w:r>
          </w:p>
          <w:p w:rsidR="00AE4D5A" w:rsidRPr="005F7204" w:rsidRDefault="00AE4D5A" w:rsidP="00A309FA">
            <w:pPr>
              <w:pStyle w:val="BoxListBullet"/>
            </w:pPr>
            <w:r w:rsidRPr="00E1563E">
              <w:t>consignment note number</w:t>
            </w:r>
          </w:p>
          <w:p w:rsidR="00AE4D5A" w:rsidRPr="004463A5" w:rsidRDefault="00AE4D5A" w:rsidP="00A309FA">
            <w:pPr>
              <w:pStyle w:val="BoxListBullet"/>
            </w:pPr>
            <w:r w:rsidRPr="004463A5">
              <w:t>date of shipment</w:t>
            </w:r>
          </w:p>
          <w:p w:rsidR="00AE4D5A" w:rsidRPr="0065790F" w:rsidRDefault="00AE4D5A" w:rsidP="00A309FA">
            <w:pPr>
              <w:pStyle w:val="BoxListBullet"/>
            </w:pPr>
            <w:r w:rsidRPr="0065790F">
              <w:t xml:space="preserve">invoice number </w:t>
            </w:r>
          </w:p>
          <w:p w:rsidR="00AE4D5A" w:rsidRPr="00D1464E" w:rsidRDefault="00AE4D5A" w:rsidP="00A309FA">
            <w:pPr>
              <w:pStyle w:val="BoxListBullet"/>
            </w:pPr>
            <w:r w:rsidRPr="007938EC">
              <w:t xml:space="preserve">evidence </w:t>
            </w:r>
            <w:r w:rsidRPr="00AA6779">
              <w:t>of payment of freight costs</w:t>
            </w:r>
          </w:p>
          <w:p w:rsidR="00AE4D5A" w:rsidRPr="00020CE8" w:rsidRDefault="00AE4D5A" w:rsidP="00A309FA">
            <w:pPr>
              <w:pStyle w:val="BoxListBullet"/>
            </w:pPr>
            <w:r w:rsidRPr="00020CE8">
              <w:t>type of goods shipped (used to assess TFES eligibility).</w:t>
            </w:r>
          </w:p>
          <w:p w:rsidR="00AE4D5A" w:rsidRPr="008E0897" w:rsidRDefault="00AE4D5A" w:rsidP="008E5E01">
            <w:pPr>
              <w:keepNext/>
              <w:spacing w:before="120" w:line="280" w:lineRule="atLeast"/>
              <w:jc w:val="both"/>
              <w:rPr>
                <w:rFonts w:ascii="Arial" w:hAnsi="Arial"/>
                <w:sz w:val="22"/>
                <w:szCs w:val="20"/>
              </w:rPr>
            </w:pPr>
            <w:r w:rsidRPr="008E0897">
              <w:rPr>
                <w:rFonts w:ascii="Arial" w:hAnsi="Arial"/>
                <w:sz w:val="22"/>
                <w:szCs w:val="20"/>
              </w:rPr>
              <w:t>In addition, the following information is required to determine the amount of assistance payable:</w:t>
            </w:r>
          </w:p>
          <w:p w:rsidR="00AE4D5A" w:rsidRPr="008E0897" w:rsidRDefault="00AE4D5A" w:rsidP="00A309FA">
            <w:pPr>
              <w:pStyle w:val="BoxListBullet"/>
            </w:pPr>
            <w:r w:rsidRPr="008E0897">
              <w:t>the number of tonnes or cubic metres shipped (not required for livestock)</w:t>
            </w:r>
          </w:p>
          <w:p w:rsidR="00AE4D5A" w:rsidRPr="008E0897" w:rsidRDefault="00AE4D5A" w:rsidP="00A309FA">
            <w:pPr>
              <w:pStyle w:val="BoxListBullet"/>
            </w:pPr>
            <w:r w:rsidRPr="008E0897">
              <w:t>the type of goods shipped</w:t>
            </w:r>
          </w:p>
          <w:p w:rsidR="00AE4D5A" w:rsidRPr="008E0897" w:rsidRDefault="00AE4D5A" w:rsidP="00A309FA">
            <w:pPr>
              <w:pStyle w:val="BoxListBullet"/>
            </w:pPr>
            <w:r w:rsidRPr="008E0897">
              <w:t>the density of the goods shipped</w:t>
            </w:r>
          </w:p>
          <w:p w:rsidR="00AE4D5A" w:rsidRPr="008E0897" w:rsidRDefault="00AE4D5A" w:rsidP="00A309FA">
            <w:pPr>
              <w:pStyle w:val="BoxListBullet"/>
            </w:pPr>
            <w:r w:rsidRPr="008E0897">
              <w:t xml:space="preserve">whether the goods were shipped as dry freight or reefer freight </w:t>
            </w:r>
          </w:p>
          <w:p w:rsidR="00AE4D5A" w:rsidRPr="008E0897" w:rsidRDefault="00AE4D5A" w:rsidP="00A309FA">
            <w:pPr>
              <w:pStyle w:val="BoxListBullet"/>
            </w:pPr>
            <w:r w:rsidRPr="008E0897">
              <w:t xml:space="preserve">if livestock, the number of head and type of livestock </w:t>
            </w:r>
          </w:p>
          <w:p w:rsidR="00AE4D5A" w:rsidRPr="008E0897" w:rsidRDefault="00AE4D5A" w:rsidP="00A309FA">
            <w:pPr>
              <w:pStyle w:val="BoxListBullet"/>
            </w:pPr>
            <w:r w:rsidRPr="008E0897">
              <w:t>origin and destination of the shipment (also to assess shipment eligibility)</w:t>
            </w:r>
          </w:p>
          <w:p w:rsidR="00AE4D5A" w:rsidRPr="008E0897" w:rsidRDefault="00AE4D5A" w:rsidP="00A309FA">
            <w:pPr>
              <w:pStyle w:val="BoxListBullet"/>
            </w:pPr>
            <w:r w:rsidRPr="008E0897">
              <w:t>transport task (e.g. wharf to wharf or door to door)</w:t>
            </w:r>
          </w:p>
          <w:p w:rsidR="00AE4D5A" w:rsidRPr="008E0897" w:rsidRDefault="00AE4D5A" w:rsidP="00A309FA">
            <w:pPr>
              <w:pStyle w:val="BoxListBullet"/>
            </w:pPr>
            <w:r w:rsidRPr="008E0897">
              <w:t>total freight paid excluding GST</w:t>
            </w:r>
          </w:p>
          <w:p w:rsidR="00AE4D5A" w:rsidRPr="008E0897" w:rsidRDefault="0070311C" w:rsidP="00A309FA">
            <w:pPr>
              <w:pStyle w:val="BoxListBullet"/>
            </w:pPr>
            <w:r w:rsidRPr="008E0897">
              <w:t>the container or trailer size and the number of containers or trailers</w:t>
            </w:r>
            <w:r>
              <w:t>,</w:t>
            </w:r>
            <w:r w:rsidRPr="008E0897">
              <w:t xml:space="preserve"> </w:t>
            </w:r>
            <w:r w:rsidR="00AE4D5A" w:rsidRPr="008E0897">
              <w:t xml:space="preserve">if the shipment </w:t>
            </w:r>
            <w:r>
              <w:t>is a full container load</w:t>
            </w:r>
          </w:p>
          <w:p w:rsidR="00AE4D5A" w:rsidRDefault="0070311C" w:rsidP="00BF4A12">
            <w:pPr>
              <w:pStyle w:val="BoxListBullet"/>
            </w:pPr>
            <w:r>
              <w:t xml:space="preserve">the number of pallets, </w:t>
            </w:r>
            <w:r w:rsidR="00AE4D5A" w:rsidRPr="008E0897">
              <w:t>if the shipment is a less than full conta</w:t>
            </w:r>
            <w:r>
              <w:t>iner load</w:t>
            </w:r>
            <w:r w:rsidR="00AE4D5A" w:rsidRPr="008E0897">
              <w:t>.</w:t>
            </w:r>
          </w:p>
        </w:tc>
      </w:tr>
      <w:tr w:rsidR="00AE4D5A">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sidRPr="008E0897">
              <w:rPr>
                <w:i/>
              </w:rPr>
              <w:t>Source</w:t>
            </w:r>
            <w:r>
              <w:t>:</w:t>
            </w:r>
            <w:r>
              <w:rPr>
                <w:i/>
              </w:rPr>
              <w:t xml:space="preserve"> </w:t>
            </w:r>
            <w:proofErr w:type="spellStart"/>
            <w:r w:rsidRPr="007436F5">
              <w:rPr>
                <w:rFonts w:cs="Arial"/>
                <w:szCs w:val="24"/>
              </w:rPr>
              <w:t>DITRDLG</w:t>
            </w:r>
            <w:proofErr w:type="spellEnd"/>
            <w:r w:rsidRPr="007436F5">
              <w:rPr>
                <w:rFonts w:cs="Arial"/>
                <w:szCs w:val="24"/>
              </w:rPr>
              <w:t> </w:t>
            </w:r>
            <w:r>
              <w:rPr>
                <w:rFonts w:cs="Arial"/>
                <w:szCs w:val="24"/>
              </w:rPr>
              <w:t>(</w:t>
            </w:r>
            <w:r w:rsidRPr="007436F5">
              <w:rPr>
                <w:rFonts w:cs="Arial"/>
                <w:szCs w:val="24"/>
              </w:rPr>
              <w:t>2013)</w:t>
            </w:r>
            <w:r w:rsidRPr="008E0897">
              <w:t xml:space="preserve">. </w:t>
            </w:r>
          </w:p>
        </w:tc>
      </w:tr>
      <w:tr w:rsidR="00AE4D5A">
        <w:trPr>
          <w:cantSplit/>
        </w:trPr>
        <w:tc>
          <w:tcPr>
            <w:tcW w:w="8771" w:type="dxa"/>
            <w:tcBorders>
              <w:top w:val="nil"/>
              <w:left w:val="single" w:sz="6" w:space="0" w:color="auto"/>
              <w:bottom w:val="single" w:sz="6" w:space="0" w:color="auto"/>
              <w:right w:val="single" w:sz="6" w:space="0" w:color="auto"/>
            </w:tcBorders>
          </w:tcPr>
          <w:p w:rsidR="00AE4D5A" w:rsidRDefault="00AE4D5A">
            <w:pPr>
              <w:pStyle w:val="Box"/>
              <w:spacing w:before="0" w:line="120" w:lineRule="exact"/>
            </w:pPr>
          </w:p>
        </w:tc>
      </w:tr>
    </w:tbl>
    <w:p w:rsidR="00AE4D5A" w:rsidRDefault="00AE4D5A" w:rsidP="008E5E01">
      <w:pPr>
        <w:spacing w:before="240" w:line="320" w:lineRule="atLeast"/>
        <w:jc w:val="both"/>
        <w:rPr>
          <w:szCs w:val="20"/>
        </w:rPr>
      </w:pPr>
      <w:r w:rsidRPr="008E0897">
        <w:rPr>
          <w:szCs w:val="20"/>
        </w:rPr>
        <w:t>The scheme’s administration and auditing would be further improved by greater transparency in the publication of scheme data, particularly the assistance paid to scheme recipients. In its 2006 inquiry the Commission recommended more comprehensive reporting of scheme data, including payments to recipients. This would build on BITRE’s publication of scheme data in its parameter reviews.</w:t>
      </w:r>
    </w:p>
    <w:p w:rsidR="00AE4D5A" w:rsidRPr="008E0897" w:rsidRDefault="00AE4D5A" w:rsidP="008E5E01">
      <w:pPr>
        <w:spacing w:before="240" w:line="320" w:lineRule="atLeast"/>
        <w:jc w:val="both"/>
        <w:rPr>
          <w:szCs w:val="20"/>
        </w:rPr>
      </w:pPr>
      <w:r>
        <w:rPr>
          <w:szCs w:val="20"/>
        </w:rPr>
        <w:t xml:space="preserve">Some participants raised concerns that the publication of detailed scheme data could breach commercial confidentiality. During the public hearings participants indicated that publication of claimant names and the amount of assistance received would not compromise businesses. The Commission notes that this would also be consistent </w:t>
      </w:r>
      <w:r>
        <w:rPr>
          <w:szCs w:val="20"/>
        </w:rPr>
        <w:lastRenderedPageBreak/>
        <w:t>with reporting obligations under the Department of Finance and Deregulation’s Commonwealth Grant Guidelines.</w:t>
      </w:r>
    </w:p>
    <w:p w:rsidR="00AE4D5A" w:rsidRPr="00B0498A" w:rsidRDefault="00AE4D5A" w:rsidP="008E5E01">
      <w:pPr>
        <w:keepNext/>
        <w:keepLines/>
        <w:spacing w:before="240" w:line="320" w:lineRule="atLeast"/>
        <w:jc w:val="both"/>
        <w:rPr>
          <w:sz w:val="20"/>
          <w:szCs w:val="20"/>
        </w:rPr>
      </w:pPr>
      <w:r w:rsidRPr="00B0498A">
        <w:rPr>
          <w:caps/>
          <w:sz w:val="20"/>
          <w:szCs w:val="20"/>
        </w:rPr>
        <w:t xml:space="preserve">Recommendation 8 </w:t>
      </w:r>
    </w:p>
    <w:p w:rsidR="00AE4D5A" w:rsidRPr="00B316DD" w:rsidRDefault="00AE4D5A" w:rsidP="008E5E01">
      <w:pPr>
        <w:pStyle w:val="Finding"/>
        <w:rPr>
          <w:b/>
        </w:rPr>
      </w:pPr>
      <w:r w:rsidRPr="00B316DD">
        <w:rPr>
          <w:b/>
        </w:rPr>
        <w:t xml:space="preserve">The </w:t>
      </w:r>
      <w:r>
        <w:rPr>
          <w:b/>
        </w:rPr>
        <w:t xml:space="preserve">Australian Government </w:t>
      </w:r>
      <w:r w:rsidRPr="00B316DD">
        <w:rPr>
          <w:b/>
        </w:rPr>
        <w:t>Department of Human Services should examine the benefits and costs, including compliance costs for claimants, of upgrading its technology to provide greater access to online claims under the Tasmanian Freight Equalisation Scheme and improve internal claims processing.</w:t>
      </w:r>
    </w:p>
    <w:p w:rsidR="00AE4D5A" w:rsidRPr="008E0897" w:rsidRDefault="00AE4D5A" w:rsidP="008E5E01">
      <w:pPr>
        <w:keepNext/>
        <w:keepLines/>
        <w:spacing w:before="240" w:line="320" w:lineRule="atLeast"/>
        <w:jc w:val="both"/>
        <w:rPr>
          <w:caps/>
          <w:sz w:val="20"/>
          <w:szCs w:val="20"/>
        </w:rPr>
      </w:pPr>
      <w:r w:rsidRPr="008E0897">
        <w:rPr>
          <w:caps/>
          <w:sz w:val="20"/>
          <w:szCs w:val="20"/>
        </w:rPr>
        <w:t>recommendation</w:t>
      </w:r>
      <w:r>
        <w:rPr>
          <w:caps/>
          <w:sz w:val="20"/>
          <w:szCs w:val="20"/>
        </w:rPr>
        <w:t xml:space="preserve"> 7</w:t>
      </w:r>
    </w:p>
    <w:p w:rsidR="00AE4D5A" w:rsidRPr="00B316DD" w:rsidRDefault="00AE4D5A" w:rsidP="008E5E01">
      <w:pPr>
        <w:pStyle w:val="Rec"/>
      </w:pPr>
      <w:r w:rsidRPr="00B316DD">
        <w:t xml:space="preserve">The Department of Infrastructure and Regional Development should provide more comprehensive public reporting of information under the Tasmanian Freight Equalisation Scheme, including annual payments to recipients. </w:t>
      </w:r>
    </w:p>
    <w:p w:rsidR="00AE4D5A" w:rsidRPr="008E0897" w:rsidRDefault="00AE4D5A" w:rsidP="008E5E01">
      <w:pPr>
        <w:spacing w:before="240" w:line="320" w:lineRule="atLeast"/>
        <w:jc w:val="both"/>
        <w:rPr>
          <w:szCs w:val="20"/>
        </w:rPr>
      </w:pPr>
      <w:r w:rsidRPr="008E0897">
        <w:rPr>
          <w:szCs w:val="20"/>
        </w:rPr>
        <w:t>The scheme’s complexity also increases the need for many claimants to use agents.</w:t>
      </w:r>
    </w:p>
    <w:p w:rsidR="00AE4D5A" w:rsidRPr="008E0897" w:rsidRDefault="00AE4D5A" w:rsidP="008E5E01">
      <w:pPr>
        <w:spacing w:before="240" w:line="320" w:lineRule="atLeast"/>
        <w:jc w:val="both"/>
        <w:rPr>
          <w:szCs w:val="20"/>
        </w:rPr>
      </w:pPr>
      <w:r w:rsidRPr="008E0897">
        <w:rPr>
          <w:szCs w:val="20"/>
        </w:rPr>
        <w:t>Changes to the scheme in 2002 attempted to address this issue by allowing companies who supply goods</w:t>
      </w:r>
      <w:r>
        <w:rPr>
          <w:szCs w:val="20"/>
        </w:rPr>
        <w:t xml:space="preserve"> to claimants in the agricultural, forestry or fishing industries</w:t>
      </w:r>
      <w:r w:rsidRPr="008E0897">
        <w:rPr>
          <w:szCs w:val="20"/>
        </w:rPr>
        <w:t xml:space="preserve"> under the southbound or intrastate components of the scheme to act as agents on behalf of their customers </w:t>
      </w:r>
      <w:r w:rsidRPr="00907CFC">
        <w:t>(</w:t>
      </w:r>
      <w:proofErr w:type="spellStart"/>
      <w:r w:rsidRPr="00907CFC">
        <w:t>DITRDLG</w:t>
      </w:r>
      <w:proofErr w:type="spellEnd"/>
      <w:r w:rsidRPr="00907CFC">
        <w:t> 2013)</w:t>
      </w:r>
      <w:r w:rsidRPr="008E0897">
        <w:rPr>
          <w:szCs w:val="20"/>
        </w:rPr>
        <w:t xml:space="preserve">. The TFES guidelines require that agents pass the full amount of TFES assistance to eligible claimants </w:t>
      </w:r>
      <w:r w:rsidRPr="0091691A">
        <w:t>(</w:t>
      </w:r>
      <w:proofErr w:type="spellStart"/>
      <w:r w:rsidRPr="0091691A">
        <w:t>DITRDLG</w:t>
      </w:r>
      <w:proofErr w:type="spellEnd"/>
      <w:r w:rsidRPr="0091691A">
        <w:t> 2013)</w:t>
      </w:r>
      <w:r w:rsidRPr="008E0897">
        <w:rPr>
          <w:szCs w:val="20"/>
        </w:rPr>
        <w:t>.</w:t>
      </w:r>
    </w:p>
    <w:p w:rsidR="00AE4D5A" w:rsidRPr="008E0897" w:rsidRDefault="00AE4D5A" w:rsidP="008E5E01">
      <w:pPr>
        <w:spacing w:before="240" w:line="320" w:lineRule="atLeast"/>
        <w:jc w:val="both"/>
        <w:rPr>
          <w:szCs w:val="20"/>
        </w:rPr>
      </w:pPr>
      <w:r w:rsidRPr="008E0897">
        <w:rPr>
          <w:szCs w:val="20"/>
        </w:rPr>
        <w:t>However, other claimants use third parties to claim on their behalf. Net Sea Freight dominates this market with a claim value of around $7.1 million in 2011</w:t>
      </w:r>
      <w:r w:rsidRPr="008E0897">
        <w:rPr>
          <w:szCs w:val="20"/>
        </w:rPr>
        <w:noBreakHyphen/>
        <w:t xml:space="preserve">12 (table 3.4). </w:t>
      </w:r>
      <w:r>
        <w:rPr>
          <w:szCs w:val="20"/>
        </w:rPr>
        <w:t xml:space="preserve">The Commission acknowledges, based on public hearing evidence, that Net Sea Freight provides a service valued by scheme recipients and represents a reasonable commercial outsourcing of a bespoke financial function, especially for smaller businesses. </w:t>
      </w:r>
      <w:r w:rsidRPr="008E0897">
        <w:rPr>
          <w:szCs w:val="20"/>
        </w:rPr>
        <w:t>DIRD noted that simplifying the scheme would reduce the need for agents (sub. 42).</w:t>
      </w:r>
    </w:p>
    <w:p w:rsidR="00AE4D5A" w:rsidRPr="008E0897" w:rsidRDefault="00AE4D5A" w:rsidP="008E5E01">
      <w:pPr>
        <w:spacing w:before="240" w:line="320" w:lineRule="atLeast"/>
        <w:jc w:val="both"/>
        <w:rPr>
          <w:szCs w:val="20"/>
        </w:rPr>
      </w:pPr>
      <w:r w:rsidRPr="008E0897">
        <w:rPr>
          <w:szCs w:val="20"/>
        </w:rPr>
        <w:t>A small number of claimants have been invited by DHS and DIRD to enter an agreement to ‘self</w:t>
      </w:r>
      <w:r w:rsidRPr="008E0897">
        <w:rPr>
          <w:szCs w:val="20"/>
        </w:rPr>
        <w:noBreakHyphen/>
        <w:t xml:space="preserve">assess’ their claims </w:t>
      </w:r>
      <w:r w:rsidRPr="00C05BF2">
        <w:t>(</w:t>
      </w:r>
      <w:proofErr w:type="spellStart"/>
      <w:r w:rsidRPr="00C05BF2">
        <w:t>ANAO</w:t>
      </w:r>
      <w:proofErr w:type="spellEnd"/>
      <w:r w:rsidRPr="00C05BF2">
        <w:t> 2011)</w:t>
      </w:r>
      <w:r w:rsidRPr="008E0897">
        <w:rPr>
          <w:szCs w:val="20"/>
        </w:rPr>
        <w:t>. Self</w:t>
      </w:r>
      <w:r w:rsidRPr="008E0897">
        <w:rPr>
          <w:szCs w:val="20"/>
        </w:rPr>
        <w:noBreakHyphen/>
        <w:t xml:space="preserve">assessed claimants are selected based on their history of compliance and the accuracy of their claims </w:t>
      </w:r>
      <w:r w:rsidRPr="008C26B9">
        <w:t>(</w:t>
      </w:r>
      <w:proofErr w:type="spellStart"/>
      <w:r w:rsidRPr="008C26B9">
        <w:t>ANAO</w:t>
      </w:r>
      <w:proofErr w:type="spellEnd"/>
      <w:r w:rsidRPr="008C26B9">
        <w:t> 2011)</w:t>
      </w:r>
      <w:r w:rsidRPr="008E0897">
        <w:rPr>
          <w:szCs w:val="20"/>
        </w:rPr>
        <w:t xml:space="preserve">. </w:t>
      </w:r>
    </w:p>
    <w:p w:rsidR="00AE4D5A" w:rsidRPr="008E0897" w:rsidRDefault="00AE4D5A" w:rsidP="008E5E01">
      <w:pPr>
        <w:spacing w:before="240" w:line="320" w:lineRule="atLeast"/>
        <w:jc w:val="both"/>
        <w:rPr>
          <w:szCs w:val="20"/>
        </w:rPr>
      </w:pPr>
      <w:r w:rsidRPr="008E0897">
        <w:rPr>
          <w:szCs w:val="20"/>
        </w:rPr>
        <w:t>In 2010</w:t>
      </w:r>
      <w:r w:rsidRPr="008E0897">
        <w:rPr>
          <w:szCs w:val="20"/>
        </w:rPr>
        <w:noBreakHyphen/>
        <w:t>11 there were nine self</w:t>
      </w:r>
      <w:r w:rsidRPr="008E0897">
        <w:rPr>
          <w:szCs w:val="20"/>
        </w:rPr>
        <w:noBreakHyphen/>
        <w:t xml:space="preserve">assessed claimants who received 30 per cent of all TFES assistance in that year </w:t>
      </w:r>
      <w:r w:rsidRPr="002F4413">
        <w:t>(</w:t>
      </w:r>
      <w:proofErr w:type="spellStart"/>
      <w:r w:rsidRPr="002F4413">
        <w:t>ANAO</w:t>
      </w:r>
      <w:proofErr w:type="spellEnd"/>
      <w:r w:rsidRPr="002F4413">
        <w:t> 2011)</w:t>
      </w:r>
      <w:r w:rsidRPr="008E0897">
        <w:rPr>
          <w:szCs w:val="20"/>
        </w:rPr>
        <w:t>.</w:t>
      </w:r>
    </w:p>
    <w:p w:rsidR="00AE4D5A" w:rsidRPr="008E0897" w:rsidRDefault="00AE4D5A" w:rsidP="008E5E01">
      <w:pPr>
        <w:spacing w:before="240" w:line="320" w:lineRule="atLeast"/>
        <w:jc w:val="both"/>
        <w:rPr>
          <w:szCs w:val="20"/>
        </w:rPr>
      </w:pPr>
      <w:r w:rsidRPr="008E0897">
        <w:rPr>
          <w:szCs w:val="20"/>
        </w:rPr>
        <w:t>Self</w:t>
      </w:r>
      <w:r w:rsidRPr="008E0897">
        <w:rPr>
          <w:szCs w:val="20"/>
        </w:rPr>
        <w:noBreakHyphen/>
        <w:t xml:space="preserve">assessed claimants have the following obligations </w:t>
      </w:r>
      <w:r w:rsidRPr="002F4413">
        <w:t>(</w:t>
      </w:r>
      <w:proofErr w:type="spellStart"/>
      <w:r w:rsidRPr="002F4413">
        <w:t>ANAO</w:t>
      </w:r>
      <w:proofErr w:type="spellEnd"/>
      <w:r w:rsidRPr="002F4413">
        <w:t> 2011)</w:t>
      </w:r>
      <w:r w:rsidRPr="008E0897">
        <w:rPr>
          <w:szCs w:val="20"/>
        </w:rPr>
        <w:t>:</w:t>
      </w:r>
    </w:p>
    <w:p w:rsidR="00AE4D5A" w:rsidRPr="008E0897" w:rsidRDefault="00AE4D5A" w:rsidP="008E5E01">
      <w:pPr>
        <w:pStyle w:val="ListBullet"/>
      </w:pPr>
      <w:r w:rsidRPr="008E0897">
        <w:t>they submit the same claim form as other claimants, but are not required to submit supporting documents</w:t>
      </w:r>
    </w:p>
    <w:p w:rsidR="00AE4D5A" w:rsidRPr="008E0897" w:rsidRDefault="00AE4D5A" w:rsidP="008E5E01">
      <w:pPr>
        <w:pStyle w:val="ListBullet"/>
      </w:pPr>
      <w:r w:rsidRPr="008E0897">
        <w:lastRenderedPageBreak/>
        <w:t>they must keep records of all documents for five years</w:t>
      </w:r>
    </w:p>
    <w:p w:rsidR="00AE4D5A" w:rsidRPr="008E0897" w:rsidRDefault="00AE4D5A" w:rsidP="008E5E01">
      <w:pPr>
        <w:pStyle w:val="ListBullet"/>
      </w:pPr>
      <w:r w:rsidRPr="008E0897">
        <w:t>they provide an independent annual audit of their claim forms and supporting documentation.</w:t>
      </w:r>
    </w:p>
    <w:p w:rsidR="00AE4D5A" w:rsidRPr="008E0897" w:rsidRDefault="00AE4D5A" w:rsidP="008E5E01">
      <w:pPr>
        <w:spacing w:before="240" w:line="320" w:lineRule="atLeast"/>
        <w:jc w:val="both"/>
        <w:rPr>
          <w:szCs w:val="20"/>
        </w:rPr>
      </w:pPr>
      <w:r w:rsidRPr="008E0897">
        <w:rPr>
          <w:szCs w:val="20"/>
        </w:rPr>
        <w:t xml:space="preserve">Further, their claim forms are not verified against supporting documents before being accepted and paid </w:t>
      </w:r>
      <w:r w:rsidRPr="002F4413">
        <w:t>(</w:t>
      </w:r>
      <w:proofErr w:type="spellStart"/>
      <w:r w:rsidRPr="002F4413">
        <w:t>ANAO</w:t>
      </w:r>
      <w:proofErr w:type="spellEnd"/>
      <w:r w:rsidRPr="002F4413">
        <w:t> 2011)</w:t>
      </w:r>
      <w:r w:rsidRPr="008E0897">
        <w:rPr>
          <w:szCs w:val="20"/>
        </w:rPr>
        <w:t xml:space="preserve">. </w:t>
      </w:r>
    </w:p>
    <w:p w:rsidR="00AE4D5A" w:rsidRPr="008E0897" w:rsidRDefault="00AE4D5A" w:rsidP="008E5E01">
      <w:pPr>
        <w:spacing w:before="240" w:line="320" w:lineRule="atLeast"/>
        <w:jc w:val="both"/>
        <w:rPr>
          <w:szCs w:val="20"/>
        </w:rPr>
      </w:pPr>
      <w:r w:rsidRPr="008E0897">
        <w:rPr>
          <w:szCs w:val="20"/>
        </w:rPr>
        <w:t>As self</w:t>
      </w:r>
      <w:r w:rsidRPr="008E0897">
        <w:rPr>
          <w:szCs w:val="20"/>
        </w:rPr>
        <w:noBreakHyphen/>
        <w:t>assessment reduces the compliance burden for these claimants, and the administration burden for government, the Commission considers that there would be merit in extending the self</w:t>
      </w:r>
      <w:r w:rsidRPr="008E0897">
        <w:rPr>
          <w:szCs w:val="20"/>
        </w:rPr>
        <w:noBreakHyphen/>
        <w:t xml:space="preserve">assessment facility to a broader pool of claimants. </w:t>
      </w:r>
      <w:r>
        <w:rPr>
          <w:szCs w:val="20"/>
        </w:rPr>
        <w:t>This recommendation has received broad support from inquiry participants. Further scope to extend self</w:t>
      </w:r>
      <w:r>
        <w:rPr>
          <w:szCs w:val="20"/>
        </w:rPr>
        <w:noBreakHyphen/>
        <w:t>assessment would be enhanced under a flat rate of assistance.</w:t>
      </w:r>
    </w:p>
    <w:p w:rsidR="00AE4D5A" w:rsidRPr="00B0498A" w:rsidRDefault="00AE4D5A" w:rsidP="008E5E01">
      <w:pPr>
        <w:pStyle w:val="FindingTitle"/>
        <w:framePr w:wrap="auto"/>
        <w:tabs>
          <w:tab w:val="right" w:pos="8789"/>
        </w:tabs>
        <w:rPr>
          <w:sz w:val="22"/>
          <w:szCs w:val="22"/>
        </w:rPr>
      </w:pPr>
      <w:r w:rsidRPr="00B0498A">
        <w:rPr>
          <w:sz w:val="22"/>
          <w:szCs w:val="22"/>
        </w:rPr>
        <w:t xml:space="preserve">Recommendation 10 </w:t>
      </w:r>
    </w:p>
    <w:p w:rsidR="00AE4D5A" w:rsidRDefault="00AE4D5A" w:rsidP="008E5E01">
      <w:pPr>
        <w:pStyle w:val="Rec"/>
      </w:pPr>
      <w:r w:rsidRPr="00B316DD">
        <w:t xml:space="preserve">The Department of Infrastructure and Regional Development should </w:t>
      </w:r>
      <w:r>
        <w:t>encourage and facilitate</w:t>
      </w:r>
      <w:r w:rsidRPr="00B316DD">
        <w:t xml:space="preserve"> </w:t>
      </w:r>
      <w:r>
        <w:t>the take</w:t>
      </w:r>
      <w:r>
        <w:noBreakHyphen/>
        <w:t xml:space="preserve">up of </w:t>
      </w:r>
      <w:r w:rsidRPr="00B316DD">
        <w:t>the self</w:t>
      </w:r>
      <w:r w:rsidRPr="00B316DD">
        <w:noBreakHyphen/>
        <w:t xml:space="preserve">assessment facility under the Tasmanian Freight Equalisation Scheme </w:t>
      </w:r>
      <w:r>
        <w:t>where appropriate</w:t>
      </w:r>
      <w:r w:rsidRPr="00B316DD">
        <w:t>.</w:t>
      </w:r>
    </w:p>
    <w:p w:rsidR="00AE4D5A" w:rsidRPr="008E0897" w:rsidRDefault="00AE4D5A" w:rsidP="008E5E01">
      <w:pPr>
        <w:spacing w:before="240" w:line="320" w:lineRule="atLeast"/>
        <w:jc w:val="both"/>
        <w:rPr>
          <w:szCs w:val="20"/>
        </w:rPr>
      </w:pPr>
      <w:r w:rsidRPr="008E0897">
        <w:rPr>
          <w:szCs w:val="20"/>
        </w:rPr>
        <w:t>In 2011</w:t>
      </w:r>
      <w:r w:rsidRPr="008E0897">
        <w:rPr>
          <w:szCs w:val="20"/>
        </w:rPr>
        <w:noBreakHyphen/>
        <w:t>12, the average amount paid for a claim line item was $463.50. However, the median amount paid for a claim line item in 2011</w:t>
      </w:r>
      <w:r w:rsidRPr="008E0897">
        <w:rPr>
          <w:szCs w:val="20"/>
        </w:rPr>
        <w:noBreakHyphen/>
        <w:t>12 was less than $44. This means that around 100 000 claim line items, each of which generally would have been a separate shipment, required the</w:t>
      </w:r>
      <w:r>
        <w:rPr>
          <w:szCs w:val="20"/>
        </w:rPr>
        <w:t xml:space="preserve"> information outlined in box 3.6</w:t>
      </w:r>
      <w:r w:rsidRPr="008E0897">
        <w:rPr>
          <w:szCs w:val="20"/>
        </w:rPr>
        <w:t xml:space="preserve"> in order to receive a very small TFES benefit. Around 123 300 claim line items had amounts paid of less than $100 and around 61 400 claims had amounts paid of less than $10. </w:t>
      </w:r>
    </w:p>
    <w:p w:rsidR="00AE4D5A" w:rsidRDefault="00AE4D5A" w:rsidP="008E5E01">
      <w:pPr>
        <w:spacing w:before="240" w:line="320" w:lineRule="atLeast"/>
        <w:jc w:val="both"/>
        <w:rPr>
          <w:szCs w:val="20"/>
        </w:rPr>
      </w:pPr>
      <w:r w:rsidRPr="008E0897">
        <w:rPr>
          <w:szCs w:val="20"/>
        </w:rPr>
        <w:t xml:space="preserve">The Commission considers that in addition to a flat rate payment per TEU, given the large number of small claim line items, each of which is generally for a separate shipment, it would be appropriate to introduce a minimum threshold for payment. This should be set </w:t>
      </w:r>
      <w:r>
        <w:rPr>
          <w:szCs w:val="20"/>
        </w:rPr>
        <w:t>so as to</w:t>
      </w:r>
      <w:r w:rsidRPr="008E0897">
        <w:rPr>
          <w:szCs w:val="20"/>
        </w:rPr>
        <w:t xml:space="preserve"> distinguish business transactions from those that are minor or likely to be personal in nature.</w:t>
      </w:r>
    </w:p>
    <w:p w:rsidR="00AE4D5A" w:rsidRDefault="00AE4D5A" w:rsidP="008E5E01">
      <w:pPr>
        <w:spacing w:before="240" w:line="320" w:lineRule="atLeast"/>
        <w:jc w:val="both"/>
        <w:rPr>
          <w:szCs w:val="20"/>
        </w:rPr>
      </w:pPr>
      <w:r>
        <w:rPr>
          <w:szCs w:val="20"/>
        </w:rPr>
        <w:t xml:space="preserve">In its draft report, the Commission sought views on an </w:t>
      </w:r>
      <w:r w:rsidRPr="008E0897">
        <w:rPr>
          <w:szCs w:val="20"/>
        </w:rPr>
        <w:t>appropriate minimum claim line item value that would meet the objectives of the scheme, while reducing administration and compliance costs.</w:t>
      </w:r>
    </w:p>
    <w:p w:rsidR="00AE4D5A" w:rsidRDefault="00AE4D5A" w:rsidP="008E5E01">
      <w:pPr>
        <w:spacing w:before="240" w:line="320" w:lineRule="atLeast"/>
        <w:jc w:val="both"/>
        <w:rPr>
          <w:szCs w:val="20"/>
        </w:rPr>
      </w:pPr>
      <w:r>
        <w:rPr>
          <w:szCs w:val="20"/>
        </w:rPr>
        <w:t xml:space="preserve">Participants including Veolia Environmental Services, Cuthbertson Bros, Harvest Moon and Net Sea Freight were concerned by the impact of a minimum threshold, including the possible disadvantage for small businesses that made a number of small claims. GA Cossar and Co suggested a minimum threshold over a specified period would address this concern. </w:t>
      </w:r>
    </w:p>
    <w:p w:rsidR="00AE4D5A" w:rsidRPr="008E0897" w:rsidRDefault="00AE4D5A" w:rsidP="008E5E01">
      <w:pPr>
        <w:spacing w:before="240" w:line="320" w:lineRule="atLeast"/>
        <w:jc w:val="both"/>
        <w:rPr>
          <w:szCs w:val="20"/>
        </w:rPr>
      </w:pPr>
      <w:r>
        <w:rPr>
          <w:szCs w:val="20"/>
        </w:rPr>
        <w:lastRenderedPageBreak/>
        <w:t xml:space="preserve">To ensure that a minimum threshold achieves a reasonable balance between genuine and material business transactions and administrative efficiency, the Commission recommends that DIRD should examine the benefits and costs to claimants and the Australian Government of options to introduce a minimum threshold for TFES assistance including through greater use of invoice consolidation by smaller claimants. </w:t>
      </w:r>
    </w:p>
    <w:p w:rsidR="00AE4D5A" w:rsidRPr="00B0498A" w:rsidRDefault="00AE4D5A" w:rsidP="008E5E01">
      <w:pPr>
        <w:pStyle w:val="FindingTitle"/>
        <w:framePr w:wrap="auto"/>
        <w:tabs>
          <w:tab w:val="right" w:pos="8789"/>
        </w:tabs>
        <w:rPr>
          <w:sz w:val="22"/>
          <w:szCs w:val="22"/>
        </w:rPr>
      </w:pPr>
      <w:r w:rsidRPr="00B0498A">
        <w:rPr>
          <w:sz w:val="22"/>
          <w:szCs w:val="22"/>
        </w:rPr>
        <w:t>Recommendation 9</w:t>
      </w:r>
    </w:p>
    <w:p w:rsidR="00AE4D5A" w:rsidRDefault="00AE4D5A" w:rsidP="008E5E01">
      <w:pPr>
        <w:pStyle w:val="Rec"/>
      </w:pPr>
      <w:r>
        <w:t>The Department of Infrastructure and Regional Development should examine the benefits and costs to claimants and the Australian Government of introducing a minimum value for:</w:t>
      </w:r>
    </w:p>
    <w:p w:rsidR="00AE4D5A" w:rsidRDefault="00AE4D5A" w:rsidP="008E5E01">
      <w:pPr>
        <w:pStyle w:val="RecBullet"/>
      </w:pPr>
      <w:r>
        <w:t>individual sea freight invoices</w:t>
      </w:r>
    </w:p>
    <w:p w:rsidR="00AE4D5A" w:rsidRDefault="00AE4D5A" w:rsidP="008E5E01">
      <w:pPr>
        <w:pStyle w:val="RecBullet"/>
      </w:pPr>
      <w:r>
        <w:t>a consolidated set of sea freight invoices over a 12</w:t>
      </w:r>
      <w:r>
        <w:noBreakHyphen/>
        <w:t>month period</w:t>
      </w:r>
    </w:p>
    <w:p w:rsidR="00AE4D5A" w:rsidRDefault="00AE4D5A" w:rsidP="008E5E01">
      <w:pPr>
        <w:pStyle w:val="Rec"/>
      </w:pPr>
      <w:r>
        <w:t>that are eligible for assistance under the northbound component of the Tasmanian Freight Equalisation Scheme.</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 xml:space="preserve">The Tasmanian Wheat Freight Scheme </w:t>
      </w:r>
    </w:p>
    <w:p w:rsidR="00AE4D5A" w:rsidRPr="008E0897" w:rsidRDefault="00AE4D5A" w:rsidP="008E5E01">
      <w:pPr>
        <w:spacing w:before="240" w:line="320" w:lineRule="atLeast"/>
        <w:jc w:val="both"/>
        <w:rPr>
          <w:szCs w:val="20"/>
        </w:rPr>
      </w:pPr>
      <w:r w:rsidRPr="008E0897">
        <w:rPr>
          <w:szCs w:val="20"/>
        </w:rPr>
        <w:t xml:space="preserve">The TWFS had its origins in the 1948 Commonwealth Wheat Marketing Plan which assumed the States would enact legislation fixing the price at which wheat would be sold by the Australian Wheat Board in Australia </w:t>
      </w:r>
      <w:r w:rsidRPr="00403FC5">
        <w:t>(</w:t>
      </w:r>
      <w:proofErr w:type="spellStart"/>
      <w:r w:rsidRPr="00403FC5">
        <w:t>ISC</w:t>
      </w:r>
      <w:proofErr w:type="spellEnd"/>
      <w:r w:rsidRPr="00403FC5">
        <w:t> </w:t>
      </w:r>
      <w:proofErr w:type="spellStart"/>
      <w:r w:rsidRPr="00403FC5">
        <w:t>1985a</w:t>
      </w:r>
      <w:proofErr w:type="spellEnd"/>
      <w:r w:rsidRPr="00403FC5">
        <w:t>)</w:t>
      </w:r>
      <w:r w:rsidRPr="008E0897">
        <w:rPr>
          <w:szCs w:val="20"/>
        </w:rPr>
        <w:t>. Each State enacted provisions fixing the price of wheat and the same price was prescribed by each</w:t>
      </w:r>
      <w:r>
        <w:rPr>
          <w:szCs w:val="20"/>
        </w:rPr>
        <w:t xml:space="preserve"> S</w:t>
      </w:r>
      <w:r w:rsidRPr="008E0897">
        <w:rPr>
          <w:szCs w:val="20"/>
        </w:rPr>
        <w:t xml:space="preserve">tate </w:t>
      </w:r>
      <w:r w:rsidRPr="00082FB0">
        <w:t>(</w:t>
      </w:r>
      <w:proofErr w:type="spellStart"/>
      <w:r w:rsidRPr="00082FB0">
        <w:t>ISC</w:t>
      </w:r>
      <w:proofErr w:type="spellEnd"/>
      <w:r w:rsidRPr="00082FB0">
        <w:t> </w:t>
      </w:r>
      <w:proofErr w:type="spellStart"/>
      <w:r w:rsidRPr="00082FB0">
        <w:t>1985a</w:t>
      </w:r>
      <w:proofErr w:type="spellEnd"/>
      <w:r w:rsidRPr="00082FB0">
        <w:t>)</w:t>
      </w:r>
      <w:r w:rsidRPr="008E0897">
        <w:rPr>
          <w:szCs w:val="20"/>
        </w:rPr>
        <w:t>. However, the legislation did not oblige the Australian Wheat Board to supply wheat to Tasmania and this led to controversy as to who would pay the cost of shipping wheat to Tasmania, complicated by the determination of the basic wage, influenced by the price of bread. The Commonwealth introduced a levy on all domestic wheat sales to finance the shipping costs in 1953.</w:t>
      </w:r>
    </w:p>
    <w:p w:rsidR="00AE4D5A" w:rsidRPr="008E0897" w:rsidRDefault="00AE4D5A" w:rsidP="008E5E01">
      <w:pPr>
        <w:spacing w:before="240" w:line="320" w:lineRule="atLeast"/>
        <w:jc w:val="both"/>
        <w:rPr>
          <w:szCs w:val="20"/>
        </w:rPr>
      </w:pPr>
      <w:r w:rsidRPr="008E0897">
        <w:rPr>
          <w:szCs w:val="20"/>
        </w:rPr>
        <w:t xml:space="preserve">In 2004, the TWFS was refocused to address Tasmanian wheat users’ extra transport and handling costs and to provide transitional support to these users while they adjusted to the removal of administered pricing. </w:t>
      </w:r>
    </w:p>
    <w:p w:rsidR="00AE4D5A" w:rsidRPr="008E0897" w:rsidRDefault="00AE4D5A" w:rsidP="008E5E01">
      <w:pPr>
        <w:spacing w:before="240" w:line="320" w:lineRule="atLeast"/>
        <w:jc w:val="both"/>
        <w:rPr>
          <w:szCs w:val="20"/>
        </w:rPr>
      </w:pPr>
      <w:r>
        <w:rPr>
          <w:szCs w:val="20"/>
        </w:rPr>
        <w:t>In the s</w:t>
      </w:r>
      <w:r w:rsidRPr="008E0897">
        <w:rPr>
          <w:szCs w:val="20"/>
        </w:rPr>
        <w:t xml:space="preserve">ixty years </w:t>
      </w:r>
      <w:r>
        <w:rPr>
          <w:szCs w:val="20"/>
        </w:rPr>
        <w:t>since support for shipping wheat across Bass Strait was introduced</w:t>
      </w:r>
      <w:r w:rsidRPr="008E0897">
        <w:rPr>
          <w:szCs w:val="20"/>
        </w:rPr>
        <w:t xml:space="preserve">, there has been significant deregulation and reform in wheat and labour markets. </w:t>
      </w:r>
      <w:r>
        <w:rPr>
          <w:szCs w:val="20"/>
        </w:rPr>
        <w:t>T</w:t>
      </w:r>
      <w:r w:rsidRPr="008E0897">
        <w:rPr>
          <w:szCs w:val="20"/>
        </w:rPr>
        <w:t xml:space="preserve">he price of wheat is estimated to contribute only around 5 to 10 per cent to the retail price of bread </w:t>
      </w:r>
      <w:r w:rsidR="007C1471" w:rsidRPr="007C1471">
        <w:t>(ACCC 2008b)</w:t>
      </w:r>
      <w:r w:rsidRPr="008E0897">
        <w:rPr>
          <w:szCs w:val="20"/>
        </w:rPr>
        <w:t xml:space="preserve">, which in turn is not the uniform commodity </w:t>
      </w:r>
      <w:r>
        <w:rPr>
          <w:szCs w:val="20"/>
        </w:rPr>
        <w:t>it was in</w:t>
      </w:r>
      <w:r w:rsidRPr="008E0897">
        <w:rPr>
          <w:szCs w:val="20"/>
        </w:rPr>
        <w:t xml:space="preserve"> the </w:t>
      </w:r>
      <w:proofErr w:type="spellStart"/>
      <w:r w:rsidRPr="008E0897">
        <w:rPr>
          <w:szCs w:val="20"/>
        </w:rPr>
        <w:t>1950s</w:t>
      </w:r>
      <w:proofErr w:type="spellEnd"/>
      <w:r w:rsidRPr="008E0897">
        <w:rPr>
          <w:szCs w:val="20"/>
        </w:rPr>
        <w:t xml:space="preserve">. This suggests that the objectives of the scheme have been met and are no longer relevant. </w:t>
      </w:r>
    </w:p>
    <w:p w:rsidR="00AE4D5A" w:rsidRDefault="00AE4D5A" w:rsidP="008E5E01">
      <w:pPr>
        <w:spacing w:before="240" w:line="320" w:lineRule="atLeast"/>
        <w:jc w:val="both"/>
        <w:rPr>
          <w:szCs w:val="20"/>
        </w:rPr>
      </w:pPr>
      <w:r w:rsidRPr="008E0897">
        <w:rPr>
          <w:szCs w:val="20"/>
        </w:rPr>
        <w:lastRenderedPageBreak/>
        <w:t>In addition, as well as wheat for human consumption (which was the rationale for the TWFS), animal feed companies appear to make a significant proportion of claims for wheat shipped in containers under the TFES.</w:t>
      </w:r>
    </w:p>
    <w:p w:rsidR="00AE4D5A" w:rsidRPr="008E0897" w:rsidRDefault="00AE4D5A" w:rsidP="008E5E01">
      <w:pPr>
        <w:keepNext/>
        <w:keepLines/>
        <w:spacing w:before="360" w:after="80" w:line="280" w:lineRule="exact"/>
        <w:ind w:left="1474" w:hanging="1474"/>
        <w:rPr>
          <w:rFonts w:ascii="Arial" w:hAnsi="Arial"/>
          <w:b/>
          <w:sz w:val="24"/>
        </w:rPr>
      </w:pPr>
      <w:r w:rsidRPr="008E0897">
        <w:rPr>
          <w:rFonts w:ascii="Arial" w:hAnsi="Arial"/>
          <w:sz w:val="24"/>
        </w:rPr>
        <w:t>Figure</w:t>
      </w:r>
      <w:r>
        <w:rPr>
          <w:rFonts w:ascii="Arial" w:hAnsi="Arial"/>
          <w:sz w:val="24"/>
        </w:rPr>
        <w:t> </w:t>
      </w:r>
      <w:r w:rsidRPr="008E0897">
        <w:rPr>
          <w:rFonts w:ascii="Arial" w:hAnsi="Arial"/>
          <w:sz w:val="24"/>
        </w:rPr>
        <w:t>3.</w:t>
      </w:r>
      <w:r>
        <w:rPr>
          <w:rFonts w:ascii="Arial" w:hAnsi="Arial"/>
          <w:noProof/>
          <w:sz w:val="24"/>
        </w:rPr>
        <w:t>4</w:t>
      </w:r>
      <w:r w:rsidRPr="008E0897">
        <w:rPr>
          <w:rFonts w:ascii="Arial" w:hAnsi="Arial"/>
          <w:b/>
          <w:sz w:val="24"/>
        </w:rPr>
        <w:tab/>
        <w:t>Trends in bulk and containerised wheat shipments</w:t>
      </w:r>
    </w:p>
    <w:p w:rsidR="00AE4D5A" w:rsidRPr="008E0897" w:rsidRDefault="00AE4D5A" w:rsidP="008E5E01">
      <w:pPr>
        <w:keepNext/>
        <w:keepLines/>
        <w:spacing w:after="80" w:line="200" w:lineRule="exact"/>
        <w:ind w:left="1474"/>
        <w:rPr>
          <w:rFonts w:ascii="Arial" w:hAnsi="Arial"/>
          <w:sz w:val="20"/>
        </w:rPr>
      </w:pPr>
      <w:r w:rsidRPr="008E0897">
        <w:rPr>
          <w:rFonts w:ascii="Arial" w:hAnsi="Arial"/>
          <w:sz w:val="20"/>
        </w:rPr>
        <w:t>2005</w:t>
      </w:r>
      <w:r w:rsidRPr="008E0897">
        <w:rPr>
          <w:rFonts w:ascii="Arial" w:hAnsi="Arial"/>
          <w:sz w:val="20"/>
        </w:rPr>
        <w:noBreakHyphen/>
        <w:t>06 to 2011</w:t>
      </w:r>
      <w:r w:rsidRPr="008E0897">
        <w:rPr>
          <w:rFonts w:ascii="Arial" w:hAnsi="Arial"/>
          <w:sz w:val="20"/>
        </w:rPr>
        <w:noBreakHyphen/>
        <w:t>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RPr="008E0897" w:rsidTr="008E5E01">
        <w:tc>
          <w:tcPr>
            <w:tcW w:w="8777" w:type="dxa"/>
          </w:tcPr>
          <w:tbl>
            <w:tblPr>
              <w:tblW w:w="0" w:type="auto"/>
              <w:tblInd w:w="11" w:type="dxa"/>
              <w:tblLayout w:type="fixed"/>
              <w:tblCellMar>
                <w:left w:w="0" w:type="dxa"/>
                <w:right w:w="0" w:type="dxa"/>
              </w:tblCellMar>
              <w:tblLook w:val="0000" w:firstRow="0" w:lastRow="0" w:firstColumn="0" w:lastColumn="0" w:noHBand="0" w:noVBand="0"/>
            </w:tblPr>
            <w:tblGrid>
              <w:gridCol w:w="8777"/>
            </w:tblGrid>
            <w:tr w:rsidR="00AE4D5A" w:rsidRPr="008E0897" w:rsidTr="008E5E01">
              <w:tc>
                <w:tcPr>
                  <w:tcW w:w="8777" w:type="dxa"/>
                </w:tcPr>
                <w:tbl>
                  <w:tblPr>
                    <w:tblStyle w:val="TableGrid2"/>
                    <w:tblW w:w="0" w:type="auto"/>
                    <w:tblLayout w:type="fixed"/>
                    <w:tblLook w:val="04A0" w:firstRow="1" w:lastRow="0" w:firstColumn="1" w:lastColumn="0" w:noHBand="0" w:noVBand="1"/>
                  </w:tblPr>
                  <w:tblGrid>
                    <w:gridCol w:w="4381"/>
                    <w:gridCol w:w="4381"/>
                  </w:tblGrid>
                  <w:tr w:rsidR="00AE4D5A" w:rsidRPr="008E0897" w:rsidTr="008E5E01">
                    <w:tc>
                      <w:tcPr>
                        <w:tcW w:w="4381" w:type="dxa"/>
                        <w:tcBorders>
                          <w:top w:val="nil"/>
                          <w:left w:val="nil"/>
                          <w:bottom w:val="nil"/>
                          <w:right w:val="nil"/>
                        </w:tcBorders>
                      </w:tcPr>
                      <w:p w:rsidR="00AE4D5A" w:rsidRPr="008E0897" w:rsidRDefault="00AE4D5A" w:rsidP="008E5E01">
                        <w:pPr>
                          <w:keepNext/>
                          <w:spacing w:before="120" w:after="120" w:line="240" w:lineRule="atLeast"/>
                          <w:jc w:val="center"/>
                          <w:rPr>
                            <w:szCs w:val="22"/>
                          </w:rPr>
                        </w:pPr>
                        <w:r w:rsidRPr="008043FE">
                          <w:rPr>
                            <w:noProof/>
                            <w:szCs w:val="22"/>
                          </w:rPr>
                          <w:drawing>
                            <wp:inline distT="0" distB="0" distL="0" distR="0" wp14:anchorId="0E4B0ED1" wp14:editId="70840E36">
                              <wp:extent cx="2664000" cy="2520000"/>
                              <wp:effectExtent l="0" t="0" r="3175" b="0"/>
                              <wp:docPr id="65" name="Chart 65" descr="Figure 3.4 Trends in bulk and containerised wheat shipments. The left-side panel of figure 3.4 shows containerised shipments of wheat exceeded bulk wheat shipments to Tasmania between 2005-06 and 2011-12, and that no wheat was shipped in bulk in 2005-06 or after 2008-09."/>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c>
                      <w:tcPr>
                        <w:tcW w:w="4381" w:type="dxa"/>
                        <w:tcBorders>
                          <w:top w:val="nil"/>
                          <w:left w:val="nil"/>
                          <w:bottom w:val="nil"/>
                          <w:right w:val="nil"/>
                        </w:tcBorders>
                      </w:tcPr>
                      <w:p w:rsidR="00AE4D5A" w:rsidRPr="008E0897" w:rsidRDefault="00AE4D5A" w:rsidP="008E5E01">
                        <w:pPr>
                          <w:keepNext/>
                          <w:spacing w:before="120" w:after="120" w:line="240" w:lineRule="atLeast"/>
                          <w:jc w:val="center"/>
                          <w:rPr>
                            <w:szCs w:val="22"/>
                          </w:rPr>
                        </w:pPr>
                        <w:r w:rsidRPr="008043FE">
                          <w:rPr>
                            <w:noProof/>
                            <w:szCs w:val="22"/>
                          </w:rPr>
                          <w:drawing>
                            <wp:inline distT="0" distB="0" distL="0" distR="0" wp14:anchorId="152226DB" wp14:editId="5A394EFD">
                              <wp:extent cx="2664000" cy="2520000"/>
                              <wp:effectExtent l="0" t="0" r="3175" b="0"/>
                              <wp:docPr id="66" name="Chart 66" descr="The right-side panel of figure 3.4 shows that the subsidy per tonne paid for containerised wheat was more than for bulk wheat shipped to Tasmania between 2005-06 and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rsidR="00AE4D5A" w:rsidRPr="008E0897" w:rsidRDefault="00AE4D5A" w:rsidP="008E5E01">
                  <w:pPr>
                    <w:keepNext/>
                    <w:spacing w:before="120" w:after="120" w:line="240" w:lineRule="atLeast"/>
                    <w:jc w:val="center"/>
                    <w:rPr>
                      <w:szCs w:val="20"/>
                    </w:rPr>
                  </w:pPr>
                </w:p>
              </w:tc>
            </w:tr>
          </w:tbl>
          <w:p w:rsidR="00AE4D5A" w:rsidRPr="008E0897" w:rsidRDefault="00AE4D5A" w:rsidP="008E5E01">
            <w:pPr>
              <w:keepNext/>
              <w:spacing w:before="120" w:after="120" w:line="240" w:lineRule="atLeast"/>
              <w:jc w:val="center"/>
              <w:rPr>
                <w:szCs w:val="20"/>
              </w:rPr>
            </w:pPr>
          </w:p>
        </w:tc>
      </w:tr>
    </w:tbl>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 xml:space="preserve">: </w:t>
      </w:r>
      <w:r w:rsidRPr="00ED6FF2">
        <w:rPr>
          <w:rFonts w:ascii="Arial" w:hAnsi="Arial" w:cs="Arial"/>
          <w:sz w:val="18"/>
        </w:rPr>
        <w:t>BITRE </w:t>
      </w:r>
      <w:r>
        <w:rPr>
          <w:rFonts w:ascii="Arial" w:hAnsi="Arial" w:cs="Arial"/>
          <w:sz w:val="18"/>
        </w:rPr>
        <w:t>(</w:t>
      </w:r>
      <w:r w:rsidRPr="00ED6FF2">
        <w:rPr>
          <w:rFonts w:ascii="Arial" w:hAnsi="Arial" w:cs="Arial"/>
          <w:sz w:val="18"/>
        </w:rPr>
        <w:t>2013)</w:t>
      </w:r>
      <w:r w:rsidRPr="008E0897">
        <w:rPr>
          <w:rFonts w:ascii="Arial" w:hAnsi="Arial"/>
          <w:sz w:val="18"/>
          <w:szCs w:val="20"/>
        </w:rPr>
        <w:t>.</w:t>
      </w:r>
    </w:p>
    <w:p w:rsidR="00AE4D5A" w:rsidRPr="008E0897" w:rsidRDefault="00AE4D5A" w:rsidP="008E5E01">
      <w:pPr>
        <w:spacing w:before="240" w:line="320" w:lineRule="atLeast"/>
        <w:jc w:val="both"/>
        <w:rPr>
          <w:szCs w:val="20"/>
        </w:rPr>
      </w:pPr>
      <w:r>
        <w:rPr>
          <w:szCs w:val="20"/>
        </w:rPr>
        <w:t>As n</w:t>
      </w:r>
      <w:r w:rsidRPr="008E0897">
        <w:rPr>
          <w:szCs w:val="20"/>
        </w:rPr>
        <w:t>o claims have be</w:t>
      </w:r>
      <w:r w:rsidR="00BF4A12">
        <w:rPr>
          <w:szCs w:val="20"/>
        </w:rPr>
        <w:t>en made under the scheme for five</w:t>
      </w:r>
      <w:r w:rsidRPr="008E0897">
        <w:rPr>
          <w:szCs w:val="20"/>
        </w:rPr>
        <w:t xml:space="preserve"> out of the last eight years, and none since August 2009, </w:t>
      </w:r>
      <w:r>
        <w:rPr>
          <w:szCs w:val="20"/>
        </w:rPr>
        <w:t>the Commission considers that the</w:t>
      </w:r>
      <w:r w:rsidRPr="008E0897">
        <w:rPr>
          <w:szCs w:val="20"/>
        </w:rPr>
        <w:t xml:space="preserve"> scheme has become redundant </w:t>
      </w:r>
      <w:r>
        <w:rPr>
          <w:szCs w:val="20"/>
        </w:rPr>
        <w:t>given</w:t>
      </w:r>
      <w:r w:rsidRPr="008E0897">
        <w:rPr>
          <w:szCs w:val="20"/>
        </w:rPr>
        <w:t xml:space="preserve"> the subsidisation of wheat shipped under the TFES. </w:t>
      </w:r>
    </w:p>
    <w:p w:rsidR="00AE4D5A" w:rsidRPr="008E0897" w:rsidRDefault="00AE4D5A" w:rsidP="008E5E01">
      <w:pPr>
        <w:spacing w:before="240" w:line="320" w:lineRule="atLeast"/>
        <w:jc w:val="both"/>
        <w:rPr>
          <w:szCs w:val="20"/>
        </w:rPr>
      </w:pPr>
      <w:r w:rsidRPr="008E0897">
        <w:rPr>
          <w:szCs w:val="20"/>
        </w:rPr>
        <w:t xml:space="preserve">However, it is clear that at least some of these shipments would be more efficient in bulk form and the current practices induced by the schemes involve the loss of this efficiency. In 2006, the Commission recommended that wheat should no longer be eligible for assistance under the TFES as it distorted the efficient pattern of wheat transport </w:t>
      </w:r>
      <w:r w:rsidR="007C1471" w:rsidRPr="007C1471">
        <w:t>(PC 2006b)</w:t>
      </w:r>
      <w:r w:rsidRPr="008E0897">
        <w:rPr>
          <w:szCs w:val="20"/>
        </w:rPr>
        <w:t>.</w:t>
      </w:r>
    </w:p>
    <w:p w:rsidR="00AE4D5A" w:rsidRDefault="00AE4D5A" w:rsidP="008E5E01">
      <w:pPr>
        <w:spacing w:before="240" w:line="320" w:lineRule="atLeast"/>
        <w:jc w:val="both"/>
        <w:rPr>
          <w:szCs w:val="20"/>
        </w:rPr>
      </w:pPr>
      <w:r w:rsidRPr="008E0897">
        <w:rPr>
          <w:szCs w:val="20"/>
        </w:rPr>
        <w:t xml:space="preserve">Abolishing the </w:t>
      </w:r>
      <w:r>
        <w:rPr>
          <w:szCs w:val="20"/>
        </w:rPr>
        <w:t>TWFS</w:t>
      </w:r>
      <w:r w:rsidRPr="008E0897">
        <w:rPr>
          <w:szCs w:val="20"/>
        </w:rPr>
        <w:t xml:space="preserve"> would acknowledge its redundancy and that its objectives ha</w:t>
      </w:r>
      <w:r>
        <w:rPr>
          <w:szCs w:val="20"/>
        </w:rPr>
        <w:t>ve</w:t>
      </w:r>
      <w:r w:rsidRPr="008E0897">
        <w:rPr>
          <w:szCs w:val="20"/>
        </w:rPr>
        <w:t xml:space="preserve"> been met. However, the calculation of assistance for wheat (and other grains) shipped in containers under the TFES should be based on the lowest </w:t>
      </w:r>
      <w:r>
        <w:rPr>
          <w:szCs w:val="20"/>
        </w:rPr>
        <w:t xml:space="preserve">feasible </w:t>
      </w:r>
      <w:r w:rsidRPr="008E0897">
        <w:rPr>
          <w:szCs w:val="20"/>
        </w:rPr>
        <w:t>cost option for transporting grain to Tasmania.</w:t>
      </w:r>
    </w:p>
    <w:p w:rsidR="00AE4D5A" w:rsidRDefault="00AE4D5A" w:rsidP="008E5E01">
      <w:pPr>
        <w:spacing w:before="240" w:line="320" w:lineRule="atLeast"/>
        <w:jc w:val="both"/>
        <w:rPr>
          <w:szCs w:val="20"/>
        </w:rPr>
      </w:pPr>
      <w:r>
        <w:rPr>
          <w:szCs w:val="20"/>
        </w:rPr>
        <w:t>Participants did not oppose removing the scheme but were concerned that a lower rate would increase bread prices for independent bakers. However, to the extent that shipping wheat in bulk is feasible and more efficient than shipping it in containers, the Commission’s recommendation should reduce the costs for businesses as well as their reliance on the TFES subsidy.</w:t>
      </w:r>
    </w:p>
    <w:p w:rsidR="00AE4D5A" w:rsidRPr="00B0498A" w:rsidRDefault="00AE4D5A" w:rsidP="008E5E01">
      <w:pPr>
        <w:pStyle w:val="FindingTitle"/>
        <w:framePr w:wrap="auto"/>
        <w:tabs>
          <w:tab w:val="right" w:pos="8789"/>
        </w:tabs>
        <w:rPr>
          <w:sz w:val="22"/>
          <w:szCs w:val="22"/>
        </w:rPr>
      </w:pPr>
      <w:r w:rsidRPr="00B0498A">
        <w:rPr>
          <w:sz w:val="22"/>
          <w:szCs w:val="22"/>
        </w:rPr>
        <w:lastRenderedPageBreak/>
        <w:t xml:space="preserve">Recommendation 12 </w:t>
      </w:r>
    </w:p>
    <w:p w:rsidR="00AE4D5A" w:rsidRPr="00B316DD" w:rsidRDefault="00AE4D5A" w:rsidP="008E5E01">
      <w:pPr>
        <w:pStyle w:val="Rec"/>
      </w:pPr>
      <w:r w:rsidRPr="00B316DD">
        <w:t>The Australian Government should terminate the Tasmanian Wheat Freight Scheme as its original policy rationale</w:t>
      </w:r>
      <w:r>
        <w:t>,</w:t>
      </w:r>
      <w:r w:rsidRPr="00B316DD">
        <w:t xml:space="preserve"> and therefore the scheme itself</w:t>
      </w:r>
      <w:r>
        <w:t>,</w:t>
      </w:r>
      <w:r w:rsidRPr="00B316DD">
        <w:t xml:space="preserve"> </w:t>
      </w:r>
      <w:r>
        <w:t>is</w:t>
      </w:r>
      <w:r w:rsidRPr="00B316DD">
        <w:t xml:space="preserve"> redundant.</w:t>
      </w:r>
    </w:p>
    <w:p w:rsidR="00AE4D5A" w:rsidRPr="00B316DD" w:rsidRDefault="00AE4D5A" w:rsidP="008E5E01">
      <w:pPr>
        <w:pStyle w:val="Rec"/>
      </w:pPr>
      <w:r w:rsidRPr="00B316DD">
        <w:t xml:space="preserve">The calculation of assistance for wheat and other grains shipped in containers under the Tasmanian Freight Equalisation Scheme should be based on the lowest </w:t>
      </w:r>
      <w:r>
        <w:t xml:space="preserve">feasible </w:t>
      </w:r>
      <w:r w:rsidRPr="00B316DD">
        <w:t>cost option for transporting grain</w:t>
      </w:r>
      <w:r>
        <w:t>s</w:t>
      </w:r>
      <w:r w:rsidRPr="00B316DD">
        <w:t xml:space="preserve"> to Tasmania.</w:t>
      </w:r>
    </w:p>
    <w:p w:rsidR="00AE4D5A" w:rsidRPr="008E0897" w:rsidRDefault="00AE4D5A" w:rsidP="008E5E01">
      <w:pPr>
        <w:keepNext/>
        <w:spacing w:before="560" w:line="320" w:lineRule="exact"/>
        <w:outlineLvl w:val="2"/>
        <w:rPr>
          <w:rFonts w:ascii="Arial" w:hAnsi="Arial"/>
          <w:b/>
          <w:szCs w:val="20"/>
        </w:rPr>
      </w:pPr>
      <w:r w:rsidRPr="008E0897">
        <w:rPr>
          <w:rFonts w:ascii="Arial" w:hAnsi="Arial"/>
          <w:b/>
          <w:szCs w:val="20"/>
        </w:rPr>
        <w:t>The Bass Strait Passenger Vehicle Equalisation Scheme</w:t>
      </w:r>
    </w:p>
    <w:p w:rsidR="00AE4D5A" w:rsidRPr="008E0897" w:rsidRDefault="00AE4D5A" w:rsidP="008E5E01">
      <w:pPr>
        <w:spacing w:before="240" w:line="320" w:lineRule="atLeast"/>
        <w:jc w:val="both"/>
        <w:rPr>
          <w:szCs w:val="20"/>
        </w:rPr>
      </w:pPr>
      <w:r w:rsidRPr="008E0897">
        <w:rPr>
          <w:szCs w:val="20"/>
        </w:rPr>
        <w:t xml:space="preserve">The Australian Government’s stated </w:t>
      </w:r>
      <w:r>
        <w:rPr>
          <w:szCs w:val="20"/>
        </w:rPr>
        <w:t xml:space="preserve">current </w:t>
      </w:r>
      <w:r w:rsidRPr="008E0897">
        <w:rPr>
          <w:szCs w:val="20"/>
        </w:rPr>
        <w:t xml:space="preserve">intention is to retain the BSPVES </w:t>
      </w:r>
      <w:r w:rsidRPr="00EE16DB">
        <w:t>(Coalition 2013)</w:t>
      </w:r>
      <w:r w:rsidRPr="008E0897">
        <w:rPr>
          <w:szCs w:val="20"/>
        </w:rPr>
        <w:t xml:space="preserve">. </w:t>
      </w:r>
      <w:r>
        <w:rPr>
          <w:szCs w:val="20"/>
        </w:rPr>
        <w:t>Participants raised a number of issues with the scheme.</w:t>
      </w:r>
    </w:p>
    <w:p w:rsidR="00AE4D5A" w:rsidRPr="008E0897" w:rsidRDefault="00AE4D5A" w:rsidP="008E5E01">
      <w:pPr>
        <w:spacing w:before="240" w:line="320" w:lineRule="atLeast"/>
        <w:jc w:val="both"/>
        <w:rPr>
          <w:szCs w:val="20"/>
        </w:rPr>
      </w:pPr>
      <w:r w:rsidRPr="008E0897">
        <w:rPr>
          <w:szCs w:val="20"/>
        </w:rPr>
        <w:t>The main issues identified with the BSPVES are:</w:t>
      </w:r>
    </w:p>
    <w:p w:rsidR="00AE4D5A" w:rsidRDefault="00AE4D5A" w:rsidP="008E5E01">
      <w:pPr>
        <w:pStyle w:val="ListBullet"/>
      </w:pPr>
      <w:r>
        <w:t>there is confusion around the purpose of the scheme</w:t>
      </w:r>
    </w:p>
    <w:p w:rsidR="00AE4D5A" w:rsidRDefault="00AE4D5A" w:rsidP="008E5E01">
      <w:pPr>
        <w:pStyle w:val="ListBullet"/>
      </w:pPr>
      <w:r>
        <w:t>the extent to which the subsidy benefits consumers and provides financial support to TT</w:t>
      </w:r>
      <w:r>
        <w:noBreakHyphen/>
        <w:t>Line</w:t>
      </w:r>
    </w:p>
    <w:p w:rsidR="00AE4D5A" w:rsidRDefault="00AE4D5A" w:rsidP="008E5E01">
      <w:pPr>
        <w:pStyle w:val="ListBullet"/>
      </w:pPr>
      <w:r>
        <w:t>there is some dissatisfaction with post</w:t>
      </w:r>
      <w:r>
        <w:noBreakHyphen/>
        <w:t>subsidy fares and service provision</w:t>
      </w:r>
    </w:p>
    <w:p w:rsidR="00AE4D5A" w:rsidRDefault="00AE4D5A" w:rsidP="008E5E01">
      <w:pPr>
        <w:pStyle w:val="ListBullet"/>
      </w:pPr>
      <w:r>
        <w:t xml:space="preserve">there are </w:t>
      </w:r>
      <w:r w:rsidRPr="008E0897">
        <w:t xml:space="preserve">anomalies in the </w:t>
      </w:r>
      <w:r>
        <w:t>scheme.</w:t>
      </w:r>
    </w:p>
    <w:p w:rsidR="00AE4D5A" w:rsidRDefault="00AE4D5A" w:rsidP="008E5E01">
      <w:pPr>
        <w:pStyle w:val="Heading5"/>
      </w:pPr>
      <w:r>
        <w:t>Purpose of the scheme</w:t>
      </w:r>
    </w:p>
    <w:p w:rsidR="00AE4D5A" w:rsidRDefault="00AE4D5A" w:rsidP="008E5E01">
      <w:pPr>
        <w:spacing w:before="240" w:line="320" w:lineRule="atLeast"/>
        <w:jc w:val="both"/>
        <w:rPr>
          <w:szCs w:val="20"/>
        </w:rPr>
      </w:pPr>
      <w:r>
        <w:rPr>
          <w:szCs w:val="20"/>
        </w:rPr>
        <w:t xml:space="preserve">Participants’ views on the scheme’s objectives, and therefore their assessment of its effectiveness, reflected both access and tourism aspects. This is likely to reflect that over time the scheme has changed from a partial ‘equalisation’ model to a flat rate that extends to recreational vehicles associated with tourism. </w:t>
      </w:r>
    </w:p>
    <w:p w:rsidR="00AE4D5A" w:rsidRDefault="00AE4D5A" w:rsidP="008E5E01">
      <w:pPr>
        <w:spacing w:before="240" w:line="320" w:lineRule="atLeast"/>
        <w:jc w:val="both"/>
        <w:rPr>
          <w:szCs w:val="20"/>
        </w:rPr>
      </w:pPr>
      <w:r>
        <w:rPr>
          <w:szCs w:val="20"/>
        </w:rPr>
        <w:t xml:space="preserve">The scheme provides support to those perceived by many inquiry participants to be its intended primary beneficiaries — Australian residents travelling between the mainland and Tasmania with their vehicle. </w:t>
      </w:r>
      <w:r w:rsidRPr="008E0897">
        <w:rPr>
          <w:szCs w:val="20"/>
        </w:rPr>
        <w:t xml:space="preserve">The stated aim of the </w:t>
      </w:r>
      <w:r>
        <w:rPr>
          <w:szCs w:val="20"/>
        </w:rPr>
        <w:t>BSPVES</w:t>
      </w:r>
      <w:r w:rsidRPr="008E0897">
        <w:rPr>
          <w:szCs w:val="20"/>
        </w:rPr>
        <w:t xml:space="preserve"> when it was introduced in 1996 was to reduce the net fare of a driver sharing a standard cabin to a cost </w:t>
      </w:r>
      <w:r>
        <w:rPr>
          <w:szCs w:val="20"/>
        </w:rPr>
        <w:t xml:space="preserve">similar to </w:t>
      </w:r>
      <w:r w:rsidRPr="008E0897">
        <w:rPr>
          <w:szCs w:val="20"/>
        </w:rPr>
        <w:t xml:space="preserve">driving an equivalent distance on a highway </w:t>
      </w:r>
      <w:r w:rsidRPr="00403FC5">
        <w:t>(Sharp 1996)</w:t>
      </w:r>
      <w:r w:rsidRPr="008E0897">
        <w:rPr>
          <w:szCs w:val="20"/>
        </w:rPr>
        <w:t xml:space="preserve">. </w:t>
      </w:r>
    </w:p>
    <w:p w:rsidR="00AE4D5A" w:rsidRDefault="00AE4D5A" w:rsidP="008E5E01">
      <w:pPr>
        <w:spacing w:before="240" w:line="320" w:lineRule="atLeast"/>
        <w:jc w:val="both"/>
      </w:pPr>
      <w:r>
        <w:rPr>
          <w:szCs w:val="20"/>
        </w:rPr>
        <w:t>Many participants including the National Sea Highway Coalition, TICT and the Caravan, RV and Accommodation Industry of Australia (</w:t>
      </w:r>
      <w:proofErr w:type="spellStart"/>
      <w:r>
        <w:rPr>
          <w:szCs w:val="20"/>
        </w:rPr>
        <w:t>CRVA</w:t>
      </w:r>
      <w:proofErr w:type="spellEnd"/>
      <w:r>
        <w:rPr>
          <w:szCs w:val="20"/>
        </w:rPr>
        <w:t xml:space="preserve">) expressed the view that the primary purpose of the BSPVES should be to equalise the cost of inbound and outbound travel across Bass Strait. </w:t>
      </w:r>
    </w:p>
    <w:p w:rsidR="00AE4D5A" w:rsidRDefault="00AE4D5A" w:rsidP="008E5E01">
      <w:pPr>
        <w:spacing w:before="240" w:line="320" w:lineRule="atLeast"/>
        <w:jc w:val="both"/>
      </w:pPr>
      <w:r>
        <w:rPr>
          <w:szCs w:val="20"/>
        </w:rPr>
        <w:lastRenderedPageBreak/>
        <w:t xml:space="preserve">Assessed on this basis, some participants suggested that assistance should increase as the value of the scheme had been eroded over time, particularly as indexation had been in place only since 2008. Other participants argued that it meant the BSPVES should be broadened. </w:t>
      </w:r>
    </w:p>
    <w:p w:rsidR="00AE4D5A" w:rsidRPr="008E0897" w:rsidRDefault="00AE4D5A" w:rsidP="008E5E01">
      <w:pPr>
        <w:spacing w:before="240" w:line="320" w:lineRule="atLeast"/>
        <w:jc w:val="both"/>
        <w:rPr>
          <w:szCs w:val="20"/>
        </w:rPr>
      </w:pPr>
      <w:r>
        <w:rPr>
          <w:szCs w:val="20"/>
        </w:rPr>
        <w:t xml:space="preserve">However, other inquiry participants viewed the scheme primarily through a tourism lens. This was consistent with expectations at the time the scheme was introduced, that it was </w:t>
      </w:r>
      <w:r w:rsidRPr="008E0897">
        <w:rPr>
          <w:szCs w:val="20"/>
        </w:rPr>
        <w:t xml:space="preserve">expected to assist Tasmania’s tourism industry and Tasmania more broadly </w:t>
      </w:r>
      <w:r w:rsidRPr="00403FC5">
        <w:t>(Sharp 1996)</w:t>
      </w:r>
      <w:r w:rsidRPr="008E0897">
        <w:rPr>
          <w:szCs w:val="20"/>
        </w:rPr>
        <w:t>:</w:t>
      </w:r>
    </w:p>
    <w:p w:rsidR="00AE4D5A" w:rsidRPr="008E0897" w:rsidRDefault="00AE4D5A" w:rsidP="008E5E01">
      <w:pPr>
        <w:spacing w:before="120" w:line="280" w:lineRule="exact"/>
        <w:ind w:left="340"/>
        <w:jc w:val="both"/>
        <w:rPr>
          <w:sz w:val="24"/>
          <w:szCs w:val="20"/>
        </w:rPr>
      </w:pPr>
      <w:r w:rsidRPr="008E0897">
        <w:rPr>
          <w:sz w:val="24"/>
          <w:szCs w:val="20"/>
        </w:rPr>
        <w:t>This Coalition initiative will encourage demand for travel across Bass Strait, with direct benefits to the tourist industry and potential growth in jobs, investment and population for Tasmania.</w:t>
      </w:r>
      <w:r>
        <w:rPr>
          <w:sz w:val="24"/>
          <w:szCs w:val="20"/>
        </w:rPr>
        <w:t xml:space="preserve"> (Sharp 1996, p. 1)</w:t>
      </w:r>
    </w:p>
    <w:p w:rsidR="00AE4D5A" w:rsidRDefault="00AE4D5A" w:rsidP="008E5E01">
      <w:pPr>
        <w:spacing w:before="240" w:line="320" w:lineRule="atLeast"/>
        <w:jc w:val="both"/>
      </w:pPr>
      <w:r>
        <w:rPr>
          <w:szCs w:val="20"/>
        </w:rPr>
        <w:t xml:space="preserve">Participants including </w:t>
      </w:r>
      <w:proofErr w:type="spellStart"/>
      <w:r>
        <w:rPr>
          <w:szCs w:val="20"/>
        </w:rPr>
        <w:t>Austrade</w:t>
      </w:r>
      <w:proofErr w:type="spellEnd"/>
      <w:r>
        <w:rPr>
          <w:szCs w:val="20"/>
        </w:rPr>
        <w:t xml:space="preserve">, </w:t>
      </w:r>
      <w:proofErr w:type="spellStart"/>
      <w:r>
        <w:rPr>
          <w:szCs w:val="20"/>
        </w:rPr>
        <w:t>TICT</w:t>
      </w:r>
      <w:proofErr w:type="spellEnd"/>
      <w:r>
        <w:rPr>
          <w:szCs w:val="20"/>
        </w:rPr>
        <w:t xml:space="preserve"> and </w:t>
      </w:r>
      <w:proofErr w:type="spellStart"/>
      <w:r>
        <w:rPr>
          <w:szCs w:val="20"/>
        </w:rPr>
        <w:t>CRVA</w:t>
      </w:r>
      <w:proofErr w:type="spellEnd"/>
      <w:r>
        <w:rPr>
          <w:szCs w:val="20"/>
        </w:rPr>
        <w:t xml:space="preserve"> acknowledged that the scheme provides a benefit to tourism, although TICT did not consider that it was the Australian Government’s role to provide an ongoing subsidy to the tourism industry (trans., p. 98). While there was a range of estimates as to the scheme’s impact on tourism, its primary tourism benefit was acknowledged to be through self</w:t>
      </w:r>
      <w:r>
        <w:rPr>
          <w:szCs w:val="20"/>
        </w:rPr>
        <w:noBreakHyphen/>
        <w:t xml:space="preserve">drive tourists, who were more likely to stay longer in the state and visit regional areas. The </w:t>
      </w:r>
      <w:proofErr w:type="spellStart"/>
      <w:r>
        <w:rPr>
          <w:szCs w:val="20"/>
        </w:rPr>
        <w:t>CRVA</w:t>
      </w:r>
      <w:proofErr w:type="spellEnd"/>
      <w:r>
        <w:rPr>
          <w:szCs w:val="20"/>
        </w:rPr>
        <w:t xml:space="preserve"> said that Tasmania relies on tourism outside capital and metropolitan areas as National Survey Visitor data show that around half of all domestic visitor expenditure is in regional areas (sub. </w:t>
      </w:r>
      <w:proofErr w:type="spellStart"/>
      <w:r>
        <w:rPr>
          <w:szCs w:val="20"/>
        </w:rPr>
        <w:t>DR76</w:t>
      </w:r>
      <w:proofErr w:type="spellEnd"/>
      <w:r>
        <w:rPr>
          <w:szCs w:val="20"/>
        </w:rPr>
        <w:t xml:space="preserve">). </w:t>
      </w:r>
    </w:p>
    <w:p w:rsidR="00AE4D5A" w:rsidRDefault="00AE4D5A" w:rsidP="008E5E01">
      <w:pPr>
        <w:spacing w:before="240" w:line="320" w:lineRule="atLeast"/>
        <w:jc w:val="both"/>
      </w:pPr>
      <w:r>
        <w:rPr>
          <w:szCs w:val="20"/>
        </w:rPr>
        <w:t xml:space="preserve">The Tasmanian Government noted that the </w:t>
      </w:r>
      <w:r>
        <w:rPr>
          <w:i/>
          <w:szCs w:val="20"/>
        </w:rPr>
        <w:t>Spirit of Tasmania</w:t>
      </w:r>
      <w:r>
        <w:rPr>
          <w:szCs w:val="20"/>
        </w:rPr>
        <w:t xml:space="preserve"> carried 10 per cent of all visitors to Tasmania who accounted for 20 per cent of all visitor expenditure in Tasmania (sub. </w:t>
      </w:r>
      <w:proofErr w:type="spellStart"/>
      <w:r>
        <w:rPr>
          <w:szCs w:val="20"/>
        </w:rPr>
        <w:t>DR85</w:t>
      </w:r>
      <w:proofErr w:type="spellEnd"/>
      <w:r>
        <w:rPr>
          <w:szCs w:val="20"/>
        </w:rPr>
        <w:t>). While the Tasmanian Government said that ‘grey nomads’ were an important albeit relatively small sector of the touring market (sub. </w:t>
      </w:r>
      <w:proofErr w:type="spellStart"/>
      <w:r>
        <w:rPr>
          <w:szCs w:val="20"/>
        </w:rPr>
        <w:t>DR85</w:t>
      </w:r>
      <w:proofErr w:type="spellEnd"/>
      <w:r>
        <w:rPr>
          <w:szCs w:val="20"/>
        </w:rPr>
        <w:t xml:space="preserve">), a KPMG report prepared for the </w:t>
      </w:r>
      <w:proofErr w:type="spellStart"/>
      <w:r>
        <w:rPr>
          <w:szCs w:val="20"/>
        </w:rPr>
        <w:t>CRVA</w:t>
      </w:r>
      <w:proofErr w:type="spellEnd"/>
      <w:r>
        <w:rPr>
          <w:szCs w:val="20"/>
        </w:rPr>
        <w:t xml:space="preserve"> expects slower rates of growth in the 55 to 69 year old age cohort over the next decade </w:t>
      </w:r>
      <w:r w:rsidRPr="00C03251">
        <w:t>(KPMG 2013)</w:t>
      </w:r>
      <w:r>
        <w:rPr>
          <w:szCs w:val="20"/>
        </w:rPr>
        <w:t xml:space="preserve">. </w:t>
      </w:r>
    </w:p>
    <w:p w:rsidR="00AE4D5A" w:rsidRPr="00EB7D64" w:rsidRDefault="00AE4D5A" w:rsidP="008E5E01">
      <w:pPr>
        <w:spacing w:before="240" w:line="320" w:lineRule="atLeast"/>
        <w:jc w:val="both"/>
      </w:pPr>
      <w:r>
        <w:rPr>
          <w:szCs w:val="20"/>
        </w:rPr>
        <w:t>TICT, Tourism and Transport Forum and Cradle Coast Tourism Executive said that the total value of direct visitor spending by leisure visitors arriving in Tasmania by sea in 2012</w:t>
      </w:r>
      <w:r>
        <w:rPr>
          <w:szCs w:val="20"/>
        </w:rPr>
        <w:noBreakHyphen/>
        <w:t xml:space="preserve">13 was around $255 million (sub. 48). </w:t>
      </w:r>
    </w:p>
    <w:p w:rsidR="00AE4D5A" w:rsidRDefault="00AE4D5A" w:rsidP="008E5E01">
      <w:pPr>
        <w:spacing w:before="240" w:line="320" w:lineRule="atLeast"/>
        <w:jc w:val="both"/>
        <w:rPr>
          <w:szCs w:val="20"/>
        </w:rPr>
      </w:pPr>
      <w:r>
        <w:rPr>
          <w:szCs w:val="20"/>
        </w:rPr>
        <w:t xml:space="preserve">From a tourism perspective, sea travel remains a small part of the overall passenger task and has declined in recent years. </w:t>
      </w:r>
    </w:p>
    <w:p w:rsidR="00AE4D5A" w:rsidRPr="008E0897" w:rsidRDefault="00AE4D5A">
      <w:pPr>
        <w:spacing w:before="240" w:line="320" w:lineRule="atLeast"/>
        <w:jc w:val="both"/>
        <w:rPr>
          <w:szCs w:val="20"/>
        </w:rPr>
      </w:pPr>
      <w:r w:rsidRPr="008E0897">
        <w:rPr>
          <w:szCs w:val="20"/>
        </w:rPr>
        <w:t xml:space="preserve">Against the backdrop of materially lower </w:t>
      </w:r>
      <w:r>
        <w:rPr>
          <w:szCs w:val="20"/>
        </w:rPr>
        <w:t xml:space="preserve">discount </w:t>
      </w:r>
      <w:r w:rsidRPr="008E0897">
        <w:rPr>
          <w:szCs w:val="20"/>
        </w:rPr>
        <w:t>air fares to Tasmania</w:t>
      </w:r>
      <w:r>
        <w:rPr>
          <w:szCs w:val="20"/>
        </w:rPr>
        <w:t xml:space="preserve"> </w:t>
      </w:r>
      <w:r w:rsidR="000C756F">
        <w:rPr>
          <w:szCs w:val="20"/>
        </w:rPr>
        <w:t>—</w:t>
      </w:r>
      <w:r>
        <w:rPr>
          <w:szCs w:val="20"/>
        </w:rPr>
        <w:t xml:space="preserve"> which the Commission views as the single most important development to advance Tasmanian tourism — </w:t>
      </w:r>
      <w:r w:rsidRPr="008E0897">
        <w:rPr>
          <w:szCs w:val="20"/>
        </w:rPr>
        <w:t xml:space="preserve">an overall picture of </w:t>
      </w:r>
      <w:r>
        <w:rPr>
          <w:szCs w:val="20"/>
        </w:rPr>
        <w:t>trends in passenger travel across Bass Strait is shown by the</w:t>
      </w:r>
      <w:r w:rsidRPr="008E0897">
        <w:rPr>
          <w:szCs w:val="20"/>
        </w:rPr>
        <w:t xml:space="preserve"> ratio of</w:t>
      </w:r>
      <w:r>
        <w:rPr>
          <w:szCs w:val="20"/>
        </w:rPr>
        <w:t xml:space="preserve"> sea to air visitors (figure 3.5</w:t>
      </w:r>
      <w:r w:rsidRPr="008E0897">
        <w:rPr>
          <w:szCs w:val="20"/>
        </w:rPr>
        <w:t>). For adult visitors travelling to Tasmania, the ratio of those travelling by sea to those travelling by air rose after the introduction of the BSPVES, peaking in 2002</w:t>
      </w:r>
      <w:r w:rsidRPr="008E0897">
        <w:rPr>
          <w:szCs w:val="20"/>
        </w:rPr>
        <w:noBreakHyphen/>
        <w:t xml:space="preserve">03. </w:t>
      </w:r>
      <w:r>
        <w:rPr>
          <w:szCs w:val="20"/>
        </w:rPr>
        <w:t>As</w:t>
      </w:r>
      <w:r w:rsidRPr="008E0897">
        <w:rPr>
          <w:szCs w:val="20"/>
        </w:rPr>
        <w:t xml:space="preserve"> a proportion of </w:t>
      </w:r>
      <w:r w:rsidRPr="008E0897">
        <w:rPr>
          <w:szCs w:val="20"/>
        </w:rPr>
        <w:lastRenderedPageBreak/>
        <w:t>overall adult visitors travelling to Tasmania, travel by sea is now lower than it was when the scheme was introduced.</w:t>
      </w:r>
      <w:r>
        <w:rPr>
          <w:szCs w:val="20"/>
        </w:rPr>
        <w:t xml:space="preserve"> However, if looking at the BSPVES through the ‘access’ lens, that is being able to travel to and from Tasmania with their own vehicle, air travel is not a perfect substitute.</w:t>
      </w:r>
    </w:p>
    <w:p w:rsidR="00AE4D5A" w:rsidRPr="00396BDA" w:rsidRDefault="00AE4D5A" w:rsidP="008E5E01">
      <w:pPr>
        <w:keepNext/>
        <w:keepLines/>
        <w:spacing w:before="360" w:after="80" w:line="280" w:lineRule="exact"/>
        <w:ind w:left="1474" w:hanging="1474"/>
        <w:rPr>
          <w:rFonts w:ascii="Arial" w:hAnsi="Arial"/>
          <w:noProof/>
          <w:sz w:val="24"/>
        </w:rPr>
      </w:pPr>
      <w:r w:rsidRPr="008E0897">
        <w:rPr>
          <w:rFonts w:ascii="Arial" w:hAnsi="Arial"/>
          <w:sz w:val="24"/>
        </w:rPr>
        <w:t>Figure</w:t>
      </w:r>
      <w:r>
        <w:rPr>
          <w:rFonts w:ascii="Arial" w:hAnsi="Arial"/>
          <w:sz w:val="24"/>
        </w:rPr>
        <w:t> </w:t>
      </w:r>
      <w:r w:rsidRPr="008E0897">
        <w:rPr>
          <w:rFonts w:ascii="Arial" w:hAnsi="Arial"/>
          <w:sz w:val="24"/>
        </w:rPr>
        <w:t>3.</w:t>
      </w:r>
      <w:r>
        <w:rPr>
          <w:rFonts w:ascii="Arial" w:hAnsi="Arial"/>
          <w:noProof/>
          <w:sz w:val="24"/>
        </w:rPr>
        <w:t>5</w:t>
      </w:r>
      <w:r w:rsidRPr="008E0897">
        <w:rPr>
          <w:rFonts w:ascii="Arial" w:hAnsi="Arial"/>
          <w:b/>
          <w:sz w:val="24"/>
        </w:rPr>
        <w:tab/>
        <w:t>Ratio of sea travel to air travel</w:t>
      </w:r>
    </w:p>
    <w:p w:rsidR="00AE4D5A" w:rsidRPr="008E0897" w:rsidRDefault="00AE4D5A" w:rsidP="008E5E01">
      <w:pPr>
        <w:keepNext/>
        <w:keepLines/>
        <w:spacing w:after="80" w:line="200" w:lineRule="exact"/>
        <w:ind w:left="1474"/>
        <w:rPr>
          <w:rFonts w:ascii="Arial" w:hAnsi="Arial"/>
          <w:sz w:val="20"/>
        </w:rPr>
      </w:pPr>
      <w:r>
        <w:rPr>
          <w:rFonts w:ascii="Arial" w:hAnsi="Arial"/>
          <w:sz w:val="20"/>
        </w:rPr>
        <w:t>Adult visitors to Tasmania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RPr="008E0897" w:rsidTr="008E5E01">
        <w:trPr>
          <w:trHeight w:val="5061"/>
        </w:trPr>
        <w:tc>
          <w:tcPr>
            <w:tcW w:w="8777" w:type="dxa"/>
          </w:tcPr>
          <w:p w:rsidR="00AE4D5A" w:rsidRPr="008E0897" w:rsidRDefault="00AE4D5A" w:rsidP="008E5E01">
            <w:pPr>
              <w:keepNext/>
              <w:spacing w:before="120" w:after="120" w:line="240" w:lineRule="atLeast"/>
              <w:jc w:val="center"/>
              <w:rPr>
                <w:szCs w:val="20"/>
              </w:rPr>
            </w:pPr>
            <w:r w:rsidRPr="008043FE">
              <w:rPr>
                <w:noProof/>
                <w:szCs w:val="20"/>
              </w:rPr>
              <w:drawing>
                <wp:inline distT="0" distB="0" distL="0" distR="0" wp14:anchorId="639818EC" wp14:editId="5D010DD8">
                  <wp:extent cx="5143499" cy="2900364"/>
                  <wp:effectExtent l="0" t="0" r="635" b="0"/>
                  <wp:docPr id="67" name="Chart 67" descr="Figure 3.5 Ratio of sea travel to air travel. This figure shows that the ratio of visitors travelling to Tasmania by sea to those travelling to Tasmania by air was almost 0.2 in 1996-97, rising to almost 0.4 in 2002-03, before falling to around 0.1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AE4D5A" w:rsidRPr="008E0897" w:rsidRDefault="00AE4D5A" w:rsidP="008E5E01">
      <w:pPr>
        <w:keepLines/>
        <w:spacing w:before="80" w:after="120" w:line="220" w:lineRule="exact"/>
        <w:jc w:val="both"/>
        <w:rPr>
          <w:rFonts w:ascii="Arial" w:hAnsi="Arial"/>
          <w:sz w:val="18"/>
          <w:szCs w:val="20"/>
        </w:rPr>
      </w:pPr>
      <w:r w:rsidRPr="008E0897">
        <w:rPr>
          <w:rFonts w:ascii="Arial" w:hAnsi="Arial"/>
          <w:i/>
          <w:sz w:val="18"/>
          <w:szCs w:val="20"/>
        </w:rPr>
        <w:t>Source</w:t>
      </w:r>
      <w:r w:rsidRPr="008E0897">
        <w:rPr>
          <w:rFonts w:ascii="Arial" w:hAnsi="Arial"/>
          <w:sz w:val="18"/>
          <w:szCs w:val="20"/>
        </w:rPr>
        <w:t xml:space="preserve">: </w:t>
      </w:r>
      <w:r w:rsidRPr="000D6F55">
        <w:rPr>
          <w:rFonts w:ascii="Arial" w:hAnsi="Arial" w:cs="Arial"/>
          <w:sz w:val="18"/>
        </w:rPr>
        <w:t>BITRE </w:t>
      </w:r>
      <w:r>
        <w:rPr>
          <w:rFonts w:ascii="Arial" w:hAnsi="Arial" w:cs="Arial"/>
          <w:sz w:val="18"/>
        </w:rPr>
        <w:t>(</w:t>
      </w:r>
      <w:r w:rsidRPr="000D6F55">
        <w:rPr>
          <w:rFonts w:ascii="Arial" w:hAnsi="Arial" w:cs="Arial"/>
          <w:sz w:val="18"/>
        </w:rPr>
        <w:t>2014)</w:t>
      </w:r>
      <w:r w:rsidRPr="008E0897">
        <w:rPr>
          <w:rFonts w:ascii="Arial" w:hAnsi="Arial"/>
          <w:sz w:val="18"/>
          <w:szCs w:val="20"/>
        </w:rPr>
        <w:t>.</w:t>
      </w:r>
    </w:p>
    <w:p w:rsidR="00AE4D5A" w:rsidRDefault="00AE4D5A" w:rsidP="008E5E01">
      <w:pPr>
        <w:spacing w:before="240" w:line="320" w:lineRule="atLeast"/>
        <w:jc w:val="both"/>
        <w:rPr>
          <w:szCs w:val="20"/>
        </w:rPr>
      </w:pPr>
      <w:r w:rsidRPr="008E0897">
        <w:rPr>
          <w:szCs w:val="20"/>
        </w:rPr>
        <w:t>BITRE estimates indicate that fewer Tasmanian residents have chosen to travel by sea over the past few years consistent with falling passenger numbers overall for sea travel. In 2012</w:t>
      </w:r>
      <w:r w:rsidRPr="008E0897">
        <w:rPr>
          <w:szCs w:val="20"/>
        </w:rPr>
        <w:noBreakHyphen/>
        <w:t xml:space="preserve">13, </w:t>
      </w:r>
      <w:r>
        <w:rPr>
          <w:szCs w:val="20"/>
        </w:rPr>
        <w:t xml:space="preserve">only </w:t>
      </w:r>
      <w:r w:rsidRPr="008E0897">
        <w:rPr>
          <w:szCs w:val="20"/>
        </w:rPr>
        <w:t xml:space="preserve">5 per cent of adult Tasmanian residents making return journeys to the mainland travelled by sea, while the comparable figure for inbound tourists was 11 per cent </w:t>
      </w:r>
      <w:r w:rsidRPr="00F455A2">
        <w:t>(BITRE 2014)</w:t>
      </w:r>
      <w:r w:rsidRPr="008E0897">
        <w:rPr>
          <w:szCs w:val="20"/>
        </w:rPr>
        <w:t>. While the availability of the subsidy provides Tasmanian</w:t>
      </w:r>
      <w:r>
        <w:rPr>
          <w:szCs w:val="20"/>
        </w:rPr>
        <w:t xml:space="preserve"> and mainland</w:t>
      </w:r>
      <w:r w:rsidRPr="008E0897">
        <w:rPr>
          <w:szCs w:val="20"/>
        </w:rPr>
        <w:t xml:space="preserve"> residents with travel choice, the data indicate that, consistent with overall passenger travel trends, they have a relatively low reliance on sea travel, and by inference, the BSPVES.</w:t>
      </w:r>
    </w:p>
    <w:p w:rsidR="00AE4D5A" w:rsidRDefault="00AE4D5A" w:rsidP="008E5E01">
      <w:pPr>
        <w:spacing w:before="240" w:line="320" w:lineRule="atLeast"/>
        <w:jc w:val="both"/>
        <w:rPr>
          <w:szCs w:val="20"/>
        </w:rPr>
      </w:pPr>
      <w:r>
        <w:rPr>
          <w:szCs w:val="20"/>
        </w:rPr>
        <w:t>The</w:t>
      </w:r>
      <w:r>
        <w:t xml:space="preserve"> confusion </w:t>
      </w:r>
      <w:r>
        <w:rPr>
          <w:szCs w:val="20"/>
        </w:rPr>
        <w:t xml:space="preserve">as to the scheme’s purpose, and therefore the assessment of its benefits, </w:t>
      </w:r>
      <w:r w:rsidRPr="00015AE7">
        <w:rPr>
          <w:szCs w:val="20"/>
        </w:rPr>
        <w:t xml:space="preserve">suggest that there would be merit in the Australian Government articulating the scheme’s objective </w:t>
      </w:r>
      <w:r>
        <w:rPr>
          <w:szCs w:val="20"/>
        </w:rPr>
        <w:t>as a</w:t>
      </w:r>
      <w:r w:rsidRPr="00015AE7">
        <w:rPr>
          <w:szCs w:val="20"/>
        </w:rPr>
        <w:t xml:space="preserve"> basis for </w:t>
      </w:r>
      <w:r>
        <w:rPr>
          <w:szCs w:val="20"/>
        </w:rPr>
        <w:t>any future evaluation.</w:t>
      </w:r>
    </w:p>
    <w:p w:rsidR="00207B70" w:rsidRDefault="00207B70">
      <w:pPr>
        <w:rPr>
          <w:caps/>
          <w:sz w:val="22"/>
          <w:szCs w:val="22"/>
        </w:rPr>
      </w:pPr>
      <w:r>
        <w:rPr>
          <w:caps/>
          <w:sz w:val="22"/>
          <w:szCs w:val="22"/>
        </w:rPr>
        <w:br w:type="page"/>
      </w:r>
    </w:p>
    <w:p w:rsidR="00AE4D5A" w:rsidRPr="00B0498A" w:rsidRDefault="00AE4D5A" w:rsidP="008E5E01">
      <w:pPr>
        <w:pStyle w:val="BodyText"/>
        <w:rPr>
          <w:caps/>
          <w:sz w:val="22"/>
          <w:szCs w:val="22"/>
        </w:rPr>
      </w:pPr>
      <w:r w:rsidRPr="00B0498A">
        <w:rPr>
          <w:caps/>
          <w:sz w:val="22"/>
          <w:szCs w:val="22"/>
        </w:rPr>
        <w:lastRenderedPageBreak/>
        <w:t xml:space="preserve">Recommendation 13 </w:t>
      </w:r>
    </w:p>
    <w:p w:rsidR="00AE4D5A" w:rsidRDefault="00AE4D5A" w:rsidP="008E5E01">
      <w:pPr>
        <w:pStyle w:val="Rec"/>
      </w:pPr>
      <w:r>
        <w:t xml:space="preserve">The Australian </w:t>
      </w:r>
      <w:r w:rsidRPr="00B316DD">
        <w:t xml:space="preserve">Government should clearly articulate </w:t>
      </w:r>
      <w:r>
        <w:t>the</w:t>
      </w:r>
      <w:r w:rsidRPr="00B316DD">
        <w:t xml:space="preserve"> objective </w:t>
      </w:r>
      <w:r>
        <w:t xml:space="preserve">of the Bass Strait Passenger Vehicle Equalisation Scheme, </w:t>
      </w:r>
      <w:r w:rsidRPr="00B316DD">
        <w:t xml:space="preserve">and </w:t>
      </w:r>
      <w:r>
        <w:t>any future evaluation of</w:t>
      </w:r>
      <w:r w:rsidRPr="00B316DD">
        <w:t xml:space="preserve"> the scheme </w:t>
      </w:r>
      <w:r>
        <w:t>should be assessed against that objective</w:t>
      </w:r>
      <w:r w:rsidRPr="00B316DD">
        <w:t>.</w:t>
      </w:r>
    </w:p>
    <w:p w:rsidR="00AE4D5A" w:rsidRDefault="00AE4D5A" w:rsidP="008E5E01">
      <w:pPr>
        <w:pStyle w:val="Heading5"/>
      </w:pPr>
      <w:r>
        <w:t>Subsidy benefit and Bass Strait services</w:t>
      </w:r>
    </w:p>
    <w:p w:rsidR="00AE4D5A" w:rsidRDefault="00AE4D5A" w:rsidP="008E5E01">
      <w:pPr>
        <w:pStyle w:val="BodyText"/>
      </w:pPr>
      <w:r>
        <w:t>Participants expressed concern about the extent to which the subsidy benefits consumers, with some calling for the subsidy to be increased to offset fare increases.</w:t>
      </w:r>
    </w:p>
    <w:p w:rsidR="00AE4D5A" w:rsidRDefault="00AE4D5A" w:rsidP="008E5E01">
      <w:pPr>
        <w:pStyle w:val="BodyText"/>
      </w:pPr>
      <w:r>
        <w:t>Irrespective of who the beneficiaries of the BSPVES are intended to be, the scheme provides only diluted support as some of the subsidy is inevitably captured by TT</w:t>
      </w:r>
      <w:r>
        <w:noBreakHyphen/>
        <w:t xml:space="preserve">Line as the main (virtually sole) carrier of passenger vehicles across Bass Strait. In this context, any increase in the </w:t>
      </w:r>
      <w:proofErr w:type="spellStart"/>
      <w:r>
        <w:t>BPSVES</w:t>
      </w:r>
      <w:proofErr w:type="spellEnd"/>
      <w:r>
        <w:t xml:space="preserve"> may not flow through fully to the intended beneficiaries.</w:t>
      </w:r>
    </w:p>
    <w:p w:rsidR="00AE4D5A" w:rsidRPr="005F7204" w:rsidRDefault="00AE4D5A" w:rsidP="008E5E01">
      <w:pPr>
        <w:spacing w:before="240" w:line="320" w:lineRule="atLeast"/>
        <w:jc w:val="both"/>
        <w:rPr>
          <w:szCs w:val="20"/>
        </w:rPr>
      </w:pPr>
      <w:r w:rsidRPr="009F3108">
        <w:rPr>
          <w:szCs w:val="20"/>
        </w:rPr>
        <w:t>TT</w:t>
      </w:r>
      <w:r>
        <w:rPr>
          <w:szCs w:val="20"/>
        </w:rPr>
        <w:noBreakHyphen/>
      </w:r>
      <w:r w:rsidRPr="009F3108">
        <w:rPr>
          <w:szCs w:val="20"/>
        </w:rPr>
        <w:t xml:space="preserve">Line </w:t>
      </w:r>
      <w:r>
        <w:rPr>
          <w:szCs w:val="20"/>
        </w:rPr>
        <w:t>suggested</w:t>
      </w:r>
      <w:r w:rsidRPr="009F3108">
        <w:rPr>
          <w:szCs w:val="20"/>
        </w:rPr>
        <w:t xml:space="preserve"> that the </w:t>
      </w:r>
      <w:r>
        <w:rPr>
          <w:szCs w:val="20"/>
        </w:rPr>
        <w:t>characteristics of supply and demand in the Bass Strait passenger services market were such</w:t>
      </w:r>
      <w:r w:rsidRPr="009F3108">
        <w:rPr>
          <w:szCs w:val="20"/>
        </w:rPr>
        <w:t xml:space="preserve"> that the supply of </w:t>
      </w:r>
      <w:r>
        <w:rPr>
          <w:szCs w:val="20"/>
        </w:rPr>
        <w:t>ferry</w:t>
      </w:r>
      <w:r w:rsidRPr="009F3108">
        <w:rPr>
          <w:szCs w:val="20"/>
        </w:rPr>
        <w:t xml:space="preserve"> services was more responsive to price </w:t>
      </w:r>
      <w:r w:rsidRPr="006A0234">
        <w:rPr>
          <w:szCs w:val="20"/>
        </w:rPr>
        <w:t>changes than demand for those services and</w:t>
      </w:r>
      <w:r>
        <w:rPr>
          <w:szCs w:val="20"/>
        </w:rPr>
        <w:t xml:space="preserve"> that this was evidence that TT</w:t>
      </w:r>
      <w:r>
        <w:rPr>
          <w:szCs w:val="20"/>
        </w:rPr>
        <w:noBreakHyphen/>
      </w:r>
      <w:r w:rsidRPr="006A0234">
        <w:rPr>
          <w:szCs w:val="20"/>
        </w:rPr>
        <w:t>Line was not capturing any part of the subsidy</w:t>
      </w:r>
      <w:r>
        <w:rPr>
          <w:szCs w:val="20"/>
        </w:rPr>
        <w:t xml:space="preserve"> (sub. </w:t>
      </w:r>
      <w:proofErr w:type="spellStart"/>
      <w:r>
        <w:rPr>
          <w:szCs w:val="20"/>
        </w:rPr>
        <w:t>DR84</w:t>
      </w:r>
      <w:proofErr w:type="spellEnd"/>
      <w:r>
        <w:rPr>
          <w:szCs w:val="20"/>
        </w:rPr>
        <w:t>)</w:t>
      </w:r>
      <w:r w:rsidRPr="006A0234">
        <w:rPr>
          <w:szCs w:val="20"/>
        </w:rPr>
        <w:t xml:space="preserve">. </w:t>
      </w:r>
      <w:r>
        <w:rPr>
          <w:szCs w:val="20"/>
        </w:rPr>
        <w:t>This implies that for</w:t>
      </w:r>
      <w:r w:rsidRPr="006A0234">
        <w:rPr>
          <w:szCs w:val="20"/>
        </w:rPr>
        <w:t xml:space="preserve"> a given price change, the additional supply of shipping services would exceed increased demand for those services</w:t>
      </w:r>
      <w:r w:rsidRPr="005F7204">
        <w:rPr>
          <w:szCs w:val="20"/>
        </w:rPr>
        <w:t>.</w:t>
      </w:r>
      <w:r>
        <w:rPr>
          <w:szCs w:val="20"/>
        </w:rPr>
        <w:t xml:space="preserve"> </w:t>
      </w:r>
    </w:p>
    <w:p w:rsidR="00AE4D5A" w:rsidRDefault="00AE4D5A" w:rsidP="008E5E01">
      <w:pPr>
        <w:spacing w:before="240" w:line="320" w:lineRule="atLeast"/>
        <w:jc w:val="both"/>
        <w:rPr>
          <w:szCs w:val="20"/>
        </w:rPr>
      </w:pPr>
      <w:r w:rsidRPr="005F7204">
        <w:rPr>
          <w:szCs w:val="20"/>
        </w:rPr>
        <w:t xml:space="preserve">However, this </w:t>
      </w:r>
      <w:r>
        <w:rPr>
          <w:szCs w:val="20"/>
        </w:rPr>
        <w:t>appears</w:t>
      </w:r>
      <w:r w:rsidRPr="005F7204">
        <w:rPr>
          <w:szCs w:val="20"/>
        </w:rPr>
        <w:t xml:space="preserve"> </w:t>
      </w:r>
      <w:r>
        <w:rPr>
          <w:szCs w:val="20"/>
        </w:rPr>
        <w:t>inconsistent</w:t>
      </w:r>
      <w:r w:rsidRPr="005F7204">
        <w:rPr>
          <w:szCs w:val="20"/>
        </w:rPr>
        <w:t xml:space="preserve"> with </w:t>
      </w:r>
      <w:r>
        <w:rPr>
          <w:szCs w:val="20"/>
        </w:rPr>
        <w:t>anecdotal evidence</w:t>
      </w:r>
      <w:r w:rsidRPr="005F7204">
        <w:rPr>
          <w:szCs w:val="20"/>
        </w:rPr>
        <w:t xml:space="preserve"> provided to the inquiry</w:t>
      </w:r>
      <w:r>
        <w:rPr>
          <w:szCs w:val="20"/>
        </w:rPr>
        <w:t xml:space="preserve"> that there was unmet demand for some users of TT</w:t>
      </w:r>
      <w:r>
        <w:rPr>
          <w:szCs w:val="20"/>
        </w:rPr>
        <w:noBreakHyphen/>
        <w:t>Line services due to difficulties in accessing these services (including at a reasonable cost) and perceptions that the supply of passenger services was adversely affected by the TT</w:t>
      </w:r>
      <w:r>
        <w:rPr>
          <w:szCs w:val="20"/>
        </w:rPr>
        <w:noBreakHyphen/>
        <w:t xml:space="preserve">Line’s freight service (box 3.7). </w:t>
      </w:r>
    </w:p>
    <w:p w:rsidR="00AE4D5A" w:rsidRDefault="00AE4D5A" w:rsidP="008E5E01">
      <w:pPr>
        <w:spacing w:before="240" w:line="320" w:lineRule="atLeast"/>
        <w:jc w:val="both"/>
        <w:rPr>
          <w:szCs w:val="20"/>
        </w:rPr>
      </w:pPr>
      <w:r>
        <w:rPr>
          <w:szCs w:val="20"/>
        </w:rPr>
        <w:t>Austrade said that while they did not disagree that a portion of the subsidy had leaked to TT</w:t>
      </w:r>
      <w:r>
        <w:rPr>
          <w:szCs w:val="20"/>
        </w:rPr>
        <w:noBreakHyphen/>
        <w:t xml:space="preserve">Line, they also observed that consumers were paying for a different package than was the case when the scheme was introduced (trans., p. 115). </w:t>
      </w:r>
    </w:p>
    <w:p w:rsidR="00AE4D5A" w:rsidRDefault="00AE4D5A" w:rsidP="008E5E01">
      <w:pPr>
        <w:spacing w:before="240" w:line="320" w:lineRule="atLeast"/>
        <w:jc w:val="both"/>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lastRenderedPageBreak/>
              <w:t>Box 3.</w:t>
            </w:r>
            <w:r>
              <w:rPr>
                <w:b w:val="0"/>
                <w:noProof/>
              </w:rPr>
              <w:t>7</w:t>
            </w:r>
            <w:r>
              <w:tab/>
              <w:t>Participants’ views on the BSPVES</w:t>
            </w:r>
          </w:p>
        </w:tc>
      </w:tr>
      <w:tr w:rsidR="00AE4D5A" w:rsidTr="008E5E01">
        <w:trPr>
          <w:cantSplit/>
        </w:trPr>
        <w:tc>
          <w:tcPr>
            <w:tcW w:w="8771" w:type="dxa"/>
            <w:tcBorders>
              <w:top w:val="nil"/>
              <w:left w:val="single" w:sz="6" w:space="0" w:color="auto"/>
              <w:bottom w:val="single" w:sz="4" w:space="0" w:color="auto"/>
              <w:right w:val="single" w:sz="6" w:space="0" w:color="auto"/>
            </w:tcBorders>
          </w:tcPr>
          <w:p w:rsidR="00AE4D5A" w:rsidRPr="00EA1F7F" w:rsidRDefault="00AE4D5A" w:rsidP="008E5E01">
            <w:pPr>
              <w:pStyle w:val="BodyText"/>
              <w:rPr>
                <w:rFonts w:ascii="Arial" w:hAnsi="Arial" w:cs="Arial"/>
                <w:sz w:val="22"/>
                <w:szCs w:val="22"/>
                <w:lang w:eastAsia="en-US"/>
              </w:rPr>
            </w:pPr>
            <w:r w:rsidRPr="00EA1F7F">
              <w:rPr>
                <w:rFonts w:ascii="Arial" w:hAnsi="Arial" w:cs="Arial"/>
                <w:sz w:val="22"/>
                <w:szCs w:val="22"/>
                <w:lang w:eastAsia="en-US"/>
              </w:rPr>
              <w:t>On the scheme’s purpose:</w:t>
            </w:r>
          </w:p>
          <w:p w:rsidR="00AE4D5A" w:rsidRDefault="00AE4D5A" w:rsidP="008E5E01">
            <w:pPr>
              <w:keepNext/>
              <w:spacing w:before="60" w:line="260" w:lineRule="exact"/>
              <w:ind w:left="284"/>
              <w:jc w:val="both"/>
              <w:rPr>
                <w:rFonts w:ascii="Arial" w:hAnsi="Arial"/>
                <w:sz w:val="20"/>
                <w:szCs w:val="20"/>
              </w:rPr>
            </w:pPr>
            <w:r w:rsidRPr="00EA1F7F">
              <w:rPr>
                <w:rFonts w:ascii="Arial" w:hAnsi="Arial"/>
                <w:sz w:val="20"/>
                <w:szCs w:val="20"/>
              </w:rPr>
              <w:t>… Bass Strait is part of the national highway and the infrastructure that makes it work to improve productivity and efficiency is no different than a road or rail on the mainland.</w:t>
            </w:r>
            <w:r>
              <w:rPr>
                <w:rFonts w:ascii="Arial" w:hAnsi="Arial"/>
                <w:sz w:val="20"/>
                <w:szCs w:val="20"/>
              </w:rPr>
              <w:t xml:space="preserve"> </w:t>
            </w:r>
            <w:r w:rsidRPr="00EA1F7F">
              <w:rPr>
                <w:rFonts w:ascii="Arial" w:hAnsi="Arial"/>
                <w:sz w:val="20"/>
                <w:szCs w:val="20"/>
              </w:rPr>
              <w:t xml:space="preserve">This is why a </w:t>
            </w:r>
            <w:r>
              <w:rPr>
                <w:rFonts w:ascii="Arial" w:hAnsi="Arial"/>
                <w:sz w:val="20"/>
                <w:szCs w:val="20"/>
              </w:rPr>
              <w:t>‘</w:t>
            </w:r>
            <w:r w:rsidRPr="00EA1F7F">
              <w:rPr>
                <w:rFonts w:ascii="Arial" w:hAnsi="Arial"/>
                <w:sz w:val="20"/>
                <w:szCs w:val="20"/>
              </w:rPr>
              <w:t>one in, all in</w:t>
            </w:r>
            <w:r>
              <w:rPr>
                <w:rFonts w:ascii="Arial" w:hAnsi="Arial"/>
                <w:sz w:val="20"/>
                <w:szCs w:val="20"/>
              </w:rPr>
              <w:t>’</w:t>
            </w:r>
            <w:r w:rsidRPr="00EA1F7F">
              <w:rPr>
                <w:rFonts w:ascii="Arial" w:hAnsi="Arial"/>
                <w:sz w:val="20"/>
                <w:szCs w:val="20"/>
              </w:rPr>
              <w:t xml:space="preserve"> approach to passenger and freight movements is considered justified in spite of potential added cost. (National Sea Highway Coalition</w:t>
            </w:r>
            <w:r>
              <w:rPr>
                <w:rFonts w:ascii="Arial" w:hAnsi="Arial"/>
                <w:sz w:val="20"/>
                <w:szCs w:val="20"/>
              </w:rPr>
              <w:t xml:space="preserve"> Tasmania</w:t>
            </w:r>
            <w:r w:rsidRPr="00EA1F7F">
              <w:rPr>
                <w:rFonts w:ascii="Arial" w:hAnsi="Arial"/>
                <w:sz w:val="20"/>
                <w:szCs w:val="20"/>
              </w:rPr>
              <w:t>, trans., p.</w:t>
            </w:r>
            <w:r>
              <w:rPr>
                <w:rFonts w:ascii="Arial" w:hAnsi="Arial"/>
                <w:sz w:val="20"/>
                <w:szCs w:val="20"/>
              </w:rPr>
              <w:t> </w:t>
            </w:r>
            <w:r w:rsidRPr="00EA1F7F">
              <w:rPr>
                <w:rFonts w:ascii="Arial" w:hAnsi="Arial"/>
                <w:sz w:val="20"/>
                <w:szCs w:val="20"/>
              </w:rPr>
              <w:t>209)</w:t>
            </w:r>
          </w:p>
          <w:p w:rsidR="00AE4D5A" w:rsidRPr="00EA1F7F" w:rsidRDefault="00AE4D5A" w:rsidP="008E5E01">
            <w:pPr>
              <w:pStyle w:val="BodyText"/>
              <w:rPr>
                <w:rFonts w:ascii="Arial" w:hAnsi="Arial" w:cs="Arial"/>
                <w:sz w:val="22"/>
                <w:szCs w:val="22"/>
                <w:lang w:eastAsia="en-US"/>
              </w:rPr>
            </w:pPr>
            <w:r w:rsidRPr="00EA1F7F">
              <w:rPr>
                <w:rFonts w:ascii="Arial" w:hAnsi="Arial" w:cs="Arial"/>
                <w:sz w:val="22"/>
                <w:szCs w:val="22"/>
                <w:lang w:eastAsia="en-US"/>
              </w:rPr>
              <w:t>On the scheme’s effectiveness:</w:t>
            </w:r>
          </w:p>
          <w:p w:rsidR="00AE4D5A" w:rsidRPr="00EA1F7F" w:rsidRDefault="00AE4D5A" w:rsidP="008E5E01">
            <w:pPr>
              <w:keepNext/>
              <w:spacing w:before="60" w:line="260" w:lineRule="exact"/>
              <w:ind w:left="284"/>
              <w:jc w:val="both"/>
              <w:rPr>
                <w:rFonts w:ascii="Arial" w:hAnsi="Arial"/>
                <w:sz w:val="20"/>
                <w:szCs w:val="20"/>
              </w:rPr>
            </w:pPr>
            <w:r w:rsidRPr="00EA1F7F">
              <w:rPr>
                <w:rFonts w:ascii="Arial" w:hAnsi="Arial"/>
                <w:sz w:val="20"/>
                <w:szCs w:val="20"/>
              </w:rPr>
              <w:t>…</w:t>
            </w:r>
            <w:r>
              <w:rPr>
                <w:rFonts w:ascii="Arial" w:hAnsi="Arial"/>
                <w:sz w:val="20"/>
                <w:szCs w:val="20"/>
              </w:rPr>
              <w:t xml:space="preserve"> </w:t>
            </w:r>
            <w:r w:rsidRPr="00EA1F7F">
              <w:rPr>
                <w:rFonts w:ascii="Arial" w:hAnsi="Arial"/>
                <w:sz w:val="20"/>
                <w:szCs w:val="20"/>
              </w:rPr>
              <w:t xml:space="preserve">a declining share of the model for traffic accounted for by maritime versus aviation should not be seen </w:t>
            </w:r>
            <w:r>
              <w:rPr>
                <w:rFonts w:ascii="Arial" w:hAnsi="Arial"/>
                <w:sz w:val="20"/>
                <w:szCs w:val="20"/>
              </w:rPr>
              <w:t xml:space="preserve">[as] </w:t>
            </w:r>
            <w:r w:rsidRPr="00EA1F7F">
              <w:rPr>
                <w:rFonts w:ascii="Arial" w:hAnsi="Arial"/>
                <w:sz w:val="20"/>
                <w:szCs w:val="20"/>
              </w:rPr>
              <w:t>a sign that the scheme is failing.</w:t>
            </w:r>
            <w:r>
              <w:rPr>
                <w:rFonts w:ascii="Arial" w:hAnsi="Arial"/>
                <w:sz w:val="20"/>
                <w:szCs w:val="20"/>
              </w:rPr>
              <w:t xml:space="preserve"> </w:t>
            </w:r>
            <w:r w:rsidRPr="00EA1F7F">
              <w:rPr>
                <w:rFonts w:ascii="Arial" w:hAnsi="Arial"/>
                <w:sz w:val="20"/>
                <w:szCs w:val="20"/>
              </w:rPr>
              <w:t>Rather, it is simply a recognition that in a sense, it</w:t>
            </w:r>
            <w:r>
              <w:rPr>
                <w:rFonts w:ascii="Arial" w:hAnsi="Arial"/>
                <w:sz w:val="20"/>
                <w:szCs w:val="20"/>
              </w:rPr>
              <w:t>’</w:t>
            </w:r>
            <w:r w:rsidRPr="00EA1F7F">
              <w:rPr>
                <w:rFonts w:ascii="Arial" w:hAnsi="Arial"/>
                <w:sz w:val="20"/>
                <w:szCs w:val="20"/>
              </w:rPr>
              <w:t>s perhaps not as attractive to consumers as it was when it was introduced in 1996. Nevertheless, it is still important in inducing a significant number of business and expenditure to Tasmania that would not have otherwise occurred. (Austrade, trans., p.</w:t>
            </w:r>
            <w:r>
              <w:rPr>
                <w:rFonts w:ascii="Arial" w:hAnsi="Arial"/>
                <w:sz w:val="20"/>
                <w:szCs w:val="20"/>
              </w:rPr>
              <w:t> </w:t>
            </w:r>
            <w:r w:rsidRPr="00EA1F7F">
              <w:rPr>
                <w:rFonts w:ascii="Arial" w:hAnsi="Arial"/>
                <w:sz w:val="20"/>
                <w:szCs w:val="20"/>
              </w:rPr>
              <w:t xml:space="preserve">113). </w:t>
            </w:r>
          </w:p>
          <w:p w:rsidR="00AE4D5A" w:rsidRPr="00EA1F7F" w:rsidRDefault="00AE4D5A" w:rsidP="008E5E01">
            <w:pPr>
              <w:pStyle w:val="BodyText"/>
              <w:rPr>
                <w:rFonts w:ascii="Arial" w:hAnsi="Arial" w:cs="Arial"/>
                <w:sz w:val="22"/>
                <w:szCs w:val="22"/>
                <w:lang w:eastAsia="en-US"/>
              </w:rPr>
            </w:pPr>
            <w:r w:rsidRPr="00EA1F7F">
              <w:rPr>
                <w:rFonts w:ascii="Arial" w:hAnsi="Arial" w:cs="Arial"/>
                <w:sz w:val="22"/>
                <w:szCs w:val="22"/>
                <w:lang w:eastAsia="en-US"/>
              </w:rPr>
              <w:t>On pricing and services:</w:t>
            </w:r>
          </w:p>
          <w:p w:rsidR="00AE4D5A" w:rsidRDefault="00AE4D5A" w:rsidP="008E5E01">
            <w:pPr>
              <w:keepNext/>
              <w:spacing w:before="60" w:line="260" w:lineRule="exact"/>
              <w:ind w:left="284"/>
              <w:jc w:val="both"/>
              <w:rPr>
                <w:rFonts w:ascii="Arial" w:hAnsi="Arial"/>
                <w:sz w:val="20"/>
                <w:szCs w:val="20"/>
              </w:rPr>
            </w:pPr>
            <w:r>
              <w:rPr>
                <w:rFonts w:ascii="Arial" w:hAnsi="Arial"/>
                <w:sz w:val="20"/>
                <w:szCs w:val="20"/>
              </w:rPr>
              <w:t>We need consistency in pricing for RV travellers. The variance in pricing, cost is becoming prohibitive for the RV market as they have to spend up to $1800 just getting to the island and this fluctuates depending on the season and availability. Travel for RV’s is considered seasonal. (Campervan and Motorhome Club of Australia, sub. </w:t>
            </w:r>
            <w:proofErr w:type="spellStart"/>
            <w:r>
              <w:rPr>
                <w:rFonts w:ascii="Arial" w:hAnsi="Arial"/>
                <w:sz w:val="20"/>
                <w:szCs w:val="20"/>
              </w:rPr>
              <w:t>DR91</w:t>
            </w:r>
            <w:proofErr w:type="spellEnd"/>
            <w:r>
              <w:rPr>
                <w:rFonts w:ascii="Arial" w:hAnsi="Arial"/>
                <w:sz w:val="20"/>
                <w:szCs w:val="20"/>
              </w:rPr>
              <w:t>, p. 1)</w:t>
            </w:r>
          </w:p>
          <w:p w:rsidR="00AE4D5A" w:rsidRPr="00EA1F7F" w:rsidRDefault="00AE4D5A" w:rsidP="008E5E01">
            <w:pPr>
              <w:keepNext/>
              <w:spacing w:before="60" w:line="260" w:lineRule="exact"/>
              <w:ind w:left="284"/>
              <w:jc w:val="both"/>
              <w:rPr>
                <w:rFonts w:ascii="Arial" w:hAnsi="Arial"/>
                <w:sz w:val="20"/>
                <w:szCs w:val="20"/>
              </w:rPr>
            </w:pPr>
            <w:r>
              <w:rPr>
                <w:rFonts w:ascii="Arial" w:hAnsi="Arial"/>
                <w:sz w:val="20"/>
                <w:szCs w:val="20"/>
              </w:rPr>
              <w:t>F</w:t>
            </w:r>
            <w:r w:rsidRPr="00EA1F7F">
              <w:rPr>
                <w:rFonts w:ascii="Arial" w:hAnsi="Arial"/>
                <w:sz w:val="20"/>
                <w:szCs w:val="20"/>
              </w:rPr>
              <w:t>rom what I can ascertain there is very little variation in fare costs for vehicles that fit the minimum size criteria (under 6 meters) but large variations and inconsistencies occur with larger vehicles</w:t>
            </w:r>
            <w:r>
              <w:rPr>
                <w:rFonts w:ascii="Arial" w:hAnsi="Arial"/>
                <w:sz w:val="20"/>
                <w:szCs w:val="20"/>
              </w:rPr>
              <w:t xml:space="preserve"> </w:t>
            </w:r>
            <w:r w:rsidRPr="00EA1F7F">
              <w:rPr>
                <w:rFonts w:ascii="Arial" w:hAnsi="Arial"/>
                <w:sz w:val="20"/>
                <w:szCs w:val="20"/>
              </w:rPr>
              <w:t>… (Napier, sub.</w:t>
            </w:r>
            <w:r>
              <w:rPr>
                <w:rFonts w:ascii="Arial" w:hAnsi="Arial"/>
                <w:sz w:val="20"/>
                <w:szCs w:val="20"/>
              </w:rPr>
              <w:t> </w:t>
            </w:r>
            <w:proofErr w:type="spellStart"/>
            <w:r w:rsidRPr="00EA1F7F">
              <w:rPr>
                <w:rFonts w:ascii="Arial" w:hAnsi="Arial"/>
                <w:sz w:val="20"/>
                <w:szCs w:val="20"/>
              </w:rPr>
              <w:t>DR66</w:t>
            </w:r>
            <w:proofErr w:type="spellEnd"/>
            <w:r w:rsidRPr="00EA1F7F">
              <w:rPr>
                <w:rFonts w:ascii="Arial" w:hAnsi="Arial"/>
                <w:sz w:val="20"/>
                <w:szCs w:val="20"/>
              </w:rPr>
              <w:t>, p.</w:t>
            </w:r>
            <w:r>
              <w:rPr>
                <w:rFonts w:ascii="Arial" w:hAnsi="Arial"/>
                <w:sz w:val="20"/>
                <w:szCs w:val="20"/>
              </w:rPr>
              <w:t> </w:t>
            </w:r>
            <w:r w:rsidRPr="00EA1F7F">
              <w:rPr>
                <w:rFonts w:ascii="Arial" w:hAnsi="Arial"/>
                <w:sz w:val="20"/>
                <w:szCs w:val="20"/>
              </w:rPr>
              <w:t>2)</w:t>
            </w:r>
          </w:p>
          <w:p w:rsidR="00AE4D5A" w:rsidRDefault="00AE4D5A" w:rsidP="008E5E01">
            <w:pPr>
              <w:keepNext/>
              <w:spacing w:before="60" w:line="260" w:lineRule="exact"/>
              <w:ind w:left="284"/>
              <w:jc w:val="both"/>
              <w:rPr>
                <w:rFonts w:ascii="Arial" w:hAnsi="Arial"/>
                <w:sz w:val="20"/>
                <w:szCs w:val="20"/>
              </w:rPr>
            </w:pPr>
            <w:r>
              <w:rPr>
                <w:rFonts w:ascii="Arial" w:hAnsi="Arial"/>
                <w:sz w:val="20"/>
                <w:szCs w:val="20"/>
              </w:rPr>
              <w:t xml:space="preserve">To travel across Bass Strait, it is necessary to pay for the vehicle, trailer and passengers, plus, because of the speed of the boat, it is nearly impossible to not pay for some form of accommodation or seating to make the trip bearable … [the cost] is up to four times the cost of a similar journey between mainland States (Caravan Industry Australia – Tasmania, sub. 63, </w:t>
            </w:r>
            <w:proofErr w:type="spellStart"/>
            <w:r>
              <w:rPr>
                <w:rFonts w:ascii="Arial" w:hAnsi="Arial"/>
                <w:sz w:val="20"/>
                <w:szCs w:val="20"/>
              </w:rPr>
              <w:t>pp1</w:t>
            </w:r>
            <w:proofErr w:type="spellEnd"/>
            <w:r>
              <w:rPr>
                <w:rFonts w:ascii="Arial" w:hAnsi="Arial"/>
                <w:sz w:val="20"/>
                <w:szCs w:val="20"/>
              </w:rPr>
              <w:noBreakHyphen/>
              <w:t>2)</w:t>
            </w:r>
          </w:p>
          <w:p w:rsidR="00AE4D5A" w:rsidRPr="00EA1F7F" w:rsidRDefault="00AE4D5A" w:rsidP="008E5E01">
            <w:pPr>
              <w:keepNext/>
              <w:spacing w:before="60" w:line="260" w:lineRule="exact"/>
              <w:ind w:left="284"/>
              <w:jc w:val="both"/>
              <w:rPr>
                <w:rFonts w:ascii="Arial" w:hAnsi="Arial"/>
                <w:sz w:val="20"/>
                <w:szCs w:val="20"/>
              </w:rPr>
            </w:pPr>
            <w:r w:rsidRPr="00EA1F7F">
              <w:rPr>
                <w:rFonts w:ascii="Arial" w:hAnsi="Arial"/>
                <w:sz w:val="20"/>
                <w:szCs w:val="20"/>
              </w:rPr>
              <w:t>…</w:t>
            </w:r>
            <w:r>
              <w:rPr>
                <w:rFonts w:ascii="Arial" w:hAnsi="Arial"/>
                <w:sz w:val="20"/>
                <w:szCs w:val="20"/>
              </w:rPr>
              <w:t xml:space="preserve"> </w:t>
            </w:r>
            <w:r w:rsidRPr="00EA1F7F">
              <w:rPr>
                <w:rFonts w:ascii="Arial" w:hAnsi="Arial"/>
                <w:sz w:val="20"/>
                <w:szCs w:val="20"/>
              </w:rPr>
              <w:t>an A</w:t>
            </w:r>
            <w:r>
              <w:rPr>
                <w:rFonts w:ascii="Arial" w:hAnsi="Arial"/>
                <w:sz w:val="20"/>
                <w:szCs w:val="20"/>
              </w:rPr>
              <w:noBreakHyphen/>
            </w:r>
            <w:r w:rsidRPr="00EA1F7F">
              <w:rPr>
                <w:rFonts w:ascii="Arial" w:hAnsi="Arial"/>
                <w:sz w:val="20"/>
                <w:szCs w:val="20"/>
              </w:rPr>
              <w:t xml:space="preserve">class ocean liner is not required, just a </w:t>
            </w:r>
            <w:proofErr w:type="spellStart"/>
            <w:r w:rsidRPr="00EA1F7F">
              <w:rPr>
                <w:rFonts w:ascii="Arial" w:hAnsi="Arial"/>
                <w:sz w:val="20"/>
                <w:szCs w:val="20"/>
              </w:rPr>
              <w:t>well managed</w:t>
            </w:r>
            <w:proofErr w:type="spellEnd"/>
            <w:r w:rsidRPr="00EA1F7F">
              <w:rPr>
                <w:rFonts w:ascii="Arial" w:hAnsi="Arial"/>
                <w:sz w:val="20"/>
                <w:szCs w:val="20"/>
              </w:rPr>
              <w:t xml:space="preserve"> ferry. No shop is necessary. An A</w:t>
            </w:r>
            <w:r>
              <w:rPr>
                <w:rFonts w:ascii="Arial" w:hAnsi="Arial"/>
                <w:sz w:val="20"/>
                <w:szCs w:val="20"/>
              </w:rPr>
              <w:noBreakHyphen/>
            </w:r>
            <w:r w:rsidRPr="00EA1F7F">
              <w:rPr>
                <w:rFonts w:ascii="Arial" w:hAnsi="Arial"/>
                <w:sz w:val="20"/>
                <w:szCs w:val="20"/>
              </w:rPr>
              <w:t>class restaurant is not required. A buffet would be more than necessary. A bar is not essential. Poker machines and dancing is not essential but we accept younger passengers would probably like this facility. (</w:t>
            </w:r>
            <w:r>
              <w:rPr>
                <w:rFonts w:ascii="Arial" w:hAnsi="Arial"/>
                <w:sz w:val="20"/>
                <w:szCs w:val="20"/>
              </w:rPr>
              <w:t>Tarlinton, t</w:t>
            </w:r>
            <w:r w:rsidRPr="00EA1F7F">
              <w:rPr>
                <w:rFonts w:ascii="Arial" w:hAnsi="Arial"/>
                <w:sz w:val="20"/>
                <w:szCs w:val="20"/>
              </w:rPr>
              <w:t>rans., p.</w:t>
            </w:r>
            <w:r>
              <w:rPr>
                <w:rFonts w:ascii="Arial" w:hAnsi="Arial"/>
                <w:sz w:val="20"/>
                <w:szCs w:val="20"/>
              </w:rPr>
              <w:t> </w:t>
            </w:r>
            <w:r w:rsidRPr="00EA1F7F">
              <w:rPr>
                <w:rFonts w:ascii="Arial" w:hAnsi="Arial"/>
                <w:sz w:val="20"/>
                <w:szCs w:val="20"/>
              </w:rPr>
              <w:t>511)</w:t>
            </w:r>
          </w:p>
          <w:p w:rsidR="00F17CCE" w:rsidRPr="00F17CCE" w:rsidRDefault="00AE4D5A" w:rsidP="00F17CCE">
            <w:pPr>
              <w:keepNext/>
              <w:spacing w:before="60" w:after="120" w:line="260" w:lineRule="exact"/>
              <w:ind w:left="284"/>
              <w:jc w:val="both"/>
              <w:rPr>
                <w:rFonts w:ascii="Arial" w:hAnsi="Arial"/>
                <w:sz w:val="20"/>
                <w:szCs w:val="20"/>
              </w:rPr>
            </w:pPr>
            <w:r w:rsidRPr="00EA1F7F">
              <w:rPr>
                <w:rFonts w:ascii="Arial" w:hAnsi="Arial"/>
                <w:sz w:val="20"/>
                <w:szCs w:val="20"/>
              </w:rPr>
              <w:t>… last time I travelled back to Tasmania they told me that they</w:t>
            </w:r>
            <w:r>
              <w:rPr>
                <w:rFonts w:ascii="Arial" w:hAnsi="Arial"/>
                <w:sz w:val="20"/>
                <w:szCs w:val="20"/>
              </w:rPr>
              <w:t>’</w:t>
            </w:r>
            <w:r w:rsidRPr="00EA1F7F">
              <w:rPr>
                <w:rFonts w:ascii="Arial" w:hAnsi="Arial"/>
                <w:sz w:val="20"/>
                <w:szCs w:val="20"/>
              </w:rPr>
              <w:t>re only allowed to sell 60 pensioner discounts on each sailing and they had sold 59 and I was coming back with my partner so we had to pay one full fare and one pensioner fare. That to my mind is ridiculous for a public transport operation; you know, there</w:t>
            </w:r>
            <w:r>
              <w:rPr>
                <w:rFonts w:ascii="Arial" w:hAnsi="Arial"/>
                <w:sz w:val="20"/>
                <w:szCs w:val="20"/>
              </w:rPr>
              <w:t>’</w:t>
            </w:r>
            <w:r w:rsidRPr="00EA1F7F">
              <w:rPr>
                <w:rFonts w:ascii="Arial" w:hAnsi="Arial"/>
                <w:sz w:val="20"/>
                <w:szCs w:val="20"/>
              </w:rPr>
              <w:t>s no limit on the number of pensioner fares on the train going between Melbourne and Sydney for instance and any other public transport. (</w:t>
            </w:r>
            <w:r>
              <w:rPr>
                <w:rFonts w:ascii="Arial" w:hAnsi="Arial"/>
                <w:sz w:val="20"/>
                <w:szCs w:val="20"/>
              </w:rPr>
              <w:t>Napier, t</w:t>
            </w:r>
            <w:r w:rsidRPr="00EA1F7F">
              <w:rPr>
                <w:rFonts w:ascii="Arial" w:hAnsi="Arial"/>
                <w:sz w:val="20"/>
                <w:szCs w:val="20"/>
              </w:rPr>
              <w:t>rans., p.</w:t>
            </w:r>
            <w:r>
              <w:rPr>
                <w:rFonts w:ascii="Arial" w:hAnsi="Arial"/>
                <w:sz w:val="20"/>
                <w:szCs w:val="20"/>
              </w:rPr>
              <w:t> </w:t>
            </w:r>
            <w:r w:rsidR="00F17CCE">
              <w:rPr>
                <w:rFonts w:ascii="Arial" w:hAnsi="Arial"/>
                <w:sz w:val="20"/>
                <w:szCs w:val="20"/>
              </w:rPr>
              <w:t>222)</w:t>
            </w:r>
          </w:p>
        </w:tc>
      </w:tr>
    </w:tbl>
    <w:p w:rsidR="00AE4D5A" w:rsidRDefault="00AE4D5A" w:rsidP="008E5E01">
      <w:pPr>
        <w:spacing w:before="240" w:line="320" w:lineRule="atLeast"/>
        <w:jc w:val="both"/>
        <w:rPr>
          <w:szCs w:val="20"/>
        </w:rPr>
      </w:pPr>
      <w:r>
        <w:rPr>
          <w:szCs w:val="20"/>
        </w:rPr>
        <w:t>Participants appeared to view the subsidy’s effectiveness through the prism of the pricing and quality of TT</w:t>
      </w:r>
      <w:r>
        <w:rPr>
          <w:szCs w:val="20"/>
        </w:rPr>
        <w:noBreakHyphen/>
        <w:t>Line’s service. Anecdotal evidence suggests that TT</w:t>
      </w:r>
      <w:r>
        <w:rPr>
          <w:szCs w:val="20"/>
        </w:rPr>
        <w:noBreakHyphen/>
        <w:t>Line pricing and services may not meet the needs of many passengers who are seeking a lower</w:t>
      </w:r>
      <w:r>
        <w:rPr>
          <w:szCs w:val="20"/>
        </w:rPr>
        <w:noBreakHyphen/>
        <w:t>cost service to travel with their vehicle, compatible with the concept of the Bass Strait as a sea highway. Some TT</w:t>
      </w:r>
      <w:r>
        <w:rPr>
          <w:szCs w:val="20"/>
        </w:rPr>
        <w:noBreakHyphen/>
        <w:t>Line users were concerned about the transparency of TT</w:t>
      </w:r>
      <w:r>
        <w:rPr>
          <w:szCs w:val="20"/>
        </w:rPr>
        <w:noBreakHyphen/>
        <w:t xml:space="preserve">Line’s pricing and the impact that its freight services had on the provision of passenger services (box 3.7). </w:t>
      </w:r>
    </w:p>
    <w:p w:rsidR="00AE4D5A" w:rsidRDefault="00AE4D5A" w:rsidP="008E5E01">
      <w:pPr>
        <w:spacing w:before="240" w:line="320" w:lineRule="atLeast"/>
        <w:jc w:val="both"/>
        <w:rPr>
          <w:szCs w:val="20"/>
        </w:rPr>
      </w:pPr>
      <w:r>
        <w:rPr>
          <w:szCs w:val="20"/>
        </w:rPr>
        <w:lastRenderedPageBreak/>
        <w:t>TT</w:t>
      </w:r>
      <w:r>
        <w:rPr>
          <w:szCs w:val="20"/>
        </w:rPr>
        <w:noBreakHyphen/>
        <w:t xml:space="preserve">Line pricing for vehicles is set out in their fares schedule on the </w:t>
      </w:r>
      <w:r w:rsidRPr="00B16F01">
        <w:rPr>
          <w:i/>
          <w:szCs w:val="20"/>
        </w:rPr>
        <w:t>Spirit of Tasmania</w:t>
      </w:r>
      <w:r>
        <w:rPr>
          <w:szCs w:val="20"/>
        </w:rPr>
        <w:t xml:space="preserve"> website and is based on the vehicle’s dimensions. However, there was anecdotal evidence of some fare anomalies, including in relation to fare differences for comparable sized recreational vehicles (box 3.7).</w:t>
      </w:r>
    </w:p>
    <w:p w:rsidR="00AE4D5A" w:rsidRDefault="00AE4D5A" w:rsidP="008E5E01">
      <w:pPr>
        <w:spacing w:before="240" w:line="320" w:lineRule="atLeast"/>
        <w:jc w:val="both"/>
      </w:pPr>
      <w:r>
        <w:rPr>
          <w:szCs w:val="20"/>
        </w:rPr>
        <w:t>Some participants with recreational vehicles stated that TT</w:t>
      </w:r>
      <w:r>
        <w:rPr>
          <w:szCs w:val="20"/>
        </w:rPr>
        <w:noBreakHyphen/>
        <w:t>Line restricted access to TT</w:t>
      </w:r>
      <w:r>
        <w:rPr>
          <w:szCs w:val="20"/>
        </w:rPr>
        <w:noBreakHyphen/>
        <w:t xml:space="preserve">Line services for their vehicles in order to carry freight. TICT suggested that this could reflect experiences of people booking for travel during peak periods (trans., p. 107). </w:t>
      </w:r>
      <w:r>
        <w:t>Participants also suggested TT</w:t>
      </w:r>
      <w:r>
        <w:noBreakHyphen/>
        <w:t>Line may be over</w:t>
      </w:r>
      <w:r>
        <w:noBreakHyphen/>
        <w:t>servicing the Bass Strait route (box 3.7).</w:t>
      </w:r>
    </w:p>
    <w:p w:rsidR="00AE4D5A" w:rsidRDefault="00AE4D5A" w:rsidP="008E5E01">
      <w:pPr>
        <w:spacing w:before="240" w:line="320" w:lineRule="atLeast"/>
        <w:jc w:val="both"/>
      </w:pPr>
      <w:r>
        <w:t>In light of these issues, and that the subsidy is provided by the Australian Government but the service provider is a Tasmanian Government</w:t>
      </w:r>
      <w:r>
        <w:noBreakHyphen/>
        <w:t>owned enterprise, the Commission considers that the Australian and Tasmanian Governments should take a joint approach to ensuring greater transparency around TT</w:t>
      </w:r>
      <w:r>
        <w:noBreakHyphen/>
        <w:t>Line’s pricing. The Australian Government and Tasmanian Government should also assess the extent to which the subsidy is passed on to the intended beneficiaries.</w:t>
      </w:r>
    </w:p>
    <w:p w:rsidR="00AE4D5A" w:rsidRPr="00B0498A" w:rsidRDefault="00AE4D5A" w:rsidP="008E5E01">
      <w:pPr>
        <w:pStyle w:val="FindingTitle"/>
        <w:framePr w:wrap="auto"/>
        <w:tabs>
          <w:tab w:val="right" w:pos="8789"/>
        </w:tabs>
        <w:rPr>
          <w:sz w:val="22"/>
          <w:szCs w:val="22"/>
        </w:rPr>
      </w:pPr>
      <w:r w:rsidRPr="00B0498A">
        <w:rPr>
          <w:sz w:val="22"/>
          <w:szCs w:val="22"/>
        </w:rPr>
        <w:t xml:space="preserve">Recommendation 14 </w:t>
      </w:r>
    </w:p>
    <w:p w:rsidR="00AE4D5A" w:rsidRPr="00B316DD" w:rsidRDefault="00AE4D5A" w:rsidP="008E5E01">
      <w:pPr>
        <w:pStyle w:val="Rec"/>
      </w:pPr>
      <w:r>
        <w:t>The Australian Government should undertake discussions with the Tasmanian Government on a joint approach to ensuring greater transparency around TT</w:t>
      </w:r>
      <w:r>
        <w:noBreakHyphen/>
        <w:t>Line’s pricing, and an assessment of the extent to which the subsidy offered by the Bass Strait Passenger Vehicle Equalisation Scheme is passed on to the intended recipients.</w:t>
      </w:r>
    </w:p>
    <w:p w:rsidR="00AE4D5A" w:rsidRDefault="00AE4D5A" w:rsidP="008E5E01">
      <w:pPr>
        <w:spacing w:before="240" w:line="320" w:lineRule="atLeast"/>
        <w:jc w:val="both"/>
      </w:pPr>
      <w:r>
        <w:t>However, the potential for any subsidy increase not to flow through fully to passengers remains where there is subsidy capture by TT</w:t>
      </w:r>
      <w:r>
        <w:noBreakHyphen/>
        <w:t>Line.</w:t>
      </w:r>
    </w:p>
    <w:p w:rsidR="00AE4D5A" w:rsidRDefault="00AE4D5A" w:rsidP="008E5E01">
      <w:pPr>
        <w:pStyle w:val="BodyText"/>
      </w:pPr>
      <w:r>
        <w:t>While TT</w:t>
      </w:r>
      <w:r>
        <w:noBreakHyphen/>
        <w:t>Line’s pricing and services are commercial decisions, the Commission notes that there is an absence of competition for passenger ferry services, and therefore market discipline. As with other federal and state</w:t>
      </w:r>
      <w:r>
        <w:noBreakHyphen/>
        <w:t>owned enterprises, TT</w:t>
      </w:r>
      <w:r>
        <w:noBreakHyphen/>
        <w:t>Line is subject to competitive neutrality principles. Tasmania’s competitive neutrality policy requires that TT</w:t>
      </w:r>
      <w:r>
        <w:noBreakHyphen/>
        <w:t xml:space="preserve">Line maximise the sustainable return to Tasmania (including through obtaining commercial returns), having regard to the economic and social objectives of the Tasmanian Government </w:t>
      </w:r>
      <w:r w:rsidRPr="004C7ECF">
        <w:rPr>
          <w:szCs w:val="24"/>
        </w:rPr>
        <w:t>(Government of Tasmania 1996)</w:t>
      </w:r>
      <w:r>
        <w:t>.</w:t>
      </w:r>
    </w:p>
    <w:p w:rsidR="00AE4D5A" w:rsidRDefault="00AE4D5A" w:rsidP="008E5E01">
      <w:pPr>
        <w:pStyle w:val="BodyText"/>
      </w:pPr>
      <w:r>
        <w:t>To the extent that any leakage of the subsidy to TT</w:t>
      </w:r>
      <w:r>
        <w:noBreakHyphen/>
        <w:t>Line impacts on its commerciality, this should be consistent with the Tasmanian Government’s objectives. To that end, the Commission considers that the Tasmanian Government should state its objectives for having a government</w:t>
      </w:r>
      <w:r>
        <w:noBreakHyphen/>
        <w:t>owned Bass Strait ferry service and whether TT</w:t>
      </w:r>
      <w:r>
        <w:noBreakHyphen/>
        <w:t>Line is the most cost</w:t>
      </w:r>
      <w:r>
        <w:noBreakHyphen/>
        <w:t xml:space="preserve">effective means of meeting these. Further, </w:t>
      </w:r>
      <w:r w:rsidR="00A936B2">
        <w:lastRenderedPageBreak/>
        <w:t>given the operation of the schemes</w:t>
      </w:r>
      <w:r>
        <w:t>, and TT</w:t>
      </w:r>
      <w:r>
        <w:noBreakHyphen/>
        <w:t>Line competing with commercial operators in the freight market, and contestability of the passenger and vehicle market, there is an imperative to ensure that TT</w:t>
      </w:r>
      <w:r>
        <w:noBreakHyphen/>
        <w:t>Line fully satisfies the principles of competitive neutrality across these services. The Commission’s recommendation, discussed in the context of freight services, is in chapter 4.</w:t>
      </w:r>
    </w:p>
    <w:p w:rsidR="00AE4D5A" w:rsidRPr="008E0897" w:rsidRDefault="00AE4D5A" w:rsidP="008E5E01">
      <w:pPr>
        <w:keepNext/>
        <w:spacing w:before="480" w:line="320" w:lineRule="exact"/>
        <w:outlineLvl w:val="4"/>
        <w:rPr>
          <w:i/>
          <w:szCs w:val="20"/>
        </w:rPr>
      </w:pPr>
      <w:r w:rsidRPr="008E0897">
        <w:rPr>
          <w:i/>
          <w:szCs w:val="20"/>
        </w:rPr>
        <w:t>Anomalies with the Bass Strait Passenger Vehicle Equalisation Scheme</w:t>
      </w:r>
    </w:p>
    <w:p w:rsidR="00AE4D5A" w:rsidRPr="008E0897" w:rsidRDefault="00AE4D5A" w:rsidP="008E5E01">
      <w:pPr>
        <w:spacing w:before="240" w:line="320" w:lineRule="atLeast"/>
        <w:jc w:val="both"/>
        <w:rPr>
          <w:szCs w:val="20"/>
        </w:rPr>
      </w:pPr>
      <w:r w:rsidRPr="008E0897">
        <w:rPr>
          <w:szCs w:val="20"/>
        </w:rPr>
        <w:t>Participants raised anomalies with the BSPVES. Several pointed to the perceived inequity of permitting vehicles with caravans to access the subsidy, whereas vehicles with trailers or boats are not permitted (National Sea Highway, sub.</w:t>
      </w:r>
      <w:r>
        <w:rPr>
          <w:szCs w:val="20"/>
        </w:rPr>
        <w:t> </w:t>
      </w:r>
      <w:r w:rsidRPr="008E0897">
        <w:rPr>
          <w:szCs w:val="20"/>
        </w:rPr>
        <w:t>54; Brohier, sub.</w:t>
      </w:r>
      <w:r>
        <w:rPr>
          <w:szCs w:val="20"/>
        </w:rPr>
        <w:t> </w:t>
      </w:r>
      <w:r w:rsidRPr="008E0897">
        <w:rPr>
          <w:szCs w:val="20"/>
        </w:rPr>
        <w:t>59). The Boating Industry Association of Victoria (sub. 13) and TT</w:t>
      </w:r>
      <w:r w:rsidRPr="008E0897">
        <w:rPr>
          <w:szCs w:val="20"/>
        </w:rPr>
        <w:noBreakHyphen/>
        <w:t>Line (sub. 9) suggested that the subsidy be extended to trailers towed by eligible passenger vehicles.</w:t>
      </w:r>
    </w:p>
    <w:p w:rsidR="00AE4D5A" w:rsidRDefault="00AE4D5A" w:rsidP="008E5E01">
      <w:pPr>
        <w:spacing w:before="240" w:line="320" w:lineRule="atLeast"/>
        <w:jc w:val="both"/>
        <w:rPr>
          <w:szCs w:val="20"/>
        </w:rPr>
      </w:pPr>
      <w:r w:rsidRPr="008E0897">
        <w:rPr>
          <w:szCs w:val="20"/>
        </w:rPr>
        <w:t xml:space="preserve">The King Island Shipping Group raised the cost of travel for King Island residents (sub. 19). This included that the subsidy was not available for travel between King Island and Tasmania, despite the high cost of passenger transport which was limited to air travel. </w:t>
      </w:r>
      <w:r>
        <w:rPr>
          <w:szCs w:val="20"/>
        </w:rPr>
        <w:t>The Commission notes that p</w:t>
      </w:r>
      <w:r w:rsidRPr="008E0897">
        <w:rPr>
          <w:szCs w:val="20"/>
        </w:rPr>
        <w:t>assengers who travel by air between Melbourne and King Island o</w:t>
      </w:r>
      <w:r>
        <w:rPr>
          <w:szCs w:val="20"/>
        </w:rPr>
        <w:t>r</w:t>
      </w:r>
      <w:r w:rsidRPr="008E0897">
        <w:rPr>
          <w:szCs w:val="20"/>
        </w:rPr>
        <w:t xml:space="preserve"> the Furneaux Group of islands are eligible for the subsidy where they ship their passenger vehicle between King Island and </w:t>
      </w:r>
      <w:r>
        <w:rPr>
          <w:szCs w:val="20"/>
        </w:rPr>
        <w:t>the mainland or the Furneaux Group and the mainland.</w:t>
      </w:r>
    </w:p>
    <w:p w:rsidR="00AE4D5A" w:rsidRDefault="00AE4D5A" w:rsidP="008E5E01">
      <w:pPr>
        <w:keepNext/>
        <w:spacing w:before="360" w:line="80" w:lineRule="exact"/>
      </w:pPr>
    </w:p>
    <w:p w:rsidR="00AE4D5A" w:rsidRDefault="00AE4D5A" w:rsidP="00AE4D5A">
      <w:pPr>
        <w:sectPr w:rsidR="00AE4D5A" w:rsidSect="00AE4D5A">
          <w:headerReference w:type="even" r:id="rId65"/>
          <w:headerReference w:type="default" r:id="rId66"/>
          <w:footerReference w:type="even" r:id="rId67"/>
          <w:footerReference w:type="default" r:id="rId68"/>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Chapter"/>
      </w:pPr>
      <w:r>
        <w:lastRenderedPageBreak/>
        <w:t>4</w:t>
      </w:r>
      <w:r>
        <w:tab/>
        <w:t>Sea freight</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AE4D5A" w:rsidTr="008E5E01">
        <w:tc>
          <w:tcPr>
            <w:tcW w:w="8767" w:type="dxa"/>
            <w:tcBorders>
              <w:top w:val="single" w:sz="6" w:space="0" w:color="auto"/>
              <w:bottom w:val="nil"/>
            </w:tcBorders>
          </w:tcPr>
          <w:p w:rsidR="00AE4D5A" w:rsidRDefault="00AE4D5A" w:rsidP="008E5E01">
            <w:pPr>
              <w:pStyle w:val="BoxTitle"/>
            </w:pPr>
            <w:r>
              <w:t>Key points</w:t>
            </w:r>
          </w:p>
        </w:tc>
      </w:tr>
      <w:tr w:rsidR="00AE4D5A" w:rsidTr="008E5E01">
        <w:trPr>
          <w:cantSplit/>
        </w:trPr>
        <w:tc>
          <w:tcPr>
            <w:tcW w:w="8767" w:type="dxa"/>
            <w:tcBorders>
              <w:top w:val="nil"/>
              <w:left w:val="single" w:sz="6" w:space="0" w:color="auto"/>
              <w:bottom w:val="single" w:sz="6" w:space="0" w:color="auto"/>
              <w:right w:val="single" w:sz="6" w:space="0" w:color="auto"/>
            </w:tcBorders>
          </w:tcPr>
          <w:p w:rsidR="00AE4D5A" w:rsidRDefault="00AE4D5A" w:rsidP="008E5E01">
            <w:pPr>
              <w:pStyle w:val="BoxListBullet"/>
            </w:pPr>
            <w:r>
              <w:t>Tasmania relies heavily on shipping for its interstate and international freight task.</w:t>
            </w:r>
          </w:p>
          <w:p w:rsidR="00AE4D5A" w:rsidRDefault="00AE4D5A" w:rsidP="008E5E01">
            <w:pPr>
              <w:pStyle w:val="BoxListBullet2"/>
              <w:numPr>
                <w:ilvl w:val="0"/>
                <w:numId w:val="2"/>
              </w:numPr>
            </w:pPr>
            <w:r>
              <w:t>The relatively small size of its economy and freight volume (and the lack of growth in this volume since 2007) limits the scope for competition, economies of scale and hence more efficient shipping and port costs.</w:t>
            </w:r>
          </w:p>
          <w:p w:rsidR="00AE4D5A" w:rsidRDefault="00AE4D5A" w:rsidP="008E5E01">
            <w:pPr>
              <w:pStyle w:val="BoxListBullet2"/>
              <w:numPr>
                <w:ilvl w:val="0"/>
                <w:numId w:val="2"/>
              </w:numPr>
            </w:pPr>
            <w:r>
              <w:t xml:space="preserve">The viability of direct international shipping is constrained by low volumes (compounded by being spread among multiple ports) and port infrastructure that restricts access for larger vessels. </w:t>
            </w:r>
          </w:p>
          <w:p w:rsidR="00AE4D5A" w:rsidRDefault="00AE4D5A" w:rsidP="008E5E01">
            <w:pPr>
              <w:pStyle w:val="BoxListBullet"/>
            </w:pPr>
            <w:r>
              <w:t>The extent of competition in the Bass Strait shipping market is unclear. Thus the extent to which anticipated changes in the industry in the near future (new vessels, coastal shipping changes, and possible resumption of an international service) will result in lower costs being passed on to users is similarly unclear</w:t>
            </w:r>
            <w:r w:rsidRPr="00944444">
              <w:t>.</w:t>
            </w:r>
          </w:p>
          <w:p w:rsidR="00AE4D5A" w:rsidRPr="0025537C" w:rsidRDefault="00AE4D5A" w:rsidP="008E5E01">
            <w:pPr>
              <w:pStyle w:val="BoxListBullet"/>
              <w:rPr>
                <w:szCs w:val="24"/>
              </w:rPr>
            </w:pPr>
            <w:r>
              <w:t>Changes to coastal shipping regulation since 2009 have added to the cost and reduced competition for Australian coastal shipping and direct international shipping (where coastal shipping formed an important revenue component).</w:t>
            </w:r>
            <w:r>
              <w:rPr>
                <w:szCs w:val="24"/>
              </w:rPr>
              <w:t xml:space="preserve"> Coastal shipping regulations should be reviewed immediately.</w:t>
            </w:r>
          </w:p>
          <w:p w:rsidR="00AE4D5A" w:rsidRDefault="00AE4D5A" w:rsidP="008E5E01">
            <w:pPr>
              <w:pStyle w:val="BoxListBullet"/>
              <w:rPr>
                <w:szCs w:val="24"/>
              </w:rPr>
            </w:pPr>
            <w:r>
              <w:t>Government ownership of TT</w:t>
            </w:r>
            <w:r>
              <w:noBreakHyphen/>
              <w:t xml:space="preserve">Line has the potential to distort the market by providing a barrier to entry and to private investment in more efficient Bass Strait shipping operations. </w:t>
            </w:r>
          </w:p>
          <w:p w:rsidR="00AE4D5A" w:rsidRPr="0066501B" w:rsidRDefault="00AE4D5A" w:rsidP="008E5E01">
            <w:pPr>
              <w:pStyle w:val="BoxListBullet2"/>
              <w:numPr>
                <w:ilvl w:val="0"/>
                <w:numId w:val="2"/>
              </w:numPr>
              <w:rPr>
                <w:szCs w:val="24"/>
              </w:rPr>
            </w:pPr>
            <w:r>
              <w:t xml:space="preserve">The rationale behind Tasmanian Government involvement in the shipping market is not clear. </w:t>
            </w:r>
          </w:p>
          <w:p w:rsidR="00AE4D5A" w:rsidRDefault="00AE4D5A" w:rsidP="008E5E01">
            <w:pPr>
              <w:pStyle w:val="BoxListBullet2"/>
              <w:numPr>
                <w:ilvl w:val="0"/>
                <w:numId w:val="2"/>
              </w:numPr>
              <w:rPr>
                <w:szCs w:val="24"/>
              </w:rPr>
            </w:pPr>
            <w:r>
              <w:t>Commission estimates suggest TT</w:t>
            </w:r>
            <w:r>
              <w:noBreakHyphen/>
              <w:t>Line has not earned a commercial rate of return over the past five years.</w:t>
            </w:r>
          </w:p>
          <w:p w:rsidR="00AE4D5A" w:rsidRPr="00944444" w:rsidRDefault="00AE4D5A" w:rsidP="008E5E01">
            <w:pPr>
              <w:pStyle w:val="BoxListBullet"/>
            </w:pPr>
            <w:r w:rsidRPr="009625B0">
              <w:t xml:space="preserve">The low volumes of the Tasmanian freight task place added emphasis on the need for efficient infrastructure provision and use. However the Tasmanian Ports Corporation (TasPorts) </w:t>
            </w:r>
            <w:r>
              <w:t>has adopted uniform pricing across the State</w:t>
            </w:r>
            <w:r w:rsidRPr="00944444">
              <w:t xml:space="preserve"> which masks price signals, potentially supports less efficient ports</w:t>
            </w:r>
            <w:r>
              <w:t xml:space="preserve"> (and community facilities)</w:t>
            </w:r>
            <w:r w:rsidRPr="00944444">
              <w:t xml:space="preserve"> at the expense of others, and reduces opportunities for scale economies.</w:t>
            </w:r>
          </w:p>
          <w:p w:rsidR="00AE4D5A" w:rsidRDefault="00AE4D5A" w:rsidP="008E5E01">
            <w:pPr>
              <w:pStyle w:val="BoxListBullet"/>
              <w:rPr>
                <w:szCs w:val="24"/>
              </w:rPr>
            </w:pPr>
            <w:r>
              <w:t>The Melbourne Port Corporation Port Licence Fee falls heavily upon Bass Strait trade, materially diluting the benefit of the Tasmanian Freight Equalisation Scheme.</w:t>
            </w:r>
          </w:p>
          <w:p w:rsidR="00AE4D5A" w:rsidRPr="001965F1" w:rsidRDefault="00AE4D5A" w:rsidP="008E5E01">
            <w:pPr>
              <w:pStyle w:val="BoxListBullet"/>
              <w:rPr>
                <w:szCs w:val="24"/>
              </w:rPr>
            </w:pPr>
            <w:r>
              <w:t>Participant</w:t>
            </w:r>
            <w:r w:rsidRPr="00DF32B2">
              <w:t xml:space="preserve">s’ concerns throughout the </w:t>
            </w:r>
            <w:r>
              <w:t>i</w:t>
            </w:r>
            <w:r w:rsidRPr="00DF32B2">
              <w:t xml:space="preserve">nquiry have primarily </w:t>
            </w:r>
            <w:r>
              <w:t>related to</w:t>
            </w:r>
            <w:r w:rsidRPr="00DF32B2">
              <w:t xml:space="preserve"> containerised freight</w:t>
            </w:r>
            <w:r>
              <w:t xml:space="preserve"> across Bass Strait</w:t>
            </w:r>
            <w:r w:rsidRPr="00DF32B2">
              <w:t>. There appear to be fewer concerns regarding bulk trade</w:t>
            </w:r>
            <w:r>
              <w:t xml:space="preserve"> except in relation to coastal shipping regulations</w:t>
            </w:r>
            <w:r w:rsidRPr="00DF32B2">
              <w:t>.</w:t>
            </w:r>
          </w:p>
          <w:p w:rsidR="00AE4D5A" w:rsidRPr="00E76343" w:rsidRDefault="00AE4D5A" w:rsidP="008E5E01">
            <w:pPr>
              <w:pStyle w:val="BoxListBullet"/>
              <w:numPr>
                <w:ilvl w:val="0"/>
                <w:numId w:val="0"/>
              </w:numPr>
              <w:ind w:left="284"/>
              <w:rPr>
                <w:szCs w:val="24"/>
              </w:rPr>
            </w:pPr>
          </w:p>
        </w:tc>
      </w:tr>
      <w:tr w:rsidR="00AE4D5A" w:rsidRPr="000863A5" w:rsidTr="008E5E01">
        <w:tc>
          <w:tcPr>
            <w:tcW w:w="8767"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Heading2"/>
      </w:pPr>
      <w:r>
        <w:lastRenderedPageBreak/>
        <w:t>4.</w:t>
      </w:r>
      <w:r>
        <w:rPr>
          <w:noProof/>
        </w:rPr>
        <w:t>1</w:t>
      </w:r>
      <w:r>
        <w:tab/>
        <w:t>Key features of Tasmania’s domestic and international shipping</w:t>
      </w:r>
    </w:p>
    <w:p w:rsidR="00AE4D5A" w:rsidRDefault="00AE4D5A" w:rsidP="008E5E01">
      <w:pPr>
        <w:pStyle w:val="BodyText"/>
      </w:pPr>
      <w:r>
        <w:t>Shipping accounts for over 99 per cent of all freight to and from Ta</w:t>
      </w:r>
      <w:r w:rsidR="00207B70">
        <w:t xml:space="preserve">smania by volume, and about two </w:t>
      </w:r>
      <w:r>
        <w:t>thirds of Tasmania’s total inter</w:t>
      </w:r>
      <w:r>
        <w:noBreakHyphen/>
        <w:t xml:space="preserve"> and intrastate freight task. </w:t>
      </w:r>
    </w:p>
    <w:p w:rsidR="00AE4D5A" w:rsidRDefault="00AE4D5A" w:rsidP="008E5E01">
      <w:pPr>
        <w:pStyle w:val="BodyText"/>
      </w:pPr>
      <w:r>
        <w:t>The total volume of Tasmanian freight (bulk and non</w:t>
      </w:r>
      <w:r>
        <w:noBreakHyphen/>
        <w:t>bulk) shipped in 2011</w:t>
      </w:r>
      <w:r>
        <w:noBreakHyphen/>
        <w:t xml:space="preserve">12 was just under 13 million tonnes. </w:t>
      </w:r>
    </w:p>
    <w:p w:rsidR="00AE4D5A" w:rsidRDefault="00AE4D5A" w:rsidP="008E5E01">
      <w:pPr>
        <w:pStyle w:val="BodyText"/>
      </w:pPr>
      <w:r>
        <w:t xml:space="preserve">About 8 million tonnes of that total (some 62 per cent) was bulk freight </w:t>
      </w:r>
      <w:r w:rsidR="007C1471" w:rsidRPr="007C1471">
        <w:rPr>
          <w:szCs w:val="24"/>
        </w:rPr>
        <w:t>(BITRE 2013c)</w:t>
      </w:r>
      <w:r>
        <w:t xml:space="preserve">. Around half of this bulk freight (48 per cent) was for Australian domestic use, with the remainder shipped internationally (40 per cent shipped on a direct service). Bulk freight is largely the domain of single companies that charter vessels to transport their commodities, and commonly use private wharf facilities </w:t>
      </w:r>
      <w:r w:rsidRPr="00BA445D">
        <w:rPr>
          <w:szCs w:val="24"/>
        </w:rPr>
        <w:t>(Aurecon 2013a)</w:t>
      </w:r>
      <w:r>
        <w:t xml:space="preserve">. </w:t>
      </w:r>
    </w:p>
    <w:p w:rsidR="00AE4D5A" w:rsidRDefault="00AE4D5A" w:rsidP="008E5E01">
      <w:pPr>
        <w:pStyle w:val="BodyText"/>
      </w:pPr>
      <w:r>
        <w:t>The remaining 4.9 million tonnes — around 38 per cent of the total freight task — was non</w:t>
      </w:r>
      <w:r>
        <w:noBreakHyphen/>
        <w:t xml:space="preserve">bulk (container and break bulk) freight </w:t>
      </w:r>
      <w:r w:rsidR="007C1471" w:rsidRPr="007C1471">
        <w:rPr>
          <w:szCs w:val="24"/>
        </w:rPr>
        <w:t>(BITRE 2013c)</w:t>
      </w:r>
      <w:r>
        <w:t>. Of this total, about 1 million tonnes represented international imports and exports. Non</w:t>
      </w:r>
      <w:r>
        <w:noBreakHyphen/>
        <w:t>bulk traffic is the primary focus of this report.</w:t>
      </w:r>
    </w:p>
    <w:p w:rsidR="00AE4D5A" w:rsidRDefault="00AE4D5A" w:rsidP="008E5E01">
      <w:pPr>
        <w:pStyle w:val="BodyText"/>
      </w:pPr>
      <w:r>
        <w:t xml:space="preserve">The main characteristics of the domestic container shipping task are shown in figure 4.1. </w:t>
      </w:r>
    </w:p>
    <w:p w:rsidR="00AE4D5A" w:rsidRDefault="00AE4D5A" w:rsidP="008E5E01">
      <w:pPr>
        <w:pStyle w:val="Heading3"/>
      </w:pPr>
      <w:r>
        <w:t>Domestic shipping across Bass Strait</w:t>
      </w:r>
    </w:p>
    <w:p w:rsidR="00AE4D5A" w:rsidRDefault="00AE4D5A" w:rsidP="008E5E01">
      <w:pPr>
        <w:pStyle w:val="BodyText"/>
      </w:pPr>
      <w:r>
        <w:t>The diverse nature of Bass Strait non</w:t>
      </w:r>
      <w:r>
        <w:noBreakHyphen/>
        <w:t>bulk freight is catered for by roll</w:t>
      </w:r>
      <w:r>
        <w:noBreakHyphen/>
        <w:t>on roll</w:t>
      </w:r>
      <w:r>
        <w:noBreakHyphen/>
        <w:t>off (RORO) vessels. Three shipping operators provide freight services with six vessels across the Bass Strait: Toll ANL (Toll), SeaRoad Holdings (SeaRoad), and TT</w:t>
      </w:r>
      <w:r>
        <w:noBreakHyphen/>
        <w:t xml:space="preserve">Line (table 4.1). </w:t>
      </w:r>
    </w:p>
    <w:p w:rsidR="00AE4D5A" w:rsidRDefault="00AE4D5A" w:rsidP="008E5E01">
      <w:pPr>
        <w:pStyle w:val="BodyText"/>
      </w:pPr>
      <w:r>
        <w:t xml:space="preserve">The daily Bass Strait shipping capacity in one direction is around 860 twenty foot equivalent units (TEUs) or 275 000 TEUs in one direction annually </w:t>
      </w:r>
      <w:r w:rsidRPr="004D54EB">
        <w:rPr>
          <w:szCs w:val="24"/>
        </w:rPr>
        <w:t>(Aurecon 2013a)</w:t>
      </w:r>
      <w:r>
        <w:t>. Demand over peak periods is higher and the shipping companies increase their sailings to meet this demand. TT</w:t>
      </w:r>
      <w:r>
        <w:noBreakHyphen/>
        <w:t>Line estimates its average capacity utilisation is currently around 90 per cent, and considers that Bass Strait shipping has reached its capacity limit (sub. 9). Toll, however, considers that:</w:t>
      </w:r>
    </w:p>
    <w:p w:rsidR="00AE4D5A" w:rsidRDefault="00AE4D5A" w:rsidP="008E5E01">
      <w:pPr>
        <w:pStyle w:val="Quote"/>
      </w:pPr>
      <w:r>
        <w:t xml:space="preserve">… there is currently more than enough freight capacity on Bass Strait. The only exceptions to this are the weeks leading up to Christmas and Easter each year. (sub. 55, p. 1) </w:t>
      </w:r>
    </w:p>
    <w:p w:rsidR="00AE4D5A" w:rsidRDefault="00AE4D5A" w:rsidP="008E5E01">
      <w:pPr>
        <w:pStyle w:val="BodyText"/>
      </w:pPr>
      <w:r>
        <w:lastRenderedPageBreak/>
        <w:t>The service is a fast, reliable overnight service between Tasmania and the mainland, enabling products to access markets quickly. The faster travel time and later sailing times of TT</w:t>
      </w:r>
      <w:r>
        <w:noBreakHyphen/>
        <w:t xml:space="preserve">Line’s </w:t>
      </w:r>
      <w:r w:rsidRPr="00EB7F8A">
        <w:rPr>
          <w:i/>
        </w:rPr>
        <w:t>Spirit of Tasmania</w:t>
      </w:r>
      <w:r>
        <w:t xml:space="preserve"> vessels make them more suited to highly time</w:t>
      </w:r>
      <w:r>
        <w:noBreakHyphen/>
        <w:t>sensitive products.</w:t>
      </w:r>
    </w:p>
    <w:p w:rsidR="00AE4D5A" w:rsidRDefault="00AE4D5A" w:rsidP="008E5E01">
      <w:pPr>
        <w:pStyle w:val="FigureTitle"/>
      </w:pPr>
      <w:r>
        <w:rPr>
          <w:b w:val="0"/>
        </w:rPr>
        <w:t>Figure 4.</w:t>
      </w:r>
      <w:r>
        <w:rPr>
          <w:b w:val="0"/>
          <w:noProof/>
        </w:rPr>
        <w:t>1</w:t>
      </w:r>
      <w:r>
        <w:tab/>
      </w:r>
      <w:r w:rsidRPr="006B09D7">
        <w:t>Characteristics of Bass Strait container shipping in 2011</w:t>
      </w:r>
      <w:r>
        <w:noBreakHyphen/>
      </w:r>
      <w:r w:rsidRPr="006B09D7">
        <w:t>12</w:t>
      </w:r>
    </w:p>
    <w:tbl>
      <w:tblPr>
        <w:tblStyle w:val="TableGrid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AE4D5A" w:rsidTr="00207B70">
        <w:tc>
          <w:tcPr>
            <w:tcW w:w="4381" w:type="dxa"/>
            <w:tcBorders>
              <w:top w:val="single" w:sz="4" w:space="0" w:color="auto"/>
            </w:tcBorders>
            <w:hideMark/>
          </w:tcPr>
          <w:p w:rsidR="00AE4D5A" w:rsidRPr="00730757" w:rsidRDefault="00AE4D5A" w:rsidP="008E5E01">
            <w:pPr>
              <w:pStyle w:val="Figure"/>
              <w:rPr>
                <w:rFonts w:ascii="Arial" w:hAnsi="Arial" w:cs="Arial"/>
                <w:b/>
                <w:i/>
                <w:sz w:val="18"/>
                <w:szCs w:val="18"/>
              </w:rPr>
            </w:pPr>
            <w:r>
              <w:rPr>
                <w:rFonts w:ascii="Arial" w:hAnsi="Arial" w:cs="Arial"/>
                <w:b/>
                <w:i/>
                <w:sz w:val="18"/>
                <w:szCs w:val="18"/>
              </w:rPr>
              <w:t>A: Inbound containers</w:t>
            </w:r>
          </w:p>
        </w:tc>
        <w:tc>
          <w:tcPr>
            <w:tcW w:w="4381" w:type="dxa"/>
            <w:tcBorders>
              <w:top w:val="single" w:sz="4" w:space="0" w:color="auto"/>
            </w:tcBorders>
            <w:hideMark/>
          </w:tcPr>
          <w:p w:rsidR="00AE4D5A" w:rsidRPr="00730757" w:rsidRDefault="00AE4D5A" w:rsidP="008E5E01">
            <w:pPr>
              <w:pStyle w:val="Figure"/>
              <w:rPr>
                <w:rFonts w:ascii="Arial" w:hAnsi="Arial" w:cs="Arial"/>
                <w:b/>
                <w:i/>
                <w:sz w:val="18"/>
                <w:szCs w:val="18"/>
              </w:rPr>
            </w:pPr>
            <w:r>
              <w:rPr>
                <w:rFonts w:ascii="Arial" w:hAnsi="Arial" w:cs="Arial"/>
                <w:b/>
                <w:i/>
                <w:sz w:val="18"/>
                <w:szCs w:val="18"/>
              </w:rPr>
              <w:t>B: Outbound containers</w:t>
            </w:r>
          </w:p>
        </w:tc>
      </w:tr>
      <w:tr w:rsidR="00AE4D5A" w:rsidTr="008E5E01">
        <w:tc>
          <w:tcPr>
            <w:tcW w:w="4381" w:type="dxa"/>
            <w:hideMark/>
          </w:tcPr>
          <w:p w:rsidR="00AE4D5A" w:rsidRDefault="00AE4D5A" w:rsidP="008E5E01">
            <w:pPr>
              <w:pStyle w:val="Figure"/>
            </w:pPr>
            <w:r>
              <w:rPr>
                <w:noProof/>
              </w:rPr>
              <w:drawing>
                <wp:inline distT="0" distB="0" distL="0" distR="0" wp14:anchorId="0C7CF7D4" wp14:editId="313C4A1F">
                  <wp:extent cx="2695575" cy="1781175"/>
                  <wp:effectExtent l="0" t="0" r="9525" b="9525"/>
                  <wp:docPr id="68" name="Picture 68" descr="Figure 4.1 Characteristics of Bass Strait container shipping in 2011-12. Panel A: Inbound containers. Pie chart depicts the relative proportions of products inbound in containers to Tasman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695575" cy="1781175"/>
                          </a:xfrm>
                          <a:prstGeom prst="rect">
                            <a:avLst/>
                          </a:prstGeom>
                          <a:noFill/>
                          <a:ln>
                            <a:noFill/>
                          </a:ln>
                        </pic:spPr>
                      </pic:pic>
                    </a:graphicData>
                  </a:graphic>
                </wp:inline>
              </w:drawing>
            </w:r>
          </w:p>
        </w:tc>
        <w:tc>
          <w:tcPr>
            <w:tcW w:w="4381" w:type="dxa"/>
            <w:hideMark/>
          </w:tcPr>
          <w:p w:rsidR="00AE4D5A" w:rsidRDefault="00AE4D5A" w:rsidP="008E5E01">
            <w:pPr>
              <w:pStyle w:val="Figure"/>
            </w:pPr>
            <w:r>
              <w:rPr>
                <w:noProof/>
              </w:rPr>
              <w:drawing>
                <wp:inline distT="0" distB="0" distL="0" distR="0" wp14:anchorId="70F45363" wp14:editId="682FEBC8">
                  <wp:extent cx="2691130" cy="1794510"/>
                  <wp:effectExtent l="0" t="0" r="0" b="0"/>
                  <wp:docPr id="69" name="Picture 69" descr="Figure 4.1 Characteristics of Bass Strait container shipping in 2011-12. Panel B: Outbound containers. Pie chart depicts the relative proportions of products outbound in containers from Tasmania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91130" cy="1794510"/>
                          </a:xfrm>
                          <a:prstGeom prst="rect">
                            <a:avLst/>
                          </a:prstGeom>
                          <a:noFill/>
                          <a:ln>
                            <a:noFill/>
                          </a:ln>
                        </pic:spPr>
                      </pic:pic>
                    </a:graphicData>
                  </a:graphic>
                </wp:inline>
              </w:drawing>
            </w:r>
          </w:p>
        </w:tc>
      </w:tr>
      <w:tr w:rsidR="00AE4D5A" w:rsidTr="008E5E01">
        <w:tc>
          <w:tcPr>
            <w:tcW w:w="4381" w:type="dxa"/>
            <w:hideMark/>
          </w:tcPr>
          <w:p w:rsidR="00AE4D5A" w:rsidRDefault="00AE4D5A" w:rsidP="008E5E01">
            <w:pPr>
              <w:pStyle w:val="Figure"/>
            </w:pPr>
            <w:r>
              <w:rPr>
                <w:rFonts w:ascii="Arial" w:hAnsi="Arial" w:cs="Arial"/>
                <w:b/>
                <w:i/>
                <w:sz w:val="18"/>
                <w:szCs w:val="18"/>
              </w:rPr>
              <w:t>C: Bass Strait shipping market share</w:t>
            </w:r>
          </w:p>
        </w:tc>
        <w:tc>
          <w:tcPr>
            <w:tcW w:w="4381" w:type="dxa"/>
            <w:hideMark/>
          </w:tcPr>
          <w:p w:rsidR="00AE4D5A" w:rsidRDefault="00AE4D5A" w:rsidP="008E5E01">
            <w:pPr>
              <w:pStyle w:val="Figure"/>
            </w:pPr>
            <w:r>
              <w:rPr>
                <w:rFonts w:ascii="Arial" w:hAnsi="Arial" w:cs="Arial"/>
                <w:b/>
                <w:i/>
                <w:sz w:val="18"/>
                <w:szCs w:val="18"/>
              </w:rPr>
              <w:t>D: Time sensitivity of the supply chain</w:t>
            </w:r>
          </w:p>
        </w:tc>
      </w:tr>
      <w:tr w:rsidR="00AE4D5A" w:rsidTr="008E5E01">
        <w:tc>
          <w:tcPr>
            <w:tcW w:w="4381" w:type="dxa"/>
            <w:tcBorders>
              <w:bottom w:val="single" w:sz="4" w:space="0" w:color="auto"/>
            </w:tcBorders>
            <w:hideMark/>
          </w:tcPr>
          <w:p w:rsidR="00AE4D5A" w:rsidRDefault="00AE4D5A" w:rsidP="008E5E01">
            <w:pPr>
              <w:pStyle w:val="Figure"/>
            </w:pPr>
            <w:r>
              <w:rPr>
                <w:noProof/>
              </w:rPr>
              <w:drawing>
                <wp:inline distT="0" distB="0" distL="0" distR="0" wp14:anchorId="11754A60" wp14:editId="5BB2FBDF">
                  <wp:extent cx="2682875" cy="1794510"/>
                  <wp:effectExtent l="0" t="0" r="3175" b="0"/>
                  <wp:docPr id="70" name="Picture 70" descr="Figure 4.1 Characteristics of Bass Strait container shipping in 2011-12. Panel C: Bass Strait shipping market share.Pie chart depicts market shares of the four Bass Strait shipping companies in 20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682875" cy="1794510"/>
                          </a:xfrm>
                          <a:prstGeom prst="rect">
                            <a:avLst/>
                          </a:prstGeom>
                          <a:noFill/>
                          <a:ln>
                            <a:noFill/>
                          </a:ln>
                        </pic:spPr>
                      </pic:pic>
                    </a:graphicData>
                  </a:graphic>
                </wp:inline>
              </w:drawing>
            </w:r>
          </w:p>
        </w:tc>
        <w:tc>
          <w:tcPr>
            <w:tcW w:w="4381" w:type="dxa"/>
            <w:tcBorders>
              <w:bottom w:val="single" w:sz="4" w:space="0" w:color="auto"/>
            </w:tcBorders>
            <w:hideMark/>
          </w:tcPr>
          <w:p w:rsidR="00AE4D5A" w:rsidRDefault="00AE4D5A" w:rsidP="008E5E01">
            <w:pPr>
              <w:pStyle w:val="Figure"/>
            </w:pPr>
            <w:r>
              <w:rPr>
                <w:noProof/>
              </w:rPr>
              <w:drawing>
                <wp:inline distT="0" distB="0" distL="0" distR="0" wp14:anchorId="7C758049" wp14:editId="42C76E66">
                  <wp:extent cx="2691130" cy="1794510"/>
                  <wp:effectExtent l="0" t="0" r="0" b="0"/>
                  <wp:docPr id="73" name="Picture 73" descr="Figure 4.1 Characteristics of Bass Strait container shipping in 2011-12. Panel D: Time sensitivity of the supply chain. Pie chart classifies products according to time or price senstivity in 2011-1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691130" cy="1794510"/>
                          </a:xfrm>
                          <a:prstGeom prst="rect">
                            <a:avLst/>
                          </a:prstGeom>
                          <a:noFill/>
                          <a:ln>
                            <a:noFill/>
                          </a:ln>
                        </pic:spPr>
                      </pic:pic>
                    </a:graphicData>
                  </a:graphic>
                </wp:inline>
              </w:drawing>
            </w:r>
          </w:p>
        </w:tc>
      </w:tr>
    </w:tbl>
    <w:p w:rsidR="00AE4D5A" w:rsidRDefault="00AE4D5A" w:rsidP="008E5E01">
      <w:pPr>
        <w:pStyle w:val="Source"/>
      </w:pPr>
      <w:r>
        <w:rPr>
          <w:i/>
        </w:rPr>
        <w:t>Data source</w:t>
      </w:r>
      <w:r w:rsidRPr="00167F06">
        <w:t xml:space="preserve">: </w:t>
      </w:r>
      <w:r>
        <w:t xml:space="preserve">Aurecon </w:t>
      </w:r>
      <w:r w:rsidRPr="008B0EDC">
        <w:rPr>
          <w:rFonts w:cs="Arial"/>
        </w:rPr>
        <w:t>(2013c)</w:t>
      </w:r>
      <w:r>
        <w:t>.</w:t>
      </w:r>
      <w:r w:rsidRPr="00AB0A14">
        <w:t xml:space="preserve"> </w:t>
      </w:r>
    </w:p>
    <w:p w:rsidR="00AE4D5A" w:rsidRDefault="00AE4D5A" w:rsidP="008E5E01">
      <w:pPr>
        <w:pStyle w:val="BodyText"/>
      </w:pPr>
      <w:r>
        <w:t>However, only around 15 per cent of freight requires an overnight service. According to a study prepared for the Freight Logistics Coordination Team (FLCT) around 46 per cent of freight in 2011</w:t>
      </w:r>
      <w:r>
        <w:noBreakHyphen/>
        <w:t>12 was more sensitive to price than time (or speed with which freight could be transported)</w:t>
      </w:r>
      <w:r w:rsidRPr="00AD006A">
        <w:t xml:space="preserve"> </w:t>
      </w:r>
      <w:r w:rsidRPr="00AD006A">
        <w:rPr>
          <w:szCs w:val="24"/>
        </w:rPr>
        <w:t>(Aurecon 2013a)</w:t>
      </w:r>
      <w:r>
        <w:t>. Amongst this group are products such as zinc, aluminium, pulp and waste paper, furniture and timber, as well as empty containers. Even amongst the time sensitive group, an overnight service may exceed some shippers’ needs. For example, some perishable items (confectionery and frozen vegetables) and low inventory items (paper, beer, crude fertiliser and animal foods) may be better suited to a regular but low cost service, rather than daily or overnight.</w:t>
      </w:r>
    </w:p>
    <w:p w:rsidR="00AE4D5A" w:rsidRDefault="00AE4D5A" w:rsidP="008E5E01">
      <w:pPr>
        <w:pStyle w:val="BodyText"/>
      </w:pPr>
      <w:r>
        <w:lastRenderedPageBreak/>
        <w:t>While producers in Tasmania have diverse needs and many would prefer a lower cost and less frequent service, they have mostly adapted their business operations to the current level of service.</w:t>
      </w:r>
    </w:p>
    <w:p w:rsidR="00AE4D5A" w:rsidRDefault="00AE4D5A" w:rsidP="008E5E01">
      <w:pPr>
        <w:pStyle w:val="TableTitle"/>
      </w:pPr>
      <w:r>
        <w:rPr>
          <w:b w:val="0"/>
        </w:rPr>
        <w:t>Table 4.</w:t>
      </w:r>
      <w:r>
        <w:rPr>
          <w:b w:val="0"/>
          <w:noProof/>
        </w:rPr>
        <w:t>1</w:t>
      </w:r>
      <w:r>
        <w:tab/>
        <w:t>Features of Bass Strait shipping services</w:t>
      </w:r>
    </w:p>
    <w:tbl>
      <w:tblPr>
        <w:tblW w:w="5000" w:type="pct"/>
        <w:tblCellMar>
          <w:left w:w="0" w:type="dxa"/>
          <w:bottom w:w="113" w:type="dxa"/>
          <w:right w:w="0" w:type="dxa"/>
        </w:tblCellMar>
        <w:tblLook w:val="0000" w:firstRow="0" w:lastRow="0" w:firstColumn="0" w:lastColumn="0" w:noHBand="0" w:noVBand="0"/>
      </w:tblPr>
      <w:tblGrid>
        <w:gridCol w:w="2203"/>
        <w:gridCol w:w="2203"/>
        <w:gridCol w:w="2195"/>
        <w:gridCol w:w="2188"/>
      </w:tblGrid>
      <w:tr w:rsidR="00AE4D5A" w:rsidTr="008E5E01">
        <w:tc>
          <w:tcPr>
            <w:tcW w:w="1253" w:type="pct"/>
            <w:tcBorders>
              <w:top w:val="single" w:sz="6" w:space="0" w:color="auto"/>
              <w:bottom w:val="single" w:sz="6" w:space="0" w:color="auto"/>
            </w:tcBorders>
            <w:shd w:val="clear" w:color="auto" w:fill="auto"/>
            <w:vAlign w:val="center"/>
          </w:tcPr>
          <w:p w:rsidR="00AE4D5A" w:rsidRDefault="00AE4D5A" w:rsidP="008E5E01">
            <w:pPr>
              <w:pStyle w:val="TableColumnHeading"/>
              <w:jc w:val="left"/>
            </w:pPr>
            <w:r>
              <w:t>Feature</w:t>
            </w:r>
          </w:p>
        </w:tc>
        <w:tc>
          <w:tcPr>
            <w:tcW w:w="1253" w:type="pct"/>
            <w:tcBorders>
              <w:top w:val="single" w:sz="6" w:space="0" w:color="auto"/>
              <w:bottom w:val="single" w:sz="6" w:space="0" w:color="auto"/>
            </w:tcBorders>
            <w:shd w:val="clear" w:color="auto" w:fill="auto"/>
            <w:vAlign w:val="center"/>
          </w:tcPr>
          <w:p w:rsidR="00AE4D5A" w:rsidRDefault="00AE4D5A" w:rsidP="008E5E01">
            <w:pPr>
              <w:pStyle w:val="TableColumnHeading"/>
              <w:jc w:val="left"/>
            </w:pPr>
            <w:r>
              <w:t>Toll</w:t>
            </w:r>
          </w:p>
        </w:tc>
        <w:tc>
          <w:tcPr>
            <w:tcW w:w="1249" w:type="pct"/>
            <w:tcBorders>
              <w:top w:val="single" w:sz="6" w:space="0" w:color="auto"/>
              <w:bottom w:val="single" w:sz="6" w:space="0" w:color="auto"/>
            </w:tcBorders>
            <w:vAlign w:val="center"/>
          </w:tcPr>
          <w:p w:rsidR="00AE4D5A" w:rsidRDefault="00AE4D5A" w:rsidP="008E5E01">
            <w:pPr>
              <w:pStyle w:val="TableColumnHeading"/>
              <w:ind w:right="28"/>
              <w:jc w:val="left"/>
            </w:pPr>
            <w:r>
              <w:t>SeaRoad</w:t>
            </w:r>
          </w:p>
        </w:tc>
        <w:tc>
          <w:tcPr>
            <w:tcW w:w="1245" w:type="pct"/>
            <w:tcBorders>
              <w:top w:val="single" w:sz="6" w:space="0" w:color="auto"/>
              <w:bottom w:val="single" w:sz="6" w:space="0" w:color="auto"/>
            </w:tcBorders>
            <w:shd w:val="clear" w:color="auto" w:fill="auto"/>
            <w:vAlign w:val="center"/>
          </w:tcPr>
          <w:p w:rsidR="00AE4D5A" w:rsidRDefault="00AE4D5A" w:rsidP="008E5E01">
            <w:pPr>
              <w:pStyle w:val="TableColumnHeading"/>
              <w:ind w:right="28"/>
              <w:jc w:val="left"/>
            </w:pPr>
            <w:r>
              <w:t>TT</w:t>
            </w:r>
            <w:r>
              <w:noBreakHyphen/>
              <w:t>Line</w:t>
            </w:r>
          </w:p>
        </w:tc>
      </w:tr>
      <w:tr w:rsidR="00AE4D5A" w:rsidTr="008E5E01">
        <w:tc>
          <w:tcPr>
            <w:tcW w:w="1253" w:type="pct"/>
            <w:tcBorders>
              <w:top w:val="single" w:sz="6" w:space="0" w:color="auto"/>
            </w:tcBorders>
          </w:tcPr>
          <w:p w:rsidR="00AE4D5A" w:rsidRDefault="00AE4D5A" w:rsidP="008E5E01">
            <w:pPr>
              <w:pStyle w:val="TableUnitsRow"/>
              <w:jc w:val="left"/>
            </w:pPr>
            <w:r>
              <w:t>Vessels</w:t>
            </w:r>
          </w:p>
        </w:tc>
        <w:tc>
          <w:tcPr>
            <w:tcW w:w="1253" w:type="pct"/>
            <w:tcBorders>
              <w:top w:val="single" w:sz="6" w:space="0" w:color="auto"/>
            </w:tcBorders>
          </w:tcPr>
          <w:p w:rsidR="00AE4D5A" w:rsidRDefault="00AE4D5A" w:rsidP="008E5E01">
            <w:pPr>
              <w:pStyle w:val="TableUnitsRow"/>
              <w:jc w:val="left"/>
            </w:pPr>
            <w:r>
              <w:t xml:space="preserve">Two RORO vessels: </w:t>
            </w:r>
            <w:r w:rsidRPr="00AC6E09">
              <w:rPr>
                <w:i/>
              </w:rPr>
              <w:t>MV Tasmanian Achieve</w:t>
            </w:r>
            <w:r>
              <w:t xml:space="preserve">r (500 TEU) and </w:t>
            </w:r>
            <w:r w:rsidRPr="00AC6E09">
              <w:rPr>
                <w:i/>
              </w:rPr>
              <w:t>MV Victorian Reliance</w:t>
            </w:r>
            <w:r>
              <w:rPr>
                <w:i/>
              </w:rPr>
              <w:t xml:space="preserve"> </w:t>
            </w:r>
            <w:r w:rsidRPr="00DD24BF">
              <w:t>(500 TEU)</w:t>
            </w:r>
          </w:p>
        </w:tc>
        <w:tc>
          <w:tcPr>
            <w:tcW w:w="1249" w:type="pct"/>
            <w:tcBorders>
              <w:top w:val="single" w:sz="6" w:space="0" w:color="auto"/>
            </w:tcBorders>
          </w:tcPr>
          <w:p w:rsidR="00AE4D5A" w:rsidRDefault="00AE4D5A" w:rsidP="008E5E01">
            <w:pPr>
              <w:pStyle w:val="TableUnitsRow"/>
              <w:ind w:right="28"/>
              <w:jc w:val="left"/>
            </w:pPr>
            <w:r>
              <w:t xml:space="preserve">Two </w:t>
            </w:r>
            <w:proofErr w:type="spellStart"/>
            <w:r>
              <w:t>RORO</w:t>
            </w:r>
            <w:proofErr w:type="spellEnd"/>
            <w:r>
              <w:t xml:space="preserve"> vessels: </w:t>
            </w:r>
            <w:r w:rsidRPr="00AC6E09">
              <w:rPr>
                <w:i/>
              </w:rPr>
              <w:t xml:space="preserve">MV </w:t>
            </w:r>
            <w:proofErr w:type="spellStart"/>
            <w:r w:rsidRPr="00AC6E09">
              <w:rPr>
                <w:i/>
              </w:rPr>
              <w:t>Sea</w:t>
            </w:r>
            <w:r>
              <w:rPr>
                <w:i/>
              </w:rPr>
              <w:t>r</w:t>
            </w:r>
            <w:r w:rsidRPr="00AC6E09">
              <w:rPr>
                <w:i/>
              </w:rPr>
              <w:t>oad</w:t>
            </w:r>
            <w:proofErr w:type="spellEnd"/>
            <w:r w:rsidRPr="00AC6E09">
              <w:rPr>
                <w:i/>
              </w:rPr>
              <w:t xml:space="preserve"> Tamar</w:t>
            </w:r>
            <w:r>
              <w:t xml:space="preserve"> (260 </w:t>
            </w:r>
            <w:proofErr w:type="spellStart"/>
            <w:r>
              <w:t>TEU</w:t>
            </w:r>
            <w:proofErr w:type="spellEnd"/>
            <w:r>
              <w:t xml:space="preserve">) and </w:t>
            </w:r>
            <w:r w:rsidRPr="00AC6E09">
              <w:rPr>
                <w:i/>
              </w:rPr>
              <w:t xml:space="preserve">MV </w:t>
            </w:r>
            <w:proofErr w:type="spellStart"/>
            <w:r w:rsidRPr="00AC6E09">
              <w:rPr>
                <w:i/>
              </w:rPr>
              <w:t>Sea</w:t>
            </w:r>
            <w:r>
              <w:rPr>
                <w:i/>
              </w:rPr>
              <w:t>r</w:t>
            </w:r>
            <w:r w:rsidRPr="00AC6E09">
              <w:rPr>
                <w:i/>
              </w:rPr>
              <w:t>oad</w:t>
            </w:r>
            <w:proofErr w:type="spellEnd"/>
            <w:r w:rsidRPr="00AC6E09">
              <w:rPr>
                <w:i/>
              </w:rPr>
              <w:t xml:space="preserve"> Mersey</w:t>
            </w:r>
            <w:r>
              <w:rPr>
                <w:i/>
              </w:rPr>
              <w:t xml:space="preserve"> (</w:t>
            </w:r>
            <w:r w:rsidRPr="00DD24BF">
              <w:t xml:space="preserve">182 </w:t>
            </w:r>
            <w:proofErr w:type="spellStart"/>
            <w:r w:rsidRPr="00DD24BF">
              <w:t>TEU</w:t>
            </w:r>
            <w:proofErr w:type="spellEnd"/>
            <w:r w:rsidRPr="00DD24BF">
              <w:t>)</w:t>
            </w:r>
          </w:p>
        </w:tc>
        <w:tc>
          <w:tcPr>
            <w:tcW w:w="1245" w:type="pct"/>
            <w:tcBorders>
              <w:top w:val="single" w:sz="6" w:space="0" w:color="auto"/>
            </w:tcBorders>
          </w:tcPr>
          <w:p w:rsidR="00AE4D5A" w:rsidRPr="003D6F7E" w:rsidRDefault="00AE4D5A" w:rsidP="008E5E01">
            <w:pPr>
              <w:pStyle w:val="TableUnitsRow"/>
              <w:ind w:right="28"/>
              <w:jc w:val="left"/>
            </w:pPr>
            <w:r>
              <w:t xml:space="preserve">Two </w:t>
            </w:r>
            <w:proofErr w:type="spellStart"/>
            <w:r>
              <w:t>ROPAX</w:t>
            </w:r>
            <w:proofErr w:type="spellEnd"/>
            <w:r>
              <w:rPr>
                <w:rStyle w:val="FootnoteReference"/>
              </w:rPr>
              <w:footnoteReference w:id="10"/>
            </w:r>
            <w:r>
              <w:t xml:space="preserve"> vessels: </w:t>
            </w:r>
            <w:r w:rsidRPr="00AC6E09">
              <w:rPr>
                <w:i/>
              </w:rPr>
              <w:t>Spirit of Tasmania I</w:t>
            </w:r>
            <w:r w:rsidRPr="00D303DB">
              <w:t xml:space="preserve"> </w:t>
            </w:r>
            <w:r>
              <w:t xml:space="preserve">(160 TEU) </w:t>
            </w:r>
            <w:r w:rsidRPr="00D303DB">
              <w:t xml:space="preserve">and </w:t>
            </w:r>
            <w:r w:rsidRPr="00AC6E09">
              <w:rPr>
                <w:i/>
              </w:rPr>
              <w:t>Spirit of Tasmania II</w:t>
            </w:r>
            <w:r>
              <w:rPr>
                <w:i/>
              </w:rPr>
              <w:t xml:space="preserve"> </w:t>
            </w:r>
            <w:r>
              <w:t>(160 TEU)</w:t>
            </w:r>
          </w:p>
        </w:tc>
      </w:tr>
      <w:tr w:rsidR="00AE4D5A" w:rsidTr="008E5E01">
        <w:tc>
          <w:tcPr>
            <w:tcW w:w="1253" w:type="pct"/>
          </w:tcPr>
          <w:p w:rsidR="00AE4D5A" w:rsidRDefault="00AE4D5A" w:rsidP="008E5E01">
            <w:pPr>
              <w:pStyle w:val="TableBodyText"/>
              <w:jc w:val="left"/>
            </w:pPr>
            <w:r>
              <w:t>Frequency</w:t>
            </w:r>
          </w:p>
        </w:tc>
        <w:tc>
          <w:tcPr>
            <w:tcW w:w="1253" w:type="pct"/>
          </w:tcPr>
          <w:p w:rsidR="00AE4D5A" w:rsidRDefault="00AE4D5A" w:rsidP="008E5E01">
            <w:pPr>
              <w:pStyle w:val="TableBodyText"/>
              <w:jc w:val="left"/>
            </w:pPr>
            <w:r>
              <w:t>Overnight, six days per week plus extra sailings during peak demand</w:t>
            </w:r>
          </w:p>
        </w:tc>
        <w:tc>
          <w:tcPr>
            <w:tcW w:w="1249" w:type="pct"/>
          </w:tcPr>
          <w:p w:rsidR="00AE4D5A" w:rsidRDefault="00AE4D5A" w:rsidP="008E5E01">
            <w:pPr>
              <w:pStyle w:val="TableBodyText"/>
              <w:ind w:right="28"/>
              <w:jc w:val="left"/>
            </w:pPr>
            <w:r>
              <w:t>Overnight, six days per week plus extra sailings during peak demand, plus a weekly service to King Island</w:t>
            </w:r>
          </w:p>
        </w:tc>
        <w:tc>
          <w:tcPr>
            <w:tcW w:w="1245" w:type="pct"/>
          </w:tcPr>
          <w:p w:rsidR="00AE4D5A" w:rsidRDefault="00AE4D5A" w:rsidP="008E5E01">
            <w:pPr>
              <w:pStyle w:val="TableBodyText"/>
              <w:ind w:right="28"/>
              <w:jc w:val="left"/>
            </w:pPr>
            <w:r>
              <w:t>Overnight, daily plus extra day sailings in peak demand</w:t>
            </w:r>
          </w:p>
        </w:tc>
      </w:tr>
      <w:tr w:rsidR="00AE4D5A" w:rsidTr="008E5E01">
        <w:tc>
          <w:tcPr>
            <w:tcW w:w="1253" w:type="pct"/>
          </w:tcPr>
          <w:p w:rsidR="00AE4D5A" w:rsidRDefault="00AE4D5A" w:rsidP="008E5E01">
            <w:pPr>
              <w:pStyle w:val="TableBodyText"/>
              <w:jc w:val="left"/>
            </w:pPr>
            <w:r>
              <w:t>Ports</w:t>
            </w:r>
          </w:p>
        </w:tc>
        <w:tc>
          <w:tcPr>
            <w:tcW w:w="1253" w:type="pct"/>
          </w:tcPr>
          <w:p w:rsidR="00AE4D5A" w:rsidRDefault="00AE4D5A" w:rsidP="008E5E01">
            <w:pPr>
              <w:pStyle w:val="TableBodyText"/>
              <w:jc w:val="left"/>
            </w:pPr>
            <w:r>
              <w:t>Operates between Port of Burnie and Port of Melbourne</w:t>
            </w:r>
          </w:p>
        </w:tc>
        <w:tc>
          <w:tcPr>
            <w:tcW w:w="1249" w:type="pct"/>
          </w:tcPr>
          <w:p w:rsidR="00AE4D5A" w:rsidRDefault="00AE4D5A" w:rsidP="008E5E01">
            <w:pPr>
              <w:pStyle w:val="TableBodyText"/>
              <w:ind w:right="28"/>
              <w:jc w:val="left"/>
            </w:pPr>
            <w:r>
              <w:t>Operates between Port of Devonport and Port of Melbourne, and weekly to King Island</w:t>
            </w:r>
          </w:p>
        </w:tc>
        <w:tc>
          <w:tcPr>
            <w:tcW w:w="1245" w:type="pct"/>
          </w:tcPr>
          <w:p w:rsidR="00AE4D5A" w:rsidRDefault="00AE4D5A" w:rsidP="008E5E01">
            <w:pPr>
              <w:pStyle w:val="TableBodyText"/>
              <w:ind w:right="28"/>
              <w:jc w:val="left"/>
            </w:pPr>
            <w:r>
              <w:t>Operates between Port of Devonport and Port of Melbourne</w:t>
            </w:r>
          </w:p>
        </w:tc>
      </w:tr>
      <w:tr w:rsidR="00AE4D5A" w:rsidTr="008E5E01">
        <w:tc>
          <w:tcPr>
            <w:tcW w:w="1253" w:type="pct"/>
          </w:tcPr>
          <w:p w:rsidR="00AE4D5A" w:rsidRDefault="00AE4D5A" w:rsidP="008E5E01">
            <w:pPr>
              <w:pStyle w:val="TableBodyText"/>
              <w:jc w:val="left"/>
            </w:pPr>
            <w:r>
              <w:t>Freight carried</w:t>
            </w:r>
          </w:p>
        </w:tc>
        <w:tc>
          <w:tcPr>
            <w:tcW w:w="1253" w:type="pct"/>
          </w:tcPr>
          <w:p w:rsidR="00AE4D5A" w:rsidRDefault="00AE4D5A" w:rsidP="008E5E01">
            <w:pPr>
              <w:pStyle w:val="TableBodyText"/>
              <w:jc w:val="left"/>
            </w:pPr>
            <w:r>
              <w:t>G</w:t>
            </w:r>
            <w:r w:rsidRPr="004C622D">
              <w:t>eneral purpose containers</w:t>
            </w:r>
            <w:r>
              <w:t>,</w:t>
            </w:r>
            <w:r w:rsidRPr="004C622D">
              <w:t xml:space="preserve"> refrigerated containers, cars and trailers, equipment, and livestock</w:t>
            </w:r>
          </w:p>
        </w:tc>
        <w:tc>
          <w:tcPr>
            <w:tcW w:w="1249" w:type="pct"/>
          </w:tcPr>
          <w:p w:rsidR="00AE4D5A" w:rsidRDefault="00AE4D5A" w:rsidP="008E5E01">
            <w:pPr>
              <w:pStyle w:val="TableBodyText"/>
              <w:ind w:right="28"/>
              <w:jc w:val="left"/>
            </w:pPr>
            <w:r>
              <w:t>General purpose containers, refrigerated containers, cars and trailers, equipment and livestock</w:t>
            </w:r>
          </w:p>
        </w:tc>
        <w:tc>
          <w:tcPr>
            <w:tcW w:w="1245" w:type="pct"/>
          </w:tcPr>
          <w:p w:rsidR="00AE4D5A" w:rsidRDefault="00AE4D5A" w:rsidP="008E5E01">
            <w:pPr>
              <w:pStyle w:val="TableBodyText"/>
              <w:ind w:right="28"/>
              <w:jc w:val="left"/>
            </w:pPr>
            <w:r>
              <w:t>Road freight trailers, cars and trailers, caravans and other wheeled units</w:t>
            </w:r>
          </w:p>
        </w:tc>
      </w:tr>
      <w:tr w:rsidR="00AE4D5A" w:rsidTr="008E5E01">
        <w:tc>
          <w:tcPr>
            <w:tcW w:w="1253" w:type="pct"/>
            <w:tcBorders>
              <w:bottom w:val="single" w:sz="6" w:space="0" w:color="auto"/>
            </w:tcBorders>
            <w:shd w:val="clear" w:color="auto" w:fill="auto"/>
          </w:tcPr>
          <w:p w:rsidR="00AE4D5A" w:rsidRDefault="00AE4D5A" w:rsidP="008E5E01">
            <w:pPr>
              <w:pStyle w:val="TableBodyText"/>
              <w:jc w:val="left"/>
            </w:pPr>
            <w:r>
              <w:t>Other services offered</w:t>
            </w:r>
          </w:p>
        </w:tc>
        <w:tc>
          <w:tcPr>
            <w:tcW w:w="1253" w:type="pct"/>
            <w:tcBorders>
              <w:bottom w:val="single" w:sz="6" w:space="0" w:color="auto"/>
            </w:tcBorders>
            <w:shd w:val="clear" w:color="auto" w:fill="auto"/>
          </w:tcPr>
          <w:p w:rsidR="00AE4D5A" w:rsidRDefault="00AE4D5A" w:rsidP="008E5E01">
            <w:pPr>
              <w:pStyle w:val="TableBodyText"/>
              <w:jc w:val="left"/>
            </w:pPr>
            <w:r>
              <w:t>Logistics and freight forwarding services</w:t>
            </w:r>
          </w:p>
        </w:tc>
        <w:tc>
          <w:tcPr>
            <w:tcW w:w="1249" w:type="pct"/>
            <w:tcBorders>
              <w:bottom w:val="single" w:sz="6" w:space="0" w:color="auto"/>
            </w:tcBorders>
          </w:tcPr>
          <w:p w:rsidR="00AE4D5A" w:rsidRDefault="00AE4D5A" w:rsidP="008E5E01">
            <w:pPr>
              <w:pStyle w:val="TableBodyText"/>
              <w:ind w:right="28"/>
              <w:jc w:val="left"/>
            </w:pPr>
            <w:r>
              <w:t>Logistics and freight forwarding services</w:t>
            </w:r>
          </w:p>
        </w:tc>
        <w:tc>
          <w:tcPr>
            <w:tcW w:w="1245" w:type="pct"/>
            <w:tcBorders>
              <w:bottom w:val="single" w:sz="6" w:space="0" w:color="auto"/>
            </w:tcBorders>
            <w:shd w:val="clear" w:color="auto" w:fill="auto"/>
          </w:tcPr>
          <w:p w:rsidR="00AE4D5A" w:rsidRDefault="00AE4D5A" w:rsidP="008E5E01">
            <w:pPr>
              <w:pStyle w:val="TableBodyText"/>
              <w:ind w:right="28"/>
              <w:jc w:val="left"/>
            </w:pPr>
            <w:r>
              <w:t>Vessels primarily designed to carry passengers</w:t>
            </w:r>
          </w:p>
        </w:tc>
      </w:tr>
    </w:tbl>
    <w:p w:rsidR="00AE4D5A" w:rsidRPr="008E77FE" w:rsidRDefault="00AE4D5A" w:rsidP="008E5E01">
      <w:pPr>
        <w:pStyle w:val="Source"/>
      </w:pPr>
      <w:r>
        <w:rPr>
          <w:i/>
        </w:rPr>
        <w:t>Sources</w:t>
      </w:r>
      <w:r>
        <w:t xml:space="preserve">: Aurecon </w:t>
      </w:r>
      <w:r w:rsidRPr="008B0EDC">
        <w:rPr>
          <w:rFonts w:cs="Arial"/>
        </w:rPr>
        <w:t>(2013a, 2013c)</w:t>
      </w:r>
      <w:r>
        <w:t>.</w:t>
      </w:r>
    </w:p>
    <w:p w:rsidR="00AE4D5A" w:rsidRDefault="00AE4D5A" w:rsidP="008E5E01">
      <w:pPr>
        <w:pStyle w:val="BodyText"/>
      </w:pPr>
      <w:r>
        <w:t>The Commission notes that some other limited services operate from Tasmania to the mainland. For example, Shipping Australia Limited commented that:</w:t>
      </w:r>
    </w:p>
    <w:p w:rsidR="00AE4D5A" w:rsidRDefault="00AE4D5A" w:rsidP="008E5E01">
      <w:pPr>
        <w:pStyle w:val="Quote"/>
      </w:pPr>
      <w:r w:rsidRPr="008701D5">
        <w:t xml:space="preserve">There is a regular service from NSW </w:t>
      </w:r>
      <w:r>
        <w:t>—</w:t>
      </w:r>
      <w:r w:rsidRPr="008701D5">
        <w:t xml:space="preserve"> (Eden) a vessel operates carrying explosives to Bell Bay and returns carrying cattle from King Island</w:t>
      </w:r>
      <w:r>
        <w:t>. (sub. 53, p. 2)</w:t>
      </w:r>
    </w:p>
    <w:p w:rsidR="00AE4D5A" w:rsidRDefault="00AE4D5A" w:rsidP="008E5E01">
      <w:pPr>
        <w:pStyle w:val="BodyText"/>
      </w:pPr>
      <w:r>
        <w:t>However, the overwhelming focus of participants’ concerns throughout the inquiry has been on non</w:t>
      </w:r>
      <w:r>
        <w:noBreakHyphen/>
        <w:t xml:space="preserve">bulk shipping services between Tasmania and the Port of Melbourne. </w:t>
      </w:r>
    </w:p>
    <w:p w:rsidR="00AE4D5A" w:rsidRDefault="00AE4D5A" w:rsidP="008E5E01">
      <w:pPr>
        <w:pStyle w:val="Heading4"/>
      </w:pPr>
      <w:r>
        <w:lastRenderedPageBreak/>
        <w:t>Bass Strait Islands</w:t>
      </w:r>
    </w:p>
    <w:p w:rsidR="00AE4D5A" w:rsidRDefault="00AE4D5A" w:rsidP="008E5E01">
      <w:pPr>
        <w:pStyle w:val="BodyText"/>
      </w:pPr>
      <w:r>
        <w:t xml:space="preserve">King Island is serviced by SeaRoad with a weekly service provided by the </w:t>
      </w:r>
      <w:r w:rsidRPr="00AC6E09">
        <w:rPr>
          <w:i/>
        </w:rPr>
        <w:t>MV</w:t>
      </w:r>
      <w:r>
        <w:rPr>
          <w:i/>
        </w:rPr>
        <w:t> </w:t>
      </w:r>
      <w:proofErr w:type="spellStart"/>
      <w:r w:rsidRPr="00AC6E09">
        <w:rPr>
          <w:i/>
        </w:rPr>
        <w:t>Sea</w:t>
      </w:r>
      <w:r>
        <w:rPr>
          <w:i/>
        </w:rPr>
        <w:t>r</w:t>
      </w:r>
      <w:r w:rsidRPr="00AC6E09">
        <w:rPr>
          <w:i/>
        </w:rPr>
        <w:t>oad</w:t>
      </w:r>
      <w:proofErr w:type="spellEnd"/>
      <w:r>
        <w:rPr>
          <w:i/>
        </w:rPr>
        <w:t> </w:t>
      </w:r>
      <w:r w:rsidRPr="00AC6E09">
        <w:rPr>
          <w:i/>
        </w:rPr>
        <w:t>Mersey</w:t>
      </w:r>
      <w:r>
        <w:t xml:space="preserve"> (sub. 35). The service, catering for livestock, plant and machinery and containerised general freight, sails from Melbourne to Grassy, and on to Devonport. LD Shipping also provides a livestock freight service, transporting livestock on open decks between Grassy and Stanley (King Island Beef Producers Group, sub. 15). Availability of a suitable vessel is considered a critical factor for King Island freight. As King Island Shipping Group commented:</w:t>
      </w:r>
    </w:p>
    <w:p w:rsidR="00AE4D5A" w:rsidRDefault="00AE4D5A" w:rsidP="008E5E01">
      <w:pPr>
        <w:pStyle w:val="Quote"/>
      </w:pPr>
      <w:r w:rsidRPr="00F0391B">
        <w:t xml:space="preserve">The restrictions to the capabilities of our existing wharf infrastructure limit the ability for the island to drive competition and freight costs. Currently a vessel restriction </w:t>
      </w:r>
      <w:r>
        <w:t xml:space="preserve">… </w:t>
      </w:r>
      <w:r w:rsidRPr="00F0391B">
        <w:t>is imposed on the wharf access. This prohibits any access to competition from alternative freight providers as these vessels do not exist in the open market and are not economically viable for a service provider to operate.</w:t>
      </w:r>
      <w:r>
        <w:t xml:space="preserve"> (sub. 19, p. 1)</w:t>
      </w:r>
    </w:p>
    <w:p w:rsidR="00AE4D5A" w:rsidRDefault="00AE4D5A">
      <w:pPr>
        <w:pStyle w:val="BodyText"/>
      </w:pPr>
      <w:r>
        <w:t>As such, King Island Shipping Group recently tendered for a service provider but was unable to reach an adequate outcome:</w:t>
      </w:r>
    </w:p>
    <w:p w:rsidR="00AE4D5A" w:rsidRPr="00F0391B" w:rsidRDefault="00AE4D5A" w:rsidP="008E5E01">
      <w:pPr>
        <w:pStyle w:val="Quote"/>
      </w:pPr>
      <w:r w:rsidRPr="00F0391B">
        <w:t xml:space="preserve">Over the last four years </w:t>
      </w:r>
      <w:r>
        <w:t xml:space="preserve">… </w:t>
      </w:r>
      <w:r w:rsidRPr="00F0391B">
        <w:t>we put our freight task, the consolidated freight task to the market and our market response was less than adequate in terms of what our demand was and we could not provide, could not generate any solutions out of that market tender and as such the current situation with the King Island freight task still remains a challenging position in terms of trying to find alternative solutions to competition.</w:t>
      </w:r>
      <w:r>
        <w:t xml:space="preserve"> (trans., p. 413)</w:t>
      </w:r>
    </w:p>
    <w:p w:rsidR="00AE4D5A" w:rsidRPr="00656167" w:rsidRDefault="00AE4D5A" w:rsidP="008E5E01">
      <w:pPr>
        <w:pStyle w:val="BodyText"/>
      </w:pPr>
      <w:r>
        <w:t>The Furneaux Group of islands are serviced by Furneaux Freight, which sails from Bridport (in north</w:t>
      </w:r>
      <w:r>
        <w:noBreakHyphen/>
        <w:t xml:space="preserve">eastern Tasmania) to ports on the Furneaux </w:t>
      </w:r>
      <w:r w:rsidR="00207B70">
        <w:t xml:space="preserve">Group of </w:t>
      </w:r>
      <w:r>
        <w:t xml:space="preserve">islands, including Lady Barron and Cape Barren. The Furneaux Group of islands freight task mostly services the livestock industry, particularly demand generated by the export of live animals to markets in Tasmania and Victoria, and imports of goods such as fertiliser and machinery (Flinders Council, sub. 23). </w:t>
      </w:r>
    </w:p>
    <w:p w:rsidR="00AE4D5A" w:rsidRDefault="00AE4D5A" w:rsidP="008E5E01">
      <w:pPr>
        <w:pStyle w:val="Heading3"/>
      </w:pPr>
      <w:r>
        <w:t xml:space="preserve">International shipping </w:t>
      </w:r>
    </w:p>
    <w:p w:rsidR="00AE4D5A" w:rsidRDefault="00AE4D5A" w:rsidP="008E5E01">
      <w:pPr>
        <w:pStyle w:val="BodyText"/>
      </w:pPr>
      <w:r w:rsidRPr="003350B7">
        <w:t>In May 2011, direct international container shipping</w:t>
      </w:r>
      <w:r w:rsidRPr="003350B7">
        <w:rPr>
          <w:rStyle w:val="FootnoteReference"/>
        </w:rPr>
        <w:footnoteReference w:id="11"/>
      </w:r>
      <w:r w:rsidRPr="003350B7">
        <w:t xml:space="preserve"> to and from Tasmania ended with the withdrawal of the Asia Australia Alliance (AAA) consortium’s Bell Bay</w:t>
      </w:r>
      <w:r>
        <w:noBreakHyphen/>
      </w:r>
      <w:r w:rsidRPr="003350B7">
        <w:t>Singapore service.</w:t>
      </w:r>
      <w:r w:rsidRPr="003350B7">
        <w:rPr>
          <w:rStyle w:val="FootnoteReference"/>
        </w:rPr>
        <w:footnoteReference w:id="12"/>
      </w:r>
      <w:r w:rsidRPr="003350B7">
        <w:t xml:space="preserve"> </w:t>
      </w:r>
    </w:p>
    <w:p w:rsidR="00AE4D5A" w:rsidRDefault="00AE4D5A" w:rsidP="008E5E01">
      <w:pPr>
        <w:pStyle w:val="BodyText"/>
      </w:pPr>
      <w:r w:rsidRPr="003350B7">
        <w:lastRenderedPageBreak/>
        <w:t xml:space="preserve">The consortium comprised four international shipping lines </w:t>
      </w:r>
      <w:r>
        <w:t>—</w:t>
      </w:r>
      <w:r w:rsidRPr="003350B7">
        <w:t xml:space="preserve"> Mitsui </w:t>
      </w:r>
      <w:proofErr w:type="spellStart"/>
      <w:r w:rsidRPr="003350B7">
        <w:t>OSC</w:t>
      </w:r>
      <w:proofErr w:type="spellEnd"/>
      <w:r w:rsidRPr="003350B7">
        <w:t xml:space="preserve"> Lines, Orient Overseas Container Line, Malaysian International Shipping Corporation and Pacific International Lines. The Commission understands the AAA service catered for between one third to two thirds of Tasmania’s international containerised trade over the life of the service.</w:t>
      </w:r>
    </w:p>
    <w:p w:rsidR="00AE4D5A" w:rsidRDefault="00AE4D5A" w:rsidP="008E5E01">
      <w:pPr>
        <w:pStyle w:val="BodyText"/>
      </w:pPr>
      <w:r>
        <w:t xml:space="preserve">While there is a paucity of data regarding </w:t>
      </w:r>
      <w:proofErr w:type="spellStart"/>
      <w:r>
        <w:t>AAA’s</w:t>
      </w:r>
      <w:proofErr w:type="spellEnd"/>
      <w:r>
        <w:t xml:space="preserve"> freight volumes, annual container volumes in and out of Bell Bay show a significant decline in volumes, as shown in panels A, C and E of figure 4.4.</w:t>
      </w:r>
      <w:r>
        <w:rPr>
          <w:rStyle w:val="FootnoteReference"/>
        </w:rPr>
        <w:footnoteReference w:id="13"/>
      </w:r>
      <w:r>
        <w:t xml:space="preserve"> However, t</w:t>
      </w:r>
      <w:r w:rsidRPr="005C27C4">
        <w:t xml:space="preserve">he demise of the AAA service was not underpinned by any one factor but rather the </w:t>
      </w:r>
      <w:r w:rsidRPr="00760567">
        <w:t xml:space="preserve">culmination of several </w:t>
      </w:r>
      <w:r>
        <w:t xml:space="preserve">factors including low volumes — in part due to a </w:t>
      </w:r>
      <w:r w:rsidRPr="005C27C4">
        <w:t>reduction in Tasmanian exports</w:t>
      </w:r>
      <w:r w:rsidRPr="00760567">
        <w:t>, and several key shippers deciding to tranship through the Port of Melbourne</w:t>
      </w:r>
      <w:r>
        <w:t xml:space="preserve"> — as well as issues associated with scheduling and vessel size </w:t>
      </w:r>
      <w:r w:rsidRPr="00E10C65">
        <w:rPr>
          <w:szCs w:val="24"/>
        </w:rPr>
        <w:t xml:space="preserve">(MMC Link 2012; Net Sea Freight, sub. 26; SeaRoad, sub. </w:t>
      </w:r>
      <w:proofErr w:type="spellStart"/>
      <w:r w:rsidRPr="00E10C65">
        <w:rPr>
          <w:szCs w:val="24"/>
        </w:rPr>
        <w:t>DR81</w:t>
      </w:r>
      <w:proofErr w:type="spellEnd"/>
      <w:r w:rsidRPr="00E10C65">
        <w:rPr>
          <w:szCs w:val="24"/>
        </w:rPr>
        <w:t>)</w:t>
      </w:r>
      <w:r>
        <w:t xml:space="preserve">. </w:t>
      </w:r>
    </w:p>
    <w:p w:rsidR="00AE4D5A" w:rsidRDefault="00AE4D5A" w:rsidP="008E5E01">
      <w:pPr>
        <w:pStyle w:val="BodyText"/>
      </w:pPr>
      <w:proofErr w:type="spellStart"/>
      <w:r>
        <w:t>AAA’s</w:t>
      </w:r>
      <w:proofErr w:type="spellEnd"/>
      <w:r>
        <w:t xml:space="preserve"> exit</w:t>
      </w:r>
      <w:r w:rsidRPr="00124F57">
        <w:t xml:space="preserve"> occurred against a background of strong commercial pressures in global</w:t>
      </w:r>
      <w:r>
        <w:t xml:space="preserve"> shipping and a trend to larger vessels on international routes, which led to commercially marginal services withdrawing and larger vessels providing international container services from the Port of Melbourne. These changes may further isolate Tasmania (and other ports in Australia) from regular direct international services.</w:t>
      </w:r>
    </w:p>
    <w:p w:rsidR="00AE4D5A" w:rsidRDefault="00AE4D5A" w:rsidP="008E5E01">
      <w:pPr>
        <w:pStyle w:val="BodyText"/>
      </w:pPr>
      <w:r>
        <w:t xml:space="preserve">As a result of the </w:t>
      </w:r>
      <w:r w:rsidRPr="000F29DA">
        <w:t>withdrawal</w:t>
      </w:r>
      <w:r>
        <w:t xml:space="preserve"> of the AAA service, most international container freight that was shipped through Bell Bay is now transhipped through the Port of Melbourne. Transhipment has added materially to transport costs and transit times </w:t>
      </w:r>
      <w:r w:rsidRPr="00AD006A">
        <w:rPr>
          <w:szCs w:val="24"/>
        </w:rPr>
        <w:t>(GPS 2013)</w:t>
      </w:r>
      <w:r>
        <w:t>. Participants commented:</w:t>
      </w:r>
    </w:p>
    <w:p w:rsidR="00AE4D5A" w:rsidRPr="00264713" w:rsidRDefault="00AE4D5A" w:rsidP="008E5E01">
      <w:pPr>
        <w:pStyle w:val="Quote"/>
      </w:pPr>
      <w:r>
        <w:t xml:space="preserve">… </w:t>
      </w:r>
      <w:r w:rsidRPr="00264713">
        <w:t>it is worth noting that following the withdrawal of international shipping in 2011, the cost imp</w:t>
      </w:r>
      <w:r>
        <w:t>acts have been substantial. (N</w:t>
      </w:r>
      <w:r w:rsidRPr="00264713">
        <w:t>orthern Tasmania Development</w:t>
      </w:r>
      <w:r>
        <w:t>,</w:t>
      </w:r>
      <w:r w:rsidRPr="00264713">
        <w:t xml:space="preserve"> </w:t>
      </w:r>
      <w:r>
        <w:t>sub. 27, p. 3)</w:t>
      </w:r>
    </w:p>
    <w:p w:rsidR="00AE4D5A" w:rsidRDefault="00AE4D5A" w:rsidP="008E5E01">
      <w:pPr>
        <w:pStyle w:val="Quote"/>
      </w:pPr>
      <w:r>
        <w:t>We have been exporting logs in containers to Asia to undertake tests to make advanced wood products which we hope to produce here in Tasmania. The impact on timing and cost as a result of containerized wood products being sent via Melbourne or elsewhere and the lengthy turnaround time has made our plans for innovation more costly and less efficient. (</w:t>
      </w:r>
      <w:r w:rsidRPr="00296529">
        <w:t>Forestry Tasmania</w:t>
      </w:r>
      <w:r>
        <w:t>,</w:t>
      </w:r>
      <w:r w:rsidRPr="00296529">
        <w:t xml:space="preserve"> </w:t>
      </w:r>
      <w:r>
        <w:t>sub. 37, p. 1)</w:t>
      </w:r>
    </w:p>
    <w:p w:rsidR="00AE4D5A" w:rsidRPr="00264713" w:rsidRDefault="00AE4D5A" w:rsidP="008E5E01">
      <w:pPr>
        <w:pStyle w:val="Quote"/>
      </w:pPr>
      <w:r w:rsidRPr="00264713">
        <w:t>With smaller exporters the invoices that I have</w:t>
      </w:r>
      <w:r>
        <w:t xml:space="preserve"> …</w:t>
      </w:r>
      <w:r w:rsidRPr="00264713">
        <w:t xml:space="preserve"> they</w:t>
      </w:r>
      <w:r>
        <w:t>’</w:t>
      </w:r>
      <w:r w:rsidRPr="00264713">
        <w:t>re all in February 2011. Bell Bay to Hong Kong for a 20</w:t>
      </w:r>
      <w:r>
        <w:noBreakHyphen/>
      </w:r>
      <w:r w:rsidRPr="00264713">
        <w:t xml:space="preserve">foot container it was $852. As at </w:t>
      </w:r>
      <w:r>
        <w:t>…</w:t>
      </w:r>
      <w:r w:rsidRPr="00264713">
        <w:t xml:space="preserve"> 12 September last year, the same costs were $1728 for the same container, so from February 2011 to September 2013 the cost has gone from $852 to $1728.</w:t>
      </w:r>
      <w:r>
        <w:t xml:space="preserve"> (Tasmanian Exporters Group, trans., p. 135)</w:t>
      </w:r>
    </w:p>
    <w:p w:rsidR="00AE4D5A" w:rsidRDefault="00AE4D5A" w:rsidP="008E5E01">
      <w:pPr>
        <w:pStyle w:val="BodyText"/>
      </w:pPr>
      <w:r>
        <w:t xml:space="preserve">These higher costs and transit times were exacerbated when Agility Shipping terminated its Melbourne–Bell Bay service in August 2011. For some businesses, </w:t>
      </w:r>
      <w:r>
        <w:lastRenderedPageBreak/>
        <w:t>that decision added distance to their land leg as it required containers to be shipped through Burnie or Devonport on their journey to or from the Port of Melbourne.</w:t>
      </w:r>
      <w:r w:rsidRPr="00FF75C6">
        <w:t xml:space="preserve"> </w:t>
      </w:r>
    </w:p>
    <w:p w:rsidR="00AE4D5A" w:rsidRDefault="00AE4D5A" w:rsidP="008E5E01">
      <w:pPr>
        <w:pStyle w:val="BodyText"/>
        <w:spacing w:before="200"/>
      </w:pPr>
      <w:r>
        <w:t>I</w:t>
      </w:r>
      <w:r w:rsidRPr="00154C5E">
        <w:t>n response to the cessation of direct international container shipping services</w:t>
      </w:r>
      <w:r>
        <w:t>, in 2012 the Australian and Tasmanian Governments agreed to a $20 million temporary assistance package for Tasmanian exporters (box 4.1).</w:t>
      </w:r>
      <w:r w:rsidRPr="007107CD">
        <w:t xml:space="preserve"> </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1</w:t>
            </w:r>
            <w:r>
              <w:tab/>
              <w:t>Temporary assistance for Tasmanian exporters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The 2012 assistance agreement provided funding for:</w:t>
            </w:r>
          </w:p>
          <w:p w:rsidR="00AE4D5A" w:rsidRDefault="00AE4D5A" w:rsidP="008E5E01">
            <w:pPr>
              <w:pStyle w:val="BoxListNumber2"/>
            </w:pPr>
            <w:r>
              <w:t>Direct shipping transition assistance for exporters with funding to be provided via a two</w:t>
            </w:r>
            <w:r>
              <w:noBreakHyphen/>
              <w:t>tranche allocation process.</w:t>
            </w:r>
          </w:p>
          <w:p w:rsidR="00AE4D5A" w:rsidRDefault="00AE4D5A" w:rsidP="008E5E01">
            <w:pPr>
              <w:pStyle w:val="BoxListBullet3"/>
              <w:numPr>
                <w:ilvl w:val="0"/>
                <w:numId w:val="0"/>
              </w:numPr>
              <w:ind w:left="567"/>
            </w:pPr>
            <w:r>
              <w:t>(</w:t>
            </w:r>
            <w:proofErr w:type="spellStart"/>
            <w:r>
              <w:t>i</w:t>
            </w:r>
            <w:proofErr w:type="spellEnd"/>
            <w:r>
              <w:t>) $11 million for previous users of direct international services who can demonstrate they have suffered increased costs as a result of cessation of those services, and who can provide evidence of positive measures implemented or planned in response to the new shipping environment.</w:t>
            </w:r>
          </w:p>
          <w:p w:rsidR="00AE4D5A" w:rsidRDefault="00AE4D5A" w:rsidP="008E5E01">
            <w:pPr>
              <w:pStyle w:val="BoxListBullet3"/>
              <w:numPr>
                <w:ilvl w:val="0"/>
                <w:numId w:val="0"/>
              </w:numPr>
              <w:ind w:left="567"/>
            </w:pPr>
            <w:r>
              <w:t>(ii) $3.5 million for other exporters who are able to provide evidence of positive measures implemented or planned to maintain ongoing competitiveness.</w:t>
            </w:r>
          </w:p>
          <w:p w:rsidR="00AE4D5A" w:rsidRDefault="00AE4D5A" w:rsidP="008E5E01">
            <w:pPr>
              <w:pStyle w:val="BoxListNumber2"/>
            </w:pPr>
            <w:r w:rsidRPr="00154C5E">
              <w:t>Burnie Port improvements</w:t>
            </w:r>
            <w:r>
              <w:t xml:space="preserve"> — $4 million to fund stage 1.1 of the planned redevelopment of Burnie Port, which includes the redevelopment of the southern </w:t>
            </w:r>
            <w:proofErr w:type="spellStart"/>
            <w:r>
              <w:t>railyard</w:t>
            </w:r>
            <w:proofErr w:type="spellEnd"/>
            <w:r>
              <w:t xml:space="preserve"> and the closure of a public street and creation of a high productivity transport link within the port precinct from the southern </w:t>
            </w:r>
            <w:proofErr w:type="spellStart"/>
            <w:r>
              <w:t>railyard</w:t>
            </w:r>
            <w:proofErr w:type="spellEnd"/>
            <w:r>
              <w:t xml:space="preserve"> to the existing shipping terminal.</w:t>
            </w:r>
          </w:p>
          <w:p w:rsidR="00AE4D5A" w:rsidRDefault="00AE4D5A" w:rsidP="008E5E01">
            <w:pPr>
              <w:pStyle w:val="BoxListNumber2"/>
            </w:pPr>
            <w:r>
              <w:t>An i</w:t>
            </w:r>
            <w:r w:rsidRPr="00154C5E">
              <w:t>ndustry</w:t>
            </w:r>
            <w:r>
              <w:noBreakHyphen/>
              <w:t>l</w:t>
            </w:r>
            <w:r w:rsidRPr="00154C5E">
              <w:t xml:space="preserve">ed </w:t>
            </w:r>
            <w:r>
              <w:t>f</w:t>
            </w:r>
            <w:r w:rsidRPr="00154C5E">
              <w:t xml:space="preserve">reight </w:t>
            </w:r>
            <w:r>
              <w:t>l</w:t>
            </w:r>
            <w:r w:rsidRPr="00154C5E">
              <w:t xml:space="preserve">ogistics </w:t>
            </w:r>
            <w:r>
              <w:t>c</w:t>
            </w:r>
            <w:r w:rsidRPr="00154C5E">
              <w:t xml:space="preserve">oordination </w:t>
            </w:r>
            <w:r>
              <w:t>t</w:t>
            </w:r>
            <w:r w:rsidRPr="00154C5E">
              <w:t>eam</w:t>
            </w:r>
            <w:r>
              <w:t xml:space="preserve"> — $1.5 million to establish an industry</w:t>
            </w:r>
            <w:r>
              <w:noBreakHyphen/>
              <w:t xml:space="preserve">led freight logistics coordination team to consider strategic issues associated with the development of Tasmania’s freight and logistics sector. </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 xml:space="preserve">: </w:t>
            </w:r>
            <w:r>
              <w:t xml:space="preserve">COAG </w:t>
            </w:r>
            <w:r w:rsidRPr="006226E9">
              <w:rPr>
                <w:rFonts w:cs="Arial"/>
              </w:rPr>
              <w:t>(2012)</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1D0244" w:rsidTr="008E5E01">
        <w:tc>
          <w:tcPr>
            <w:tcW w:w="8771" w:type="dxa"/>
            <w:tcBorders>
              <w:top w:val="nil"/>
              <w:left w:val="nil"/>
              <w:bottom w:val="nil"/>
              <w:right w:val="nil"/>
            </w:tcBorders>
          </w:tcPr>
          <w:p w:rsidR="00AE4D5A" w:rsidRPr="001D0244" w:rsidRDefault="00AE4D5A" w:rsidP="008E5E01">
            <w:pPr>
              <w:pStyle w:val="BoxSpaceBelow"/>
            </w:pPr>
          </w:p>
        </w:tc>
      </w:tr>
    </w:tbl>
    <w:p w:rsidR="00AE4D5A" w:rsidRDefault="00AE4D5A" w:rsidP="008E5E01">
      <w:pPr>
        <w:pStyle w:val="BodyText"/>
        <w:spacing w:before="200"/>
      </w:pPr>
      <w:r>
        <w:t>Incidental and limited international container shipping resumed in 2013, when Bell Bay Aluminium (BBA) negotiated with Swire Shipping to collect largely break</w:t>
      </w:r>
      <w:r>
        <w:noBreakHyphen/>
        <w:t xml:space="preserve">bulk freight from Bell Bay for delivery to Asia </w:t>
      </w:r>
      <w:r w:rsidRPr="004D54EB">
        <w:rPr>
          <w:szCs w:val="24"/>
        </w:rPr>
        <w:t>(BBA and Swire 2013)</w:t>
      </w:r>
      <w:r>
        <w:t>. Swire now provides a monthly service for break</w:t>
      </w:r>
      <w:r>
        <w:noBreakHyphen/>
        <w:t xml:space="preserve">bulk and some containerised freight. </w:t>
      </w:r>
    </w:p>
    <w:p w:rsidR="00AE4D5A" w:rsidRDefault="00AE4D5A" w:rsidP="008E5E01">
      <w:pPr>
        <w:pStyle w:val="BodyText"/>
        <w:spacing w:before="200"/>
      </w:pPr>
      <w:r>
        <w:t>The new service caters for almost half of BBA’s container shipping needs (around 150 containers per month), with the remainder shipped via the Port of Melbourne, and provides some modest capacity for other Tasmanian exporters and importers</w:t>
      </w:r>
      <w:r w:rsidRPr="005E59FA">
        <w:t xml:space="preserve"> </w:t>
      </w:r>
      <w:r w:rsidRPr="00AD006A">
        <w:rPr>
          <w:szCs w:val="24"/>
        </w:rPr>
        <w:t>(BBA and Swire 2013; BBA, trans., pp. 323-324)</w:t>
      </w:r>
      <w:r>
        <w:t>.</w:t>
      </w:r>
    </w:p>
    <w:p w:rsidR="00AE4D5A" w:rsidRDefault="00AE4D5A">
      <w:pPr>
        <w:rPr>
          <w:szCs w:val="20"/>
        </w:rPr>
      </w:pPr>
      <w:r>
        <w:br w:type="page"/>
      </w:r>
    </w:p>
    <w:p w:rsidR="00AE4D5A" w:rsidRDefault="00AE4D5A" w:rsidP="008E5E01">
      <w:pPr>
        <w:pStyle w:val="BodyText"/>
        <w:spacing w:before="200"/>
      </w:pPr>
      <w:r>
        <w:lastRenderedPageBreak/>
        <w:t>In February 2014, the Tasmanian Government announced that it had chosen Swire Shipping as the preferred carrier for an international container shipping service from Bell Bay (Tasmanian Government, trans., p. 437). This selection followed a competitive tender process run by the Tasmanian Government. The process was facilitated by commercial shipping consultants Thompson Clarke. It is envisaged that the new service could provide an export/import service on a regular (14</w:t>
      </w:r>
      <w:r>
        <w:noBreakHyphen/>
        <w:t xml:space="preserve">21 day) basis with connections to North Asian hubs (Hong Kong and Shanghai) and calls to ports on the Australian east coast. However, it is premised on some level of ‘transitional’ assistance funded by the Tasmanian Government </w:t>
      </w:r>
      <w:r w:rsidRPr="00461A45">
        <w:t>(reported to reside in a range of $4 million to $33 million)</w:t>
      </w:r>
      <w:r>
        <w:t xml:space="preserve">. </w:t>
      </w:r>
    </w:p>
    <w:p w:rsidR="00AE4D5A" w:rsidRDefault="00AE4D5A" w:rsidP="008E5E01">
      <w:pPr>
        <w:pStyle w:val="BodyText"/>
        <w:spacing w:before="200"/>
      </w:pPr>
      <w:r>
        <w:t xml:space="preserve">A direct shipping service has advantages and disadvantages compared to transhipment through the Port of Melbourne. Direct international shipment can mean savings in freight charges and improved transit times. It enables shippers to minimise the length of their supply chain and transhipment movements, and reduce the risks associated with greater handling of freight. On the other hand, a direct international service may only offer limited services to some international markets and potentially limited capacity, while transhipment through Melbourne opens access to multiple shipping lines with more frequent services to ports around the world </w:t>
      </w:r>
      <w:r w:rsidRPr="00DD24BF">
        <w:rPr>
          <w:szCs w:val="24"/>
        </w:rPr>
        <w:t>(GPS 2013)</w:t>
      </w:r>
      <w:r>
        <w:t xml:space="preserve">. The relative merit is ultimately a commercial matter for shippers and informed by the ultimate route, costs and transhipment services through other hubs. </w:t>
      </w:r>
    </w:p>
    <w:p w:rsidR="00AE4D5A" w:rsidRDefault="00AE4D5A" w:rsidP="008E5E01">
      <w:pPr>
        <w:pStyle w:val="BodyText"/>
      </w:pPr>
      <w:r>
        <w:t xml:space="preserve">The Commission received mixed views on the value of a direct service. </w:t>
      </w:r>
    </w:p>
    <w:p w:rsidR="00AE4D5A" w:rsidRPr="00903386" w:rsidRDefault="00AE4D5A" w:rsidP="008E5E01">
      <w:pPr>
        <w:pStyle w:val="Quote"/>
      </w:pPr>
      <w:r w:rsidRPr="00017226">
        <w:t xml:space="preserve">… if we are going to be enticing an international ship here, it is going to help some people but it is not going to be able </w:t>
      </w:r>
      <w:r w:rsidRPr="004A2B4D">
        <w:t>to help everybody with their international shipping. (</w:t>
      </w:r>
      <w:r w:rsidRPr="0072788B">
        <w:t>Agility Logistics, trans.</w:t>
      </w:r>
      <w:r>
        <w:t>,</w:t>
      </w:r>
      <w:r w:rsidRPr="0072788B">
        <w:t> p. 372</w:t>
      </w:r>
      <w:r w:rsidRPr="00903386">
        <w:t>)</w:t>
      </w:r>
    </w:p>
    <w:p w:rsidR="00AE4D5A" w:rsidRDefault="00AE4D5A" w:rsidP="008E5E01">
      <w:pPr>
        <w:pStyle w:val="BodyText"/>
      </w:pPr>
      <w:r>
        <w:t>As discussed in chapter 3, some participants, such as the Tasmanian Exporters Group (trans., p. 135), Northern Tasmania Development (sub. </w:t>
      </w:r>
      <w:proofErr w:type="spellStart"/>
      <w:r>
        <w:t>DR93</w:t>
      </w:r>
      <w:proofErr w:type="spellEnd"/>
      <w:r>
        <w:t>), Veolia Environmental Services (trans., p. 251, sub. DR103) and Cuthbertson Bros (trans., p. 286, sub. </w:t>
      </w:r>
      <w:proofErr w:type="spellStart"/>
      <w:r>
        <w:t>DR104</w:t>
      </w:r>
      <w:proofErr w:type="spellEnd"/>
      <w:r>
        <w:t>) emphasised the necessity of such a service for international exporters, particularly for those in the Bell Bay area. Other participants noted that a direct service is unlikely to suit everyone’s needs:</w:t>
      </w:r>
    </w:p>
    <w:p w:rsidR="00AE4D5A" w:rsidRPr="00017226" w:rsidRDefault="00AE4D5A" w:rsidP="008E5E01">
      <w:pPr>
        <w:pStyle w:val="Quote"/>
      </w:pPr>
      <w:r w:rsidRPr="00017226">
        <w:t xml:space="preserve">I would like to categorically state that </w:t>
      </w:r>
      <w:proofErr w:type="spellStart"/>
      <w:r w:rsidRPr="00017226">
        <w:t>Nyrstar</w:t>
      </w:r>
      <w:proofErr w:type="spellEnd"/>
      <w:r w:rsidRPr="00017226">
        <w:t xml:space="preserve"> does not have any requirement for a direct international shipping service from Tasmania, with the Port of Melbourne offering far greater optionality </w:t>
      </w:r>
      <w:r>
        <w:t>… (</w:t>
      </w:r>
      <w:proofErr w:type="spellStart"/>
      <w:r>
        <w:t>Nyrstar</w:t>
      </w:r>
      <w:proofErr w:type="spellEnd"/>
      <w:r>
        <w:t>, sub. </w:t>
      </w:r>
      <w:proofErr w:type="spellStart"/>
      <w:r>
        <w:t>DR105</w:t>
      </w:r>
      <w:proofErr w:type="spellEnd"/>
      <w:r>
        <w:t>, p. 1)</w:t>
      </w:r>
    </w:p>
    <w:p w:rsidR="00AE4D5A" w:rsidRDefault="00AE4D5A">
      <w:pPr>
        <w:rPr>
          <w:sz w:val="24"/>
          <w:szCs w:val="20"/>
        </w:rPr>
      </w:pPr>
      <w:r>
        <w:br w:type="page"/>
      </w:r>
    </w:p>
    <w:p w:rsidR="00AE4D5A" w:rsidRDefault="00AE4D5A" w:rsidP="008E5E01">
      <w:pPr>
        <w:pStyle w:val="Quote"/>
      </w:pPr>
      <w:r>
        <w:lastRenderedPageBreak/>
        <w:t>… it is realistic to expect that a direct international service … could only call on a fortnightly basis. This implies an approximate two-week delay between sailings, and would immediately exclude a number of exporters where this timeframe is not appropriate, especially if goods are of a time-sensitive nature, such as fish and vegetable products … there is also the challenge in determining to which port the ship would call, recognising that at least 50% of the freight would need to be transhipped to other global destinations. (Net Sea Freight, sub. 26, p. 8)</w:t>
      </w:r>
    </w:p>
    <w:p w:rsidR="00AE4D5A" w:rsidRDefault="00AE4D5A" w:rsidP="008E5E01">
      <w:pPr>
        <w:pStyle w:val="Quote"/>
      </w:pPr>
      <w:r>
        <w:t xml:space="preserve">… </w:t>
      </w:r>
      <w:r w:rsidRPr="00D92B25">
        <w:t>international shipping service</w:t>
      </w:r>
      <w:r>
        <w:t>[s]</w:t>
      </w:r>
      <w:r w:rsidRPr="00D92B25">
        <w:t>, they</w:t>
      </w:r>
      <w:r>
        <w:t>’</w:t>
      </w:r>
      <w:r w:rsidRPr="00D92B25">
        <w:t>re not all the same</w:t>
      </w:r>
      <w:r>
        <w:t xml:space="preserve"> …</w:t>
      </w:r>
      <w:r w:rsidRPr="00D92B25">
        <w:t xml:space="preserve"> you</w:t>
      </w:r>
      <w:r>
        <w:t>’</w:t>
      </w:r>
      <w:r w:rsidRPr="00D92B25">
        <w:t>ve got different destinations. Just because you export it doesn</w:t>
      </w:r>
      <w:r>
        <w:t>’</w:t>
      </w:r>
      <w:r w:rsidRPr="00D92B25">
        <w:t>t mean it goes on an export ship and it gets to where you want it to go, whereas out of Melbourne we can get to anywhere in the world weekly. That</w:t>
      </w:r>
      <w:r>
        <w:t>’</w:t>
      </w:r>
      <w:r w:rsidRPr="00D92B25">
        <w:t>s a much better service.</w:t>
      </w:r>
      <w:r>
        <w:t xml:space="preserve"> (Harvest Moon, trans., p. 341)</w:t>
      </w:r>
    </w:p>
    <w:p w:rsidR="00AE4D5A" w:rsidRDefault="00AE4D5A" w:rsidP="008E5E01">
      <w:pPr>
        <w:pStyle w:val="BodyText"/>
        <w:spacing w:before="200"/>
      </w:pPr>
      <w:r>
        <w:t xml:space="preserve">Finally, as the Department of Infrastructure and Regional Development (DIRD) notes, a range of other bulk and general cargo vessels call at Tasmania destined for overseas ports, carrying a range of products including chemicals, crude oil, liquid petroleum, cement and wood chips (sub. 42). Concerns from inquiry participants, however, have focused on a direct containerised freight service between Tasmania and international markets. </w:t>
      </w:r>
    </w:p>
    <w:p w:rsidR="00AE4D5A" w:rsidRDefault="00AE4D5A" w:rsidP="008E5E01">
      <w:pPr>
        <w:pStyle w:val="Heading3"/>
      </w:pPr>
      <w:r>
        <w:t>Cost of shipping</w:t>
      </w:r>
    </w:p>
    <w:p w:rsidR="00AE4D5A" w:rsidRDefault="00AE4D5A" w:rsidP="008E5E01">
      <w:pPr>
        <w:pStyle w:val="BodyText"/>
      </w:pPr>
      <w:r>
        <w:t xml:space="preserve">The cost of operating a ship across Bass Strait is a function of various fixed and operating costs (table 4.2) and the size and configuration of the vessel. Aurecon </w:t>
      </w:r>
      <w:r w:rsidRPr="004A115F">
        <w:t>(2013c)</w:t>
      </w:r>
      <w:r>
        <w:t xml:space="preserve"> and SeaRoad (sub. </w:t>
      </w:r>
      <w:proofErr w:type="spellStart"/>
      <w:r>
        <w:t>DR81</w:t>
      </w:r>
      <w:proofErr w:type="spellEnd"/>
      <w:r>
        <w:t>) have noted that the cost of shipping services on RORO vessels is generally higher than for dedicated container ships.</w:t>
      </w:r>
    </w:p>
    <w:p w:rsidR="00AE4D5A" w:rsidRPr="0052232D" w:rsidRDefault="00AE4D5A" w:rsidP="008E5E01">
      <w:pPr>
        <w:pStyle w:val="BodyText"/>
      </w:pPr>
      <w:r>
        <w:t>The relatively short distance</w:t>
      </w:r>
      <w:r w:rsidRPr="009D2F1B">
        <w:t xml:space="preserve"> </w:t>
      </w:r>
      <w:r>
        <w:t xml:space="preserve">across Bass Strait (about 420 kilometres) is also an important influence on the costs of these shipping services. The short voyage means freight is loaded and discharged twice in every 24 hour period, subjecting vessels to greater wear and tear </w:t>
      </w:r>
      <w:r w:rsidRPr="004A115F">
        <w:rPr>
          <w:szCs w:val="24"/>
        </w:rPr>
        <w:t>(Aurecon 2013c)</w:t>
      </w:r>
      <w:r>
        <w:t>. The short voyage means vessels also spend more time in port, incurring proportionately higher port and stevedoring charges compared to vessels on longer routes (Net Sea Freight, sub. 26).</w:t>
      </w:r>
    </w:p>
    <w:p w:rsidR="00AE4D5A" w:rsidRDefault="00AE4D5A" w:rsidP="008E5E01">
      <w:pPr>
        <w:pStyle w:val="BodyText"/>
      </w:pPr>
      <w:r>
        <w:t xml:space="preserve">The costs (prices) faced by users of Bass Strait shipping are not uniform. They differ based on factors such as size and frequency of shipment, variability of user demand and type of container required. Thus, freight users with low volumes or who have highly seasonal requirements will generally pay more than users with large and consistent volumes </w:t>
      </w:r>
      <w:r w:rsidRPr="004D54EB">
        <w:rPr>
          <w:szCs w:val="24"/>
        </w:rPr>
        <w:t>(FLCT 2013b)</w:t>
      </w:r>
      <w:r>
        <w:t xml:space="preserve">. The unit costs they face will also reflect the capacity utilisation of that service (and, thus, the ability of the shipping line to spread its costs over the volume of freight carried). </w:t>
      </w:r>
    </w:p>
    <w:p w:rsidR="00AE4D5A" w:rsidRDefault="00AE4D5A" w:rsidP="008E5E01">
      <w:pPr>
        <w:pStyle w:val="TableTitle"/>
      </w:pPr>
      <w:r>
        <w:rPr>
          <w:b w:val="0"/>
        </w:rPr>
        <w:lastRenderedPageBreak/>
        <w:t>Table 4.</w:t>
      </w:r>
      <w:r>
        <w:rPr>
          <w:b w:val="0"/>
          <w:noProof/>
        </w:rPr>
        <w:t>2</w:t>
      </w:r>
      <w:r>
        <w:tab/>
        <w:t>Bass Strait voyage costs</w:t>
      </w:r>
    </w:p>
    <w:tbl>
      <w:tblPr>
        <w:tblW w:w="5000" w:type="pct"/>
        <w:tblCellMar>
          <w:left w:w="0" w:type="dxa"/>
          <w:right w:w="0" w:type="dxa"/>
        </w:tblCellMar>
        <w:tblLook w:val="0000" w:firstRow="0" w:lastRow="0" w:firstColumn="0" w:lastColumn="0" w:noHBand="0" w:noVBand="0"/>
      </w:tblPr>
      <w:tblGrid>
        <w:gridCol w:w="6379"/>
        <w:gridCol w:w="2410"/>
      </w:tblGrid>
      <w:tr w:rsidR="00AE4D5A" w:rsidTr="008E5E01">
        <w:tc>
          <w:tcPr>
            <w:tcW w:w="3629" w:type="pct"/>
            <w:tcBorders>
              <w:top w:val="single" w:sz="6" w:space="0" w:color="auto"/>
              <w:bottom w:val="single" w:sz="6" w:space="0" w:color="auto"/>
            </w:tcBorders>
            <w:shd w:val="clear" w:color="auto" w:fill="auto"/>
          </w:tcPr>
          <w:p w:rsidR="00AE4D5A" w:rsidRDefault="00AE4D5A" w:rsidP="008E5E01">
            <w:pPr>
              <w:pStyle w:val="TableColumnHeading"/>
              <w:jc w:val="left"/>
            </w:pPr>
            <w:r>
              <w:t>Costs</w:t>
            </w:r>
          </w:p>
        </w:tc>
        <w:tc>
          <w:tcPr>
            <w:tcW w:w="1371" w:type="pct"/>
            <w:tcBorders>
              <w:top w:val="single" w:sz="6" w:space="0" w:color="auto"/>
              <w:bottom w:val="single" w:sz="6" w:space="0" w:color="auto"/>
            </w:tcBorders>
            <w:shd w:val="clear" w:color="auto" w:fill="auto"/>
          </w:tcPr>
          <w:p w:rsidR="00AE4D5A" w:rsidRDefault="00AE4D5A" w:rsidP="008E5E01">
            <w:pPr>
              <w:pStyle w:val="TableColumnHeading"/>
              <w:ind w:right="28"/>
            </w:pPr>
            <w:r>
              <w:t>Proportion (%)</w:t>
            </w:r>
          </w:p>
        </w:tc>
      </w:tr>
      <w:tr w:rsidR="00AE4D5A" w:rsidTr="008E5E01">
        <w:tc>
          <w:tcPr>
            <w:tcW w:w="3629" w:type="pct"/>
          </w:tcPr>
          <w:p w:rsidR="00AE4D5A" w:rsidRDefault="00AE4D5A" w:rsidP="008E5E01">
            <w:pPr>
              <w:pStyle w:val="TableBodyText"/>
              <w:jc w:val="left"/>
            </w:pPr>
            <w:r>
              <w:t>Capital and financing costs (such as interest payments)</w:t>
            </w:r>
          </w:p>
        </w:tc>
        <w:tc>
          <w:tcPr>
            <w:tcW w:w="1371" w:type="pct"/>
          </w:tcPr>
          <w:p w:rsidR="00AE4D5A" w:rsidRDefault="00AE4D5A" w:rsidP="008E5E01">
            <w:pPr>
              <w:pStyle w:val="TableBodyText"/>
              <w:ind w:right="28"/>
            </w:pPr>
            <w:r>
              <w:t>35–45</w:t>
            </w:r>
          </w:p>
        </w:tc>
      </w:tr>
      <w:tr w:rsidR="00AE4D5A" w:rsidTr="008E5E01">
        <w:tc>
          <w:tcPr>
            <w:tcW w:w="3629" w:type="pct"/>
          </w:tcPr>
          <w:p w:rsidR="00AE4D5A" w:rsidRDefault="00AE4D5A" w:rsidP="008E5E01">
            <w:pPr>
              <w:pStyle w:val="TableBodyText"/>
              <w:jc w:val="left"/>
            </w:pPr>
            <w:r>
              <w:t>Fuel costs for voyage</w:t>
            </w:r>
          </w:p>
        </w:tc>
        <w:tc>
          <w:tcPr>
            <w:tcW w:w="1371" w:type="pct"/>
          </w:tcPr>
          <w:p w:rsidR="00AE4D5A" w:rsidRDefault="00AE4D5A" w:rsidP="008E5E01">
            <w:pPr>
              <w:pStyle w:val="TableBodyText"/>
              <w:ind w:right="28"/>
            </w:pPr>
            <w:r>
              <w:t>30</w:t>
            </w:r>
          </w:p>
        </w:tc>
      </w:tr>
      <w:tr w:rsidR="00AE4D5A" w:rsidTr="008E5E01">
        <w:tc>
          <w:tcPr>
            <w:tcW w:w="3629" w:type="pct"/>
          </w:tcPr>
          <w:p w:rsidR="00AE4D5A" w:rsidRDefault="00AE4D5A" w:rsidP="008E5E01">
            <w:pPr>
              <w:pStyle w:val="TableBodyText"/>
              <w:jc w:val="left"/>
            </w:pPr>
            <w:r>
              <w:t>Crewing, wages, administration and on</w:t>
            </w:r>
            <w:r>
              <w:noBreakHyphen/>
              <w:t>costs</w:t>
            </w:r>
          </w:p>
        </w:tc>
        <w:tc>
          <w:tcPr>
            <w:tcW w:w="1371" w:type="pct"/>
          </w:tcPr>
          <w:p w:rsidR="00AE4D5A" w:rsidRDefault="00AE4D5A" w:rsidP="008E5E01">
            <w:pPr>
              <w:pStyle w:val="TableBodyText"/>
              <w:ind w:right="28"/>
            </w:pPr>
            <w:r>
              <w:t>15</w:t>
            </w:r>
          </w:p>
        </w:tc>
      </w:tr>
      <w:tr w:rsidR="00AE4D5A" w:rsidTr="008E5E01">
        <w:tc>
          <w:tcPr>
            <w:tcW w:w="3629" w:type="pct"/>
          </w:tcPr>
          <w:p w:rsidR="00AE4D5A" w:rsidRDefault="00AE4D5A" w:rsidP="008E5E01">
            <w:pPr>
              <w:pStyle w:val="TableBodyText"/>
              <w:jc w:val="left"/>
            </w:pPr>
            <w:r>
              <w:t>Repairs, surveys, dry</w:t>
            </w:r>
            <w:r>
              <w:noBreakHyphen/>
              <w:t>docks and maintenance</w:t>
            </w:r>
          </w:p>
        </w:tc>
        <w:tc>
          <w:tcPr>
            <w:tcW w:w="1371" w:type="pct"/>
          </w:tcPr>
          <w:p w:rsidR="00AE4D5A" w:rsidRDefault="00AE4D5A" w:rsidP="008E5E01">
            <w:pPr>
              <w:pStyle w:val="TableBodyText"/>
              <w:ind w:right="28"/>
            </w:pPr>
            <w:r>
              <w:t>15</w:t>
            </w:r>
          </w:p>
        </w:tc>
      </w:tr>
      <w:tr w:rsidR="00AE4D5A" w:rsidTr="008E5E01">
        <w:tc>
          <w:tcPr>
            <w:tcW w:w="3629" w:type="pct"/>
            <w:tcBorders>
              <w:bottom w:val="single" w:sz="6" w:space="0" w:color="auto"/>
            </w:tcBorders>
            <w:shd w:val="clear" w:color="auto" w:fill="auto"/>
          </w:tcPr>
          <w:p w:rsidR="00AE4D5A" w:rsidRDefault="00AE4D5A" w:rsidP="008E5E01">
            <w:pPr>
              <w:pStyle w:val="TableBodyText"/>
              <w:jc w:val="left"/>
            </w:pPr>
            <w:r>
              <w:t>Port costs, such as berthing and pilotage</w:t>
            </w:r>
          </w:p>
        </w:tc>
        <w:tc>
          <w:tcPr>
            <w:tcW w:w="1371" w:type="pct"/>
            <w:tcBorders>
              <w:bottom w:val="single" w:sz="6" w:space="0" w:color="auto"/>
            </w:tcBorders>
            <w:shd w:val="clear" w:color="auto" w:fill="auto"/>
          </w:tcPr>
          <w:p w:rsidR="00AE4D5A" w:rsidRDefault="00AE4D5A" w:rsidP="008E5E01">
            <w:pPr>
              <w:pStyle w:val="TableBodyText"/>
              <w:ind w:right="28"/>
            </w:pPr>
            <w:r>
              <w:t>5</w:t>
            </w:r>
          </w:p>
        </w:tc>
      </w:tr>
    </w:tbl>
    <w:p w:rsidR="00AE4D5A" w:rsidRPr="008E77FE" w:rsidRDefault="00AE4D5A" w:rsidP="008E5E01">
      <w:pPr>
        <w:pStyle w:val="Source"/>
      </w:pPr>
      <w:r>
        <w:rPr>
          <w:i/>
        </w:rPr>
        <w:t>Source</w:t>
      </w:r>
      <w:r>
        <w:t xml:space="preserve">: Aurecon </w:t>
      </w:r>
      <w:r w:rsidRPr="008B0EDC">
        <w:rPr>
          <w:rFonts w:cs="Arial"/>
        </w:rPr>
        <w:t>(2013c)</w:t>
      </w:r>
      <w:r>
        <w:t>.</w:t>
      </w:r>
    </w:p>
    <w:p w:rsidR="00AE4D5A" w:rsidRDefault="00AE4D5A" w:rsidP="008E5E01">
      <w:pPr>
        <w:pStyle w:val="BodyText"/>
      </w:pPr>
      <w:r w:rsidRPr="00CE473E">
        <w:t xml:space="preserve">For </w:t>
      </w:r>
      <w:r>
        <w:t xml:space="preserve">the typical </w:t>
      </w:r>
      <w:r w:rsidRPr="00CE473E">
        <w:t xml:space="preserve">freight user, the </w:t>
      </w:r>
      <w:r>
        <w:t>cost</w:t>
      </w:r>
      <w:r w:rsidRPr="00CE473E">
        <w:t xml:space="preserve"> of shipping across Bass Strait i</w:t>
      </w:r>
      <w:r>
        <w:t xml:space="preserve">s the largest single transport cost in their supply chain </w:t>
      </w:r>
      <w:r w:rsidRPr="004A115F">
        <w:rPr>
          <w:szCs w:val="24"/>
        </w:rPr>
        <w:t>(FLCT 2013b)</w:t>
      </w:r>
      <w:r>
        <w:t>. Data from the Bureau of Infrastructure, Transport and Regional Economics (BITRE), for example, indicate that in 2011</w:t>
      </w:r>
      <w:r>
        <w:noBreakHyphen/>
        <w:t>12, the median wharf</w:t>
      </w:r>
      <w:r>
        <w:noBreakHyphen/>
        <w:t>to</w:t>
      </w:r>
      <w:r>
        <w:noBreakHyphen/>
        <w:t>wharf cost for Tasmanian Freight Equalisation Scheme (TFES) claims was $1129, which represents around 62 per cent of the median total door</w:t>
      </w:r>
      <w:r>
        <w:noBreakHyphen/>
        <w:t>to</w:t>
      </w:r>
      <w:r>
        <w:noBreakHyphen/>
        <w:t xml:space="preserve">door cost of $1800 per TEU </w:t>
      </w:r>
      <w:r w:rsidR="007C1471" w:rsidRPr="007C1471">
        <w:rPr>
          <w:szCs w:val="24"/>
        </w:rPr>
        <w:t>(BITRE 2013b)</w:t>
      </w:r>
      <w:r>
        <w:t>.</w:t>
      </w:r>
      <w:r w:rsidRPr="00072B5D">
        <w:t xml:space="preserve"> </w:t>
      </w:r>
      <w:r w:rsidRPr="00800FD9">
        <w:t xml:space="preserve">Bass Strait shipping </w:t>
      </w:r>
      <w:r>
        <w:t>rates fell significantly in real terms</w:t>
      </w:r>
      <w:r w:rsidRPr="00800FD9">
        <w:t xml:space="preserve"> </w:t>
      </w:r>
      <w:r>
        <w:t>from the early 1980s</w:t>
      </w:r>
      <w:r w:rsidRPr="00800FD9">
        <w:t xml:space="preserve"> </w:t>
      </w:r>
      <w:r>
        <w:t xml:space="preserve">to the end of that decade, and appear to have since settled into a pattern of fluctuation around a slowly declining trend </w:t>
      </w:r>
      <w:r w:rsidRPr="00B31878">
        <w:t>(figure 2.5)</w:t>
      </w:r>
      <w:r>
        <w:t>. Commenting on recent shipping costs, Net Sea Freight noted:</w:t>
      </w:r>
    </w:p>
    <w:p w:rsidR="00AE4D5A" w:rsidRDefault="00AE4D5A" w:rsidP="008E5E01">
      <w:pPr>
        <w:pStyle w:val="Quote"/>
      </w:pPr>
      <w:r>
        <w:t>There has been a reduction in costs and improved service through shortening lead times, removing logistics steps, improving asset utilisation and introducing automation where appropriate. (sub. 26, p. 9)</w:t>
      </w:r>
    </w:p>
    <w:p w:rsidR="00AE4D5A" w:rsidRDefault="00AE4D5A" w:rsidP="008E5E01">
      <w:pPr>
        <w:pStyle w:val="BodyText"/>
      </w:pPr>
      <w:r>
        <w:t>Despite these gains, many participants expressed concerns about excessive Bass Strait shipping costs. Mondelez, for example, claimed that the costs were inefficiently high:</w:t>
      </w:r>
    </w:p>
    <w:p w:rsidR="00AE4D5A" w:rsidRDefault="00AE4D5A" w:rsidP="008E5E01">
      <w:pPr>
        <w:pStyle w:val="Quote"/>
      </w:pPr>
      <w:r>
        <w:t xml:space="preserve">The freight services between Tasmania and the mainland are reasonably adequate in terms of time and capacity. However, the inefficient costs of the freight on Bass Strait results in substantially higher costs for the operations of Mondelez International in Tasmania. (sub. 24, p. 3) </w:t>
      </w:r>
    </w:p>
    <w:p w:rsidR="00AE4D5A" w:rsidRDefault="00AE4D5A" w:rsidP="008E5E01">
      <w:pPr>
        <w:pStyle w:val="BodyText"/>
      </w:pPr>
      <w:r>
        <w:t xml:space="preserve">The Commission also heard some anecdotal evidence that the departure of the AAA service had competition implications for shipping across Bass Strait, including that it led to an increase in freight rates: </w:t>
      </w:r>
    </w:p>
    <w:p w:rsidR="00AE4D5A" w:rsidRDefault="00AE4D5A" w:rsidP="008E5E01">
      <w:pPr>
        <w:pStyle w:val="Quote"/>
      </w:pPr>
      <w:r w:rsidRPr="00750145">
        <w:t xml:space="preserve">The lack of a direct service was soon followed </w:t>
      </w:r>
      <w:r>
        <w:t xml:space="preserve">[by] </w:t>
      </w:r>
      <w:r w:rsidRPr="00750145">
        <w:t>freight rate increases imposed by the Bass Strait shipping providers. Incidentally both Toll/ANL and Sea Road have increased freight rates in close proximity to each other on a semi regular basis since.</w:t>
      </w:r>
      <w:r>
        <w:t xml:space="preserve"> (John Barker and Associates, sub. 44, p. 1)</w:t>
      </w:r>
    </w:p>
    <w:p w:rsidR="00AE4D5A" w:rsidRPr="00750145" w:rsidRDefault="00AE4D5A" w:rsidP="008E5E01">
      <w:pPr>
        <w:pStyle w:val="Quote"/>
      </w:pPr>
      <w:r>
        <w:t xml:space="preserve">[when AAA exited the market] … </w:t>
      </w:r>
      <w:r w:rsidRPr="00750145">
        <w:t>we were paying $800 to Melbourne and overnight it went up 25 per cent to a thousand.</w:t>
      </w:r>
      <w:r>
        <w:t xml:space="preserve"> (Cuthbertson Bros, trans., p. 295)</w:t>
      </w:r>
    </w:p>
    <w:p w:rsidR="00AE4D5A" w:rsidRDefault="00AE4D5A">
      <w:pPr>
        <w:rPr>
          <w:szCs w:val="20"/>
        </w:rPr>
      </w:pPr>
      <w:r>
        <w:br w:type="page"/>
      </w:r>
    </w:p>
    <w:p w:rsidR="00AE4D5A" w:rsidRDefault="00AE4D5A" w:rsidP="008E5E01">
      <w:pPr>
        <w:pStyle w:val="BodyText"/>
      </w:pPr>
      <w:r>
        <w:lastRenderedPageBreak/>
        <w:t>However, SeaRoad disputed these claims:</w:t>
      </w:r>
    </w:p>
    <w:p w:rsidR="00AE4D5A" w:rsidRPr="00557FD1" w:rsidRDefault="00AE4D5A" w:rsidP="008E5E01">
      <w:pPr>
        <w:pStyle w:val="Quote"/>
      </w:pPr>
      <w:r>
        <w:t xml:space="preserve">There has been some comment in the submissions to the Inquiry that Bass Strait shipping rates increased after the withdrawal of the AAA service from Bell Bay. </w:t>
      </w:r>
      <w:proofErr w:type="spellStart"/>
      <w:r>
        <w:t>SeaRoad’s</w:t>
      </w:r>
      <w:proofErr w:type="spellEnd"/>
      <w:r>
        <w:t xml:space="preserve"> existing shipping rates (non-overseas feeder rates) did not increase outside the normal annual review. </w:t>
      </w:r>
      <w:r w:rsidRPr="00767BAC">
        <w:t>(sub.</w:t>
      </w:r>
      <w:r w:rsidRPr="004125DE">
        <w:t> </w:t>
      </w:r>
      <w:proofErr w:type="spellStart"/>
      <w:r w:rsidRPr="004125DE">
        <w:t>DR100</w:t>
      </w:r>
      <w:proofErr w:type="spellEnd"/>
      <w:r w:rsidRPr="00767BAC">
        <w:t>,</w:t>
      </w:r>
      <w:r w:rsidRPr="004125DE">
        <w:t> </w:t>
      </w:r>
      <w:r w:rsidRPr="00767BAC">
        <w:t>p. 2)</w:t>
      </w:r>
    </w:p>
    <w:p w:rsidR="00AE4D5A" w:rsidRDefault="00AE4D5A" w:rsidP="008E5E01">
      <w:pPr>
        <w:pStyle w:val="BodyText"/>
      </w:pPr>
      <w:r>
        <w:t>The Commission also received evidence on the high transport costs faced by producers on King Island and the Furneaux Group of islands:</w:t>
      </w:r>
    </w:p>
    <w:p w:rsidR="00AE4D5A" w:rsidRDefault="00AE4D5A" w:rsidP="008E5E01">
      <w:pPr>
        <w:pStyle w:val="Quote"/>
      </w:pPr>
      <w:r w:rsidRPr="00257B0A">
        <w:t>Freight for King Island beef producers is 26% of farm operating costs – compared to freight of comparable mainland beef producers at 3% of operating costs. Prior to the abattoir closing, freight costs were less than 3% of farm operating costs.</w:t>
      </w:r>
      <w:r>
        <w:t xml:space="preserve"> (TFGA </w:t>
      </w:r>
      <w:r>
        <w:noBreakHyphen/>
        <w:t xml:space="preserve"> King Island Branch, sub. </w:t>
      </w:r>
      <w:proofErr w:type="spellStart"/>
      <w:r>
        <w:t>DR79</w:t>
      </w:r>
      <w:proofErr w:type="spellEnd"/>
      <w:r>
        <w:t>, p. 3)</w:t>
      </w:r>
    </w:p>
    <w:p w:rsidR="00AE4D5A" w:rsidRDefault="00AE4D5A" w:rsidP="008E5E01">
      <w:pPr>
        <w:pStyle w:val="BodyText"/>
      </w:pPr>
      <w:r>
        <w:t xml:space="preserve">The cost of shipping across Bass Strait is also an issue for international shippers. Compared to direct international shipping through Bell Bay, transhipping through the Port of Melbourne adds an average of about $800–$1500 per container in transport costs. It can also add up to 3–5 days to the transit times of northbound shipments and 7–10 days to southbound shipments </w:t>
      </w:r>
      <w:r w:rsidRPr="004A115F">
        <w:rPr>
          <w:szCs w:val="24"/>
        </w:rPr>
        <w:t>(GPS 2013)</w:t>
      </w:r>
      <w:r>
        <w:t xml:space="preserve">. Participants provided examples of how this was affecting their business: </w:t>
      </w:r>
    </w:p>
    <w:p w:rsidR="00AE4D5A" w:rsidRDefault="00AE4D5A" w:rsidP="008E5E01">
      <w:pPr>
        <w:pStyle w:val="Quote"/>
      </w:pPr>
      <w:r>
        <w:t>Harvest Moon export approximately 220 TEUs per year. The extra handling cost of containers due to transhipping through the Port of Melbourne is equivalent to $1025/TEU or a $225 500 per annum bottom line impact on Harvest Moon. (Harvest Moon, sub. 21, p. 3)</w:t>
      </w:r>
    </w:p>
    <w:p w:rsidR="00AE4D5A" w:rsidRDefault="00AE4D5A" w:rsidP="008E5E01">
      <w:pPr>
        <w:pStyle w:val="Quote"/>
      </w:pPr>
      <w:r>
        <w:t xml:space="preserve">The loss of the Bell Bay service was a cost blow for Simplot. Transition to a ‘via Melbourne’ supply chain </w:t>
      </w:r>
      <w:r w:rsidRPr="000C416E">
        <w:rPr>
          <w:u w:val="single"/>
        </w:rPr>
        <w:t>added $400</w:t>
      </w:r>
      <w:r>
        <w:rPr>
          <w:u w:val="single"/>
        </w:rPr>
        <w:t> </w:t>
      </w:r>
      <w:r w:rsidRPr="000C416E">
        <w:rPr>
          <w:u w:val="single"/>
        </w:rPr>
        <w:t>000</w:t>
      </w:r>
      <w:r>
        <w:t xml:space="preserve"> to the route per annum. (Simplot, sub. 50, p. 4)</w:t>
      </w:r>
    </w:p>
    <w:p w:rsidR="00AE4D5A" w:rsidRDefault="00AE4D5A" w:rsidP="008E5E01">
      <w:pPr>
        <w:pStyle w:val="Quote"/>
      </w:pPr>
      <w:r w:rsidRPr="00CB53F7">
        <w:t xml:space="preserve">Two and a half years ago, when a direct international shipping service was available </w:t>
      </w:r>
      <w:proofErr w:type="spellStart"/>
      <w:r w:rsidRPr="00CB53F7">
        <w:t>Cuthbertsons</w:t>
      </w:r>
      <w:proofErr w:type="spellEnd"/>
      <w:r w:rsidRPr="00CB53F7">
        <w:t xml:space="preserve"> was shipping 40 foot containers from Bell Bay to China for $1090. Today that price is road Launceston to Burnie $500, shipping Burnie to Melbourne $1000 and shipping Melbourne to China $500, a total of $2000.</w:t>
      </w:r>
      <w:r>
        <w:t xml:space="preserve"> (Cuthbertson Bros, sub. 3, p. 2)</w:t>
      </w:r>
    </w:p>
    <w:p w:rsidR="00AE4D5A" w:rsidRDefault="00AE4D5A" w:rsidP="008E5E01">
      <w:pPr>
        <w:pStyle w:val="BodyText"/>
        <w:keepNext/>
      </w:pPr>
      <w:r>
        <w:t>More broadly, the Tasmanian Liberal Party commented that the loss of the international shipping service was directly costing Tasmania’s exporting industries an estimated $20–$40 million per year, and the cost to the Tasmanian economy was even greater (sub. </w:t>
      </w:r>
      <w:proofErr w:type="spellStart"/>
      <w:r>
        <w:t>DR68</w:t>
      </w:r>
      <w:proofErr w:type="spellEnd"/>
      <w:r>
        <w:t>).</w:t>
      </w:r>
    </w:p>
    <w:p w:rsidR="00AE4D5A" w:rsidRDefault="00AE4D5A" w:rsidP="008E5E01">
      <w:pPr>
        <w:pStyle w:val="BodyText"/>
        <w:keepNext/>
      </w:pPr>
      <w:r>
        <w:t>T</w:t>
      </w:r>
      <w:r w:rsidRPr="00A40263">
        <w:t>he</w:t>
      </w:r>
      <w:r>
        <w:t xml:space="preserve"> added</w:t>
      </w:r>
      <w:r w:rsidRPr="00A40263">
        <w:t xml:space="preserve"> costs</w:t>
      </w:r>
      <w:r>
        <w:t xml:space="preserve"> of transhipment have exacerbated the difficulties that </w:t>
      </w:r>
      <w:r w:rsidRPr="00A40263">
        <w:t>m</w:t>
      </w:r>
      <w:r>
        <w:t>any</w:t>
      </w:r>
      <w:r w:rsidRPr="00A40263">
        <w:t xml:space="preserve"> exporters </w:t>
      </w:r>
      <w:r>
        <w:t xml:space="preserve">face </w:t>
      </w:r>
      <w:r w:rsidRPr="00A40263">
        <w:t>to remain competitive</w:t>
      </w:r>
      <w:r w:rsidRPr="00D81193">
        <w:t xml:space="preserve"> </w:t>
      </w:r>
      <w:r>
        <w:t>and are claimed by some to be responsible for a fall in exports:</w:t>
      </w:r>
    </w:p>
    <w:p w:rsidR="00AE4D5A" w:rsidRDefault="00AE4D5A" w:rsidP="008E5E01">
      <w:pPr>
        <w:pStyle w:val="Quote"/>
      </w:pPr>
      <w:r w:rsidRPr="00D00CA0">
        <w:t xml:space="preserve">The loss of an international shipping service has caused sea freight exporters </w:t>
      </w:r>
      <w:r>
        <w:t xml:space="preserve">… </w:t>
      </w:r>
      <w:r w:rsidRPr="00D00CA0">
        <w:t>to bear significant additional costs as a consequence of shipping through the Port of Melbourne. Many companies cannot absorb this cost as they are price takers in international markets.</w:t>
      </w:r>
      <w:r>
        <w:t xml:space="preserve"> </w:t>
      </w:r>
      <w:r w:rsidRPr="009B3DDD">
        <w:rPr>
          <w:szCs w:val="24"/>
        </w:rPr>
        <w:t>(</w:t>
      </w:r>
      <w:proofErr w:type="spellStart"/>
      <w:r w:rsidRPr="009B3DDD">
        <w:rPr>
          <w:szCs w:val="24"/>
        </w:rPr>
        <w:t>TCCI</w:t>
      </w:r>
      <w:proofErr w:type="spellEnd"/>
      <w:r w:rsidRPr="009B3DDD">
        <w:rPr>
          <w:szCs w:val="24"/>
        </w:rPr>
        <w:t> 2012, p. 5)</w:t>
      </w:r>
    </w:p>
    <w:p w:rsidR="00AE4D5A" w:rsidRDefault="00AE4D5A" w:rsidP="008E5E01">
      <w:pPr>
        <w:pStyle w:val="BodyText"/>
      </w:pPr>
      <w:r>
        <w:lastRenderedPageBreak/>
        <w:t>There is no doubt that Bass Strait shipping costs are high relative to road transport costs over an equivalent</w:t>
      </w:r>
      <w:r w:rsidRPr="00B20B7C">
        <w:t xml:space="preserve"> </w:t>
      </w:r>
      <w:r>
        <w:t xml:space="preserve">distance. But the extent to which Bass Strait shipping costs are excessive or inefficient (as some participants claim and benchmarking suggests) for such a short haul sea journey remains unclear. </w:t>
      </w:r>
    </w:p>
    <w:p w:rsidR="00AE4D5A" w:rsidRDefault="00AE4D5A" w:rsidP="008E5E01">
      <w:pPr>
        <w:pStyle w:val="BodyText"/>
      </w:pPr>
      <w:r>
        <w:t>Benchmarking Bass Strait shipping costs against comparable routes is intrinsically difficult and subject to many caveats and qualifications. Aurecon was commissioned by the FLCT to undertake this task and compared Bass Strait shipping with two similar RORO services in Europe. It found that Bass Strait costs were about 24 per cent</w:t>
      </w:r>
      <w:r w:rsidRPr="00727C73">
        <w:t xml:space="preserve"> </w:t>
      </w:r>
      <w:r>
        <w:t>higher, although</w:t>
      </w:r>
      <w:r w:rsidRPr="00186140">
        <w:rPr>
          <w:rFonts w:cs="Arial"/>
          <w:szCs w:val="24"/>
        </w:rPr>
        <w:t xml:space="preserve"> this should be </w:t>
      </w:r>
      <w:r>
        <w:rPr>
          <w:rFonts w:cs="Arial"/>
          <w:szCs w:val="24"/>
        </w:rPr>
        <w:t>viewed in the context of</w:t>
      </w:r>
      <w:r w:rsidRPr="00186140">
        <w:rPr>
          <w:rFonts w:cs="Arial"/>
          <w:szCs w:val="24"/>
        </w:rPr>
        <w:t xml:space="preserve"> higher costs in Australia</w:t>
      </w:r>
      <w:r>
        <w:rPr>
          <w:rFonts w:cs="Arial"/>
          <w:szCs w:val="24"/>
        </w:rPr>
        <w:t xml:space="preserve"> for some inputs</w:t>
      </w:r>
      <w:r w:rsidRPr="00186140">
        <w:rPr>
          <w:rFonts w:cs="Arial"/>
          <w:szCs w:val="24"/>
        </w:rPr>
        <w:t xml:space="preserve">, particularly </w:t>
      </w:r>
      <w:r>
        <w:rPr>
          <w:rFonts w:cs="Arial"/>
          <w:szCs w:val="24"/>
        </w:rPr>
        <w:t>for</w:t>
      </w:r>
      <w:r w:rsidRPr="00186140">
        <w:rPr>
          <w:rFonts w:cs="Arial"/>
          <w:szCs w:val="24"/>
        </w:rPr>
        <w:t xml:space="preserve"> labour and bunker fuel</w:t>
      </w:r>
      <w:r>
        <w:rPr>
          <w:rFonts w:cs="Arial"/>
          <w:szCs w:val="24"/>
        </w:rPr>
        <w:t xml:space="preserve"> </w:t>
      </w:r>
      <w:r w:rsidRPr="004D54EB">
        <w:rPr>
          <w:szCs w:val="24"/>
        </w:rPr>
        <w:t>(Aurecon 2013c)</w:t>
      </w:r>
      <w:r>
        <w:t xml:space="preserve">. </w:t>
      </w:r>
    </w:p>
    <w:p w:rsidR="00AE4D5A" w:rsidRDefault="00AE4D5A" w:rsidP="008E5E01">
      <w:pPr>
        <w:pStyle w:val="BodyText"/>
      </w:pPr>
      <w:r>
        <w:t>Toll disputed Aurecon’s findings, arguing that a more accurate assessment shows Bass Strait costs to be similar or less than the European examples:</w:t>
      </w:r>
    </w:p>
    <w:p w:rsidR="00AE4D5A" w:rsidRDefault="00AE4D5A" w:rsidP="008E5E01">
      <w:pPr>
        <w:pStyle w:val="Quote"/>
      </w:pPr>
      <w:r>
        <w:t xml:space="preserve">Comparisons of other sea freight costs, while interesting, are not equivalent given cost of bunker fuel, crew and economies of scale on ship maintenance and wharf infrastructure. … [The </w:t>
      </w:r>
      <w:proofErr w:type="spellStart"/>
      <w:r>
        <w:t>Immingham</w:t>
      </w:r>
      <w:proofErr w:type="spellEnd"/>
      <w:r>
        <w:t xml:space="preserve"> to Rotterdam] rate does not include any terminal charges, power or equipment because typically the shipper supplies the trailer or container in Europe. By comparison, Toll’s </w:t>
      </w:r>
      <w:proofErr w:type="spellStart"/>
      <w:r>
        <w:t>20ft</w:t>
      </w:r>
      <w:proofErr w:type="spellEnd"/>
      <w:r>
        <w:t xml:space="preserve"> GP rate of $700–$950 (depending on weight and service) includes the cost of terminals which is in the order of $250 a TEU plus the supply of equipment of approximately $60. On that comparison, the European rate would be in the range of $922 plus fuel and wages. (sub. 55, p. 2)</w:t>
      </w:r>
    </w:p>
    <w:p w:rsidR="00AE4D5A" w:rsidRDefault="00AE4D5A" w:rsidP="008E5E01">
      <w:pPr>
        <w:pStyle w:val="Heading2"/>
      </w:pPr>
      <w:r>
        <w:t>4.</w:t>
      </w:r>
      <w:r>
        <w:rPr>
          <w:noProof/>
        </w:rPr>
        <w:t>2</w:t>
      </w:r>
      <w:r>
        <w:tab/>
        <w:t>Efficiency drivers of Tasmania’s shipping</w:t>
      </w:r>
    </w:p>
    <w:p w:rsidR="00AE4D5A" w:rsidRDefault="00AE4D5A" w:rsidP="008E5E01">
      <w:pPr>
        <w:pStyle w:val="Heading3"/>
      </w:pPr>
      <w:r w:rsidRPr="004A4688">
        <w:t xml:space="preserve">Scale and composition of </w:t>
      </w:r>
      <w:r>
        <w:t>freight flows</w:t>
      </w:r>
    </w:p>
    <w:p w:rsidR="00AE4D5A" w:rsidRDefault="00AE4D5A" w:rsidP="008E5E01">
      <w:pPr>
        <w:pStyle w:val="BodyText"/>
      </w:pPr>
      <w:r>
        <w:t>The size and composition of Tasmania’s interstate and international freight flows have a major influence on the cost of shipping services provided to Tasmania.</w:t>
      </w:r>
    </w:p>
    <w:p w:rsidR="00AE4D5A" w:rsidRDefault="00AE4D5A" w:rsidP="008E5E01">
      <w:pPr>
        <w:pStyle w:val="BodyText"/>
      </w:pPr>
      <w:r>
        <w:t>The relatively small volume of trade across Bass Strait limits the scope to realise economies of scale, and the number of competitors that the market can sustain. On this issue, the Australian Competition and Consumer Commission (ACCC) observed:</w:t>
      </w:r>
    </w:p>
    <w:p w:rsidR="00AE4D5A" w:rsidRPr="00382E82" w:rsidRDefault="00AE4D5A" w:rsidP="008E5E01">
      <w:pPr>
        <w:pStyle w:val="Quote"/>
      </w:pPr>
      <w:r>
        <w:t>The relatively small size of Tasmania’s economy and limited trade volumes is likely to explain some of the freight cost differential between it and mainland markets … Because economies of scale generally prevail in shipping, lower volumes are likely to affect the cost of supplying freight and shipping services to Tasmanian businesses. (sub. 28, pp. 1, 3)</w:t>
      </w:r>
    </w:p>
    <w:p w:rsidR="00AE4D5A" w:rsidRDefault="00AE4D5A" w:rsidP="008E5E01">
      <w:pPr>
        <w:pStyle w:val="BodyText"/>
      </w:pPr>
      <w:r w:rsidRPr="00DE570D">
        <w:lastRenderedPageBreak/>
        <w:t xml:space="preserve">Similarly, Net Sea Freight </w:t>
      </w:r>
      <w:r>
        <w:t xml:space="preserve">and SeaRoad </w:t>
      </w:r>
      <w:r w:rsidRPr="00DE570D">
        <w:t>stated:</w:t>
      </w:r>
    </w:p>
    <w:p w:rsidR="00AE4D5A" w:rsidRDefault="00AE4D5A" w:rsidP="008E5E01">
      <w:pPr>
        <w:pStyle w:val="Quote"/>
      </w:pPr>
      <w:r>
        <w:t xml:space="preserve">… the low volume of trade is likely to dictate that the present number of operators is about appropriate, given the relatively high fixed costs operators incur; fragmentation of the market may well require higher prices for services to ensure sustainability of operators. </w:t>
      </w:r>
      <w:r w:rsidRPr="00DE570D">
        <w:t>(</w:t>
      </w:r>
      <w:r>
        <w:t xml:space="preserve">Net Sea Freight, </w:t>
      </w:r>
      <w:r w:rsidRPr="00DE570D">
        <w:t>sub.</w:t>
      </w:r>
      <w:r>
        <w:t> </w:t>
      </w:r>
      <w:r w:rsidRPr="00DE570D">
        <w:t>26, p.</w:t>
      </w:r>
      <w:r>
        <w:t> </w:t>
      </w:r>
      <w:r w:rsidRPr="00DE570D">
        <w:t>5)</w:t>
      </w:r>
    </w:p>
    <w:p w:rsidR="00AE4D5A" w:rsidRPr="00623977" w:rsidRDefault="00AE4D5A" w:rsidP="008E5E01">
      <w:pPr>
        <w:pStyle w:val="Quote"/>
      </w:pPr>
      <w:r>
        <w:t>… it is true for Bass Strait RORO operators that the relatively small volume of trade across Bass Strait would not sustain another RORO operator. (SeaRoad, sub. </w:t>
      </w:r>
      <w:proofErr w:type="spellStart"/>
      <w:r>
        <w:t>DR81</w:t>
      </w:r>
      <w:proofErr w:type="spellEnd"/>
      <w:r>
        <w:t>, p. 15)</w:t>
      </w:r>
    </w:p>
    <w:p w:rsidR="00AE4D5A" w:rsidRDefault="00AE4D5A" w:rsidP="008E5E01">
      <w:pPr>
        <w:pStyle w:val="BodyText"/>
      </w:pPr>
      <w:r>
        <w:t xml:space="preserve">The Burnie Chamber of Commerce and Industry noted the inherent disadvantages of Tasmania including that ‘the volume of cargo is small’ and ‘With low cargo volume it is essential to accumulate freight at one port for regular and frequent collection’ (sub. 57, p. 2). </w:t>
      </w:r>
    </w:p>
    <w:p w:rsidR="00AE4D5A" w:rsidRDefault="00AE4D5A" w:rsidP="008E5E01">
      <w:pPr>
        <w:pStyle w:val="BodyText"/>
      </w:pPr>
      <w:r>
        <w:t>The TFGA — King Island Branch also highlighted that low volumes have a major influence on the cost of shipping services to their island:</w:t>
      </w:r>
    </w:p>
    <w:p w:rsidR="00AE4D5A" w:rsidRDefault="00AE4D5A" w:rsidP="008E5E01">
      <w:pPr>
        <w:pStyle w:val="Quote"/>
      </w:pPr>
      <w:r w:rsidRPr="000406D4">
        <w:t>The reality is that the volume of freight will never be enough to create true competition. Our sea freight system is expected to operate under a free market system yet in reality we have a duopoly on livestock and a monopoly on all container, vehicle and trailer freight. (</w:t>
      </w:r>
      <w:r>
        <w:t>sub. </w:t>
      </w:r>
      <w:proofErr w:type="spellStart"/>
      <w:r>
        <w:t>DR79</w:t>
      </w:r>
      <w:proofErr w:type="spellEnd"/>
      <w:r>
        <w:t>, </w:t>
      </w:r>
      <w:r w:rsidRPr="000406D4">
        <w:t>p.</w:t>
      </w:r>
      <w:r>
        <w:t> </w:t>
      </w:r>
      <w:r w:rsidRPr="000406D4">
        <w:t>1)</w:t>
      </w:r>
    </w:p>
    <w:p w:rsidR="00AE4D5A" w:rsidRDefault="00AE4D5A" w:rsidP="008E5E01">
      <w:pPr>
        <w:pStyle w:val="BodyText"/>
      </w:pPr>
      <w:r>
        <w:t xml:space="preserve">In recent years, container movements (both domestic and international) have remained relatively stable, despite a decline in bulk volumes (figure 4.2). </w:t>
      </w:r>
      <w:r w:rsidRPr="001E0022">
        <w:t>However</w:t>
      </w:r>
      <w:r>
        <w:t xml:space="preserve">, there are differing views of the outlook for Tasmania’s future freight flows. In 2009, the Port of Melbourne Corporation estimated that Tasmanian container trade would grow at an annual average rate of 4 per cent to 2025 and 3.8 per cent to 2035 </w:t>
      </w:r>
      <w:r w:rsidRPr="004D54EB">
        <w:rPr>
          <w:szCs w:val="24"/>
        </w:rPr>
        <w:t>(Port of Melbourne Corporation 2009)</w:t>
      </w:r>
      <w:r>
        <w:t xml:space="preserve">. The FLCT considers these estimates may be optimistic, and has adopted an annual average growth forecast of 3 per cent in its report </w:t>
      </w:r>
      <w:r w:rsidRPr="004D54EB">
        <w:rPr>
          <w:szCs w:val="24"/>
        </w:rPr>
        <w:t>(FLCT 2013a)</w:t>
      </w:r>
      <w:r>
        <w:t>. Among participants, the Tasmanian Exporters Group presents a range of container trade growth forecasts, and suggests a range of 3.4</w:t>
      </w:r>
      <w:r w:rsidR="00207B70">
        <w:t>–</w:t>
      </w:r>
      <w:r>
        <w:t xml:space="preserve">5.3 per cent growth is possible (sub. 14). </w:t>
      </w:r>
    </w:p>
    <w:p w:rsidR="00AE4D5A" w:rsidRDefault="00AE4D5A">
      <w:pPr>
        <w:pStyle w:val="FigureTitle"/>
        <w:rPr>
          <w:rStyle w:val="NoteLabel"/>
        </w:rPr>
      </w:pPr>
      <w:r>
        <w:rPr>
          <w:b w:val="0"/>
        </w:rPr>
        <w:lastRenderedPageBreak/>
        <w:t>Figure 4.2</w:t>
      </w:r>
      <w:r>
        <w:tab/>
        <w:t>Tasmanian container movements</w:t>
      </w:r>
      <w:r w:rsidRPr="00A53FF4">
        <w:rPr>
          <w:rStyle w:val="NoteLabel"/>
        </w:rPr>
        <w:t>a</w:t>
      </w:r>
    </w:p>
    <w:p w:rsidR="00AE4D5A" w:rsidRPr="00A251E6" w:rsidRDefault="00AE4D5A" w:rsidP="008E5E01">
      <w:pPr>
        <w:pStyle w:val="Subtitle"/>
      </w:pPr>
      <w:r>
        <w:t>TEUs loaded and unloaded at Tasmanian ports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74ECA">
        <w:tc>
          <w:tcPr>
            <w:tcW w:w="8777" w:type="dxa"/>
          </w:tcPr>
          <w:p w:rsidR="00AE4D5A" w:rsidRDefault="00AE4D5A" w:rsidP="00874ECA">
            <w:pPr>
              <w:pStyle w:val="Figure"/>
            </w:pPr>
            <w:r w:rsidRPr="00DB5918">
              <w:rPr>
                <w:noProof/>
              </w:rPr>
              <w:drawing>
                <wp:inline distT="0" distB="0" distL="0" distR="0" wp14:anchorId="45C03070" wp14:editId="790F0363">
                  <wp:extent cx="5400000" cy="3537448"/>
                  <wp:effectExtent l="0" t="0" r="0" b="6350"/>
                  <wp:docPr id="71" name="Chart 71" descr="Figure 4.2 Tasmanian container movements. This figure depicts Tasmanian container movements (both inward and outbound movements, by thousand TEUs) over the period 1999-00 to 2012-13. The data includes empty containers and domestic and international freight move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AE4D5A" w:rsidRPr="00730757" w:rsidRDefault="00AE4D5A" w:rsidP="008E5E01">
      <w:pPr>
        <w:pStyle w:val="Note"/>
      </w:pPr>
      <w:r>
        <w:rPr>
          <w:rStyle w:val="NoteLabel"/>
        </w:rPr>
        <w:t xml:space="preserve">a </w:t>
      </w:r>
      <w:r>
        <w:t>Data i</w:t>
      </w:r>
      <w:r w:rsidRPr="00A53FF4">
        <w:t>ncludes international and domestic movements</w:t>
      </w:r>
      <w:r>
        <w:t>, and empty containers.</w:t>
      </w:r>
    </w:p>
    <w:p w:rsidR="00AE4D5A" w:rsidRDefault="00AE4D5A">
      <w:pPr>
        <w:pStyle w:val="Source"/>
      </w:pPr>
      <w:r>
        <w:rPr>
          <w:i/>
        </w:rPr>
        <w:t>Data source</w:t>
      </w:r>
      <w:r w:rsidRPr="00167F06">
        <w:t xml:space="preserve">: </w:t>
      </w:r>
      <w:r>
        <w:t xml:space="preserve">TasPorts </w:t>
      </w:r>
      <w:r w:rsidRPr="00C00E19">
        <w:rPr>
          <w:rFonts w:cs="Arial"/>
        </w:rPr>
        <w:t>(2013)</w:t>
      </w:r>
      <w:r>
        <w:t>.</w:t>
      </w:r>
    </w:p>
    <w:p w:rsidR="00AE4D5A" w:rsidRDefault="00AE4D5A" w:rsidP="008E5E01">
      <w:pPr>
        <w:pStyle w:val="BodyText"/>
      </w:pPr>
      <w:r>
        <w:t xml:space="preserve">Freight volumes are fundamental to the viability of international services, with firm commitments for minimum volumes a necessary (but not sufficient) condition for attracting direct liner calls. However, as mentioned in chapter 3, it is difficult to estimate the volume of TEUs exported from Tasmania to international markets and the proportion of these that would utilise a direct service, rather than tranship through the Port of Melbourne. For example, the Tasmanian Government and the FLCT estimate that currently, Tasmania’s total international container volumes are around 37 000 TEUs, while BITRE estimates that exports could be around 76 000 TEUs </w:t>
      </w:r>
      <w:r w:rsidR="007C1471" w:rsidRPr="007C1471">
        <w:rPr>
          <w:szCs w:val="24"/>
        </w:rPr>
        <w:t>(BITRE 2013b; FLCT 2013a; Tasmanian Government, sub. 43)</w:t>
      </w:r>
      <w:r>
        <w:t xml:space="preserve">. </w:t>
      </w:r>
    </w:p>
    <w:p w:rsidR="00AE4D5A" w:rsidRPr="004163D3" w:rsidRDefault="00AE4D5A" w:rsidP="008E5E01">
      <w:pPr>
        <w:pStyle w:val="BodyText"/>
      </w:pPr>
      <w:r>
        <w:t>A number of participants to the inquiry have noted Tasmania’s low container freight volumes limit the potential for an international service:</w:t>
      </w:r>
    </w:p>
    <w:p w:rsidR="00AE4D5A" w:rsidRPr="004163D3" w:rsidRDefault="00AE4D5A" w:rsidP="008E5E01">
      <w:pPr>
        <w:pStyle w:val="Quote"/>
      </w:pPr>
      <w:r w:rsidRPr="004163D3">
        <w:t>… international shipping services are inhibited, in that current volumes are not sufficient to have a port</w:t>
      </w:r>
      <w:r>
        <w:noBreakHyphen/>
      </w:r>
      <w:r w:rsidRPr="004163D3">
        <w:t>to</w:t>
      </w:r>
      <w:r>
        <w:noBreakHyphen/>
      </w:r>
      <w:r w:rsidRPr="004163D3">
        <w:t>port service. (Net Sea Freight, sub. 26, p. 2)</w:t>
      </w:r>
    </w:p>
    <w:p w:rsidR="00AE4D5A" w:rsidRDefault="00AE4D5A" w:rsidP="008E5E01">
      <w:pPr>
        <w:pStyle w:val="Quote"/>
      </w:pPr>
      <w:r w:rsidRPr="004163D3">
        <w:t>The underlying factor inhibiting the provision of international shipping services to Tasmania is volume(s), or lack thereof. This has a direct impact on costs and has been the catalyst for the … decline in shipping lines being able to service and meet our needs. (Veol</w:t>
      </w:r>
      <w:r>
        <w:t>i</w:t>
      </w:r>
      <w:r w:rsidRPr="004163D3">
        <w:t>a, sub. 38, p. 2)</w:t>
      </w:r>
    </w:p>
    <w:p w:rsidR="00AE4D5A" w:rsidRPr="00223F44" w:rsidRDefault="00AE4D5A" w:rsidP="008E5E01">
      <w:pPr>
        <w:pStyle w:val="Quote"/>
      </w:pPr>
      <w:r>
        <w:lastRenderedPageBreak/>
        <w:t>Low volumes to/from Tasmania (especially containers) make it difficult to provide a regular service of sufficient frequency … (Shipping Australia Limited, sub. 53, p. 1)</w:t>
      </w:r>
    </w:p>
    <w:p w:rsidR="00AE4D5A" w:rsidRDefault="00AE4D5A" w:rsidP="008E5E01">
      <w:pPr>
        <w:pStyle w:val="BodyText"/>
      </w:pPr>
      <w:r>
        <w:t>GPS Logistics estimated the minimum volume required to attract a weekly service similar to the previous AAA service, using a 2500–3500 TEU vessel, would require an exchange of 700–1000 TEUs</w:t>
      </w:r>
      <w:r w:rsidRPr="000846C5">
        <w:t xml:space="preserve"> </w:t>
      </w:r>
      <w:r>
        <w:t xml:space="preserve">per call to be viable (about 36 000–52 000 TEUs per year). </w:t>
      </w:r>
      <w:r w:rsidRPr="008E4FB7">
        <w:t xml:space="preserve">A </w:t>
      </w:r>
      <w:r>
        <w:t xml:space="preserve">similar </w:t>
      </w:r>
      <w:r w:rsidRPr="008E4FB7">
        <w:t>weekly service</w:t>
      </w:r>
      <w:r>
        <w:t xml:space="preserve"> </w:t>
      </w:r>
      <w:r w:rsidRPr="008E4FB7">
        <w:t xml:space="preserve">by a </w:t>
      </w:r>
      <w:r>
        <w:t xml:space="preserve">smaller </w:t>
      </w:r>
      <w:r w:rsidRPr="008E4FB7">
        <w:t>1500–2500</w:t>
      </w:r>
      <w:r>
        <w:t> </w:t>
      </w:r>
      <w:r w:rsidRPr="008E4FB7">
        <w:t xml:space="preserve">TEU vessel would require </w:t>
      </w:r>
      <w:r>
        <w:t xml:space="preserve">an exchange of </w:t>
      </w:r>
      <w:r w:rsidRPr="008E4FB7">
        <w:t>450–700</w:t>
      </w:r>
      <w:r>
        <w:t> </w:t>
      </w:r>
      <w:r w:rsidRPr="008E4FB7">
        <w:t>TEU</w:t>
      </w:r>
      <w:r>
        <w:t>s</w:t>
      </w:r>
      <w:r w:rsidRPr="008E4FB7">
        <w:t xml:space="preserve"> </w:t>
      </w:r>
      <w:r>
        <w:t xml:space="preserve">per call (about 23 000–36 000 TEUs per year) </w:t>
      </w:r>
      <w:r w:rsidRPr="000E21DE">
        <w:rPr>
          <w:szCs w:val="24"/>
        </w:rPr>
        <w:t>(GPS 2013)</w:t>
      </w:r>
      <w:r>
        <w:t>.</w:t>
      </w:r>
    </w:p>
    <w:p w:rsidR="00AE4D5A" w:rsidRDefault="00AE4D5A" w:rsidP="008E5E01">
      <w:pPr>
        <w:pStyle w:val="BodyText"/>
      </w:pPr>
      <w:r>
        <w:t xml:space="preserve">On the basis of volume alone, GPS Logistics </w:t>
      </w:r>
      <w:r w:rsidRPr="000E21DE">
        <w:t>(2013)</w:t>
      </w:r>
      <w:r>
        <w:t xml:space="preserve"> estimated current levels would be marginally sufficient to support a weekly, direct international container service. </w:t>
      </w:r>
    </w:p>
    <w:p w:rsidR="00AE4D5A" w:rsidRDefault="00AE4D5A" w:rsidP="008E5E01">
      <w:pPr>
        <w:pStyle w:val="BodyText"/>
      </w:pPr>
      <w:r>
        <w:t xml:space="preserve">Compounding the issue of low volumes is the problem that Tasmania’s international container freight is spread across the three main northern ports, </w:t>
      </w:r>
      <w:r w:rsidRPr="00BD279E">
        <w:t>reduc</w:t>
      </w:r>
      <w:r>
        <w:t>ing</w:t>
      </w:r>
      <w:r w:rsidRPr="00BD279E">
        <w:t xml:space="preserve"> the critical mass of freight volume available at any </w:t>
      </w:r>
      <w:r>
        <w:t>single</w:t>
      </w:r>
      <w:r w:rsidRPr="00BD279E">
        <w:t xml:space="preserve"> port.</w:t>
      </w:r>
      <w:r>
        <w:t xml:space="preserve"> The sustainability of any direct international service would therefore likely be contingent on a coordinated approach by a small number of large exporters to consolidate the international freight task at a single port.</w:t>
      </w:r>
    </w:p>
    <w:p w:rsidR="00AE4D5A" w:rsidRDefault="00AE4D5A" w:rsidP="008E5E01">
      <w:pPr>
        <w:pStyle w:val="BodyText"/>
      </w:pPr>
      <w:r>
        <w:t xml:space="preserve">Another factor that would likely affect the availability of freight volumes for an international service, and therefore the viability of such a service, is the potential extension of the TFES to all eligible freight shipped through mainland ports (regardless of their intended destination) (chapter 3). That scheme extension would reduce the cost of some exports transhipped through the Port of Melbourne and other mainland ports, making a direct international service a relatively less attractive option at the margin for some exporters. </w:t>
      </w:r>
    </w:p>
    <w:p w:rsidR="00AE4D5A" w:rsidRDefault="00AE4D5A" w:rsidP="008E5E01">
      <w:pPr>
        <w:pStyle w:val="BodyText"/>
      </w:pPr>
      <w:r>
        <w:t xml:space="preserve">The Commission notes the </w:t>
      </w:r>
      <w:proofErr w:type="spellStart"/>
      <w:r>
        <w:t>FLCT’s</w:t>
      </w:r>
      <w:proofErr w:type="spellEnd"/>
      <w:r>
        <w:t xml:space="preserve"> view that the viability of a commercially sustainable international shipping service must be determined by the market </w:t>
      </w:r>
      <w:r w:rsidRPr="000E21DE">
        <w:rPr>
          <w:szCs w:val="24"/>
        </w:rPr>
        <w:t>(FLCT 2013a)</w:t>
      </w:r>
      <w:r>
        <w:t xml:space="preserve">. The Commission supports this view — that the market and underlying economics should determine the viability and therefore sustainability of any direct international service.  </w:t>
      </w:r>
    </w:p>
    <w:p w:rsidR="00AE4D5A" w:rsidRDefault="00AE4D5A" w:rsidP="008E5E01">
      <w:pPr>
        <w:pStyle w:val="BodyText"/>
      </w:pPr>
      <w:r>
        <w:t>The composition of Tasmania’s domestic and international freight flows is also responsible for the high proportion of empty containers shipped to and from Tasmania (figure 4.1)</w:t>
      </w:r>
      <w:r w:rsidRPr="00385A0A">
        <w:t xml:space="preserve"> </w:t>
      </w:r>
      <w:r w:rsidRPr="004E193C">
        <w:rPr>
          <w:szCs w:val="24"/>
        </w:rPr>
        <w:t>(Aurecon 2013b; FLCT 2013b)</w:t>
      </w:r>
      <w:r>
        <w:t xml:space="preserve">. These empty container shipments add significantly to costs for shippers. For overseas, shipper controlled empty containers, repositioning can cost around $400–600 per container, depending on their final destination </w:t>
      </w:r>
      <w:r w:rsidRPr="004E193C">
        <w:rPr>
          <w:szCs w:val="24"/>
        </w:rPr>
        <w:t>(Aurecon 2013a)</w:t>
      </w:r>
      <w:r>
        <w:t>. Containers owned and provided by the domestic Bass Strait operators are repositioned empty (initially) at the operators expense, and the cost (around $60) ultimately included in the shipping rate (SeaRoad, sub. </w:t>
      </w:r>
      <w:proofErr w:type="spellStart"/>
      <w:r>
        <w:t>DR81</w:t>
      </w:r>
      <w:proofErr w:type="spellEnd"/>
      <w:r>
        <w:t>).</w:t>
      </w:r>
    </w:p>
    <w:p w:rsidR="00AE4D5A" w:rsidRDefault="00AE4D5A" w:rsidP="008E5E01">
      <w:pPr>
        <w:pStyle w:val="BodyText"/>
      </w:pPr>
      <w:r>
        <w:lastRenderedPageBreak/>
        <w:t xml:space="preserve">The FLCT identified opportunities to reduce empty container movements and shipping costs (such as carrying domestic freight in international containers and dry freight in refrigerated containers). </w:t>
      </w:r>
    </w:p>
    <w:p w:rsidR="00AE4D5A" w:rsidRDefault="00AE4D5A" w:rsidP="008E5E01">
      <w:pPr>
        <w:pStyle w:val="BodyText"/>
      </w:pPr>
      <w:r>
        <w:t xml:space="preserve">While shipping companies and shippers have a powerful incentive to pursue options that reduce the cost of empty containers, their efforts are only likely to have an effect at the margin </w:t>
      </w:r>
      <w:r w:rsidRPr="004E193C">
        <w:rPr>
          <w:szCs w:val="24"/>
        </w:rPr>
        <w:t>(GPS 2013)</w:t>
      </w:r>
      <w:r>
        <w:t>. The Tasmanian Government noted:</w:t>
      </w:r>
    </w:p>
    <w:p w:rsidR="00AE4D5A" w:rsidRDefault="00AE4D5A" w:rsidP="008E5E01">
      <w:pPr>
        <w:pStyle w:val="Quote"/>
      </w:pPr>
      <w:r w:rsidRPr="00FB74A2">
        <w:t>There are no obvious or simple solutions to addressing the empty container issue, given this issue is driven largely by an imbalance in Tasmania’s northbound and southbound container types</w:t>
      </w:r>
      <w:r>
        <w:t xml:space="preserve"> … (sub. 43, p. 14)</w:t>
      </w:r>
    </w:p>
    <w:p w:rsidR="00AE4D5A" w:rsidRPr="006F4A5E" w:rsidRDefault="00AE4D5A" w:rsidP="008E5E01">
      <w:pPr>
        <w:pStyle w:val="Heading3"/>
      </w:pPr>
      <w:r>
        <w:t>The competitiveness of Bass Strait shipping</w:t>
      </w:r>
    </w:p>
    <w:p w:rsidR="00AE4D5A" w:rsidRDefault="00AE4D5A" w:rsidP="008E5E01">
      <w:pPr>
        <w:pStyle w:val="BodyText"/>
      </w:pPr>
      <w:r>
        <w:t xml:space="preserve">A significant concern for many participants to this inquiry has been the extent of competition in the Bass Strait shipping market. As the ACCC observed, competition has a role in encouraging businesses to operate at lowest sustainable cost and to ensure that prices facing shippers will be lower and quality higher than would be the case if there were little or no competition (sub. 28, p. 3). </w:t>
      </w:r>
    </w:p>
    <w:p w:rsidR="00AE4D5A" w:rsidRDefault="00AE4D5A" w:rsidP="008E5E01">
      <w:pPr>
        <w:pStyle w:val="BodyText"/>
      </w:pPr>
      <w:r>
        <w:t xml:space="preserve">Shipping services carrying freight across Bass Strait face no competition from road or rail alternatives. Air </w:t>
      </w:r>
      <w:r w:rsidRPr="00DE570D">
        <w:t>transport offers some competition, but is generally only feasible for time sensitive, high value freight, such as shellfish and abalone, and passengers.</w:t>
      </w:r>
      <w:r>
        <w:t xml:space="preserve"> However, within the freight shipping market, three companies — </w:t>
      </w:r>
      <w:r w:rsidRPr="00DE570D">
        <w:t>Toll, SeaRoad, and TT</w:t>
      </w:r>
      <w:r>
        <w:noBreakHyphen/>
      </w:r>
      <w:r w:rsidRPr="00DE570D">
        <w:t>Line</w:t>
      </w:r>
      <w:r>
        <w:t xml:space="preserve"> — </w:t>
      </w:r>
      <w:r w:rsidRPr="00DE570D">
        <w:t>compete for business.</w:t>
      </w:r>
    </w:p>
    <w:p w:rsidR="00AE4D5A" w:rsidRDefault="00AE4D5A" w:rsidP="008E5E01">
      <w:pPr>
        <w:pStyle w:val="BodyText"/>
      </w:pPr>
      <w:r>
        <w:t>Competition for freight falls into segments, with a relatively minor share of freight (which Aurecon estimates to be 15 per cent) requiring time sensitive overnight shipping, largely met by TT</w:t>
      </w:r>
      <w:r>
        <w:noBreakHyphen/>
        <w:t>Line and the balance serviced chiefly by Toll and SeaRoad.</w:t>
      </w:r>
    </w:p>
    <w:p w:rsidR="00AE4D5A" w:rsidRDefault="00AE4D5A" w:rsidP="008E5E01">
      <w:pPr>
        <w:pStyle w:val="BodyText"/>
      </w:pPr>
      <w:r>
        <w:t>Participants had differing views on how effective this competition was in practice.</w:t>
      </w:r>
      <w:r w:rsidRPr="00E97893">
        <w:t xml:space="preserve"> </w:t>
      </w:r>
      <w:r>
        <w:t xml:space="preserve">For example, </w:t>
      </w:r>
      <w:proofErr w:type="spellStart"/>
      <w:r>
        <w:t>Nyrstar</w:t>
      </w:r>
      <w:proofErr w:type="spellEnd"/>
      <w:r>
        <w:t xml:space="preserve"> commented:</w:t>
      </w:r>
    </w:p>
    <w:p w:rsidR="00AE4D5A" w:rsidRDefault="00AE4D5A" w:rsidP="008E5E01">
      <w:pPr>
        <w:pStyle w:val="Quote"/>
      </w:pPr>
      <w:r w:rsidRPr="00EC09B5">
        <w:t xml:space="preserve">TT Line does not provide any competitive pressure for </w:t>
      </w:r>
      <w:proofErr w:type="spellStart"/>
      <w:r w:rsidRPr="00EC09B5">
        <w:t>Nyrstar</w:t>
      </w:r>
      <w:proofErr w:type="spellEnd"/>
      <w:r>
        <w:t xml:space="preserve"> … </w:t>
      </w:r>
      <w:r w:rsidRPr="00EC09B5">
        <w:t>the container capacity of Toll ANL is far greater than that of Sea Road, while TT</w:t>
      </w:r>
      <w:r>
        <w:noBreakHyphen/>
      </w:r>
      <w:r w:rsidRPr="00EC09B5">
        <w:t>Line predomina</w:t>
      </w:r>
      <w:r>
        <w:t>ntly</w:t>
      </w:r>
      <w:r w:rsidRPr="00EC09B5">
        <w:t xml:space="preserve"> receives trailers as opposed to containers.</w:t>
      </w:r>
      <w:r>
        <w:t xml:space="preserve"> (sub. </w:t>
      </w:r>
      <w:proofErr w:type="spellStart"/>
      <w:r>
        <w:t>DR105</w:t>
      </w:r>
      <w:proofErr w:type="spellEnd"/>
      <w:r>
        <w:t>, p. 2).</w:t>
      </w:r>
    </w:p>
    <w:p w:rsidR="00AE4D5A" w:rsidRDefault="00AE4D5A" w:rsidP="008E5E01">
      <w:pPr>
        <w:pStyle w:val="BodyText"/>
      </w:pPr>
      <w:r w:rsidRPr="00BC138D">
        <w:t>Some argued that the number of providers is not sufficient for a competitive market. R</w:t>
      </w:r>
      <w:r>
        <w:t xml:space="preserve">egional </w:t>
      </w:r>
      <w:r w:rsidRPr="00BC138D">
        <w:t>D</w:t>
      </w:r>
      <w:r>
        <w:t xml:space="preserve">evelopment </w:t>
      </w:r>
      <w:r w:rsidRPr="00BC138D">
        <w:t>A</w:t>
      </w:r>
      <w:r>
        <w:t>ustralia (</w:t>
      </w:r>
      <w:proofErr w:type="spellStart"/>
      <w:r>
        <w:t>RDA</w:t>
      </w:r>
      <w:proofErr w:type="spellEnd"/>
      <w:r>
        <w:t xml:space="preserve">) — </w:t>
      </w:r>
      <w:r w:rsidRPr="00BC138D">
        <w:t>Tasmania, for example, stated</w:t>
      </w:r>
      <w:r>
        <w:t>:</w:t>
      </w:r>
    </w:p>
    <w:p w:rsidR="00AE4D5A" w:rsidRDefault="00AE4D5A" w:rsidP="008E5E01">
      <w:pPr>
        <w:pStyle w:val="Quote"/>
      </w:pPr>
      <w:r w:rsidRPr="00BC138D">
        <w:t xml:space="preserve">A key theme </w:t>
      </w:r>
      <w:r w:rsidRPr="004C2DE0">
        <w:t xml:space="preserve">that emerged from the comparing of 15 recent reports into Tasmanian Shipping </w:t>
      </w:r>
      <w:r w:rsidRPr="00BC138D">
        <w:t>is an inherent lack of competition in the marketplace. There are only two commercial shippers who compete on the Bass Strait route with limited influence from the Tasmanian Government operated TT Line. (sub.</w:t>
      </w:r>
      <w:r>
        <w:t> </w:t>
      </w:r>
      <w:r w:rsidRPr="00BC138D">
        <w:t>17, p.</w:t>
      </w:r>
      <w:r>
        <w:t> </w:t>
      </w:r>
      <w:r w:rsidRPr="00BC138D">
        <w:t>1)</w:t>
      </w:r>
    </w:p>
    <w:p w:rsidR="00AE4D5A" w:rsidRPr="009A5675" w:rsidRDefault="00AE4D5A" w:rsidP="008E5E01">
      <w:pPr>
        <w:pStyle w:val="BodyText"/>
      </w:pPr>
      <w:r w:rsidRPr="009A5675">
        <w:lastRenderedPageBreak/>
        <w:t>Ship owners and their representatives see the market as genuinely competitive:</w:t>
      </w:r>
    </w:p>
    <w:p w:rsidR="00AE4D5A" w:rsidRDefault="00AE4D5A" w:rsidP="008E5E01">
      <w:pPr>
        <w:pStyle w:val="Quote"/>
      </w:pPr>
      <w:r w:rsidRPr="009A5675">
        <w:t>Strong competition exists between the three Bass Strait shipping companies. It also exists between the freight transport providers who use Bass Strait shipping services …</w:t>
      </w:r>
      <w:r>
        <w:t xml:space="preserve"> SeaRoad and its competitors all actively compete for volume on both price and service offerings. (SeaRoad, sub. 35, pp. 2, 5)</w:t>
      </w:r>
    </w:p>
    <w:p w:rsidR="00AE4D5A" w:rsidRPr="00A279C6" w:rsidRDefault="00AE4D5A" w:rsidP="008E5E01">
      <w:pPr>
        <w:pStyle w:val="Quote"/>
      </w:pPr>
      <w:r>
        <w:t>There is substantial competition between the domestic Bass Strait operators as evidenced by the number of customers who go to tender. Tenders result in either contracts and/or volumes changing from one shipping line to another on a regular basis or an improvement in rates and/or services for the customer. Generally speaking tenders occur once to twice a month with an estimated total annual value of $10</w:t>
      </w:r>
      <w:r>
        <w:noBreakHyphen/>
        <w:t>$20 million. (SeaRoad, sub. </w:t>
      </w:r>
      <w:proofErr w:type="spellStart"/>
      <w:r>
        <w:t>DR100</w:t>
      </w:r>
      <w:proofErr w:type="spellEnd"/>
      <w:r>
        <w:t>, p. 1)</w:t>
      </w:r>
    </w:p>
    <w:p w:rsidR="00AE4D5A" w:rsidRDefault="00AE4D5A" w:rsidP="008E5E01">
      <w:pPr>
        <w:pStyle w:val="BodyText"/>
      </w:pPr>
      <w:r>
        <w:t>Shippers’ views on the competitiveness of Bass Strait shipping were mixed, with larger shippers reporting some price competition. Simplot commented:</w:t>
      </w:r>
    </w:p>
    <w:p w:rsidR="00AE4D5A" w:rsidRDefault="00AE4D5A" w:rsidP="008E5E01">
      <w:pPr>
        <w:pStyle w:val="Quote"/>
      </w:pPr>
      <w:r>
        <w:t>Simplot’s significant freight task is sought after by both major shippers, and therefore Simplot is able to perform a competitive tender process. … Simplot is comfortable with the competitiveness of the Bass Strait Shipping. (sub. 50, p. 3)</w:t>
      </w:r>
    </w:p>
    <w:p w:rsidR="00AE4D5A" w:rsidRDefault="00AE4D5A" w:rsidP="008E5E01">
      <w:pPr>
        <w:pStyle w:val="BodyText"/>
      </w:pPr>
      <w:r>
        <w:t xml:space="preserve">However, some users of freight services, for example, smaller shippers or shippers that have specific freight requirements, raised concerns around competitiveness. </w:t>
      </w:r>
    </w:p>
    <w:p w:rsidR="00AE4D5A" w:rsidRDefault="00AE4D5A" w:rsidP="008E5E01">
      <w:pPr>
        <w:pStyle w:val="BodyText"/>
      </w:pPr>
      <w:r>
        <w:t>Information from the ACCC, which examined this market in 2006, 2009 and 2013 as part of its merger assessments involving Bass Strait shipping and freight forwarding services, also suggests the presence of some effective competition in the Bass Strait shipping market:</w:t>
      </w:r>
    </w:p>
    <w:p w:rsidR="00AE4D5A" w:rsidRDefault="00AE4D5A" w:rsidP="008E5E01">
      <w:pPr>
        <w:pStyle w:val="ListBullet"/>
      </w:pPr>
      <w:r>
        <w:t>In 2006, it considered the proposed acquisition by Toll of Patrick Corporation, and found that divestiture by Toll of Patrick’s Bass Strait shipping operations (subsequently purchased by SeaRoad) would ensure a vigorous and effective competitor to Toll would remain in the market (sub. 28).</w:t>
      </w:r>
    </w:p>
    <w:p w:rsidR="00AE4D5A" w:rsidRDefault="00AE4D5A" w:rsidP="008E5E01">
      <w:pPr>
        <w:pStyle w:val="ListBullet"/>
      </w:pPr>
      <w:r>
        <w:t>In 2009, it concluded that a proposed joint venture between Toll and ANL would not substantially lessen competition for Bass Strait shipping services. The ACCC considered the joint venture parties were likely to be competitively constrained by the two existing competitors — SeaRoad and TT</w:t>
      </w:r>
      <w:r>
        <w:noBreakHyphen/>
        <w:t>Line (sub. 28).</w:t>
      </w:r>
    </w:p>
    <w:p w:rsidR="00AE4D5A" w:rsidRDefault="00AE4D5A" w:rsidP="008E5E01">
      <w:pPr>
        <w:pStyle w:val="ListBullet"/>
      </w:pPr>
      <w:r>
        <w:t>In 2013, it concluded that a proposed acquisition of Linfox’s Trans</w:t>
      </w:r>
      <w:r>
        <w:noBreakHyphen/>
        <w:t>Bass Freight Forwarding business by Toll would not substantially lessen competition. In the market for Bass Strait shipping services, it considered the proposed acquisition would not materially affect competition between Toll, SeaRoad and TT</w:t>
      </w:r>
      <w:r>
        <w:noBreakHyphen/>
        <w:t>Line or the extent to which SeaRoad and TT</w:t>
      </w:r>
      <w:r>
        <w:noBreakHyphen/>
        <w:t>Line would provide an ongoing competitive constraint on Toll (sub. 28).</w:t>
      </w:r>
    </w:p>
    <w:p w:rsidR="00AE4D5A" w:rsidRDefault="00AE4D5A" w:rsidP="008E5E01">
      <w:pPr>
        <w:pStyle w:val="BodyText"/>
      </w:pPr>
      <w:r>
        <w:lastRenderedPageBreak/>
        <w:t>The ACCC, however, cautions that its test relates to the lessening of competition, and its merger analysis ‘ … is not an analysis of the competitiveness of a market per se’ (sub. 28, p. 4).</w:t>
      </w:r>
    </w:p>
    <w:p w:rsidR="00AE4D5A" w:rsidRDefault="00AE4D5A" w:rsidP="008E5E01">
      <w:pPr>
        <w:pStyle w:val="BodyText"/>
      </w:pPr>
      <w:r>
        <w:t xml:space="preserve">On the basis of available information, it is not possible to reach a definitive conclusion on the level of competition across the whole Bass Strait shipping market. </w:t>
      </w:r>
    </w:p>
    <w:p w:rsidR="00AE4D5A" w:rsidRDefault="00AE4D5A" w:rsidP="008E5E01">
      <w:pPr>
        <w:pStyle w:val="BodyText"/>
      </w:pPr>
      <w:r>
        <w:t xml:space="preserve">That said, the market is undeniably thin yet dynamic, with imminent and material changes within the industry likely to significantly influence the level of competition.  </w:t>
      </w:r>
    </w:p>
    <w:p w:rsidR="00AE4D5A" w:rsidRDefault="00AE4D5A" w:rsidP="008E5E01">
      <w:pPr>
        <w:pStyle w:val="BodyText"/>
      </w:pPr>
      <w:r>
        <w:t xml:space="preserve">For example, each of the current Bass Strait shipping operators has expressed intentions to invest in new vessels to service the route. These vessels will be larger than their current ships (in </w:t>
      </w:r>
      <w:proofErr w:type="spellStart"/>
      <w:r>
        <w:t>SeaRoad’s</w:t>
      </w:r>
      <w:proofErr w:type="spellEnd"/>
      <w:r>
        <w:t xml:space="preserve"> case, increasing capacity by up to 50 per cent) and will deliver improved operational efficiency. For example:</w:t>
      </w:r>
    </w:p>
    <w:p w:rsidR="00AE4D5A" w:rsidRDefault="00AE4D5A" w:rsidP="008E5E01">
      <w:pPr>
        <w:pStyle w:val="Quote"/>
      </w:pPr>
      <w:proofErr w:type="spellStart"/>
      <w:r>
        <w:t>SeaRoad’s</w:t>
      </w:r>
      <w:proofErr w:type="spellEnd"/>
      <w:r>
        <w:t xml:space="preserve"> planned investment in new vessels will expand freight capacity in the Bass Strait market … The new vessels will be more efficient and economical than existing ships dedicated to the Bass Strait trade. (sub. 35, p. 5) </w:t>
      </w:r>
    </w:p>
    <w:p w:rsidR="00AE4D5A" w:rsidRDefault="00AE4D5A" w:rsidP="008E5E01">
      <w:pPr>
        <w:pStyle w:val="BodyText"/>
      </w:pPr>
      <w:r>
        <w:t xml:space="preserve">This SeaRoad investment, if approved by the company and debt financiers, alone would result in a 12.5 per cent increase in capacity on the route.  </w:t>
      </w:r>
    </w:p>
    <w:p w:rsidR="00AE4D5A" w:rsidRDefault="00AE4D5A" w:rsidP="008E5E01">
      <w:pPr>
        <w:pStyle w:val="BodyText"/>
      </w:pPr>
      <w:r>
        <w:t>Simplot considers these new vessels have the potential to introduce a new era of competition across Bass Strait:</w:t>
      </w:r>
    </w:p>
    <w:p w:rsidR="00AE4D5A" w:rsidRDefault="00AE4D5A" w:rsidP="008E5E01">
      <w:pPr>
        <w:pStyle w:val="Quote"/>
      </w:pPr>
      <w:r>
        <w:t xml:space="preserve">… </w:t>
      </w:r>
      <w:r w:rsidRPr="009F0DDF">
        <w:t>in an environment of limited service providers it is the spare capacity in the market that will support industry price competitiveness. Ship upgrades flagged by both major providers will increase market capacity and promote a competitive environment. (</w:t>
      </w:r>
      <w:r>
        <w:t>sub. </w:t>
      </w:r>
      <w:r w:rsidRPr="009F0DDF">
        <w:t>50, p.</w:t>
      </w:r>
      <w:r>
        <w:t> </w:t>
      </w:r>
      <w:r w:rsidRPr="009F0DDF">
        <w:t>3</w:t>
      </w:r>
      <w:r>
        <w:t>)</w:t>
      </w:r>
    </w:p>
    <w:p w:rsidR="00AE4D5A" w:rsidRDefault="00AE4D5A" w:rsidP="008E5E01">
      <w:pPr>
        <w:pStyle w:val="BodyText"/>
      </w:pPr>
      <w:r>
        <w:t xml:space="preserve">These next generation vessels should lower the cost of shipping across Bass Strait. </w:t>
      </w:r>
    </w:p>
    <w:p w:rsidR="00AE4D5A" w:rsidRDefault="00AE4D5A" w:rsidP="008E5E01">
      <w:pPr>
        <w:pStyle w:val="BodyText"/>
      </w:pPr>
      <w:r>
        <w:t>Further, if a more frequent direct international container service returns to service Tasmania this would also affect competition in the Bass Strait market. As Agility Logistics noted:</w:t>
      </w:r>
    </w:p>
    <w:p w:rsidR="00AE4D5A" w:rsidRDefault="00AE4D5A" w:rsidP="008E5E01">
      <w:pPr>
        <w:pStyle w:val="Quote"/>
      </w:pPr>
      <w:r>
        <w:t xml:space="preserve">… </w:t>
      </w:r>
      <w:r w:rsidRPr="00181456">
        <w:t xml:space="preserve">if we have one </w:t>
      </w:r>
      <w:r>
        <w:t xml:space="preserve">[international] </w:t>
      </w:r>
      <w:r w:rsidRPr="00181456">
        <w:t xml:space="preserve">shipping line taking a big chunk of that </w:t>
      </w:r>
      <w:r>
        <w:t xml:space="preserve">[Bass Strait] </w:t>
      </w:r>
      <w:r w:rsidRPr="00181456">
        <w:t>freight out and then we have other shipping lines that are currently based here with some of that market share already, the viability of those shipping lines staying here may not be something that they would consider and they may pull out of the Tasmanian market</w:t>
      </w:r>
      <w:r w:rsidRPr="009124CF">
        <w:t>. (trans.</w:t>
      </w:r>
      <w:r>
        <w:t>,</w:t>
      </w:r>
      <w:r w:rsidRPr="009124CF">
        <w:t> p. 37</w:t>
      </w:r>
      <w:r>
        <w:t>3</w:t>
      </w:r>
      <w:r w:rsidRPr="009124CF">
        <w:t>)</w:t>
      </w:r>
      <w:r w:rsidRPr="00181456">
        <w:t xml:space="preserve"> </w:t>
      </w:r>
    </w:p>
    <w:p w:rsidR="00AE4D5A" w:rsidRDefault="00AE4D5A" w:rsidP="008E5E01">
      <w:pPr>
        <w:pStyle w:val="BodyText"/>
      </w:pPr>
      <w:r>
        <w:t xml:space="preserve">Changes to coastal shipping legislation arising from the Government’s foreshadowed review may also affect competition in the industry, for example, by increasing the incentives for foreign ships to include a Tasmanian port call in their voyages.  </w:t>
      </w:r>
    </w:p>
    <w:p w:rsidR="00AE4D5A" w:rsidRDefault="00AE4D5A" w:rsidP="008E5E01">
      <w:pPr>
        <w:pStyle w:val="BodyText"/>
      </w:pPr>
      <w:r w:rsidRPr="00944444">
        <w:lastRenderedPageBreak/>
        <w:t xml:space="preserve">The extent to which </w:t>
      </w:r>
      <w:r w:rsidR="00DC7969">
        <w:t>any lower costs resulting from these anticipated changes</w:t>
      </w:r>
      <w:r w:rsidRPr="00944444">
        <w:t xml:space="preserve"> are passed on to users via lower freight rates will depend on the level of competition in the market.</w:t>
      </w:r>
      <w:r>
        <w:t xml:space="preserve"> </w:t>
      </w:r>
    </w:p>
    <w:p w:rsidR="00AE4D5A" w:rsidRDefault="00AE4D5A" w:rsidP="008E5E01">
      <w:pPr>
        <w:pStyle w:val="BodyText"/>
      </w:pPr>
      <w:r>
        <w:t>Regardless of the competitiveness of the current shipping industry structure, barriers to entry and government ownership of TT</w:t>
      </w:r>
      <w:r>
        <w:noBreakHyphen/>
        <w:t>Line may operate to constrain competitive pressures in the Bass Strait shipping market.</w:t>
      </w:r>
    </w:p>
    <w:p w:rsidR="00AE4D5A" w:rsidRDefault="00AE4D5A" w:rsidP="008E5E01">
      <w:pPr>
        <w:pStyle w:val="Heading4"/>
      </w:pPr>
      <w:r>
        <w:t>Barriers to entry</w:t>
      </w:r>
    </w:p>
    <w:p w:rsidR="00AE4D5A" w:rsidRDefault="00AE4D5A" w:rsidP="008E5E01">
      <w:pPr>
        <w:pStyle w:val="BodyText"/>
      </w:pPr>
      <w:r>
        <w:t>Barriers to entry may inhibit competition in the Bass Strait shipping market. As Net Sea Freight observed:</w:t>
      </w:r>
    </w:p>
    <w:p w:rsidR="00AE4D5A" w:rsidRPr="00DE570D" w:rsidRDefault="00AE4D5A" w:rsidP="008E5E01">
      <w:pPr>
        <w:pStyle w:val="Quote"/>
      </w:pPr>
      <w:r>
        <w:t>It is not a simple matter to enter the Bass Strait shipping trade due to high barriers to entry arising from the need to gain access to ports, the high cost of assets, relatively low and irregular volumes, the high cost of infrastructure, and the need to have the benefit of complete supply chains enjoyed by existing operators, such as the existence of vertically integrated services. (sub. 26, pp. 6–7)</w:t>
      </w:r>
    </w:p>
    <w:p w:rsidR="00AE4D5A" w:rsidRDefault="00AE4D5A" w:rsidP="008E5E01">
      <w:pPr>
        <w:pStyle w:val="BodyText"/>
      </w:pPr>
      <w:r>
        <w:t>A new shipping entrant would require a significant initial investment in ships and terminal infrastructure. For regular Bass Strait shipping, purpose built vessels are required to meet Bass Strait conditions, on</w:t>
      </w:r>
      <w:r>
        <w:noBreakHyphen/>
        <w:t xml:space="preserve">land infrastructure and the particular nature of the freight task. This introduces the associated risk of this investment not being readily transferable to another shipping route. Combined with low container volumes across Bass Strait, these characteristics represent a market barrier — a significant deterrent for potential entrants. </w:t>
      </w:r>
    </w:p>
    <w:p w:rsidR="00AE4D5A" w:rsidRPr="009C1550" w:rsidRDefault="00AE4D5A" w:rsidP="008E5E01">
      <w:pPr>
        <w:pStyle w:val="BodyText"/>
      </w:pPr>
      <w:r>
        <w:t xml:space="preserve">Other factors are also likely to act as barriers to new Bass Strait shipping operators. Port access has been suggested as a fundamental constraint to new entrants. The inability to secure a permanent berth at the Port of Melbourne was one factor contributing to the 2011 withdrawal of Agility Shipping from the Bass Strait trade </w:t>
      </w:r>
      <w:r w:rsidRPr="005E4BB9">
        <w:rPr>
          <w:szCs w:val="24"/>
        </w:rPr>
        <w:t>(MMC Link 2012)</w:t>
      </w:r>
      <w:r>
        <w:t>. Toll and SeaRoad have both informed the inquiry of the importance of securing berths at the Port of Melbourne when their current leases expire. For example, Toll noted that ‘the renewal of commercially sustainable long</w:t>
      </w:r>
      <w:r>
        <w:noBreakHyphen/>
        <w:t>term leases at Webb Dock is a core concern for Toll Group in 2014’ (sub. 55, p. 3).</w:t>
      </w:r>
    </w:p>
    <w:p w:rsidR="00AE4D5A" w:rsidRDefault="00AE4D5A" w:rsidP="008E5E01">
      <w:pPr>
        <w:pStyle w:val="BodyText"/>
      </w:pPr>
      <w:r>
        <w:t>The Port of Melbourne Corporation is redeveloping Webb Dock (used by Toll and SeaRoad) as an international container handling terminal.</w:t>
      </w:r>
      <w:r w:rsidRPr="00110516">
        <w:t xml:space="preserve"> </w:t>
      </w:r>
      <w:r>
        <w:t xml:space="preserve">It has stated that throughout the project the port will continue to provide ‘the vital freight connections between Tasmania and the mainland’ </w:t>
      </w:r>
      <w:r w:rsidRPr="00483B56">
        <w:rPr>
          <w:szCs w:val="24"/>
        </w:rPr>
        <w:t>(Port of Melbourne Corporation 2012a, p. 7)</w:t>
      </w:r>
      <w:r>
        <w:t>.</w:t>
      </w:r>
      <w:r w:rsidRPr="007F6A35">
        <w:t xml:space="preserve"> </w:t>
      </w:r>
    </w:p>
    <w:p w:rsidR="00AE4D5A" w:rsidRDefault="00AE4D5A" w:rsidP="008E5E01">
      <w:pPr>
        <w:pStyle w:val="BodyText"/>
      </w:pPr>
      <w:r>
        <w:lastRenderedPageBreak/>
        <w:t xml:space="preserve">While the existing RORO services have dedicated terminal facilities at Tasmanian ports, it is not clear whether new entrants would have difficulty in accessing Tasmanian berths. </w:t>
      </w:r>
      <w:proofErr w:type="spellStart"/>
      <w:r>
        <w:t>RDA</w:t>
      </w:r>
      <w:proofErr w:type="spellEnd"/>
      <w:r>
        <w:t xml:space="preserve">–Tasmania considers that ‘new entrants may find the process of sharing facilities and infrastructure with established operators challenging’ (sub. 17 Att., p. 24). However, information from TasPorts on berth occupancy suggests that current capacity is underutilised (sub. 30, Att.). </w:t>
      </w:r>
    </w:p>
    <w:p w:rsidR="00AE4D5A" w:rsidRDefault="00AE4D5A" w:rsidP="008E5E01">
      <w:pPr>
        <w:pStyle w:val="BodyText"/>
      </w:pPr>
      <w:r>
        <w:t xml:space="preserve">Participants (such as Net Sea Freight) also commented on vertical integration (between freight forwarders and shipping companies) in the Bass Strait freight market as a barrier to shipping entrants. </w:t>
      </w:r>
    </w:p>
    <w:p w:rsidR="00AE4D5A" w:rsidRDefault="00AE4D5A" w:rsidP="008E5E01">
      <w:pPr>
        <w:pStyle w:val="BodyText"/>
      </w:pPr>
      <w:r>
        <w:t>The ACCC examined the issue of vertical integration in the context of Toll’s acquisition of Linfox’s Trans</w:t>
      </w:r>
      <w:r>
        <w:noBreakHyphen/>
        <w:t>Bass Freight Forwarding business and found it imposed no substantial lessening of competition among existing Bass Strait shipping operators (sub. 28). Toll can provide a consolidated service encompassing the Bass Strait route and international services through ANL.</w:t>
      </w:r>
    </w:p>
    <w:p w:rsidR="00AE4D5A" w:rsidRDefault="00AE4D5A" w:rsidP="008E5E01">
      <w:pPr>
        <w:pStyle w:val="Heading4"/>
      </w:pPr>
      <w:r>
        <w:t>Government ownership of TT</w:t>
      </w:r>
      <w:r>
        <w:noBreakHyphen/>
        <w:t>Line</w:t>
      </w:r>
    </w:p>
    <w:p w:rsidR="00AE4D5A" w:rsidRDefault="00AE4D5A" w:rsidP="008E5E01">
      <w:pPr>
        <w:pStyle w:val="BodyText"/>
      </w:pPr>
      <w:r>
        <w:t>One of the three main</w:t>
      </w:r>
      <w:r w:rsidRPr="000F5954">
        <w:t xml:space="preserve"> shipping </w:t>
      </w:r>
      <w:r>
        <w:t>companies carrying freight across Bass Strait is the Tasmanian Government</w:t>
      </w:r>
      <w:r>
        <w:noBreakHyphen/>
        <w:t>owned</w:t>
      </w:r>
      <w:r w:rsidRPr="000F5954">
        <w:t xml:space="preserve"> TT</w:t>
      </w:r>
      <w:r>
        <w:noBreakHyphen/>
      </w:r>
      <w:r w:rsidRPr="000F5954">
        <w:t>Line</w:t>
      </w:r>
      <w:r>
        <w:t>. TT</w:t>
      </w:r>
      <w:r>
        <w:noBreakHyphen/>
        <w:t>Line accounts for around 21 per cent of the annual volume of non</w:t>
      </w:r>
      <w:r>
        <w:noBreakHyphen/>
        <w:t>bulk freight carried across Bass Strait.</w:t>
      </w:r>
    </w:p>
    <w:p w:rsidR="00AE4D5A" w:rsidRDefault="00AE4D5A" w:rsidP="008E5E01">
      <w:pPr>
        <w:pStyle w:val="BodyText"/>
      </w:pPr>
      <w:r>
        <w:t>Commission estimates based on TT</w:t>
      </w:r>
      <w:r>
        <w:noBreakHyphen/>
        <w:t xml:space="preserve">Line’s annual reports (table 4.3 and box 4.2) </w:t>
      </w:r>
      <w:r w:rsidR="00207B70">
        <w:t>indic</w:t>
      </w:r>
      <w:r>
        <w:t>ate that it is generally covering its operating costs but, over the past five years, has not been earning a commercial rate of return. An assessment by the Tasmanian Auditor</w:t>
      </w:r>
      <w:r>
        <w:noBreakHyphen/>
        <w:t>General found TT</w:t>
      </w:r>
      <w:r>
        <w:noBreakHyphen/>
        <w:t>Line’s return on equity to be below the risk free rate in three of the last four years (table 4.3).</w:t>
      </w:r>
    </w:p>
    <w:p w:rsidR="00AE4D5A" w:rsidRDefault="00AE4D5A" w:rsidP="008E5E01">
      <w:pPr>
        <w:pStyle w:val="BodyText"/>
      </w:pPr>
      <w:r w:rsidRPr="00B11832">
        <w:t>An ongoing failure to achieve a commercial rate of return may suggest that non</w:t>
      </w:r>
      <w:r>
        <w:noBreakHyphen/>
      </w:r>
      <w:r w:rsidRPr="00B11832">
        <w:t xml:space="preserve">commercial </w:t>
      </w:r>
      <w:r>
        <w:t>activities are contributing to the poor financial performance of TT</w:t>
      </w:r>
      <w:r>
        <w:noBreakHyphen/>
        <w:t>Line.</w:t>
      </w:r>
    </w:p>
    <w:p w:rsidR="00AE4D5A" w:rsidRDefault="00AE4D5A" w:rsidP="008E5E01">
      <w:pPr>
        <w:pStyle w:val="BodyText"/>
      </w:pPr>
      <w:r>
        <w:t>Whether TT</w:t>
      </w:r>
      <w:r>
        <w:noBreakHyphen/>
        <w:t>Line is earning a commercial rate of return raises the issue of whether the principles of competitive neutrality are being satisfied. A failure to satisfy these principles can result in a distorted market and perversely act to reduce competition. This is an issue relevant for both the passenger vehicle and freight segments of TT</w:t>
      </w:r>
      <w:r>
        <w:noBreakHyphen/>
        <w:t>Line’s business (see also chapter 3).</w:t>
      </w:r>
    </w:p>
    <w:p w:rsidR="00AE4D5A" w:rsidRDefault="00AE4D5A" w:rsidP="008E5E01">
      <w:pPr>
        <w:pStyle w:val="TableTitle"/>
      </w:pPr>
      <w:r>
        <w:rPr>
          <w:b w:val="0"/>
        </w:rPr>
        <w:lastRenderedPageBreak/>
        <w:t>Table 4.</w:t>
      </w:r>
      <w:r>
        <w:rPr>
          <w:b w:val="0"/>
          <w:noProof/>
        </w:rPr>
        <w:t>3</w:t>
      </w:r>
      <w:r>
        <w:tab/>
        <w:t>Financial performance of TT</w:t>
      </w:r>
      <w:r>
        <w:rPr>
          <w:rFonts w:ascii="Times New Roman" w:hAnsi="Times New Roman"/>
        </w:rPr>
        <w:noBreakHyphen/>
      </w:r>
      <w:r>
        <w:t>Line</w:t>
      </w:r>
    </w:p>
    <w:tbl>
      <w:tblPr>
        <w:tblW w:w="5000" w:type="pct"/>
        <w:tblCellMar>
          <w:left w:w="0" w:type="dxa"/>
          <w:right w:w="0" w:type="dxa"/>
        </w:tblCellMar>
        <w:tblLook w:val="0000" w:firstRow="0" w:lastRow="0" w:firstColumn="0" w:lastColumn="0" w:noHBand="0" w:noVBand="0"/>
      </w:tblPr>
      <w:tblGrid>
        <w:gridCol w:w="1559"/>
        <w:gridCol w:w="656"/>
        <w:gridCol w:w="939"/>
        <w:gridCol w:w="939"/>
        <w:gridCol w:w="939"/>
        <w:gridCol w:w="946"/>
        <w:gridCol w:w="946"/>
        <w:gridCol w:w="946"/>
        <w:gridCol w:w="919"/>
      </w:tblGrid>
      <w:tr w:rsidR="00AE4D5A" w:rsidRPr="00F416F3" w:rsidTr="008E5E01">
        <w:tc>
          <w:tcPr>
            <w:tcW w:w="887" w:type="pct"/>
            <w:tcBorders>
              <w:top w:val="single" w:sz="6" w:space="0" w:color="auto"/>
              <w:bottom w:val="single" w:sz="6" w:space="0" w:color="auto"/>
            </w:tcBorders>
            <w:shd w:val="clear" w:color="auto" w:fill="auto"/>
          </w:tcPr>
          <w:p w:rsidR="00AE4D5A" w:rsidRPr="00F416F3" w:rsidRDefault="00AE4D5A" w:rsidP="008E5E01">
            <w:pPr>
              <w:pStyle w:val="TableColumnHeading"/>
              <w:jc w:val="left"/>
              <w:rPr>
                <w:sz w:val="18"/>
                <w:szCs w:val="18"/>
              </w:rPr>
            </w:pPr>
            <w:r w:rsidRPr="00F416F3">
              <w:rPr>
                <w:sz w:val="18"/>
                <w:szCs w:val="18"/>
              </w:rPr>
              <w:t>Indicators</w:t>
            </w:r>
          </w:p>
        </w:tc>
        <w:tc>
          <w:tcPr>
            <w:tcW w:w="373" w:type="pct"/>
            <w:tcBorders>
              <w:top w:val="single" w:sz="6" w:space="0" w:color="auto"/>
              <w:bottom w:val="single" w:sz="6" w:space="0" w:color="auto"/>
            </w:tcBorders>
            <w:shd w:val="clear" w:color="auto" w:fill="auto"/>
          </w:tcPr>
          <w:p w:rsidR="00AE4D5A" w:rsidRPr="00F416F3" w:rsidRDefault="00AE4D5A" w:rsidP="008E5E01">
            <w:pPr>
              <w:pStyle w:val="TableColumnHeading"/>
              <w:rPr>
                <w:sz w:val="18"/>
                <w:szCs w:val="18"/>
              </w:rPr>
            </w:pPr>
            <w:r w:rsidRPr="00F416F3">
              <w:rPr>
                <w:sz w:val="18"/>
                <w:szCs w:val="18"/>
              </w:rPr>
              <w:t>Units</w:t>
            </w:r>
          </w:p>
        </w:tc>
        <w:tc>
          <w:tcPr>
            <w:tcW w:w="53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2006</w:t>
            </w:r>
            <w:r>
              <w:rPr>
                <w:sz w:val="18"/>
                <w:szCs w:val="18"/>
              </w:rPr>
              <w:noBreakHyphen/>
            </w:r>
            <w:r w:rsidRPr="00F416F3">
              <w:rPr>
                <w:sz w:val="18"/>
                <w:szCs w:val="18"/>
              </w:rPr>
              <w:t>07</w:t>
            </w:r>
          </w:p>
        </w:tc>
        <w:tc>
          <w:tcPr>
            <w:tcW w:w="53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2007</w:t>
            </w:r>
            <w:r>
              <w:rPr>
                <w:sz w:val="18"/>
                <w:szCs w:val="18"/>
              </w:rPr>
              <w:noBreakHyphen/>
            </w:r>
            <w:r w:rsidRPr="00F416F3">
              <w:rPr>
                <w:sz w:val="18"/>
                <w:szCs w:val="18"/>
              </w:rPr>
              <w:t>08</w:t>
            </w:r>
          </w:p>
        </w:tc>
        <w:tc>
          <w:tcPr>
            <w:tcW w:w="53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2008</w:t>
            </w:r>
            <w:r>
              <w:rPr>
                <w:sz w:val="18"/>
                <w:szCs w:val="18"/>
              </w:rPr>
              <w:noBreakHyphen/>
            </w:r>
            <w:r w:rsidRPr="00F416F3">
              <w:rPr>
                <w:sz w:val="18"/>
                <w:szCs w:val="18"/>
              </w:rPr>
              <w:t>09</w:t>
            </w:r>
          </w:p>
        </w:tc>
        <w:tc>
          <w:tcPr>
            <w:tcW w:w="538"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2009</w:t>
            </w:r>
            <w:r>
              <w:rPr>
                <w:sz w:val="18"/>
                <w:szCs w:val="18"/>
              </w:rPr>
              <w:noBreakHyphen/>
            </w:r>
            <w:r w:rsidRPr="00F416F3">
              <w:rPr>
                <w:sz w:val="18"/>
                <w:szCs w:val="18"/>
              </w:rPr>
              <w:t>10</w:t>
            </w:r>
          </w:p>
        </w:tc>
        <w:tc>
          <w:tcPr>
            <w:tcW w:w="538"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2010</w:t>
            </w:r>
            <w:r>
              <w:rPr>
                <w:sz w:val="18"/>
                <w:szCs w:val="18"/>
              </w:rPr>
              <w:noBreakHyphen/>
            </w:r>
            <w:r w:rsidRPr="00F416F3">
              <w:rPr>
                <w:sz w:val="18"/>
                <w:szCs w:val="18"/>
              </w:rPr>
              <w:t>11</w:t>
            </w:r>
          </w:p>
        </w:tc>
        <w:tc>
          <w:tcPr>
            <w:tcW w:w="538"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2011</w:t>
            </w:r>
            <w:r>
              <w:rPr>
                <w:sz w:val="18"/>
                <w:szCs w:val="18"/>
              </w:rPr>
              <w:noBreakHyphen/>
            </w:r>
            <w:r w:rsidRPr="00F416F3">
              <w:rPr>
                <w:sz w:val="18"/>
                <w:szCs w:val="18"/>
              </w:rPr>
              <w:t>12</w:t>
            </w:r>
          </w:p>
        </w:tc>
        <w:tc>
          <w:tcPr>
            <w:tcW w:w="523" w:type="pct"/>
            <w:tcBorders>
              <w:top w:val="single" w:sz="6" w:space="0" w:color="auto"/>
              <w:bottom w:val="single" w:sz="6" w:space="0" w:color="auto"/>
            </w:tcBorders>
            <w:shd w:val="clear" w:color="auto" w:fill="auto"/>
          </w:tcPr>
          <w:p w:rsidR="00AE4D5A" w:rsidRPr="00F416F3" w:rsidRDefault="00AE4D5A" w:rsidP="008E5E01">
            <w:pPr>
              <w:pStyle w:val="TableColumnHeading"/>
              <w:ind w:right="28"/>
              <w:rPr>
                <w:sz w:val="18"/>
                <w:szCs w:val="18"/>
              </w:rPr>
            </w:pPr>
            <w:r w:rsidRPr="00F416F3">
              <w:rPr>
                <w:sz w:val="18"/>
                <w:szCs w:val="18"/>
              </w:rPr>
              <w:t>2012</w:t>
            </w:r>
            <w:r>
              <w:rPr>
                <w:sz w:val="18"/>
                <w:szCs w:val="18"/>
              </w:rPr>
              <w:noBreakHyphen/>
            </w:r>
            <w:r w:rsidRPr="00F416F3">
              <w:rPr>
                <w:sz w:val="18"/>
                <w:szCs w:val="18"/>
              </w:rPr>
              <w:t>13</w:t>
            </w:r>
          </w:p>
        </w:tc>
      </w:tr>
      <w:tr w:rsidR="00AE4D5A" w:rsidTr="008E5E01">
        <w:trPr>
          <w:trHeight w:val="340"/>
        </w:trPr>
        <w:tc>
          <w:tcPr>
            <w:tcW w:w="887" w:type="pct"/>
          </w:tcPr>
          <w:p w:rsidR="00AE4D5A" w:rsidRPr="00F416F3" w:rsidRDefault="00AE4D5A" w:rsidP="008E5E01">
            <w:pPr>
              <w:pStyle w:val="TableBodyText"/>
              <w:jc w:val="left"/>
              <w:rPr>
                <w:sz w:val="18"/>
                <w:szCs w:val="18"/>
              </w:rPr>
            </w:pPr>
            <w:r w:rsidRPr="00F416F3">
              <w:rPr>
                <w:sz w:val="18"/>
                <w:szCs w:val="18"/>
              </w:rPr>
              <w:t>Profit before tax</w:t>
            </w:r>
          </w:p>
        </w:tc>
        <w:tc>
          <w:tcPr>
            <w:tcW w:w="373" w:type="pct"/>
          </w:tcPr>
          <w:p w:rsidR="00AE4D5A" w:rsidRPr="00F416F3" w:rsidRDefault="00AE4D5A" w:rsidP="008E5E01">
            <w:pPr>
              <w:pStyle w:val="TableBodyText"/>
              <w:rPr>
                <w:sz w:val="18"/>
                <w:szCs w:val="18"/>
              </w:rPr>
            </w:pPr>
            <w:r w:rsidRPr="00F416F3">
              <w:rPr>
                <w:sz w:val="18"/>
                <w:szCs w:val="18"/>
              </w:rPr>
              <w:t>$’000</w:t>
            </w:r>
          </w:p>
        </w:tc>
        <w:tc>
          <w:tcPr>
            <w:tcW w:w="534" w:type="pct"/>
          </w:tcPr>
          <w:p w:rsidR="00AE4D5A" w:rsidRPr="00F416F3" w:rsidRDefault="00AE4D5A" w:rsidP="008E5E01">
            <w:pPr>
              <w:pStyle w:val="TableBodyText"/>
              <w:rPr>
                <w:sz w:val="18"/>
                <w:szCs w:val="18"/>
              </w:rPr>
            </w:pPr>
            <w:r w:rsidRPr="00F416F3">
              <w:rPr>
                <w:sz w:val="18"/>
                <w:szCs w:val="18"/>
              </w:rPr>
              <w:t>5</w:t>
            </w:r>
            <w:r>
              <w:rPr>
                <w:sz w:val="18"/>
                <w:szCs w:val="18"/>
              </w:rPr>
              <w:t> </w:t>
            </w:r>
            <w:r w:rsidRPr="00F416F3">
              <w:rPr>
                <w:sz w:val="18"/>
                <w:szCs w:val="18"/>
              </w:rPr>
              <w:t>103</w:t>
            </w:r>
          </w:p>
        </w:tc>
        <w:tc>
          <w:tcPr>
            <w:tcW w:w="534" w:type="pct"/>
          </w:tcPr>
          <w:p w:rsidR="00AE4D5A" w:rsidRPr="00F416F3" w:rsidRDefault="00AE4D5A" w:rsidP="008E5E01">
            <w:pPr>
              <w:pStyle w:val="TableBodyText"/>
              <w:rPr>
                <w:sz w:val="18"/>
                <w:szCs w:val="18"/>
              </w:rPr>
            </w:pPr>
            <w:r w:rsidRPr="00F416F3">
              <w:rPr>
                <w:sz w:val="18"/>
                <w:szCs w:val="18"/>
              </w:rPr>
              <w:t>13</w:t>
            </w:r>
            <w:r>
              <w:rPr>
                <w:sz w:val="18"/>
                <w:szCs w:val="18"/>
              </w:rPr>
              <w:t> </w:t>
            </w:r>
            <w:r w:rsidRPr="00F416F3">
              <w:rPr>
                <w:sz w:val="18"/>
                <w:szCs w:val="18"/>
              </w:rPr>
              <w:t>422</w:t>
            </w:r>
          </w:p>
        </w:tc>
        <w:tc>
          <w:tcPr>
            <w:tcW w:w="534" w:type="pct"/>
          </w:tcPr>
          <w:p w:rsidR="00AE4D5A" w:rsidRPr="00F416F3" w:rsidRDefault="00AE4D5A" w:rsidP="008E5E01">
            <w:pPr>
              <w:pStyle w:val="TableBodyText"/>
              <w:rPr>
                <w:sz w:val="18"/>
                <w:szCs w:val="18"/>
              </w:rPr>
            </w:pPr>
            <w:r w:rsidRPr="00F416F3">
              <w:rPr>
                <w:sz w:val="18"/>
                <w:szCs w:val="18"/>
              </w:rPr>
              <w:t>6</w:t>
            </w:r>
            <w:r>
              <w:rPr>
                <w:sz w:val="18"/>
                <w:szCs w:val="18"/>
              </w:rPr>
              <w:t> </w:t>
            </w:r>
            <w:r w:rsidRPr="00F416F3">
              <w:rPr>
                <w:sz w:val="18"/>
                <w:szCs w:val="18"/>
              </w:rPr>
              <w:t>379</w:t>
            </w:r>
          </w:p>
        </w:tc>
        <w:tc>
          <w:tcPr>
            <w:tcW w:w="538" w:type="pct"/>
          </w:tcPr>
          <w:p w:rsidR="00AE4D5A" w:rsidRPr="00F416F3" w:rsidRDefault="00AE4D5A" w:rsidP="008E5E01">
            <w:pPr>
              <w:pStyle w:val="TableBodyText"/>
              <w:rPr>
                <w:sz w:val="18"/>
                <w:szCs w:val="18"/>
              </w:rPr>
            </w:pPr>
            <w:r>
              <w:rPr>
                <w:sz w:val="18"/>
                <w:szCs w:val="18"/>
              </w:rPr>
              <w:noBreakHyphen/>
            </w:r>
            <w:r w:rsidRPr="00F416F3">
              <w:rPr>
                <w:sz w:val="18"/>
                <w:szCs w:val="18"/>
              </w:rPr>
              <w:t>11</w:t>
            </w:r>
            <w:r>
              <w:rPr>
                <w:sz w:val="18"/>
                <w:szCs w:val="18"/>
              </w:rPr>
              <w:t> </w:t>
            </w:r>
            <w:r w:rsidRPr="00F416F3">
              <w:rPr>
                <w:sz w:val="18"/>
                <w:szCs w:val="18"/>
              </w:rPr>
              <w:t>696</w:t>
            </w:r>
          </w:p>
        </w:tc>
        <w:tc>
          <w:tcPr>
            <w:tcW w:w="538" w:type="pct"/>
          </w:tcPr>
          <w:p w:rsidR="00AE4D5A" w:rsidRPr="00F416F3" w:rsidRDefault="00AE4D5A" w:rsidP="008E5E01">
            <w:pPr>
              <w:pStyle w:val="TableBodyText"/>
              <w:rPr>
                <w:sz w:val="18"/>
                <w:szCs w:val="18"/>
              </w:rPr>
            </w:pPr>
            <w:r w:rsidRPr="00F416F3">
              <w:rPr>
                <w:sz w:val="18"/>
                <w:szCs w:val="18"/>
              </w:rPr>
              <w:t>273</w:t>
            </w:r>
          </w:p>
        </w:tc>
        <w:tc>
          <w:tcPr>
            <w:tcW w:w="538" w:type="pct"/>
          </w:tcPr>
          <w:p w:rsidR="00AE4D5A" w:rsidRPr="00F416F3" w:rsidRDefault="00AE4D5A" w:rsidP="008E5E01">
            <w:pPr>
              <w:pStyle w:val="TableBodyText"/>
              <w:rPr>
                <w:sz w:val="18"/>
                <w:szCs w:val="18"/>
              </w:rPr>
            </w:pPr>
            <w:r w:rsidRPr="00F416F3">
              <w:rPr>
                <w:sz w:val="18"/>
                <w:szCs w:val="18"/>
              </w:rPr>
              <w:t>1</w:t>
            </w:r>
            <w:r>
              <w:rPr>
                <w:sz w:val="18"/>
                <w:szCs w:val="18"/>
              </w:rPr>
              <w:t> </w:t>
            </w:r>
            <w:r w:rsidRPr="00F416F3">
              <w:rPr>
                <w:sz w:val="18"/>
                <w:szCs w:val="18"/>
              </w:rPr>
              <w:t>554</w:t>
            </w:r>
          </w:p>
        </w:tc>
        <w:tc>
          <w:tcPr>
            <w:tcW w:w="523" w:type="pct"/>
          </w:tcPr>
          <w:p w:rsidR="00AE4D5A" w:rsidRPr="00F416F3" w:rsidRDefault="00AE4D5A" w:rsidP="008E5E01">
            <w:pPr>
              <w:pStyle w:val="TableBodyText"/>
              <w:ind w:right="28"/>
              <w:rPr>
                <w:sz w:val="18"/>
                <w:szCs w:val="18"/>
              </w:rPr>
            </w:pPr>
            <w:r w:rsidRPr="00F416F3">
              <w:rPr>
                <w:sz w:val="18"/>
                <w:szCs w:val="18"/>
              </w:rPr>
              <w:t>16</w:t>
            </w:r>
            <w:r>
              <w:rPr>
                <w:sz w:val="18"/>
                <w:szCs w:val="18"/>
              </w:rPr>
              <w:t> </w:t>
            </w:r>
            <w:r w:rsidRPr="00F416F3">
              <w:rPr>
                <w:sz w:val="18"/>
                <w:szCs w:val="18"/>
              </w:rPr>
              <w:t>782</w:t>
            </w:r>
          </w:p>
        </w:tc>
      </w:tr>
      <w:tr w:rsidR="00AE4D5A" w:rsidTr="008E5E01">
        <w:trPr>
          <w:trHeight w:val="340"/>
        </w:trPr>
        <w:tc>
          <w:tcPr>
            <w:tcW w:w="887" w:type="pct"/>
          </w:tcPr>
          <w:p w:rsidR="00AE4D5A" w:rsidRPr="00F416F3" w:rsidRDefault="00AE4D5A" w:rsidP="008E5E01">
            <w:pPr>
              <w:pStyle w:val="TableBodyText"/>
              <w:jc w:val="left"/>
              <w:rPr>
                <w:sz w:val="18"/>
                <w:szCs w:val="18"/>
              </w:rPr>
            </w:pPr>
            <w:r w:rsidRPr="00F416F3">
              <w:rPr>
                <w:sz w:val="18"/>
                <w:szCs w:val="18"/>
              </w:rPr>
              <w:t>Operating profit margin</w:t>
            </w:r>
          </w:p>
        </w:tc>
        <w:tc>
          <w:tcPr>
            <w:tcW w:w="373" w:type="pct"/>
          </w:tcPr>
          <w:p w:rsidR="00AE4D5A" w:rsidRPr="00F416F3" w:rsidRDefault="00AE4D5A" w:rsidP="008E5E01">
            <w:pPr>
              <w:pStyle w:val="TableBodyText"/>
              <w:rPr>
                <w:sz w:val="18"/>
                <w:szCs w:val="18"/>
              </w:rPr>
            </w:pPr>
            <w:r w:rsidRPr="00F416F3">
              <w:rPr>
                <w:sz w:val="18"/>
                <w:szCs w:val="18"/>
              </w:rPr>
              <w:t>%</w:t>
            </w:r>
          </w:p>
        </w:tc>
        <w:tc>
          <w:tcPr>
            <w:tcW w:w="534" w:type="pct"/>
          </w:tcPr>
          <w:p w:rsidR="00AE4D5A" w:rsidRPr="00F416F3" w:rsidRDefault="00AE4D5A" w:rsidP="008E5E01">
            <w:pPr>
              <w:pStyle w:val="TableBodyText"/>
              <w:rPr>
                <w:sz w:val="18"/>
                <w:szCs w:val="18"/>
              </w:rPr>
            </w:pPr>
            <w:r>
              <w:rPr>
                <w:sz w:val="18"/>
                <w:szCs w:val="18"/>
              </w:rPr>
              <w:t>4.0</w:t>
            </w:r>
          </w:p>
        </w:tc>
        <w:tc>
          <w:tcPr>
            <w:tcW w:w="534" w:type="pct"/>
          </w:tcPr>
          <w:p w:rsidR="00AE4D5A" w:rsidRPr="00F416F3" w:rsidRDefault="00AE4D5A" w:rsidP="008E5E01">
            <w:pPr>
              <w:pStyle w:val="TableBodyText"/>
              <w:rPr>
                <w:sz w:val="18"/>
                <w:szCs w:val="18"/>
              </w:rPr>
            </w:pPr>
            <w:r>
              <w:rPr>
                <w:sz w:val="18"/>
                <w:szCs w:val="18"/>
              </w:rPr>
              <w:t>7.9</w:t>
            </w:r>
          </w:p>
        </w:tc>
        <w:tc>
          <w:tcPr>
            <w:tcW w:w="534" w:type="pct"/>
          </w:tcPr>
          <w:p w:rsidR="00AE4D5A" w:rsidRPr="00F416F3" w:rsidRDefault="00AE4D5A" w:rsidP="008E5E01">
            <w:pPr>
              <w:pStyle w:val="TableBodyText"/>
              <w:rPr>
                <w:sz w:val="18"/>
                <w:szCs w:val="18"/>
              </w:rPr>
            </w:pPr>
            <w:r>
              <w:rPr>
                <w:sz w:val="18"/>
                <w:szCs w:val="18"/>
              </w:rPr>
              <w:t>4.5</w:t>
            </w:r>
          </w:p>
        </w:tc>
        <w:tc>
          <w:tcPr>
            <w:tcW w:w="538" w:type="pct"/>
          </w:tcPr>
          <w:p w:rsidR="00AE4D5A" w:rsidRPr="00F416F3" w:rsidRDefault="00AE4D5A" w:rsidP="008E5E01">
            <w:pPr>
              <w:pStyle w:val="TableBodyText"/>
              <w:rPr>
                <w:sz w:val="18"/>
                <w:szCs w:val="18"/>
              </w:rPr>
            </w:pPr>
            <w:r>
              <w:rPr>
                <w:sz w:val="18"/>
                <w:szCs w:val="18"/>
              </w:rPr>
              <w:noBreakHyphen/>
              <w:t>5.6</w:t>
            </w:r>
          </w:p>
        </w:tc>
        <w:tc>
          <w:tcPr>
            <w:tcW w:w="538" w:type="pct"/>
          </w:tcPr>
          <w:p w:rsidR="00AE4D5A" w:rsidRPr="00F416F3" w:rsidRDefault="00AE4D5A" w:rsidP="008E5E01">
            <w:pPr>
              <w:pStyle w:val="TableBodyText"/>
              <w:rPr>
                <w:sz w:val="18"/>
                <w:szCs w:val="18"/>
              </w:rPr>
            </w:pPr>
            <w:r>
              <w:rPr>
                <w:sz w:val="18"/>
                <w:szCs w:val="18"/>
              </w:rPr>
              <w:t>0.3</w:t>
            </w:r>
          </w:p>
        </w:tc>
        <w:tc>
          <w:tcPr>
            <w:tcW w:w="538" w:type="pct"/>
          </w:tcPr>
          <w:p w:rsidR="00AE4D5A" w:rsidRPr="00F416F3" w:rsidRDefault="00AE4D5A" w:rsidP="008E5E01">
            <w:pPr>
              <w:pStyle w:val="TableBodyText"/>
              <w:rPr>
                <w:sz w:val="18"/>
                <w:szCs w:val="18"/>
              </w:rPr>
            </w:pPr>
            <w:r>
              <w:rPr>
                <w:sz w:val="18"/>
                <w:szCs w:val="18"/>
              </w:rPr>
              <w:t>0.1</w:t>
            </w:r>
          </w:p>
        </w:tc>
        <w:tc>
          <w:tcPr>
            <w:tcW w:w="523" w:type="pct"/>
          </w:tcPr>
          <w:p w:rsidR="00AE4D5A" w:rsidRPr="00F416F3" w:rsidRDefault="00AE4D5A" w:rsidP="008E5E01">
            <w:pPr>
              <w:pStyle w:val="TableBodyText"/>
              <w:ind w:right="28"/>
              <w:rPr>
                <w:sz w:val="18"/>
                <w:szCs w:val="18"/>
              </w:rPr>
            </w:pPr>
            <w:r>
              <w:rPr>
                <w:sz w:val="18"/>
                <w:szCs w:val="18"/>
              </w:rPr>
              <w:t>8.0</w:t>
            </w:r>
          </w:p>
        </w:tc>
      </w:tr>
      <w:tr w:rsidR="00AE4D5A" w:rsidTr="008E5E01">
        <w:trPr>
          <w:trHeight w:val="340"/>
        </w:trPr>
        <w:tc>
          <w:tcPr>
            <w:tcW w:w="887" w:type="pct"/>
          </w:tcPr>
          <w:p w:rsidR="00AE4D5A" w:rsidRPr="00F416F3" w:rsidRDefault="00AE4D5A" w:rsidP="008E5E01">
            <w:pPr>
              <w:pStyle w:val="TableBodyText"/>
              <w:jc w:val="left"/>
              <w:rPr>
                <w:sz w:val="18"/>
                <w:szCs w:val="18"/>
              </w:rPr>
            </w:pPr>
            <w:r w:rsidRPr="00F416F3">
              <w:rPr>
                <w:sz w:val="18"/>
                <w:szCs w:val="18"/>
              </w:rPr>
              <w:t>Cost recovery</w:t>
            </w:r>
          </w:p>
        </w:tc>
        <w:tc>
          <w:tcPr>
            <w:tcW w:w="373" w:type="pct"/>
          </w:tcPr>
          <w:p w:rsidR="00AE4D5A" w:rsidRPr="00F416F3" w:rsidRDefault="00AE4D5A" w:rsidP="008E5E01">
            <w:pPr>
              <w:pStyle w:val="TableBodyText"/>
              <w:rPr>
                <w:sz w:val="18"/>
                <w:szCs w:val="18"/>
              </w:rPr>
            </w:pPr>
            <w:r w:rsidRPr="00F416F3">
              <w:rPr>
                <w:sz w:val="18"/>
                <w:szCs w:val="18"/>
              </w:rPr>
              <w:t>%</w:t>
            </w:r>
          </w:p>
        </w:tc>
        <w:tc>
          <w:tcPr>
            <w:tcW w:w="534" w:type="pct"/>
          </w:tcPr>
          <w:p w:rsidR="00AE4D5A" w:rsidRPr="00F416F3" w:rsidRDefault="00AE4D5A" w:rsidP="008E5E01">
            <w:pPr>
              <w:pStyle w:val="TableBodyText"/>
              <w:rPr>
                <w:sz w:val="18"/>
                <w:szCs w:val="18"/>
              </w:rPr>
            </w:pPr>
            <w:r>
              <w:rPr>
                <w:sz w:val="18"/>
                <w:szCs w:val="18"/>
              </w:rPr>
              <w:t>104.2</w:t>
            </w:r>
          </w:p>
        </w:tc>
        <w:tc>
          <w:tcPr>
            <w:tcW w:w="534" w:type="pct"/>
          </w:tcPr>
          <w:p w:rsidR="00AE4D5A" w:rsidRPr="00F416F3" w:rsidRDefault="00AE4D5A" w:rsidP="008E5E01">
            <w:pPr>
              <w:pStyle w:val="TableBodyText"/>
              <w:rPr>
                <w:sz w:val="18"/>
                <w:szCs w:val="18"/>
              </w:rPr>
            </w:pPr>
            <w:r>
              <w:rPr>
                <w:sz w:val="18"/>
                <w:szCs w:val="18"/>
              </w:rPr>
              <w:t>108.6</w:t>
            </w:r>
          </w:p>
        </w:tc>
        <w:tc>
          <w:tcPr>
            <w:tcW w:w="534" w:type="pct"/>
          </w:tcPr>
          <w:p w:rsidR="00AE4D5A" w:rsidRPr="00F416F3" w:rsidRDefault="00AE4D5A" w:rsidP="008E5E01">
            <w:pPr>
              <w:pStyle w:val="TableBodyText"/>
              <w:rPr>
                <w:sz w:val="18"/>
                <w:szCs w:val="18"/>
              </w:rPr>
            </w:pPr>
            <w:r>
              <w:rPr>
                <w:sz w:val="18"/>
                <w:szCs w:val="18"/>
              </w:rPr>
              <w:t>104.7</w:t>
            </w:r>
          </w:p>
        </w:tc>
        <w:tc>
          <w:tcPr>
            <w:tcW w:w="538" w:type="pct"/>
          </w:tcPr>
          <w:p w:rsidR="00AE4D5A" w:rsidRPr="00F416F3" w:rsidRDefault="00AE4D5A" w:rsidP="008E5E01">
            <w:pPr>
              <w:pStyle w:val="TableBodyText"/>
              <w:rPr>
                <w:sz w:val="18"/>
                <w:szCs w:val="18"/>
              </w:rPr>
            </w:pPr>
            <w:r>
              <w:rPr>
                <w:sz w:val="18"/>
                <w:szCs w:val="18"/>
              </w:rPr>
              <w:t>94.7</w:t>
            </w:r>
          </w:p>
        </w:tc>
        <w:tc>
          <w:tcPr>
            <w:tcW w:w="538" w:type="pct"/>
          </w:tcPr>
          <w:p w:rsidR="00AE4D5A" w:rsidRPr="00F416F3" w:rsidRDefault="00AE4D5A" w:rsidP="008E5E01">
            <w:pPr>
              <w:pStyle w:val="TableBodyText"/>
              <w:rPr>
                <w:sz w:val="18"/>
                <w:szCs w:val="18"/>
              </w:rPr>
            </w:pPr>
            <w:r>
              <w:rPr>
                <w:sz w:val="18"/>
                <w:szCs w:val="18"/>
              </w:rPr>
              <w:t>100.3</w:t>
            </w:r>
          </w:p>
        </w:tc>
        <w:tc>
          <w:tcPr>
            <w:tcW w:w="538" w:type="pct"/>
          </w:tcPr>
          <w:p w:rsidR="00AE4D5A" w:rsidRPr="00F416F3" w:rsidRDefault="00AE4D5A" w:rsidP="008E5E01">
            <w:pPr>
              <w:pStyle w:val="TableBodyText"/>
              <w:rPr>
                <w:sz w:val="18"/>
                <w:szCs w:val="18"/>
              </w:rPr>
            </w:pPr>
            <w:r>
              <w:rPr>
                <w:sz w:val="18"/>
                <w:szCs w:val="18"/>
              </w:rPr>
              <w:t>100.1</w:t>
            </w:r>
          </w:p>
        </w:tc>
        <w:tc>
          <w:tcPr>
            <w:tcW w:w="523" w:type="pct"/>
          </w:tcPr>
          <w:p w:rsidR="00AE4D5A" w:rsidRPr="00F416F3" w:rsidRDefault="00AE4D5A" w:rsidP="008E5E01">
            <w:pPr>
              <w:pStyle w:val="TableBodyText"/>
              <w:ind w:right="28"/>
              <w:rPr>
                <w:sz w:val="18"/>
                <w:szCs w:val="18"/>
              </w:rPr>
            </w:pPr>
            <w:r>
              <w:rPr>
                <w:sz w:val="18"/>
                <w:szCs w:val="18"/>
              </w:rPr>
              <w:t>108.7</w:t>
            </w:r>
          </w:p>
        </w:tc>
      </w:tr>
      <w:tr w:rsidR="00AE4D5A" w:rsidTr="008E5E01">
        <w:trPr>
          <w:trHeight w:val="340"/>
        </w:trPr>
        <w:tc>
          <w:tcPr>
            <w:tcW w:w="887" w:type="pct"/>
          </w:tcPr>
          <w:p w:rsidR="00AE4D5A" w:rsidRPr="00F416F3" w:rsidRDefault="00AE4D5A" w:rsidP="008E5E01">
            <w:pPr>
              <w:pStyle w:val="TableBodyText"/>
              <w:jc w:val="left"/>
              <w:rPr>
                <w:sz w:val="18"/>
                <w:szCs w:val="18"/>
              </w:rPr>
            </w:pPr>
            <w:r w:rsidRPr="00F416F3">
              <w:rPr>
                <w:sz w:val="18"/>
                <w:szCs w:val="18"/>
              </w:rPr>
              <w:t>Return on assets</w:t>
            </w:r>
          </w:p>
        </w:tc>
        <w:tc>
          <w:tcPr>
            <w:tcW w:w="373" w:type="pct"/>
          </w:tcPr>
          <w:p w:rsidR="00AE4D5A" w:rsidRPr="00F416F3" w:rsidRDefault="00AE4D5A" w:rsidP="008E5E01">
            <w:pPr>
              <w:pStyle w:val="TableBodyText"/>
              <w:rPr>
                <w:sz w:val="18"/>
                <w:szCs w:val="18"/>
              </w:rPr>
            </w:pPr>
            <w:r w:rsidRPr="00F416F3">
              <w:rPr>
                <w:sz w:val="18"/>
                <w:szCs w:val="18"/>
              </w:rPr>
              <w:t>%</w:t>
            </w:r>
          </w:p>
        </w:tc>
        <w:tc>
          <w:tcPr>
            <w:tcW w:w="534" w:type="pct"/>
          </w:tcPr>
          <w:p w:rsidR="00AE4D5A" w:rsidRPr="00F416F3" w:rsidRDefault="00AE4D5A" w:rsidP="008E5E01">
            <w:pPr>
              <w:pStyle w:val="TableBodyText"/>
              <w:rPr>
                <w:sz w:val="18"/>
                <w:szCs w:val="18"/>
              </w:rPr>
            </w:pPr>
            <w:r>
              <w:rPr>
                <w:sz w:val="18"/>
                <w:szCs w:val="18"/>
              </w:rPr>
              <w:t>3.2</w:t>
            </w:r>
          </w:p>
        </w:tc>
        <w:tc>
          <w:tcPr>
            <w:tcW w:w="534" w:type="pct"/>
          </w:tcPr>
          <w:p w:rsidR="00AE4D5A" w:rsidRPr="00F416F3" w:rsidRDefault="00AE4D5A" w:rsidP="008E5E01">
            <w:pPr>
              <w:pStyle w:val="TableBodyText"/>
              <w:rPr>
                <w:sz w:val="18"/>
                <w:szCs w:val="18"/>
              </w:rPr>
            </w:pPr>
            <w:r>
              <w:rPr>
                <w:sz w:val="18"/>
                <w:szCs w:val="18"/>
              </w:rPr>
              <w:t>5.2</w:t>
            </w:r>
          </w:p>
        </w:tc>
        <w:tc>
          <w:tcPr>
            <w:tcW w:w="534" w:type="pct"/>
          </w:tcPr>
          <w:p w:rsidR="00AE4D5A" w:rsidRPr="00F416F3" w:rsidRDefault="00AE4D5A" w:rsidP="008E5E01">
            <w:pPr>
              <w:pStyle w:val="TableBodyText"/>
              <w:rPr>
                <w:sz w:val="18"/>
                <w:szCs w:val="18"/>
              </w:rPr>
            </w:pPr>
            <w:r>
              <w:rPr>
                <w:sz w:val="18"/>
                <w:szCs w:val="18"/>
              </w:rPr>
              <w:t>2.9</w:t>
            </w:r>
          </w:p>
        </w:tc>
        <w:tc>
          <w:tcPr>
            <w:tcW w:w="538" w:type="pct"/>
          </w:tcPr>
          <w:p w:rsidR="00AE4D5A" w:rsidRPr="00F416F3" w:rsidRDefault="00AE4D5A" w:rsidP="008E5E01">
            <w:pPr>
              <w:pStyle w:val="TableBodyText"/>
              <w:rPr>
                <w:sz w:val="18"/>
                <w:szCs w:val="18"/>
              </w:rPr>
            </w:pPr>
            <w:r>
              <w:rPr>
                <w:sz w:val="18"/>
                <w:szCs w:val="18"/>
              </w:rPr>
              <w:noBreakHyphen/>
              <w:t>3.0</w:t>
            </w:r>
          </w:p>
        </w:tc>
        <w:tc>
          <w:tcPr>
            <w:tcW w:w="538" w:type="pct"/>
          </w:tcPr>
          <w:p w:rsidR="00AE4D5A" w:rsidRPr="00F416F3" w:rsidRDefault="00AE4D5A" w:rsidP="008E5E01">
            <w:pPr>
              <w:pStyle w:val="TableBodyText"/>
              <w:rPr>
                <w:sz w:val="18"/>
                <w:szCs w:val="18"/>
              </w:rPr>
            </w:pPr>
            <w:r>
              <w:rPr>
                <w:sz w:val="18"/>
                <w:szCs w:val="18"/>
              </w:rPr>
              <w:t>0.7</w:t>
            </w:r>
          </w:p>
        </w:tc>
        <w:tc>
          <w:tcPr>
            <w:tcW w:w="538" w:type="pct"/>
          </w:tcPr>
          <w:p w:rsidR="00AE4D5A" w:rsidRPr="00F416F3" w:rsidRDefault="00AE4D5A" w:rsidP="008E5E01">
            <w:pPr>
              <w:pStyle w:val="TableBodyText"/>
              <w:rPr>
                <w:sz w:val="18"/>
                <w:szCs w:val="18"/>
              </w:rPr>
            </w:pPr>
            <w:r>
              <w:rPr>
                <w:sz w:val="18"/>
                <w:szCs w:val="18"/>
              </w:rPr>
              <w:t>0.6</w:t>
            </w:r>
          </w:p>
        </w:tc>
        <w:tc>
          <w:tcPr>
            <w:tcW w:w="523" w:type="pct"/>
          </w:tcPr>
          <w:p w:rsidR="00AE4D5A" w:rsidRPr="00F416F3" w:rsidRDefault="00AE4D5A" w:rsidP="008E5E01">
            <w:pPr>
              <w:pStyle w:val="TableBodyText"/>
              <w:ind w:right="28"/>
              <w:rPr>
                <w:sz w:val="18"/>
                <w:szCs w:val="18"/>
              </w:rPr>
            </w:pPr>
            <w:r>
              <w:rPr>
                <w:sz w:val="18"/>
                <w:szCs w:val="18"/>
              </w:rPr>
              <w:t>6.4</w:t>
            </w:r>
          </w:p>
        </w:tc>
      </w:tr>
      <w:tr w:rsidR="00AE4D5A" w:rsidTr="008E5E01">
        <w:trPr>
          <w:trHeight w:val="340"/>
        </w:trPr>
        <w:tc>
          <w:tcPr>
            <w:tcW w:w="887" w:type="pct"/>
            <w:tcBorders>
              <w:bottom w:val="single" w:sz="4" w:space="0" w:color="auto"/>
            </w:tcBorders>
          </w:tcPr>
          <w:p w:rsidR="00AE4D5A" w:rsidRPr="00F416F3" w:rsidRDefault="00AE4D5A" w:rsidP="008E5E01">
            <w:pPr>
              <w:pStyle w:val="TableBodyText"/>
              <w:jc w:val="left"/>
              <w:rPr>
                <w:sz w:val="18"/>
                <w:szCs w:val="18"/>
              </w:rPr>
            </w:pPr>
            <w:r w:rsidRPr="00F416F3">
              <w:rPr>
                <w:sz w:val="18"/>
                <w:szCs w:val="18"/>
              </w:rPr>
              <w:t>Return on total equity</w:t>
            </w:r>
          </w:p>
        </w:tc>
        <w:tc>
          <w:tcPr>
            <w:tcW w:w="373" w:type="pct"/>
            <w:tcBorders>
              <w:bottom w:val="single" w:sz="4" w:space="0" w:color="auto"/>
            </w:tcBorders>
          </w:tcPr>
          <w:p w:rsidR="00AE4D5A" w:rsidRPr="00F416F3" w:rsidRDefault="00AE4D5A" w:rsidP="008E5E01">
            <w:pPr>
              <w:pStyle w:val="TableBodyText"/>
              <w:rPr>
                <w:sz w:val="18"/>
                <w:szCs w:val="18"/>
              </w:rPr>
            </w:pPr>
            <w:r w:rsidRPr="00F416F3">
              <w:rPr>
                <w:sz w:val="18"/>
                <w:szCs w:val="18"/>
              </w:rPr>
              <w:t>%</w:t>
            </w:r>
          </w:p>
        </w:tc>
        <w:tc>
          <w:tcPr>
            <w:tcW w:w="534" w:type="pct"/>
            <w:tcBorders>
              <w:bottom w:val="single" w:sz="4" w:space="0" w:color="auto"/>
            </w:tcBorders>
          </w:tcPr>
          <w:p w:rsidR="00AE4D5A" w:rsidRPr="00F416F3" w:rsidRDefault="00AE4D5A" w:rsidP="008E5E01">
            <w:pPr>
              <w:pStyle w:val="TableBodyText"/>
              <w:rPr>
                <w:sz w:val="18"/>
                <w:szCs w:val="18"/>
              </w:rPr>
            </w:pPr>
            <w:r>
              <w:rPr>
                <w:sz w:val="18"/>
                <w:szCs w:val="18"/>
              </w:rPr>
              <w:t>5.7</w:t>
            </w:r>
          </w:p>
        </w:tc>
        <w:tc>
          <w:tcPr>
            <w:tcW w:w="534" w:type="pct"/>
            <w:tcBorders>
              <w:bottom w:val="single" w:sz="4" w:space="0" w:color="auto"/>
            </w:tcBorders>
          </w:tcPr>
          <w:p w:rsidR="00AE4D5A" w:rsidRPr="00F416F3" w:rsidRDefault="00AE4D5A" w:rsidP="008E5E01">
            <w:pPr>
              <w:pStyle w:val="TableBodyText"/>
              <w:rPr>
                <w:sz w:val="18"/>
                <w:szCs w:val="18"/>
              </w:rPr>
            </w:pPr>
            <w:r>
              <w:rPr>
                <w:sz w:val="18"/>
                <w:szCs w:val="18"/>
              </w:rPr>
              <w:t>6.3</w:t>
            </w:r>
          </w:p>
        </w:tc>
        <w:tc>
          <w:tcPr>
            <w:tcW w:w="534" w:type="pct"/>
            <w:tcBorders>
              <w:bottom w:val="single" w:sz="4" w:space="0" w:color="auto"/>
            </w:tcBorders>
          </w:tcPr>
          <w:p w:rsidR="00AE4D5A" w:rsidRPr="00F416F3" w:rsidRDefault="00AE4D5A" w:rsidP="008E5E01">
            <w:pPr>
              <w:pStyle w:val="TableBodyText"/>
              <w:rPr>
                <w:sz w:val="18"/>
                <w:szCs w:val="18"/>
              </w:rPr>
            </w:pPr>
            <w:r>
              <w:rPr>
                <w:sz w:val="18"/>
                <w:szCs w:val="18"/>
              </w:rPr>
              <w:noBreakHyphen/>
              <w:t>0.2</w:t>
            </w:r>
          </w:p>
        </w:tc>
        <w:tc>
          <w:tcPr>
            <w:tcW w:w="538" w:type="pct"/>
            <w:tcBorders>
              <w:bottom w:val="single" w:sz="4" w:space="0" w:color="auto"/>
            </w:tcBorders>
          </w:tcPr>
          <w:p w:rsidR="00AE4D5A" w:rsidRPr="00F416F3" w:rsidRDefault="00AE4D5A" w:rsidP="008E5E01">
            <w:pPr>
              <w:pStyle w:val="TableBodyText"/>
              <w:rPr>
                <w:sz w:val="18"/>
                <w:szCs w:val="18"/>
              </w:rPr>
            </w:pPr>
            <w:r>
              <w:rPr>
                <w:sz w:val="18"/>
                <w:szCs w:val="18"/>
              </w:rPr>
              <w:noBreakHyphen/>
              <w:t>5.8</w:t>
            </w:r>
          </w:p>
        </w:tc>
        <w:tc>
          <w:tcPr>
            <w:tcW w:w="538" w:type="pct"/>
            <w:tcBorders>
              <w:bottom w:val="single" w:sz="4" w:space="0" w:color="auto"/>
            </w:tcBorders>
          </w:tcPr>
          <w:p w:rsidR="00AE4D5A" w:rsidRPr="00F416F3" w:rsidRDefault="00AE4D5A" w:rsidP="008E5E01">
            <w:pPr>
              <w:pStyle w:val="TableBodyText"/>
              <w:rPr>
                <w:sz w:val="18"/>
                <w:szCs w:val="18"/>
              </w:rPr>
            </w:pPr>
            <w:r>
              <w:rPr>
                <w:sz w:val="18"/>
                <w:szCs w:val="18"/>
              </w:rPr>
              <w:noBreakHyphen/>
              <w:t>1.2</w:t>
            </w:r>
          </w:p>
        </w:tc>
        <w:tc>
          <w:tcPr>
            <w:tcW w:w="538" w:type="pct"/>
            <w:tcBorders>
              <w:bottom w:val="single" w:sz="4" w:space="0" w:color="auto"/>
            </w:tcBorders>
          </w:tcPr>
          <w:p w:rsidR="00AE4D5A" w:rsidRPr="00F416F3" w:rsidRDefault="00AE4D5A" w:rsidP="008E5E01">
            <w:pPr>
              <w:pStyle w:val="TableBodyText"/>
              <w:rPr>
                <w:sz w:val="18"/>
                <w:szCs w:val="18"/>
              </w:rPr>
            </w:pPr>
            <w:r>
              <w:rPr>
                <w:sz w:val="18"/>
                <w:szCs w:val="18"/>
              </w:rPr>
              <w:t>0.1</w:t>
            </w:r>
          </w:p>
        </w:tc>
        <w:tc>
          <w:tcPr>
            <w:tcW w:w="523" w:type="pct"/>
            <w:tcBorders>
              <w:bottom w:val="single" w:sz="4" w:space="0" w:color="auto"/>
            </w:tcBorders>
          </w:tcPr>
          <w:p w:rsidR="00AE4D5A" w:rsidRPr="00F416F3" w:rsidRDefault="00AE4D5A" w:rsidP="008E5E01">
            <w:pPr>
              <w:pStyle w:val="TableBodyText"/>
              <w:ind w:right="28"/>
              <w:rPr>
                <w:sz w:val="18"/>
                <w:szCs w:val="18"/>
              </w:rPr>
            </w:pPr>
            <w:r>
              <w:rPr>
                <w:sz w:val="18"/>
                <w:szCs w:val="18"/>
              </w:rPr>
              <w:t>3.6</w:t>
            </w:r>
          </w:p>
        </w:tc>
      </w:tr>
      <w:tr w:rsidR="00AE4D5A" w:rsidTr="008E5E01">
        <w:trPr>
          <w:trHeight w:val="340"/>
        </w:trPr>
        <w:tc>
          <w:tcPr>
            <w:tcW w:w="887" w:type="pct"/>
            <w:tcBorders>
              <w:bottom w:val="single" w:sz="4" w:space="0" w:color="auto"/>
            </w:tcBorders>
          </w:tcPr>
          <w:p w:rsidR="00AE4D5A" w:rsidRPr="00F416F3" w:rsidRDefault="00AE4D5A" w:rsidP="008E5E01">
            <w:pPr>
              <w:pStyle w:val="TableBodyText"/>
              <w:jc w:val="left"/>
              <w:rPr>
                <w:sz w:val="18"/>
                <w:szCs w:val="18"/>
              </w:rPr>
            </w:pPr>
            <w:r>
              <w:rPr>
                <w:sz w:val="18"/>
                <w:szCs w:val="18"/>
              </w:rPr>
              <w:t>Auditor General assessment of return on equity</w:t>
            </w:r>
            <w:r>
              <w:rPr>
                <w:rStyle w:val="NoteLabel"/>
              </w:rPr>
              <w:t>a</w:t>
            </w:r>
          </w:p>
        </w:tc>
        <w:tc>
          <w:tcPr>
            <w:tcW w:w="373" w:type="pct"/>
            <w:tcBorders>
              <w:bottom w:val="single" w:sz="4" w:space="0" w:color="auto"/>
            </w:tcBorders>
          </w:tcPr>
          <w:p w:rsidR="00AE4D5A" w:rsidRPr="00F416F3" w:rsidRDefault="00AE4D5A" w:rsidP="008E5E01">
            <w:pPr>
              <w:pStyle w:val="TableBodyText"/>
              <w:rPr>
                <w:sz w:val="18"/>
                <w:szCs w:val="18"/>
              </w:rPr>
            </w:pPr>
            <w:r>
              <w:rPr>
                <w:sz w:val="18"/>
                <w:szCs w:val="18"/>
              </w:rPr>
              <w:t>%</w:t>
            </w:r>
          </w:p>
        </w:tc>
        <w:tc>
          <w:tcPr>
            <w:tcW w:w="534" w:type="pct"/>
            <w:tcBorders>
              <w:bottom w:val="single" w:sz="4" w:space="0" w:color="auto"/>
            </w:tcBorders>
          </w:tcPr>
          <w:p w:rsidR="00AE4D5A" w:rsidRPr="00AA3026" w:rsidRDefault="00AE4D5A" w:rsidP="008E5E01">
            <w:pPr>
              <w:pStyle w:val="TableBodyText"/>
              <w:rPr>
                <w:sz w:val="18"/>
                <w:szCs w:val="18"/>
              </w:rPr>
            </w:pPr>
            <w:proofErr w:type="spellStart"/>
            <w:r w:rsidRPr="00AA3026">
              <w:rPr>
                <w:sz w:val="18"/>
                <w:szCs w:val="18"/>
              </w:rPr>
              <w:t>na</w:t>
            </w:r>
            <w:proofErr w:type="spellEnd"/>
          </w:p>
        </w:tc>
        <w:tc>
          <w:tcPr>
            <w:tcW w:w="534" w:type="pct"/>
            <w:tcBorders>
              <w:bottom w:val="single" w:sz="4" w:space="0" w:color="auto"/>
            </w:tcBorders>
          </w:tcPr>
          <w:p w:rsidR="00AE4D5A" w:rsidRPr="00AA3026" w:rsidRDefault="00AE4D5A" w:rsidP="008E5E01">
            <w:pPr>
              <w:pStyle w:val="TableBodyText"/>
              <w:rPr>
                <w:sz w:val="18"/>
                <w:szCs w:val="18"/>
              </w:rPr>
            </w:pPr>
            <w:proofErr w:type="spellStart"/>
            <w:r w:rsidRPr="00AA3026">
              <w:rPr>
                <w:sz w:val="18"/>
                <w:szCs w:val="18"/>
              </w:rPr>
              <w:t>na</w:t>
            </w:r>
            <w:proofErr w:type="spellEnd"/>
          </w:p>
        </w:tc>
        <w:tc>
          <w:tcPr>
            <w:tcW w:w="534" w:type="pct"/>
            <w:tcBorders>
              <w:bottom w:val="single" w:sz="4" w:space="0" w:color="auto"/>
            </w:tcBorders>
          </w:tcPr>
          <w:p w:rsidR="00AE4D5A" w:rsidRPr="00AA3026" w:rsidRDefault="00AE4D5A" w:rsidP="008E5E01">
            <w:pPr>
              <w:pStyle w:val="TableBodyText"/>
              <w:rPr>
                <w:sz w:val="18"/>
                <w:szCs w:val="18"/>
              </w:rPr>
            </w:pPr>
            <w:proofErr w:type="spellStart"/>
            <w:r w:rsidRPr="00AA3026">
              <w:rPr>
                <w:sz w:val="18"/>
                <w:szCs w:val="18"/>
              </w:rPr>
              <w:t>na</w:t>
            </w:r>
            <w:proofErr w:type="spellEnd"/>
          </w:p>
        </w:tc>
        <w:tc>
          <w:tcPr>
            <w:tcW w:w="538" w:type="pct"/>
            <w:tcBorders>
              <w:bottom w:val="single" w:sz="4" w:space="0" w:color="auto"/>
            </w:tcBorders>
          </w:tcPr>
          <w:p w:rsidR="00AE4D5A" w:rsidRDefault="00AE4D5A" w:rsidP="008E5E01">
            <w:pPr>
              <w:pStyle w:val="TableBodyText"/>
              <w:rPr>
                <w:sz w:val="18"/>
                <w:szCs w:val="18"/>
              </w:rPr>
            </w:pPr>
            <w:r>
              <w:rPr>
                <w:sz w:val="18"/>
                <w:szCs w:val="18"/>
              </w:rPr>
              <w:t>8.2</w:t>
            </w:r>
          </w:p>
        </w:tc>
        <w:tc>
          <w:tcPr>
            <w:tcW w:w="538" w:type="pct"/>
            <w:tcBorders>
              <w:bottom w:val="single" w:sz="4" w:space="0" w:color="auto"/>
            </w:tcBorders>
          </w:tcPr>
          <w:p w:rsidR="00AE4D5A" w:rsidRDefault="00AE4D5A" w:rsidP="008E5E01">
            <w:pPr>
              <w:pStyle w:val="TableBodyText"/>
              <w:rPr>
                <w:sz w:val="18"/>
                <w:szCs w:val="18"/>
              </w:rPr>
            </w:pPr>
            <w:r>
              <w:rPr>
                <w:sz w:val="18"/>
                <w:szCs w:val="18"/>
              </w:rPr>
              <w:t>0.4</w:t>
            </w:r>
          </w:p>
        </w:tc>
        <w:tc>
          <w:tcPr>
            <w:tcW w:w="538" w:type="pct"/>
            <w:tcBorders>
              <w:bottom w:val="single" w:sz="4" w:space="0" w:color="auto"/>
            </w:tcBorders>
          </w:tcPr>
          <w:p w:rsidR="00AE4D5A" w:rsidRDefault="00AE4D5A" w:rsidP="008E5E01">
            <w:pPr>
              <w:pStyle w:val="TableBodyText"/>
              <w:rPr>
                <w:sz w:val="18"/>
                <w:szCs w:val="18"/>
              </w:rPr>
            </w:pPr>
            <w:r>
              <w:rPr>
                <w:sz w:val="18"/>
                <w:szCs w:val="18"/>
              </w:rPr>
              <w:t>0.4</w:t>
            </w:r>
          </w:p>
        </w:tc>
        <w:tc>
          <w:tcPr>
            <w:tcW w:w="523" w:type="pct"/>
            <w:tcBorders>
              <w:bottom w:val="single" w:sz="4" w:space="0" w:color="auto"/>
            </w:tcBorders>
          </w:tcPr>
          <w:p w:rsidR="00AE4D5A" w:rsidRDefault="00AE4D5A" w:rsidP="008E5E01">
            <w:pPr>
              <w:pStyle w:val="TableBodyText"/>
              <w:ind w:right="28"/>
              <w:rPr>
                <w:sz w:val="18"/>
                <w:szCs w:val="18"/>
              </w:rPr>
            </w:pPr>
            <w:r>
              <w:rPr>
                <w:sz w:val="18"/>
                <w:szCs w:val="18"/>
              </w:rPr>
              <w:t>4.8</w:t>
            </w:r>
          </w:p>
        </w:tc>
      </w:tr>
      <w:tr w:rsidR="00AE4D5A" w:rsidTr="008E5E01">
        <w:trPr>
          <w:trHeight w:val="340"/>
        </w:trPr>
        <w:tc>
          <w:tcPr>
            <w:tcW w:w="887" w:type="pct"/>
            <w:tcBorders>
              <w:top w:val="single" w:sz="4" w:space="0" w:color="auto"/>
              <w:bottom w:val="single" w:sz="4" w:space="0" w:color="auto"/>
            </w:tcBorders>
          </w:tcPr>
          <w:p w:rsidR="00AE4D5A" w:rsidRPr="00F416F3" w:rsidRDefault="00AE4D5A" w:rsidP="008E5E01">
            <w:pPr>
              <w:pStyle w:val="TableBodyText"/>
              <w:jc w:val="left"/>
              <w:rPr>
                <w:sz w:val="18"/>
                <w:szCs w:val="18"/>
              </w:rPr>
            </w:pPr>
            <w:r w:rsidRPr="009F0FF2">
              <w:rPr>
                <w:sz w:val="18"/>
                <w:szCs w:val="18"/>
              </w:rPr>
              <w:t>10</w:t>
            </w:r>
            <w:r>
              <w:rPr>
                <w:sz w:val="18"/>
                <w:szCs w:val="18"/>
              </w:rPr>
              <w:noBreakHyphen/>
            </w:r>
            <w:r w:rsidRPr="009F0FF2">
              <w:rPr>
                <w:sz w:val="18"/>
                <w:szCs w:val="18"/>
              </w:rPr>
              <w:t>year Australian government bond</w:t>
            </w:r>
            <w:r>
              <w:rPr>
                <w:sz w:val="18"/>
                <w:szCs w:val="18"/>
              </w:rPr>
              <w:t xml:space="preserve"> yield</w:t>
            </w:r>
            <w:r>
              <w:rPr>
                <w:rStyle w:val="NoteLabel"/>
              </w:rPr>
              <w:t>b</w:t>
            </w:r>
          </w:p>
        </w:tc>
        <w:tc>
          <w:tcPr>
            <w:tcW w:w="373" w:type="pct"/>
            <w:tcBorders>
              <w:top w:val="single" w:sz="4" w:space="0" w:color="auto"/>
              <w:bottom w:val="single" w:sz="4" w:space="0" w:color="auto"/>
            </w:tcBorders>
          </w:tcPr>
          <w:p w:rsidR="00AE4D5A" w:rsidRPr="00F416F3" w:rsidRDefault="00AE4D5A" w:rsidP="008E5E01">
            <w:pPr>
              <w:pStyle w:val="TableBodyText"/>
              <w:rPr>
                <w:sz w:val="18"/>
                <w:szCs w:val="18"/>
              </w:rPr>
            </w:pPr>
            <w:r>
              <w:rPr>
                <w:sz w:val="18"/>
                <w:szCs w:val="18"/>
              </w:rPr>
              <w:t>%</w:t>
            </w:r>
          </w:p>
        </w:tc>
        <w:tc>
          <w:tcPr>
            <w:tcW w:w="534"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5.73</w:t>
            </w:r>
          </w:p>
        </w:tc>
        <w:tc>
          <w:tcPr>
            <w:tcW w:w="534"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5.74</w:t>
            </w:r>
          </w:p>
        </w:tc>
        <w:tc>
          <w:tcPr>
            <w:tcW w:w="534"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5.70</w:t>
            </w:r>
          </w:p>
        </w:tc>
        <w:tc>
          <w:tcPr>
            <w:tcW w:w="538"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5.60</w:t>
            </w:r>
          </w:p>
        </w:tc>
        <w:tc>
          <w:tcPr>
            <w:tcW w:w="538"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5.55</w:t>
            </w:r>
          </w:p>
        </w:tc>
        <w:tc>
          <w:tcPr>
            <w:tcW w:w="538" w:type="pct"/>
            <w:tcBorders>
              <w:top w:val="single" w:sz="4" w:space="0" w:color="auto"/>
              <w:bottom w:val="single" w:sz="4" w:space="0" w:color="auto"/>
            </w:tcBorders>
          </w:tcPr>
          <w:p w:rsidR="00AE4D5A" w:rsidRDefault="00AE4D5A" w:rsidP="008E5E01">
            <w:pPr>
              <w:pStyle w:val="TableBodyText"/>
              <w:rPr>
                <w:sz w:val="18"/>
                <w:szCs w:val="18"/>
              </w:rPr>
            </w:pPr>
            <w:r>
              <w:rPr>
                <w:sz w:val="18"/>
                <w:szCs w:val="18"/>
              </w:rPr>
              <w:t>5.36</w:t>
            </w:r>
          </w:p>
        </w:tc>
        <w:tc>
          <w:tcPr>
            <w:tcW w:w="523" w:type="pct"/>
            <w:tcBorders>
              <w:top w:val="single" w:sz="4" w:space="0" w:color="auto"/>
              <w:bottom w:val="single" w:sz="4" w:space="0" w:color="auto"/>
            </w:tcBorders>
          </w:tcPr>
          <w:p w:rsidR="00AE4D5A" w:rsidRDefault="00AE4D5A" w:rsidP="008E5E01">
            <w:pPr>
              <w:pStyle w:val="TableBodyText"/>
              <w:ind w:right="28"/>
              <w:rPr>
                <w:sz w:val="18"/>
                <w:szCs w:val="18"/>
              </w:rPr>
            </w:pPr>
            <w:r>
              <w:rPr>
                <w:sz w:val="18"/>
                <w:szCs w:val="18"/>
              </w:rPr>
              <w:t>5.15</w:t>
            </w:r>
          </w:p>
        </w:tc>
      </w:tr>
    </w:tbl>
    <w:p w:rsidR="00AE4D5A" w:rsidRDefault="00AE4D5A" w:rsidP="008E5E01">
      <w:pPr>
        <w:pStyle w:val="Note"/>
      </w:pPr>
      <w:proofErr w:type="spellStart"/>
      <w:r w:rsidRPr="009F0FF2">
        <w:rPr>
          <w:rStyle w:val="NoteLabel"/>
        </w:rPr>
        <w:t>a</w:t>
      </w:r>
      <w:proofErr w:type="spellEnd"/>
      <w:r>
        <w:t xml:space="preserve"> </w:t>
      </w:r>
      <w:r w:rsidRPr="00E13AAA">
        <w:t>Analysis undertaken by the Ta</w:t>
      </w:r>
      <w:r>
        <w:t>s</w:t>
      </w:r>
      <w:r w:rsidRPr="00E13AAA">
        <w:t>manian Auditor</w:t>
      </w:r>
      <w:r w:rsidRPr="00E13AAA">
        <w:noBreakHyphen/>
        <w:t>General.</w:t>
      </w:r>
      <w:r>
        <w:t xml:space="preserve">  </w:t>
      </w:r>
      <w:r w:rsidRPr="00E13AAA">
        <w:rPr>
          <w:rStyle w:val="NoteLabel"/>
        </w:rPr>
        <w:t>b</w:t>
      </w:r>
      <w:r>
        <w:rPr>
          <w:rStyle w:val="NoteLabel"/>
        </w:rPr>
        <w:t xml:space="preserve"> </w:t>
      </w:r>
      <w:r>
        <w:t>An historical ten year average of the 10</w:t>
      </w:r>
      <w:r>
        <w:noBreakHyphen/>
        <w:t>year Australian Government bond yield.</w:t>
      </w:r>
    </w:p>
    <w:p w:rsidR="00AE4D5A" w:rsidRPr="00483B56" w:rsidRDefault="00AE4D5A" w:rsidP="008E5E01">
      <w:pPr>
        <w:pStyle w:val="Note"/>
      </w:pPr>
      <w:proofErr w:type="spellStart"/>
      <w:r w:rsidRPr="00483B56">
        <w:rPr>
          <w:b/>
        </w:rPr>
        <w:t>na</w:t>
      </w:r>
      <w:proofErr w:type="spellEnd"/>
      <w:r>
        <w:t xml:space="preserve"> Not available</w:t>
      </w:r>
    </w:p>
    <w:p w:rsidR="00AE4D5A" w:rsidRDefault="00AE4D5A" w:rsidP="008E5E01">
      <w:pPr>
        <w:pStyle w:val="Source"/>
      </w:pPr>
      <w:r>
        <w:rPr>
          <w:i/>
        </w:rPr>
        <w:t>Sources</w:t>
      </w:r>
      <w:r>
        <w:t>: Commission estimates derived from TT</w:t>
      </w:r>
      <w:r>
        <w:noBreakHyphen/>
        <w:t xml:space="preserve">Line annual reports; PC </w:t>
      </w:r>
      <w:r w:rsidRPr="00314488">
        <w:rPr>
          <w:rFonts w:cs="Arial"/>
        </w:rPr>
        <w:t>(2008)</w:t>
      </w:r>
      <w:r w:rsidRPr="00DF4D8F">
        <w:t xml:space="preserve">; RBA </w:t>
      </w:r>
      <w:r w:rsidRPr="00314488">
        <w:rPr>
          <w:rFonts w:cs="Arial"/>
        </w:rPr>
        <w:t>(2014)</w:t>
      </w:r>
      <w:r>
        <w:t xml:space="preserve">; Auditor General </w:t>
      </w:r>
      <w:r w:rsidRPr="000D05B7">
        <w:rPr>
          <w:rFonts w:cs="Arial"/>
        </w:rPr>
        <w:t>(2013)</w:t>
      </w:r>
      <w:r w:rsidRPr="00DF4D8F">
        <w:t>.</w:t>
      </w:r>
    </w:p>
    <w:p w:rsidR="00AE4D5A" w:rsidRDefault="00AE4D5A" w:rsidP="008E5E01">
      <w:pPr>
        <w:pStyle w:val="BodyText"/>
      </w:pPr>
      <w:r>
        <w:t>However, TT</w:t>
      </w:r>
      <w:r>
        <w:noBreakHyphen/>
        <w:t>Line was adamant that it operates on a commercial basis and complies with competitive neutrality:</w:t>
      </w:r>
    </w:p>
    <w:p w:rsidR="00AE4D5A" w:rsidRPr="00D1121B" w:rsidRDefault="00AE4D5A" w:rsidP="008E5E01">
      <w:pPr>
        <w:pStyle w:val="Quote"/>
      </w:pPr>
      <w:r w:rsidRPr="000A60C4">
        <w:t>TT</w:t>
      </w:r>
      <w:r>
        <w:noBreakHyphen/>
      </w:r>
      <w:r w:rsidRPr="000A60C4">
        <w:t>Line rejects the notion that it operates on a non</w:t>
      </w:r>
      <w:r>
        <w:noBreakHyphen/>
      </w:r>
      <w:r w:rsidRPr="000A60C4">
        <w:t xml:space="preserve">commercial basis and hence </w:t>
      </w:r>
      <w:r>
        <w:t>‘</w:t>
      </w:r>
      <w:r w:rsidRPr="000A60C4">
        <w:t>distorts the true market price of shipping</w:t>
      </w:r>
      <w:r>
        <w:t>’</w:t>
      </w:r>
      <w:r w:rsidRPr="000A60C4">
        <w:t>. On the contrary, TT</w:t>
      </w:r>
      <w:r>
        <w:noBreakHyphen/>
      </w:r>
      <w:r w:rsidRPr="000A60C4">
        <w:t>Line operates on a fully commercial basis</w:t>
      </w:r>
      <w:r>
        <w:t xml:space="preserve">. </w:t>
      </w:r>
      <w:r w:rsidRPr="00D1121B">
        <w:t>TT</w:t>
      </w:r>
      <w:r>
        <w:noBreakHyphen/>
      </w:r>
      <w:r w:rsidRPr="00D1121B">
        <w:t xml:space="preserve">Line fully complies with the policy of Competitive Neutrality, as prescribed by the Office of the Tasmanian Economic Regulator and the Department of Treasury and Finance. </w:t>
      </w:r>
      <w:r>
        <w:t>(sub. </w:t>
      </w:r>
      <w:proofErr w:type="spellStart"/>
      <w:r>
        <w:t>DR84</w:t>
      </w:r>
      <w:proofErr w:type="spellEnd"/>
      <w:r>
        <w:t>, p. 9)</w:t>
      </w:r>
    </w:p>
    <w:p w:rsidR="00AE4D5A" w:rsidRDefault="00AE4D5A" w:rsidP="008E5E01">
      <w:pPr>
        <w:pStyle w:val="BodyText"/>
      </w:pPr>
      <w:r w:rsidRPr="0016546C">
        <w:t>The Commission notes that TT</w:t>
      </w:r>
      <w:r>
        <w:noBreakHyphen/>
      </w:r>
      <w:r w:rsidRPr="0016546C">
        <w:t>Line’s reported profitability</w:t>
      </w:r>
      <w:r>
        <w:t>, like any business,</w:t>
      </w:r>
      <w:r w:rsidRPr="0016546C">
        <w:t xml:space="preserve"> can be subject to fluctuation due to the treatment of line items such as vessel revaluation or impairment which can have a material impact on reported results.</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2</w:t>
            </w:r>
            <w:r>
              <w:tab/>
              <w:t>Financial performance of Government Trading Enterprises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Profitability indicators provide governments and the community with a means of evaluating how well Government Trading Enterprises (</w:t>
            </w:r>
            <w:proofErr w:type="spellStart"/>
            <w:r>
              <w:t>GTEs</w:t>
            </w:r>
            <w:proofErr w:type="spellEnd"/>
            <w:r>
              <w:t xml:space="preserve">) are using the assets vested in them. </w:t>
            </w:r>
          </w:p>
          <w:p w:rsidR="00AE4D5A" w:rsidRDefault="00AE4D5A" w:rsidP="008E5E01">
            <w:pPr>
              <w:pStyle w:val="BoxListBullet"/>
            </w:pPr>
            <w:r>
              <w:t>Profit before tax — the performance of an entity before income tax is paid.</w:t>
            </w:r>
          </w:p>
          <w:p w:rsidR="00AE4D5A" w:rsidRDefault="00AE4D5A" w:rsidP="008E5E01">
            <w:pPr>
              <w:pStyle w:val="BoxListBullet"/>
            </w:pPr>
            <w:r>
              <w:t>Operating profit margin — the surplus (before interest expense and income tax) earned on operating revenue.</w:t>
            </w:r>
          </w:p>
          <w:p w:rsidR="00AE4D5A" w:rsidRDefault="00AE4D5A" w:rsidP="008E5E01">
            <w:pPr>
              <w:pStyle w:val="BoxListBullet"/>
            </w:pPr>
            <w:r>
              <w:t>Cost recovery — the ability for an entity to generate adequate revenue to meet operating expenses. A GTE that persistently achieves cost recovery below 100 per cent is unable to fully recover its depreciation and maintenance costs in the long term.</w:t>
            </w:r>
          </w:p>
          <w:p w:rsidR="00AE4D5A" w:rsidRDefault="00AE4D5A" w:rsidP="008E5E01">
            <w:pPr>
              <w:pStyle w:val="BoxListBullet"/>
            </w:pPr>
            <w:r>
              <w:t>Return on operating assets — the rate of return earned from operating assets.</w:t>
            </w:r>
            <w:r w:rsidRPr="002A7526">
              <w:t xml:space="preserve"> In order for a GTE to be commercially sustainable, it would </w:t>
            </w:r>
            <w:r>
              <w:t>need</w:t>
            </w:r>
            <w:r w:rsidRPr="002A7526">
              <w:t xml:space="preserve"> to achieve a rate of return that includes a premium for non</w:t>
            </w:r>
            <w:r>
              <w:noBreakHyphen/>
              <w:t>diversifiable risk.</w:t>
            </w:r>
          </w:p>
          <w:p w:rsidR="00AE4D5A" w:rsidRDefault="00AE4D5A" w:rsidP="008E5E01">
            <w:pPr>
              <w:pStyle w:val="BoxListBullet"/>
            </w:pPr>
            <w:r>
              <w:t xml:space="preserve">Return on equity — the rate of return that an entity is providing to shareholders. </w:t>
            </w:r>
          </w:p>
          <w:p w:rsidR="00AE4D5A" w:rsidRPr="00E23FD9" w:rsidRDefault="00AE4D5A" w:rsidP="008E5E01">
            <w:pPr>
              <w:pStyle w:val="Box"/>
            </w:pPr>
            <w:r>
              <w:t>The 10</w:t>
            </w:r>
            <w:r>
              <w:noBreakHyphen/>
              <w:t>year Australian Government bond rate (on a rolling ten year average basis) is widely used as the risk</w:t>
            </w:r>
            <w:r>
              <w:noBreakHyphen/>
              <w:t>free rate of return benchmark. Given the non</w:t>
            </w:r>
            <w:r>
              <w:noBreakHyphen/>
              <w:t xml:space="preserve">diversifiable risk inherent in any business activity, it is reasonable to expect that </w:t>
            </w:r>
            <w:proofErr w:type="spellStart"/>
            <w:r>
              <w:t>GTEs</w:t>
            </w:r>
            <w:proofErr w:type="spellEnd"/>
            <w:r>
              <w:t xml:space="preserve"> should be generating returns on assets above the risk</w:t>
            </w:r>
            <w:r>
              <w:noBreakHyphen/>
              <w:t>free rate.</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w:t>
            </w:r>
            <w:r>
              <w:t xml:space="preserve"> PC </w:t>
            </w:r>
            <w:r w:rsidRPr="008B0EDC">
              <w:rPr>
                <w:rFonts w:cs="Arial"/>
              </w:rPr>
              <w:t>(2008)</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pPr>
      <w:r>
        <w:t>A lack of transparency around the financial relationship between the Tasmanian Government and TT</w:t>
      </w:r>
      <w:r>
        <w:noBreakHyphen/>
        <w:t>Line makes it difficult to understand TT</w:t>
      </w:r>
      <w:r>
        <w:noBreakHyphen/>
        <w:t xml:space="preserve">Line’s commercial performance. </w:t>
      </w:r>
    </w:p>
    <w:p w:rsidR="00AE4D5A" w:rsidRDefault="00AE4D5A" w:rsidP="008E5E01">
      <w:pPr>
        <w:pStyle w:val="BodyText"/>
      </w:pPr>
      <w:r>
        <w:t>The Tasmanian G</w:t>
      </w:r>
      <w:r w:rsidRPr="004771AF">
        <w:t>overnment</w:t>
      </w:r>
      <w:r>
        <w:t>’s</w:t>
      </w:r>
      <w:r w:rsidRPr="004771AF">
        <w:t xml:space="preserve"> ownership </w:t>
      </w:r>
      <w:r>
        <w:t>of TT</w:t>
      </w:r>
      <w:r>
        <w:noBreakHyphen/>
        <w:t xml:space="preserve">Line </w:t>
      </w:r>
      <w:r w:rsidRPr="004771AF">
        <w:t xml:space="preserve">has been represented as a </w:t>
      </w:r>
      <w:r>
        <w:t xml:space="preserve">significant </w:t>
      </w:r>
      <w:r w:rsidRPr="004771AF">
        <w:t xml:space="preserve">barrier to further private investment and to new entrants in the Bass Strait shipping market </w:t>
      </w:r>
      <w:r w:rsidRPr="005E4BB9">
        <w:rPr>
          <w:szCs w:val="24"/>
        </w:rPr>
        <w:t>(Juturna 2013)</w:t>
      </w:r>
      <w:r w:rsidRPr="004771AF">
        <w:t xml:space="preserve">. </w:t>
      </w:r>
      <w:r>
        <w:t xml:space="preserve">According to </w:t>
      </w:r>
      <w:proofErr w:type="spellStart"/>
      <w:r>
        <w:t>RDA</w:t>
      </w:r>
      <w:proofErr w:type="spellEnd"/>
      <w:r>
        <w:t>–Tasmania, the provision of a government</w:t>
      </w:r>
      <w:r>
        <w:noBreakHyphen/>
        <w:t>owned service:</w:t>
      </w:r>
    </w:p>
    <w:p w:rsidR="00AE4D5A" w:rsidRDefault="00AE4D5A" w:rsidP="008E5E01">
      <w:pPr>
        <w:pStyle w:val="Quote"/>
      </w:pPr>
      <w:r>
        <w:t>… is seen by many industry stakeholders as interventionist and an unwelcome intrusion into the market. The existing shipping providers currently determine their price based on the traditional supply and demand determinants and the inclusion of a government owned service competing with them could potentially distort the true market price of shipping. (sub. 17 Att., p. 29)</w:t>
      </w:r>
    </w:p>
    <w:p w:rsidR="00AE4D5A" w:rsidRDefault="00AE4D5A" w:rsidP="008E5E01">
      <w:pPr>
        <w:pStyle w:val="BodyText"/>
      </w:pPr>
      <w:r w:rsidRPr="004771AF">
        <w:t>Recent reports of TT</w:t>
      </w:r>
      <w:r>
        <w:noBreakHyphen/>
      </w:r>
      <w:r w:rsidRPr="004771AF">
        <w:t>Line’s plan to introduce a dedicated freight service may deter potential Bass Strait shipping entrants who could expect that TT</w:t>
      </w:r>
      <w:r w:rsidRPr="004771AF">
        <w:noBreakHyphen/>
        <w:t>Line would compete on an uncommercial basis.</w:t>
      </w:r>
      <w:r>
        <w:t xml:space="preserve"> However, it is likely to have a more immediate impact on investment planning by the other carriers on this route. The Burnie Chamber of Commerce and Industry commented:</w:t>
      </w:r>
    </w:p>
    <w:p w:rsidR="00AE4D5A" w:rsidRDefault="00AE4D5A" w:rsidP="008E5E01">
      <w:pPr>
        <w:pStyle w:val="Quote"/>
      </w:pPr>
      <w:r>
        <w:lastRenderedPageBreak/>
        <w:t xml:space="preserve">There can be no justification for the </w:t>
      </w:r>
      <w:proofErr w:type="spellStart"/>
      <w:r>
        <w:t>T.T</w:t>
      </w:r>
      <w:proofErr w:type="spellEnd"/>
      <w:r>
        <w:t>. Line to consider purchasing a freight only vessel to compete with the commercially owned shipping services, nor to leave passengers’ vehicles on the wharf so as to take freight. (sub. 57, p. 3)</w:t>
      </w:r>
    </w:p>
    <w:p w:rsidR="00AE4D5A" w:rsidRDefault="00AE4D5A" w:rsidP="008E5E01">
      <w:pPr>
        <w:pStyle w:val="BodyText"/>
        <w:keepNext/>
      </w:pPr>
      <w:r>
        <w:t>TT</w:t>
      </w:r>
      <w:r>
        <w:noBreakHyphen/>
        <w:t xml:space="preserve">Line’s enabling legislation, </w:t>
      </w:r>
      <w:r w:rsidRPr="00B46737">
        <w:rPr>
          <w:i/>
        </w:rPr>
        <w:t>TT</w:t>
      </w:r>
      <w:r w:rsidRPr="00B46737">
        <w:rPr>
          <w:i/>
        </w:rPr>
        <w:noBreakHyphen/>
        <w:t>Line Arrangements Act 1993</w:t>
      </w:r>
      <w:r>
        <w:rPr>
          <w:i/>
        </w:rPr>
        <w:t xml:space="preserve"> </w:t>
      </w:r>
      <w:r>
        <w:t>(Tas), states that:</w:t>
      </w:r>
    </w:p>
    <w:p w:rsidR="00AE4D5A" w:rsidRDefault="00AE4D5A" w:rsidP="008E5E01">
      <w:pPr>
        <w:pStyle w:val="Quote"/>
      </w:pPr>
      <w:r w:rsidRPr="00FB0F84">
        <w:t>The principal objective of the Company is to manage and facilitate the operation of a shipping service to and from Tasmania in a manner that is consistent with sound commercial practice</w:t>
      </w:r>
      <w:r>
        <w:t>. (</w:t>
      </w:r>
      <w:proofErr w:type="spellStart"/>
      <w:r>
        <w:t>Sch</w:t>
      </w:r>
      <w:proofErr w:type="spellEnd"/>
      <w:r>
        <w:t xml:space="preserve"> 1, cl 1)</w:t>
      </w:r>
    </w:p>
    <w:p w:rsidR="00AE4D5A" w:rsidRDefault="00AE4D5A" w:rsidP="008E5E01">
      <w:pPr>
        <w:pStyle w:val="BodyText"/>
      </w:pPr>
      <w:r>
        <w:t>However, it is not apparent (and not specified in the Act) what the underlying objectives are for government ownership and operation of a shipping service across Bass Strait. In the absence of any explicit objectives, it is difficult to assess whether the operation of TT</w:t>
      </w:r>
      <w:r>
        <w:noBreakHyphen/>
        <w:t>Line is achieving those objectives in an effective or efficient manner (see also chapter 3).</w:t>
      </w:r>
    </w:p>
    <w:p w:rsidR="00AE4D5A" w:rsidRDefault="00AE4D5A">
      <w:pPr>
        <w:pStyle w:val="BodyText"/>
      </w:pPr>
      <w:r>
        <w:t>Given the effect that TT</w:t>
      </w:r>
      <w:r>
        <w:noBreakHyphen/>
        <w:t>Line has on the Bass Strait shipping market, the Tasmanian Government should clearly articulate the case for TT</w:t>
      </w:r>
      <w:r>
        <w:noBreakHyphen/>
        <w:t>Line’s presence in this market and the implications for future TT</w:t>
      </w:r>
      <w:r>
        <w:noBreakHyphen/>
        <w:t>Line investment in increased capacity. Further, and given investment decisions are in prospect by TT</w:t>
      </w:r>
      <w:r>
        <w:noBreakHyphen/>
        <w:t>Line and the private sector shipping operators, it is imperative that an independent and public review be undertaken of the extent to which TT</w:t>
      </w:r>
      <w:r>
        <w:noBreakHyphen/>
        <w:t xml:space="preserve">Line satisfies the principles of competitive neutrality.  </w:t>
      </w:r>
    </w:p>
    <w:p w:rsidR="00AE4D5A" w:rsidRDefault="00AE4D5A" w:rsidP="008E5E01">
      <w:pPr>
        <w:pStyle w:val="BodyText"/>
      </w:pPr>
      <w:r>
        <w:t>Government ownership of TT</w:t>
      </w:r>
      <w:r>
        <w:noBreakHyphen/>
        <w:t>Line also prompts inquiry about whether this might result in higher economic costs for the services TT</w:t>
      </w:r>
      <w:r>
        <w:noBreakHyphen/>
        <w:t>Line provides across Bass Strait.</w:t>
      </w:r>
    </w:p>
    <w:p w:rsidR="00AE4D5A" w:rsidRDefault="00AE4D5A" w:rsidP="008E5E01">
      <w:pPr>
        <w:pStyle w:val="BodyText"/>
      </w:pPr>
      <w:r>
        <w:t xml:space="preserve">Empirical evidence generally indicates that private ownership delivers services more efficiently (at lower cost) than does government ownership, although there are many mitigating factors </w:t>
      </w:r>
      <w:r w:rsidRPr="005E4BB9">
        <w:rPr>
          <w:szCs w:val="24"/>
        </w:rPr>
        <w:t xml:space="preserve">(King 2002; </w:t>
      </w:r>
      <w:proofErr w:type="spellStart"/>
      <w:r w:rsidRPr="005E4BB9">
        <w:rPr>
          <w:szCs w:val="24"/>
        </w:rPr>
        <w:t>Villalonga</w:t>
      </w:r>
      <w:proofErr w:type="spellEnd"/>
      <w:r w:rsidRPr="005E4BB9">
        <w:rPr>
          <w:szCs w:val="24"/>
        </w:rPr>
        <w:t> 2000)</w:t>
      </w:r>
      <w:r>
        <w:t>. Among these factors, the level of market competition is significant (unless it receives subsidies from its owner, a government</w:t>
      </w:r>
      <w:r>
        <w:noBreakHyphen/>
        <w:t xml:space="preserve">owned business in a competitive market will usually be forced to operate efficiently or perish). </w:t>
      </w:r>
    </w:p>
    <w:p w:rsidR="00AE4D5A" w:rsidRDefault="00AE4D5A" w:rsidP="008E5E01">
      <w:pPr>
        <w:pStyle w:val="BodyText"/>
      </w:pPr>
      <w:r>
        <w:t>In this regard, TT</w:t>
      </w:r>
      <w:r>
        <w:noBreakHyphen/>
        <w:t>Line competes with air travel for passengers, but is effectively a monopoly provider in the passenger/accompanied vehicle market</w:t>
      </w:r>
      <w:r w:rsidRPr="004A2769">
        <w:rPr>
          <w:rStyle w:val="FootnoteReference"/>
        </w:rPr>
        <w:footnoteReference w:id="14"/>
      </w:r>
      <w:r>
        <w:t xml:space="preserve"> and, by its own admission before the Tasmanian Parliament’s business scrutiny commission, primarily operates in a niche freight market, not provided for by Toll and SeaRoad:</w:t>
      </w:r>
    </w:p>
    <w:p w:rsidR="00AE4D5A" w:rsidRDefault="00AE4D5A" w:rsidP="008E5E01">
      <w:pPr>
        <w:pStyle w:val="Quote"/>
      </w:pPr>
      <w:r>
        <w:t>TT</w:t>
      </w:r>
      <w:r>
        <w:noBreakHyphen/>
        <w:t>Line is very much focused on time</w:t>
      </w:r>
      <w:r>
        <w:noBreakHyphen/>
        <w:t xml:space="preserve">sensitive freight. </w:t>
      </w:r>
      <w:r w:rsidRPr="00314488">
        <w:rPr>
          <w:szCs w:val="24"/>
        </w:rPr>
        <w:t>(O’Byrne 2013, p. 5)</w:t>
      </w:r>
    </w:p>
    <w:p w:rsidR="00AE4D5A" w:rsidRPr="00877AAD" w:rsidRDefault="00AE4D5A" w:rsidP="008E5E01">
      <w:pPr>
        <w:pStyle w:val="BodyText"/>
      </w:pPr>
      <w:r>
        <w:t>This view was repeated in the Commission’s public hearings:</w:t>
      </w:r>
    </w:p>
    <w:p w:rsidR="00AE4D5A" w:rsidRDefault="00AE4D5A" w:rsidP="008E5E01">
      <w:pPr>
        <w:pStyle w:val="Quote"/>
      </w:pPr>
      <w:r>
        <w:lastRenderedPageBreak/>
        <w:t xml:space="preserve">… </w:t>
      </w:r>
      <w:r w:rsidRPr="00877AAD">
        <w:t>they have a particular market segment which they meet which is peculiar</w:t>
      </w:r>
      <w:r>
        <w:t xml:space="preserve"> … </w:t>
      </w:r>
      <w:r w:rsidRPr="00877AAD">
        <w:t>TT</w:t>
      </w:r>
      <w:r>
        <w:noBreakHyphen/>
      </w:r>
      <w:r w:rsidRPr="00877AAD">
        <w:t>Line play a significant role in supporting particularly our time</w:t>
      </w:r>
      <w:r>
        <w:noBreakHyphen/>
      </w:r>
      <w:r w:rsidRPr="00877AAD">
        <w:t>sensitive fresh freight. That is something that Toll and SeaRoad are not able to fully respond to.</w:t>
      </w:r>
      <w:r>
        <w:t xml:space="preserve"> (Tasmanian Government, trans., p. 453). </w:t>
      </w:r>
    </w:p>
    <w:p w:rsidR="00AE4D5A" w:rsidRDefault="00AE4D5A" w:rsidP="008E5E01">
      <w:pPr>
        <w:pStyle w:val="BodyText"/>
      </w:pPr>
      <w:r>
        <w:t>This suggests that, at present, TT</w:t>
      </w:r>
      <w:r>
        <w:noBreakHyphen/>
        <w:t>Line is somewhat insulated from market pressures (in two of its markets: time</w:t>
      </w:r>
      <w:r>
        <w:noBreakHyphen/>
      </w:r>
      <w:r w:rsidR="00DC7969">
        <w:t>sensitive freight and passenger/accompanied vehicles</w:t>
      </w:r>
      <w:r>
        <w:t xml:space="preserve">) that would otherwise sharpen incentives to deliver efficient shipping services. </w:t>
      </w:r>
    </w:p>
    <w:p w:rsidR="00AE4D5A" w:rsidRPr="00944444" w:rsidRDefault="00AE4D5A" w:rsidP="008E5E01">
      <w:pPr>
        <w:pStyle w:val="RecTitle"/>
      </w:pPr>
      <w:r w:rsidRPr="00944444">
        <w:t>recommendation</w:t>
      </w:r>
      <w:r>
        <w:t xml:space="preserve"> 15</w:t>
      </w:r>
    </w:p>
    <w:p w:rsidR="00AE4D5A" w:rsidRDefault="00AE4D5A" w:rsidP="008E5E01">
      <w:pPr>
        <w:pStyle w:val="Rec"/>
      </w:pPr>
      <w:r>
        <w:t>The Tasmanian Government should:</w:t>
      </w:r>
    </w:p>
    <w:p w:rsidR="00AE4D5A" w:rsidRDefault="00AE4D5A" w:rsidP="008E5E01">
      <w:pPr>
        <w:pStyle w:val="RecBullet"/>
      </w:pPr>
      <w:r>
        <w:t>articulate its underlying objectives in owning and operating a freight and passenger/vehicle services business, and assess whether ownership of TT</w:t>
      </w:r>
      <w:r>
        <w:noBreakHyphen/>
        <w:t>Line is the most cost</w:t>
      </w:r>
      <w:r>
        <w:noBreakHyphen/>
        <w:t>effective way in which to achieve those objectives</w:t>
      </w:r>
    </w:p>
    <w:p w:rsidR="00AE4D5A" w:rsidRDefault="00AE4D5A" w:rsidP="008E5E01">
      <w:pPr>
        <w:pStyle w:val="RecBullet"/>
      </w:pPr>
      <w:r>
        <w:t>initiate an independent and public review of the extent to which TT</w:t>
      </w:r>
      <w:r>
        <w:noBreakHyphen/>
        <w:t xml:space="preserve">Line’s freight and passenger/vehicle services business satisfies the principles of competitive neutrality. </w:t>
      </w:r>
    </w:p>
    <w:p w:rsidR="00AE4D5A" w:rsidRDefault="00AE4D5A" w:rsidP="008E5E01">
      <w:pPr>
        <w:pStyle w:val="Heading4"/>
      </w:pPr>
      <w:r w:rsidRPr="00F259B5">
        <w:t>An alternative approach?</w:t>
      </w:r>
    </w:p>
    <w:p w:rsidR="00AE4D5A" w:rsidRDefault="00AE4D5A" w:rsidP="008E5E01">
      <w:pPr>
        <w:pStyle w:val="BodyText"/>
      </w:pPr>
      <w:r>
        <w:t>Throughout the inquiry, the Commission raised the question of whether there was merit in considering a potential alternative to the TFES/Bass Strait Passenger Vehicle Equalisation Scheme model — for the Australian and Tasmanian Governments to collectively use their current financial commitments to secure more directly the Bass Strait freight and passenger services they are seeking. A similar approach has been suggested by the National Sea Highway (sub. 54).</w:t>
      </w:r>
    </w:p>
    <w:p w:rsidR="00AE4D5A" w:rsidRDefault="00AE4D5A" w:rsidP="008E5E01">
      <w:pPr>
        <w:pStyle w:val="BodyText"/>
      </w:pPr>
      <w:r>
        <w:t xml:space="preserve">The proposal received very limited </w:t>
      </w:r>
      <w:r w:rsidRPr="008841BC">
        <w:t xml:space="preserve">support in submissions </w:t>
      </w:r>
      <w:r>
        <w:t>(National Sea Highway, sub. </w:t>
      </w:r>
      <w:proofErr w:type="spellStart"/>
      <w:r>
        <w:t>DR102</w:t>
      </w:r>
      <w:proofErr w:type="spellEnd"/>
      <w:r>
        <w:t>)</w:t>
      </w:r>
      <w:r w:rsidRPr="008841BC">
        <w:t xml:space="preserve">, </w:t>
      </w:r>
      <w:r>
        <w:t>and</w:t>
      </w:r>
      <w:r w:rsidRPr="008841BC">
        <w:t xml:space="preserve"> some submissions were </w:t>
      </w:r>
      <w:r w:rsidRPr="003E1C8F">
        <w:t>critical of the idea.</w:t>
      </w:r>
      <w:r w:rsidRPr="001C67F1">
        <w:t xml:space="preserve"> SeaRoad, for example, considered </w:t>
      </w:r>
      <w:r w:rsidRPr="00FE40D3">
        <w:t xml:space="preserve">such an approach was </w:t>
      </w:r>
      <w:r w:rsidRPr="00860728">
        <w:t>inappropriate to serve the Bass Strait shipping market:</w:t>
      </w:r>
    </w:p>
    <w:p w:rsidR="00AE4D5A" w:rsidRDefault="00AE4D5A" w:rsidP="008E5E01">
      <w:pPr>
        <w:pStyle w:val="Quote"/>
      </w:pPr>
      <w:r>
        <w:t>… the market between the main island of Tasmania and mainland Australia is complex with many types of freight and customers. While there is very limited competition in terms of types of transport on offer (sea versus air), there is strong competition within the incumbent shipping operators. A subsidised service in Bass Strait would discourage non</w:t>
      </w:r>
      <w:r>
        <w:noBreakHyphen/>
        <w:t>subsidised competition in the trade with no incentive to improve service. (sub. </w:t>
      </w:r>
      <w:proofErr w:type="spellStart"/>
      <w:r>
        <w:t>DR81</w:t>
      </w:r>
      <w:proofErr w:type="spellEnd"/>
      <w:r>
        <w:t>, p. 2)</w:t>
      </w:r>
    </w:p>
    <w:p w:rsidR="00AE4D5A" w:rsidRDefault="00AE4D5A" w:rsidP="008E5E01">
      <w:pPr>
        <w:pStyle w:val="BodyText"/>
      </w:pPr>
      <w:r>
        <w:t>Net Sea Freight was also sceptical of the merit of such an approach:</w:t>
      </w:r>
    </w:p>
    <w:p w:rsidR="00AE4D5A" w:rsidRDefault="00AE4D5A" w:rsidP="008E5E01">
      <w:pPr>
        <w:pStyle w:val="Quote"/>
      </w:pPr>
      <w:r w:rsidRPr="00170D24">
        <w:t>The proposal to replace multiple private and public operators with a single, government</w:t>
      </w:r>
      <w:r>
        <w:noBreakHyphen/>
      </w:r>
      <w:r w:rsidRPr="00170D24">
        <w:t>subsidised, monopoly operator appears counter</w:t>
      </w:r>
      <w:r>
        <w:noBreakHyphen/>
      </w:r>
      <w:r w:rsidRPr="00170D24">
        <w:t xml:space="preserve">intuitive to the </w:t>
      </w:r>
      <w:r w:rsidRPr="00170D24">
        <w:lastRenderedPageBreak/>
        <w:t>Commission’s implicit aim of promoting innovation, increased private sector involvement and enhancing a competitive environment.</w:t>
      </w:r>
      <w:r>
        <w:t xml:space="preserve"> (sub. </w:t>
      </w:r>
      <w:proofErr w:type="spellStart"/>
      <w:r>
        <w:t>DR75</w:t>
      </w:r>
      <w:proofErr w:type="spellEnd"/>
      <w:r>
        <w:t>, p. 9)</w:t>
      </w:r>
    </w:p>
    <w:p w:rsidR="00AE4D5A" w:rsidRDefault="00AE4D5A" w:rsidP="008E5E01">
      <w:pPr>
        <w:pStyle w:val="BodyText"/>
      </w:pPr>
      <w:r>
        <w:t>In view of the feedback from participants and practical barriers to implementing it (notably high barriers to entry and the information advantage enjoyed by incumbent shipping lines) the Commission has not considered this issue further.</w:t>
      </w:r>
    </w:p>
    <w:p w:rsidR="00AE4D5A" w:rsidRDefault="00AE4D5A" w:rsidP="008E5E01">
      <w:pPr>
        <w:pStyle w:val="Heading3"/>
        <w:spacing w:before="360"/>
      </w:pPr>
      <w:r>
        <w:t>Regulatory environment</w:t>
      </w:r>
    </w:p>
    <w:p w:rsidR="00AE4D5A" w:rsidRDefault="00AE4D5A" w:rsidP="008E5E01">
      <w:pPr>
        <w:pStyle w:val="Heading4"/>
        <w:spacing w:before="240"/>
      </w:pPr>
      <w:r>
        <w:t xml:space="preserve">Coastal shipping regulation </w:t>
      </w:r>
    </w:p>
    <w:p w:rsidR="00AE4D5A" w:rsidRDefault="00AE4D5A" w:rsidP="008E5E01">
      <w:pPr>
        <w:pStyle w:val="BodyText"/>
        <w:spacing w:before="200"/>
      </w:pPr>
      <w:r>
        <w:t>As an island state, Tasmania is particularly vulnerable to regulatory changes that increase the cost of engaging in coastal trade (box 4.3). As DIRD noted:</w:t>
      </w:r>
    </w:p>
    <w:p w:rsidR="00AE4D5A" w:rsidRDefault="00AE4D5A" w:rsidP="008E5E01">
      <w:pPr>
        <w:pStyle w:val="Quote"/>
      </w:pPr>
      <w:r w:rsidRPr="00C623EE">
        <w:t>Tasmania’s heavy reliance on shipping services means that it is likely to be more sensitive to changes in domestic coastal shipping arrangements</w:t>
      </w:r>
      <w:r>
        <w:t xml:space="preserve"> … (sub. 42, p. 12)</w:t>
      </w:r>
    </w:p>
    <w:p w:rsidR="00AE4D5A" w:rsidRDefault="00AE4D5A" w:rsidP="008E5E01">
      <w:pPr>
        <w:pStyle w:val="BodyText"/>
        <w:spacing w:before="200"/>
      </w:pPr>
      <w:r>
        <w:t xml:space="preserve">From the early 1990s, Australia relaxed its coastal shipping requirements, resulting in a downward trend in coastal shipping costs </w:t>
      </w:r>
      <w:r w:rsidRPr="00343BF4">
        <w:rPr>
          <w:szCs w:val="24"/>
        </w:rPr>
        <w:t>(</w:t>
      </w:r>
      <w:proofErr w:type="spellStart"/>
      <w:r w:rsidRPr="00343BF4">
        <w:rPr>
          <w:szCs w:val="24"/>
        </w:rPr>
        <w:t>Bertho</w:t>
      </w:r>
      <w:proofErr w:type="spellEnd"/>
      <w:r w:rsidRPr="00343BF4">
        <w:rPr>
          <w:szCs w:val="24"/>
        </w:rPr>
        <w:t> 2011)</w:t>
      </w:r>
      <w:r>
        <w:t>. However, in recent years, changes to the regulations under the Fair Work Act (in 2009) and a package of coastal shipping policy changes introduced in 2012 appear to have reversed that trend. These regulations involve: extending Australian wage rates to workers on foreign flagged vessels inside Australia’s Exclusive Economic Zone; new hiring, licensing and registration regimes; and tax concessions to certain Australian vessel owners/operators (appendix C).</w:t>
      </w:r>
    </w:p>
    <w:p w:rsidR="00AE4D5A" w:rsidRDefault="00AE4D5A" w:rsidP="008E5E01">
      <w:pPr>
        <w:pStyle w:val="BodyText"/>
        <w:spacing w:before="200"/>
      </w:pPr>
      <w:r>
        <w:t xml:space="preserve">The new regulations reduce the commercial attraction for international vessels to engage in the Australian coastal trade. They also increase costs of providing domestic coastal services and reduce the level of competition in Australia’s coastal trading network. Further, to the extent this service incorporates the carriage of some domestic cargo, the regulations may also adversely affect the likelihood of a resumption of a direct international container service to Tasmania.   </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3</w:t>
            </w:r>
            <w:r>
              <w:tab/>
              <w:t>The effects of cabotage on Tasmania</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Cabotage can be broadly defined as trade or navigation within coastal waters. Various studies have concluded that cabotage restrictions are more likely to adversely affect Tasmania than other Australian jurisdictions:</w:t>
            </w:r>
          </w:p>
          <w:p w:rsidR="00AE4D5A" w:rsidRDefault="00AE4D5A" w:rsidP="008E5E01">
            <w:pPr>
              <w:pStyle w:val="BoxQuote"/>
            </w:pPr>
            <w:r>
              <w:t xml:space="preserve">Cabotage has meant that the cost of coastal shipping services in Australia has been well above international levels and has worked against the use of sea transport for interstate trade in those areas where Tasmania may be expected to have a competitive advantage. Given Tasmania’s reliance on shipping for moving most of its imports and exports, cabotage has had the effect of limiting its capacity to export to both mainland Australia and the rest of the world. </w:t>
            </w:r>
            <w:r w:rsidRPr="005E4BB9">
              <w:rPr>
                <w:rFonts w:cs="Arial"/>
                <w:szCs w:val="24"/>
              </w:rPr>
              <w:t>(Rae 2002, p. 44)</w:t>
            </w:r>
          </w:p>
          <w:p w:rsidR="00AE4D5A" w:rsidRDefault="00AE4D5A" w:rsidP="008E5E01">
            <w:pPr>
              <w:pStyle w:val="BoxQuote"/>
            </w:pPr>
            <w:r>
              <w:t xml:space="preserve">… the policies of successive Federal Governments have continued to entrench practices that impose a disproportionate cost on the transport of goods across Bass Strait when compared with similar movements on the mainland. These include … Perpetuating high operating cost structures in Australian coastal shipping … </w:t>
            </w:r>
            <w:r w:rsidRPr="005E4BB9">
              <w:rPr>
                <w:rFonts w:cs="Arial"/>
                <w:szCs w:val="24"/>
              </w:rPr>
              <w:t>(PC 2006, sub 34, pp.</w:t>
            </w:r>
            <w:r>
              <w:rPr>
                <w:rFonts w:cs="Arial"/>
                <w:szCs w:val="24"/>
              </w:rPr>
              <w:t> </w:t>
            </w:r>
            <w:r w:rsidRPr="005E4BB9">
              <w:rPr>
                <w:rFonts w:cs="Arial"/>
                <w:szCs w:val="24"/>
              </w:rPr>
              <w:t>2-3)</w:t>
            </w:r>
          </w:p>
          <w:p w:rsidR="00AE4D5A" w:rsidRPr="00E13AAA" w:rsidRDefault="00AE4D5A" w:rsidP="008E5E01">
            <w:pPr>
              <w:pStyle w:val="BoxQuote"/>
            </w:pPr>
            <w:r w:rsidRPr="006F4A3B">
              <w:t>Of all Australian state and territories, any inefficiencies in national coastal shipping laws impact most strongly on Tasmania — Tasmania’s island setting means that any inefficiencies in or a failure to take advantage of all the benefits of Australia’s Coastal Trading shipping legislation, which limits coastal trade to Australian</w:t>
            </w:r>
            <w:r w:rsidRPr="006F4A3B">
              <w:noBreakHyphen/>
              <w:t>flagged vessels — would impact on the efficiency of Tasmania’s freight task far more than in other states, because unlike other states, Tasmanian shippers do not have access to ‘substitute’ freight service providers on rail or road to overcome any coastal shipping deficiencies</w:t>
            </w:r>
            <w:r>
              <w:t xml:space="preserve">. </w:t>
            </w:r>
            <w:r w:rsidRPr="005E4BB9">
              <w:rPr>
                <w:rFonts w:cs="Arial"/>
                <w:szCs w:val="24"/>
              </w:rPr>
              <w:t>(Juturna 2013, pp. 4–5)</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Sources</w:t>
            </w:r>
            <w:r w:rsidRPr="00167F06">
              <w:t>:</w:t>
            </w:r>
            <w:r>
              <w:t xml:space="preserve"> Juturna </w:t>
            </w:r>
            <w:r w:rsidRPr="00527870">
              <w:rPr>
                <w:rFonts w:cs="Arial"/>
              </w:rPr>
              <w:t>(2013)</w:t>
            </w:r>
            <w:r>
              <w:t xml:space="preserve">, PC </w:t>
            </w:r>
            <w:r w:rsidR="007C1471" w:rsidRPr="007C1471">
              <w:rPr>
                <w:rFonts w:cs="Arial"/>
              </w:rPr>
              <w:t>(2006b)</w:t>
            </w:r>
            <w:r>
              <w:t xml:space="preserve">, Rae </w:t>
            </w:r>
            <w:r w:rsidRPr="00E13AAA">
              <w:rPr>
                <w:rFonts w:cs="Arial"/>
              </w:rPr>
              <w:t>(2002)</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spacing w:before="200"/>
      </w:pPr>
      <w:r>
        <w:t>For Tasmania, the regulatory changes of 2009 and 2012 affect two main areas:</w:t>
      </w:r>
    </w:p>
    <w:p w:rsidR="00AE4D5A" w:rsidRDefault="00AE4D5A" w:rsidP="008E5E01">
      <w:pPr>
        <w:pStyle w:val="ListBullet"/>
        <w:spacing w:before="100"/>
      </w:pPr>
      <w:r>
        <w:t>vessels transporting dry and liquid bulk freight under temporary licences must now pay Australian wages for the third and subsequent voyage (and, in some circumstances, hire Australian workers), increasing shipping costs and freight rates in the process</w:t>
      </w:r>
    </w:p>
    <w:p w:rsidR="00AE4D5A" w:rsidRDefault="00AE4D5A" w:rsidP="008E5E01">
      <w:pPr>
        <w:pStyle w:val="ListBullet"/>
        <w:spacing w:before="100"/>
      </w:pPr>
      <w:r>
        <w:t>Australian vessels carrying containerised cargo across Bass Strait (all three shipping lines) are entitled to either an income tax exemption or accelerated depreciation for each vessel they own. The extent to which these benefits pass through to freight rates is unclear.</w:t>
      </w:r>
    </w:p>
    <w:p w:rsidR="00AE4D5A" w:rsidRDefault="00AE4D5A" w:rsidP="008E5E01">
      <w:pPr>
        <w:pStyle w:val="BodyText"/>
        <w:spacing w:before="200"/>
      </w:pPr>
      <w:r>
        <w:t>Further, according to the ACCC:</w:t>
      </w:r>
    </w:p>
    <w:p w:rsidR="00AE4D5A" w:rsidRPr="004B6A70" w:rsidRDefault="00AE4D5A" w:rsidP="008E5E01">
      <w:pPr>
        <w:pStyle w:val="Quote"/>
      </w:pPr>
      <w:r w:rsidRPr="004B6A70">
        <w:t xml:space="preserve">Additional costs imposed on international lines may affect whether such lines compete in the market for Australian coastal shipping. Where domestic trade represents an international shipping line’s marginal business, any additional costs or regulatory requirements </w:t>
      </w:r>
      <w:r>
        <w:t>… [on carrying]</w:t>
      </w:r>
      <w:r w:rsidRPr="004B6A70">
        <w:t xml:space="preserve"> domestic cargo </w:t>
      </w:r>
      <w:r>
        <w:t xml:space="preserve">could </w:t>
      </w:r>
      <w:r w:rsidRPr="004B6A70">
        <w:t>act as a general disincentive to entering the domestic shipping market. (sub. 28, p. </w:t>
      </w:r>
      <w:r>
        <w:t>6</w:t>
      </w:r>
      <w:r w:rsidRPr="004B6A70">
        <w:t>)</w:t>
      </w:r>
    </w:p>
    <w:p w:rsidR="00AE4D5A" w:rsidRDefault="00AE4D5A" w:rsidP="008E5E01">
      <w:pPr>
        <w:pStyle w:val="BodyText"/>
      </w:pPr>
      <w:r>
        <w:t xml:space="preserve">This is particularly pertinent for Tasmania, where freight volumes are smaller and the viability of port calls by international lines is more likely to be marginal. In fact, </w:t>
      </w:r>
      <w:r>
        <w:lastRenderedPageBreak/>
        <w:t>evidence suggests there has been a reduction in the number of foreign</w:t>
      </w:r>
      <w:r>
        <w:noBreakHyphen/>
        <w:t>flagged dry and liquid bulk vessels calling at Tasmania. The number of voyages fell from a total 239 voyages conducted under single (and urgent single) and continuing voyage permits in 2011</w:t>
      </w:r>
      <w:r>
        <w:noBreakHyphen/>
        <w:t>12 to around 198 voyages conducted in 2012</w:t>
      </w:r>
      <w:r>
        <w:noBreakHyphen/>
        <w:t>13 (appendix C).</w:t>
      </w:r>
      <w:r>
        <w:rPr>
          <w:rStyle w:val="FootnoteReference"/>
        </w:rPr>
        <w:footnoteReference w:id="15"/>
      </w:r>
      <w:r>
        <w:t xml:space="preserve"> </w:t>
      </w:r>
    </w:p>
    <w:p w:rsidR="00AE4D5A" w:rsidRDefault="00AE4D5A" w:rsidP="008E5E01">
      <w:pPr>
        <w:pStyle w:val="BodyText"/>
      </w:pPr>
      <w:r>
        <w:t xml:space="preserve">The Commission understands that a significant proportion of Tasmania’s liquid bulk cargo is carried under temporary permit. </w:t>
      </w:r>
      <w:r w:rsidRPr="00D43CD4">
        <w:t xml:space="preserve">Given the increase in costs associated with the Fair Work </w:t>
      </w:r>
      <w:r>
        <w:t>Act</w:t>
      </w:r>
      <w:r w:rsidRPr="00D43CD4">
        <w:t xml:space="preserve"> changes and the additional compliance costs associated with the new licencing regime, it can be expected that freight rates for liquid bulk will increase in Tasmania.</w:t>
      </w:r>
    </w:p>
    <w:p w:rsidR="00AE4D5A" w:rsidRDefault="00AE4D5A" w:rsidP="008E5E01">
      <w:pPr>
        <w:pStyle w:val="BodyText"/>
      </w:pPr>
      <w:r>
        <w:t>DIRD was circumspect about the effects of the 2012 Coastal Trading Act in particular:</w:t>
      </w:r>
    </w:p>
    <w:p w:rsidR="00AE4D5A" w:rsidRDefault="00AE4D5A" w:rsidP="008E5E01">
      <w:pPr>
        <w:pStyle w:val="Quote"/>
      </w:pPr>
      <w:r w:rsidRPr="00C623EE">
        <w:t>The Department is not aware of evidence that demonstrates a direct link between any increases in freight costs and the introduction of the new coastal trading legislation</w:t>
      </w:r>
      <w:r>
        <w:t xml:space="preserve"> … (sub. 42, p. 12)</w:t>
      </w:r>
    </w:p>
    <w:p w:rsidR="00AE4D5A" w:rsidRDefault="00AE4D5A" w:rsidP="008E5E01">
      <w:pPr>
        <w:pStyle w:val="BodyText"/>
      </w:pPr>
      <w:r>
        <w:t>However, DIRD (and others) acknowledged the high costs faced by Australian flagged vessels:</w:t>
      </w:r>
    </w:p>
    <w:p w:rsidR="00AE4D5A" w:rsidRDefault="00AE4D5A" w:rsidP="008E5E01">
      <w:pPr>
        <w:pStyle w:val="Quote"/>
      </w:pPr>
      <w:r>
        <w:t>… Australian flagged ships are faced with a more expensive cost structure than their foreign flagged counterparts, primarily due to higher wage rates through enterprise agreements, higher Australian insurance costs and bunkers (fuel) at Australian prices. (sub. 42, p. 12)</w:t>
      </w:r>
    </w:p>
    <w:p w:rsidR="00AE4D5A" w:rsidRDefault="00AE4D5A" w:rsidP="008E5E01">
      <w:pPr>
        <w:pStyle w:val="BodyText"/>
        <w:spacing w:before="200"/>
      </w:pPr>
      <w:r>
        <w:t>While the exact nature of their impact is uncertain, some participants argued that the coastal shipping regulation changes were an important factor in increasing shipping costs for Tasmanian businesses. For example, participants noted:</w:t>
      </w:r>
    </w:p>
    <w:p w:rsidR="00AE4D5A" w:rsidRDefault="00AE4D5A" w:rsidP="008E5E01">
      <w:pPr>
        <w:pStyle w:val="Quote"/>
      </w:pPr>
      <w:r>
        <w:t>Following introduction of the Coastal Trading Act 2012, BBA faced increased costs from $18.20 a tonne in 2011 to $29.70 in 2012, or 63 per cent. This compared with $17.50 a tonne charged by international operators in 2012. (BBA, sub. 12, p. 3)</w:t>
      </w:r>
    </w:p>
    <w:p w:rsidR="00AE4D5A" w:rsidRDefault="00AE4D5A" w:rsidP="008E5E01">
      <w:pPr>
        <w:pStyle w:val="Quote"/>
      </w:pPr>
      <w:r w:rsidRPr="00E06642">
        <w:t>The new licensing arrangements have led to greatly reduced shipping options and competition in the market and an associated increase in the cost of shipping</w:t>
      </w:r>
      <w:r>
        <w:t>. (</w:t>
      </w:r>
      <w:r w:rsidRPr="00371AFE">
        <w:t>Australian Aluminium Council</w:t>
      </w:r>
      <w:r>
        <w:t>,</w:t>
      </w:r>
      <w:r w:rsidRPr="00371AFE">
        <w:t xml:space="preserve"> </w:t>
      </w:r>
      <w:r>
        <w:t>sub. 10, p. 2)</w:t>
      </w:r>
    </w:p>
    <w:p w:rsidR="00AE4D5A" w:rsidRDefault="00AE4D5A" w:rsidP="008E5E01">
      <w:pPr>
        <w:pStyle w:val="Quote"/>
      </w:pPr>
      <w:r>
        <w:t>Since the 2012 legislation was introduced, there is evidence that the costs associated with using coastal shipping services across Australia (including routes to and from Tasmania) have risen. One company has experienced a 63 per cent increase in shipping costs to Tasmania. Another company estimates an additional 1000 hours of labour annually are required to administer the new scheme. (BCA, sub. 47, p. 1)</w:t>
      </w:r>
    </w:p>
    <w:p w:rsidR="00AE4D5A" w:rsidRDefault="00AE4D5A" w:rsidP="008E5E01">
      <w:pPr>
        <w:pStyle w:val="Quote"/>
      </w:pPr>
      <w:r>
        <w:t xml:space="preserve">The changes to the Fair Work Act … directly </w:t>
      </w:r>
      <w:r w:rsidRPr="007F7D36">
        <w:rPr>
          <w:u w:val="single"/>
        </w:rPr>
        <w:t>added $150</w:t>
      </w:r>
      <w:r>
        <w:rPr>
          <w:u w:val="single"/>
        </w:rPr>
        <w:t> </w:t>
      </w:r>
      <w:r w:rsidRPr="007F7D36">
        <w:rPr>
          <w:u w:val="single"/>
        </w:rPr>
        <w:t>000</w:t>
      </w:r>
      <w:r>
        <w:t xml:space="preserve"> to Simplot’s Tasmania to Fremantle route. In addition the omission of coastal bookings on certain vessels creates </w:t>
      </w:r>
      <w:r>
        <w:lastRenderedPageBreak/>
        <w:t>a lumpy supply chain, excess wharf power charges and additional charges to use alternative methods to re</w:t>
      </w:r>
      <w:r>
        <w:noBreakHyphen/>
        <w:t>supply WA (i.e. train or road). (Simplot, sub. 50, p. 5)</w:t>
      </w:r>
    </w:p>
    <w:p w:rsidR="00AE4D5A" w:rsidRDefault="00AE4D5A" w:rsidP="008E5E01">
      <w:pPr>
        <w:pStyle w:val="BodyText"/>
      </w:pPr>
      <w:r>
        <w:t>However, the Maritime Union of Australia (</w:t>
      </w:r>
      <w:proofErr w:type="spellStart"/>
      <w:r>
        <w:t>MUA</w:t>
      </w:r>
      <w:proofErr w:type="spellEnd"/>
      <w:r>
        <w:t>), was critical of these claims, and questioned whether they were due to the 2012 changes (sub. </w:t>
      </w:r>
      <w:proofErr w:type="spellStart"/>
      <w:r>
        <w:t>DR89</w:t>
      </w:r>
      <w:proofErr w:type="spellEnd"/>
      <w:r>
        <w:t>, p. 14).</w:t>
      </w:r>
    </w:p>
    <w:p w:rsidR="00AE4D5A" w:rsidRDefault="00AE4D5A" w:rsidP="008E5E01">
      <w:pPr>
        <w:pStyle w:val="BodyText"/>
      </w:pPr>
      <w:r>
        <w:t xml:space="preserve">There is also some indication that the regulatory changes have adversely affected cruise ship operators who wish to call at Tasmanian ports. A Ministerial Exemption allows </w:t>
      </w:r>
      <w:r w:rsidRPr="00F5296D">
        <w:t xml:space="preserve">cruise vessels over 5000 gross tonnes capable of at least 15 knots, and carrying more than 100 passengers </w:t>
      </w:r>
      <w:r w:rsidRPr="00104778">
        <w:t>to be</w:t>
      </w:r>
      <w:r w:rsidRPr="00F5296D">
        <w:t xml:space="preserve"> exempt from the Coastal Trading Act, with</w:t>
      </w:r>
      <w:r w:rsidRPr="00C1652A">
        <w:t xml:space="preserve"> the exception of those travelling between Tasmania and Victoria.</w:t>
      </w:r>
      <w:r>
        <w:t xml:space="preserve"> Some participants drew attention to the costs this exemption imposed on expedition vessels under the 5000 gross tonne threshold that wish to operate along the Australian coast and the significant cost associated with incorporating a stop in Tasmania:</w:t>
      </w:r>
    </w:p>
    <w:p w:rsidR="00AE4D5A" w:rsidRDefault="00AE4D5A" w:rsidP="008E5E01">
      <w:pPr>
        <w:pStyle w:val="Quote"/>
      </w:pPr>
      <w:r>
        <w:t>… we have no plans to return to Tasmania in the foreseeable future which is driven by two main issues.</w:t>
      </w:r>
    </w:p>
    <w:p w:rsidR="00AE4D5A" w:rsidRDefault="00AE4D5A" w:rsidP="008E5E01">
      <w:pPr>
        <w:pStyle w:val="Quote"/>
        <w:spacing w:before="0"/>
      </w:pPr>
      <w:r>
        <w:t xml:space="preserve">1. Australian Cabotage laws (Coastal Trading) </w:t>
      </w:r>
    </w:p>
    <w:p w:rsidR="00AE4D5A" w:rsidRDefault="00AE4D5A" w:rsidP="008E5E01">
      <w:pPr>
        <w:pStyle w:val="Quote"/>
        <w:spacing w:before="0"/>
      </w:pPr>
      <w:r>
        <w:t>2. The cost of Ports in Tasmania (APT, sub. 11, p. 1)</w:t>
      </w:r>
    </w:p>
    <w:p w:rsidR="00AE4D5A" w:rsidRDefault="00AE4D5A" w:rsidP="008E5E01">
      <w:pPr>
        <w:pStyle w:val="Quote"/>
      </w:pPr>
      <w:r w:rsidRPr="00D44AAF">
        <w:t>The Coastal Trading Act (the Act) is currently having a negative impact on expedition cruise shipping costs, acting as a barrier to foreign flagged operators wishing to include Tasmania on domestic itineraries that commence from another Australian port</w:t>
      </w:r>
      <w:r>
        <w:t>. (Austrade, sub. 41, p. 7)</w:t>
      </w:r>
    </w:p>
    <w:p w:rsidR="00AE4D5A" w:rsidRDefault="00AE4D5A" w:rsidP="008E5E01">
      <w:pPr>
        <w:pStyle w:val="BodyText"/>
        <w:spacing w:before="200"/>
      </w:pPr>
      <w:r>
        <w:t>Further, by excluding journeys between Tasmania and Victoria from the Ministerial Exemption, this effectively only benefits TT</w:t>
      </w:r>
      <w:r>
        <w:noBreakHyphen/>
        <w:t>Line as an Australian</w:t>
      </w:r>
      <w:r>
        <w:noBreakHyphen/>
        <w:t xml:space="preserve">flagged vessel by restricting the potential for competition from other cruise vessels. </w:t>
      </w:r>
    </w:p>
    <w:p w:rsidR="00AE4D5A" w:rsidRDefault="00AE4D5A" w:rsidP="008E5E01">
      <w:pPr>
        <w:pStyle w:val="BodyText"/>
        <w:spacing w:before="200"/>
      </w:pPr>
      <w:r>
        <w:t>The impact of the 2012 shipping reforms on the Australian economy more broadly are thought to be significant. For example, the Cement Industry Foundation noted:</w:t>
      </w:r>
    </w:p>
    <w:p w:rsidR="00AE4D5A" w:rsidRDefault="00AE4D5A" w:rsidP="008E5E01">
      <w:pPr>
        <w:pStyle w:val="Quote"/>
      </w:pPr>
      <w:r w:rsidRPr="00DB2F8B">
        <w:t>The CIF is concerned that these reforms have numerous unintended consequences. For example, heavily protected coastal shipping routes will become even less competitive against international shipping leading to an outcome that negatively impacts on the competitiveness of Australian dry bulk shipping users, including cement and clinker, which will in turn lead to a reduced demand for coastal shipping services.</w:t>
      </w:r>
      <w:r>
        <w:t xml:space="preserve"> (sub. </w:t>
      </w:r>
      <w:proofErr w:type="spellStart"/>
      <w:r>
        <w:t>DR83</w:t>
      </w:r>
      <w:proofErr w:type="spellEnd"/>
      <w:r>
        <w:t>, p. 2)</w:t>
      </w:r>
    </w:p>
    <w:p w:rsidR="00AE4D5A" w:rsidRDefault="00AE4D5A" w:rsidP="008E5E01">
      <w:pPr>
        <w:pStyle w:val="BodyText"/>
        <w:spacing w:before="200"/>
      </w:pPr>
      <w:r>
        <w:t xml:space="preserve">The then Australian Department of Infrastructure and Transport has previously estimated that the changes associated with the Coastal Trading Act could cost the Australian economy as much as </w:t>
      </w:r>
      <w:r w:rsidRPr="00243882">
        <w:t>$202</w:t>
      </w:r>
      <w:r>
        <w:t> </w:t>
      </w:r>
      <w:r w:rsidRPr="00243882">
        <w:t>m</w:t>
      </w:r>
      <w:r>
        <w:t xml:space="preserve">illion in net present value terms over 20 years </w:t>
      </w:r>
      <w:r w:rsidRPr="005E4BB9">
        <w:rPr>
          <w:szCs w:val="24"/>
        </w:rPr>
        <w:t>(DIT 2011)</w:t>
      </w:r>
      <w:r>
        <w:t xml:space="preserve">. In addition, the tax incentives are likely to cost the Australian Government around $70 million a year in forgone revenue </w:t>
      </w:r>
      <w:r w:rsidRPr="005E4BB9">
        <w:rPr>
          <w:szCs w:val="24"/>
        </w:rPr>
        <w:t>(Swan 2012)</w:t>
      </w:r>
      <w:r>
        <w:t xml:space="preserve">, and the more the objectives of the policy changes are realised, the more they would cost Australia overall </w:t>
      </w:r>
      <w:r w:rsidRPr="005E4BB9">
        <w:rPr>
          <w:szCs w:val="24"/>
        </w:rPr>
        <w:t>(DIT 2011)</w:t>
      </w:r>
      <w:r>
        <w:t>.</w:t>
      </w:r>
    </w:p>
    <w:p w:rsidR="00AE4D5A" w:rsidRDefault="00AE4D5A" w:rsidP="008E5E01">
      <w:pPr>
        <w:pStyle w:val="BodyText"/>
        <w:spacing w:before="200"/>
      </w:pPr>
      <w:r>
        <w:lastRenderedPageBreak/>
        <w:t>In addition, the Regulatory Impact Statement (</w:t>
      </w:r>
      <w:proofErr w:type="spellStart"/>
      <w:r>
        <w:t>RIS</w:t>
      </w:r>
      <w:proofErr w:type="spellEnd"/>
      <w:r>
        <w:t xml:space="preserve">) that found a net benefit to Australia from the 2012 changes (and so informed the parliamentary consideration and decision to introduce them) appears flawed. That </w:t>
      </w:r>
      <w:proofErr w:type="spellStart"/>
      <w:r>
        <w:t>RIS</w:t>
      </w:r>
      <w:proofErr w:type="spellEnd"/>
      <w:r>
        <w:t xml:space="preserve"> assumed substantial benefits would flow from a productivity compact with the maritime unions and would be sufficient to offset costs otherwise associated with the licensing and taxation reforms. These assumed benefits included a reduction in crewing numbers, fewer days per year in dry dock due to maintenance work being undertaken by riding gangs and lower accommodation standards on new ships</w:t>
      </w:r>
      <w:r w:rsidRPr="00860728">
        <w:t xml:space="preserve"> </w:t>
      </w:r>
      <w:r w:rsidRPr="00860728">
        <w:rPr>
          <w:szCs w:val="24"/>
        </w:rPr>
        <w:t>(DIT 2011)</w:t>
      </w:r>
      <w:r w:rsidRPr="00860728">
        <w:t>.</w:t>
      </w:r>
      <w:r>
        <w:t xml:space="preserve"> </w:t>
      </w:r>
    </w:p>
    <w:p w:rsidR="00AE4D5A" w:rsidRDefault="00AE4D5A" w:rsidP="008E5E01">
      <w:pPr>
        <w:pStyle w:val="BodyText"/>
        <w:spacing w:before="200"/>
      </w:pPr>
      <w:r>
        <w:t xml:space="preserve">Importantly, the Commission heard evidence that the </w:t>
      </w:r>
      <w:proofErr w:type="spellStart"/>
      <w:r>
        <w:t>RIS</w:t>
      </w:r>
      <w:proofErr w:type="spellEnd"/>
      <w:r>
        <w:t xml:space="preserve"> was prepared and submitted to the Government and Parliament prior to the preparation of the compact:</w:t>
      </w:r>
    </w:p>
    <w:p w:rsidR="00AE4D5A" w:rsidRDefault="00AE4D5A" w:rsidP="008E5E01">
      <w:pPr>
        <w:pStyle w:val="Quote"/>
      </w:pPr>
      <w:r>
        <w:t xml:space="preserve">… the compact being completed after the </w:t>
      </w:r>
      <w:proofErr w:type="spellStart"/>
      <w:r>
        <w:t>RIS</w:t>
      </w:r>
      <w:proofErr w:type="spellEnd"/>
      <w:r>
        <w:t xml:space="preserve"> was completed. There were a number of assumptions made [in the </w:t>
      </w:r>
      <w:proofErr w:type="spellStart"/>
      <w:r>
        <w:t>RIS</w:t>
      </w:r>
      <w:proofErr w:type="spellEnd"/>
      <w:r>
        <w:t xml:space="preserve">] that subsequently the compact actually reviewed … I think people know things now that weren’t known at the time the </w:t>
      </w:r>
      <w:proofErr w:type="spellStart"/>
      <w:r>
        <w:t>RIS</w:t>
      </w:r>
      <w:proofErr w:type="spellEnd"/>
      <w:r>
        <w:t xml:space="preserve"> was actually undertaken. (DIRD, trans., p. 479)</w:t>
      </w:r>
    </w:p>
    <w:p w:rsidR="00AE4D5A" w:rsidRPr="00A9486C" w:rsidRDefault="00AE4D5A" w:rsidP="008E5E01">
      <w:pPr>
        <w:pStyle w:val="Quote"/>
      </w:pPr>
      <w:r>
        <w:t xml:space="preserve">… </w:t>
      </w:r>
      <w:r w:rsidRPr="00A9486C">
        <w:t>the regulatory impacts statement made some assumptions based on the analysis of what was intended in the compact which ultimately transpired. They didn</w:t>
      </w:r>
      <w:r>
        <w:t>’</w:t>
      </w:r>
      <w:r w:rsidRPr="00A9486C">
        <w:t>t have the benefit of the compact at that stage.</w:t>
      </w:r>
      <w:r>
        <w:t xml:space="preserve"> (</w:t>
      </w:r>
      <w:proofErr w:type="spellStart"/>
      <w:r>
        <w:t>MUA</w:t>
      </w:r>
      <w:proofErr w:type="spellEnd"/>
      <w:r>
        <w:t>, trans., p. 49)</w:t>
      </w:r>
    </w:p>
    <w:p w:rsidR="00AE4D5A" w:rsidRDefault="00AE4D5A" w:rsidP="008E5E01">
      <w:pPr>
        <w:pStyle w:val="BodyText"/>
        <w:spacing w:before="200"/>
      </w:pPr>
      <w:r>
        <w:t>The compact does not provide for any definitive productivity improvements rather it provides a process to consider and negotiate potential improvements:</w:t>
      </w:r>
    </w:p>
    <w:p w:rsidR="00AE4D5A" w:rsidRDefault="00AE4D5A" w:rsidP="008E5E01">
      <w:pPr>
        <w:pStyle w:val="Quote"/>
      </w:pPr>
      <w:r>
        <w:t xml:space="preserve">… [the compact] is </w:t>
      </w:r>
      <w:r w:rsidRPr="00C826CF">
        <w:t>premised on the need for continuous improvement in, if you like, labour utilisation.</w:t>
      </w:r>
      <w:r>
        <w:t>(</w:t>
      </w:r>
      <w:proofErr w:type="spellStart"/>
      <w:r>
        <w:t>MUA</w:t>
      </w:r>
      <w:proofErr w:type="spellEnd"/>
      <w:r>
        <w:t>, trans., p. 48)</w:t>
      </w:r>
    </w:p>
    <w:p w:rsidR="00AE4D5A" w:rsidRDefault="00AE4D5A" w:rsidP="008E5E01">
      <w:pPr>
        <w:pStyle w:val="BodyText"/>
        <w:spacing w:before="200"/>
      </w:pPr>
      <w:r>
        <w:t xml:space="preserve">Further, the compact has yet to deliver on its </w:t>
      </w:r>
      <w:proofErr w:type="spellStart"/>
      <w:r>
        <w:t>RIS</w:t>
      </w:r>
      <w:proofErr w:type="spellEnd"/>
      <w:r>
        <w:t xml:space="preserve"> assumed benefits. For example, crew</w:t>
      </w:r>
      <w:r w:rsidRPr="00480099">
        <w:t xml:space="preserve">ing levels were expected to fall significantly from an average of </w:t>
      </w:r>
      <w:r>
        <w:t xml:space="preserve">about </w:t>
      </w:r>
      <w:r w:rsidRPr="00480099">
        <w:t xml:space="preserve">18, but </w:t>
      </w:r>
      <w:r>
        <w:t>this has</w:t>
      </w:r>
      <w:r w:rsidRPr="00480099">
        <w:t xml:space="preserve"> not </w:t>
      </w:r>
      <w:r>
        <w:t>yet</w:t>
      </w:r>
      <w:r w:rsidRPr="00480099">
        <w:t xml:space="preserve"> eventuated</w:t>
      </w:r>
      <w:r>
        <w:t xml:space="preserve">, and comments from the </w:t>
      </w:r>
      <w:proofErr w:type="spellStart"/>
      <w:r>
        <w:t>MUA</w:t>
      </w:r>
      <w:proofErr w:type="spellEnd"/>
      <w:r>
        <w:t xml:space="preserve"> suggest such reductions are unlikely:</w:t>
      </w:r>
    </w:p>
    <w:p w:rsidR="00AE4D5A" w:rsidRPr="00860728" w:rsidRDefault="00AE4D5A" w:rsidP="008E5E01">
      <w:pPr>
        <w:pStyle w:val="Quote"/>
      </w:pPr>
      <w:r>
        <w:t xml:space="preserve">… </w:t>
      </w:r>
      <w:r w:rsidRPr="00BC7C92">
        <w:t>the average crewing level on Australian coastal trading vessels is already 17</w:t>
      </w:r>
      <w:r>
        <w:t xml:space="preserve"> … </w:t>
      </w:r>
      <w:r w:rsidRPr="00BC7C92">
        <w:t>and on some vessels down to 16. This is world’s best practice crewing for the vessel classes.</w:t>
      </w:r>
      <w:r>
        <w:t xml:space="preserve"> (sub. </w:t>
      </w:r>
      <w:proofErr w:type="spellStart"/>
      <w:r>
        <w:t>DR89</w:t>
      </w:r>
      <w:proofErr w:type="spellEnd"/>
      <w:r>
        <w:t>, p. 16</w:t>
      </w:r>
      <w:r w:rsidRPr="00860728">
        <w:t>)</w:t>
      </w:r>
    </w:p>
    <w:p w:rsidR="00AE4D5A" w:rsidRDefault="00AE4D5A" w:rsidP="008E5E01">
      <w:pPr>
        <w:pStyle w:val="BodyText"/>
        <w:spacing w:before="200"/>
      </w:pPr>
      <w:r>
        <w:t xml:space="preserve">Nonetheless, the </w:t>
      </w:r>
      <w:proofErr w:type="spellStart"/>
      <w:r>
        <w:t>MUA</w:t>
      </w:r>
      <w:proofErr w:type="spellEnd"/>
      <w:r>
        <w:t xml:space="preserve"> stated that crewing requirements are under review:</w:t>
      </w:r>
    </w:p>
    <w:p w:rsidR="00AE4D5A" w:rsidRPr="00860728" w:rsidRDefault="00AE4D5A" w:rsidP="008E5E01">
      <w:pPr>
        <w:pStyle w:val="Quote"/>
      </w:pPr>
      <w:r>
        <w:t xml:space="preserve">… </w:t>
      </w:r>
      <w:r w:rsidRPr="00DC0E4E">
        <w:t xml:space="preserve">the </w:t>
      </w:r>
      <w:proofErr w:type="spellStart"/>
      <w:r w:rsidRPr="00DC0E4E">
        <w:t>MUA</w:t>
      </w:r>
      <w:proofErr w:type="spellEnd"/>
      <w:r w:rsidRPr="00DC0E4E">
        <w:t xml:space="preserve"> is deep in negotiations with Rio Tinto and its crewing agents for a restructure of the crewing complement on the Rio Tinto bauxite vessels servicing the aluminium industry. Once concluded, the new standard is expected to be trialled and introduced on a range of other like vessels.</w:t>
      </w:r>
      <w:r>
        <w:t xml:space="preserve"> (sub. </w:t>
      </w:r>
      <w:proofErr w:type="spellStart"/>
      <w:r>
        <w:t>DR89</w:t>
      </w:r>
      <w:proofErr w:type="spellEnd"/>
      <w:r>
        <w:t>, p. 16</w:t>
      </w:r>
      <w:r w:rsidRPr="00860728">
        <w:t>)</w:t>
      </w:r>
    </w:p>
    <w:p w:rsidR="00AE4D5A" w:rsidRDefault="00AE4D5A" w:rsidP="008E5E01">
      <w:pPr>
        <w:pStyle w:val="BodyText"/>
        <w:spacing w:before="200"/>
      </w:pPr>
      <w:r>
        <w:t xml:space="preserve">The </w:t>
      </w:r>
      <w:proofErr w:type="spellStart"/>
      <w:r>
        <w:t>MUA</w:t>
      </w:r>
      <w:proofErr w:type="spellEnd"/>
      <w:r>
        <w:t xml:space="preserve"> also noted that a current set of negotiations with an employer was expected to deliver significant operational savings. For these negotiations (which include the restructure of the crew complement and better labour utilisation of crewing) the employer has a cost reduction target per ship per year of $675 000. </w:t>
      </w:r>
      <w:r>
        <w:lastRenderedPageBreak/>
        <w:t xml:space="preserve">The </w:t>
      </w:r>
      <w:proofErr w:type="spellStart"/>
      <w:r>
        <w:t>MUA</w:t>
      </w:r>
      <w:proofErr w:type="spellEnd"/>
      <w:r>
        <w:t xml:space="preserve"> observed that if this target is achieved and if replicated across the Australian coastal fleet, this would deliver an annual reduction in costs of about $13.5 million (sub. </w:t>
      </w:r>
      <w:proofErr w:type="spellStart"/>
      <w:r>
        <w:t>DR89</w:t>
      </w:r>
      <w:proofErr w:type="spellEnd"/>
      <w:r>
        <w:t>, p. 17).</w:t>
      </w:r>
    </w:p>
    <w:p w:rsidR="00AE4D5A" w:rsidRDefault="00AE4D5A" w:rsidP="008E5E01">
      <w:pPr>
        <w:pStyle w:val="BodyText"/>
        <w:spacing w:before="200"/>
      </w:pPr>
      <w:r>
        <w:t xml:space="preserve">While these productivity benefits will be welcomed if and when they occur, they are unlikely to be of sufficient magnitude to offset the costs associated with the licensing and taxation reforms. Further, a commitment to undertake public reporting to industry in relation to the outcomes of the compact has not been met (DIRD, trans., p. 478). </w:t>
      </w:r>
      <w:r w:rsidRPr="00104778">
        <w:t xml:space="preserve">Accordingly, the </w:t>
      </w:r>
      <w:proofErr w:type="spellStart"/>
      <w:r>
        <w:t>RIS</w:t>
      </w:r>
      <w:proofErr w:type="spellEnd"/>
      <w:r>
        <w:t xml:space="preserve"> based </w:t>
      </w:r>
      <w:r w:rsidRPr="00104778">
        <w:t xml:space="preserve">justification for the 2012 changes is </w:t>
      </w:r>
      <w:r w:rsidRPr="001F219C">
        <w:t>questionable.</w:t>
      </w:r>
    </w:p>
    <w:p w:rsidR="00AE4D5A" w:rsidRDefault="00AE4D5A" w:rsidP="008E5E01">
      <w:pPr>
        <w:pStyle w:val="BodyText"/>
      </w:pPr>
      <w:r>
        <w:t>Deputy Prime Minister Warren Truss has recently foreshadowed a review of the coastal shipping arrangements:</w:t>
      </w:r>
    </w:p>
    <w:p w:rsidR="00AE4D5A" w:rsidRPr="0014764E" w:rsidRDefault="00AE4D5A" w:rsidP="008E5E01">
      <w:pPr>
        <w:pStyle w:val="Quote"/>
      </w:pPr>
      <w:r>
        <w:t xml:space="preserve">… I am determined to put the current system under the microscope to streamline processes and foster a vibrant and sustainable shipping industry in Australia. This will include looking at the eligibility requirements around the Temporary licence application process and applications for a variation to a permit. </w:t>
      </w:r>
      <w:r w:rsidRPr="0014764E">
        <w:rPr>
          <w:szCs w:val="24"/>
        </w:rPr>
        <w:t>(Truss 2013)</w:t>
      </w:r>
    </w:p>
    <w:p w:rsidR="00AE4D5A" w:rsidRDefault="00AE4D5A" w:rsidP="008E5E01">
      <w:pPr>
        <w:pStyle w:val="BodyText"/>
      </w:pPr>
      <w:r>
        <w:t>DIRD also drew attention to that proposed review:</w:t>
      </w:r>
    </w:p>
    <w:p w:rsidR="00AE4D5A" w:rsidRDefault="00AE4D5A" w:rsidP="008E5E01">
      <w:pPr>
        <w:pStyle w:val="Quote"/>
      </w:pPr>
      <w:r w:rsidRPr="00E054EE">
        <w:t>The coastal trading regulatory framework is currently being reviewed as part of the Government’s broader commitment to reducing the burden of excessive red tape on the Australian economy.</w:t>
      </w:r>
      <w:r>
        <w:t xml:space="preserve"> (sub. 42, p. 12) </w:t>
      </w:r>
    </w:p>
    <w:p w:rsidR="00AE4D5A" w:rsidRDefault="00AE4D5A" w:rsidP="008E5E01">
      <w:pPr>
        <w:pStyle w:val="BodyText"/>
      </w:pPr>
      <w:r>
        <w:t xml:space="preserve">In view of the higher shipping costs evident in Tasmania, the likely broader impacts on Australian businesses generally, and concern about the integrity of the </w:t>
      </w:r>
      <w:proofErr w:type="spellStart"/>
      <w:r>
        <w:t>RIS</w:t>
      </w:r>
      <w:proofErr w:type="spellEnd"/>
      <w:r>
        <w:t xml:space="preserve">, the Commission recommended in its draft report that the foreshadowed review of coastal shipping be expedited with the objective of increasing the competitiveness of Australia’s coastal shipping. </w:t>
      </w:r>
    </w:p>
    <w:p w:rsidR="00AE4D5A" w:rsidRDefault="00AE4D5A" w:rsidP="008E5E01">
      <w:pPr>
        <w:pStyle w:val="BodyText"/>
      </w:pPr>
      <w:r>
        <w:t>This recommendation received widespread and strong support from inquiry participants. For example:</w:t>
      </w:r>
    </w:p>
    <w:p w:rsidR="00AE4D5A" w:rsidRDefault="00AE4D5A" w:rsidP="008E5E01">
      <w:pPr>
        <w:pStyle w:val="Quote"/>
      </w:pPr>
      <w:r>
        <w:t>Mondelez International fully supports a review of coastal shipping regulation. … It is particularly critical that such a review understands and considers the unique geographical impact on commercial enterprises in Tasmania. (Mondelez, sub. DR98, p. 5)</w:t>
      </w:r>
    </w:p>
    <w:p w:rsidR="00AE4D5A" w:rsidRDefault="00AE4D5A" w:rsidP="008E5E01">
      <w:pPr>
        <w:pStyle w:val="Quote"/>
      </w:pPr>
      <w:r w:rsidRPr="0075267B">
        <w:t xml:space="preserve">Simplot strongly agree with the draft report recommendation to immediately review all Coastal Shipping legislation and impact of the Fair Work act on coastal shipping. </w:t>
      </w:r>
      <w:r>
        <w:t>(Simplot, sub. </w:t>
      </w:r>
      <w:proofErr w:type="spellStart"/>
      <w:r>
        <w:t>DR96</w:t>
      </w:r>
      <w:proofErr w:type="spellEnd"/>
      <w:r>
        <w:t>, p. 5)</w:t>
      </w:r>
    </w:p>
    <w:p w:rsidR="00AE4D5A" w:rsidRDefault="00AE4D5A" w:rsidP="008E5E01">
      <w:pPr>
        <w:pStyle w:val="Quote"/>
      </w:pPr>
      <w:r>
        <w:t>We would also like to commend the Productivity Commission’s support for the Federal Government’s review of Coastal Shipping Regulation as soon as possible … (Norske Skog, sub. DR67, p. 5)</w:t>
      </w:r>
    </w:p>
    <w:p w:rsidR="00AE4D5A" w:rsidRPr="00343606" w:rsidRDefault="00AE4D5A" w:rsidP="008E5E01">
      <w:pPr>
        <w:pStyle w:val="Quote"/>
      </w:pPr>
      <w:r w:rsidRPr="00343606">
        <w:t xml:space="preserve">Removal of coastal shipping restrictions (cabotage) would be strongly supported by Veolia. Veolia believe that the removal of such coastal shipping regulations would </w:t>
      </w:r>
      <w:r w:rsidRPr="00343606">
        <w:lastRenderedPageBreak/>
        <w:t>provide an incentive for international shipping lines to return.</w:t>
      </w:r>
      <w:r>
        <w:t xml:space="preserve"> (Veolia, sub. DR103, p. 3)</w:t>
      </w:r>
    </w:p>
    <w:p w:rsidR="00AE4D5A" w:rsidRDefault="00AE4D5A" w:rsidP="008E5E01">
      <w:pPr>
        <w:pStyle w:val="BodyText"/>
      </w:pPr>
      <w:r>
        <w:t xml:space="preserve">A number of participants have also suggested areas where changes to the regulations are required. </w:t>
      </w:r>
    </w:p>
    <w:p w:rsidR="00AE4D5A" w:rsidRDefault="00AE4D5A" w:rsidP="008E5E01">
      <w:pPr>
        <w:pStyle w:val="BodyText"/>
      </w:pPr>
      <w:r>
        <w:t xml:space="preserve">The </w:t>
      </w:r>
      <w:proofErr w:type="spellStart"/>
      <w:r>
        <w:t>MUA</w:t>
      </w:r>
      <w:proofErr w:type="spellEnd"/>
      <w:r>
        <w:t xml:space="preserve">, for example, raised concerns with the operation of the changes to the Coastal Trading Act (sub. 32, pp. 4–5). At the public hearings, the </w:t>
      </w:r>
      <w:proofErr w:type="spellStart"/>
      <w:r>
        <w:t>MUA</w:t>
      </w:r>
      <w:proofErr w:type="spellEnd"/>
      <w:r>
        <w:t xml:space="preserve"> stated:</w:t>
      </w:r>
    </w:p>
    <w:p w:rsidR="00AE4D5A" w:rsidRDefault="00AE4D5A" w:rsidP="008E5E01">
      <w:pPr>
        <w:pStyle w:val="Quote"/>
      </w:pPr>
      <w:r>
        <w:t>… we have no difficulties with a further review, subject to the terms of reference of course, but the review could be a very useful exercise to address some of the unintended consequences of the legislative framework that was introduced in 2012 and also to clarify some ambiguities and flaws in the legislation</w:t>
      </w:r>
      <w:r w:rsidRPr="00F5296D">
        <w:t>. (trans.</w:t>
      </w:r>
      <w:r>
        <w:t>,</w:t>
      </w:r>
      <w:r w:rsidRPr="00F5296D">
        <w:t xml:space="preserve"> </w:t>
      </w:r>
      <w:r w:rsidRPr="008F5292">
        <w:t>p. 41</w:t>
      </w:r>
      <w:r w:rsidRPr="00F5296D">
        <w:t>)</w:t>
      </w:r>
      <w:r>
        <w:t xml:space="preserve"> </w:t>
      </w:r>
    </w:p>
    <w:p w:rsidR="00AE4D5A" w:rsidRPr="002A33C7" w:rsidRDefault="00AE4D5A" w:rsidP="008E5E01">
      <w:pPr>
        <w:pStyle w:val="BodyText"/>
      </w:pPr>
      <w:r w:rsidRPr="002A33C7">
        <w:t xml:space="preserve">In particular, the </w:t>
      </w:r>
      <w:proofErr w:type="spellStart"/>
      <w:r w:rsidRPr="002A33C7">
        <w:t>MUA</w:t>
      </w:r>
      <w:proofErr w:type="spellEnd"/>
      <w:r w:rsidRPr="002A33C7">
        <w:t xml:space="preserve"> </w:t>
      </w:r>
      <w:r>
        <w:t>noted</w:t>
      </w:r>
      <w:r w:rsidRPr="002A33C7">
        <w:t xml:space="preserve"> that the provision allowing the Minister (or Minister’s delegate) to consider commercial matters such as freight rates is unwarranted. It argued that this provision ‘</w:t>
      </w:r>
      <w:r>
        <w:t xml:space="preserve"> </w:t>
      </w:r>
      <w:r w:rsidRPr="002A33C7">
        <w:t>…</w:t>
      </w:r>
      <w:r>
        <w:t xml:space="preserve"> </w:t>
      </w:r>
      <w:r w:rsidRPr="002A33C7">
        <w:t>must be amended to restrict consideration of freight rates by the Minister (Minister’s delegate)’ (sub. 32, p. 5).</w:t>
      </w:r>
    </w:p>
    <w:p w:rsidR="00AE4D5A" w:rsidRDefault="00AE4D5A" w:rsidP="008E5E01">
      <w:pPr>
        <w:pStyle w:val="BodyText"/>
      </w:pPr>
      <w:r>
        <w:t>The Business Council of Australia (BCA) suggested immediate changes to the regulations including:</w:t>
      </w:r>
    </w:p>
    <w:p w:rsidR="00AE4D5A" w:rsidRDefault="00AE4D5A" w:rsidP="008E5E01">
      <w:pPr>
        <w:pStyle w:val="QuoteBullet"/>
      </w:pPr>
      <w:r>
        <w:t>abolish the requirement of five voyages for a temporary licence and extend the 12</w:t>
      </w:r>
      <w:r>
        <w:noBreakHyphen/>
        <w:t>month temporary licence period</w:t>
      </w:r>
    </w:p>
    <w:p w:rsidR="00AE4D5A" w:rsidRDefault="00AE4D5A" w:rsidP="008E5E01">
      <w:pPr>
        <w:pStyle w:val="QuoteBullet"/>
      </w:pPr>
      <w:r>
        <w:t>license the entire consignment to cover all ports used by the vessel while unloading the consignment, instead of requiring each port visited to be specified</w:t>
      </w:r>
    </w:p>
    <w:p w:rsidR="00AE4D5A" w:rsidRDefault="00AE4D5A" w:rsidP="008E5E01">
      <w:pPr>
        <w:pStyle w:val="QuoteBullet"/>
      </w:pPr>
      <w:r>
        <w:t>reduce information requirement in forms and reporting to the minimum specified in legislation. (sub. 47, pp. 1–2)</w:t>
      </w:r>
    </w:p>
    <w:p w:rsidR="00AE4D5A" w:rsidRDefault="00AE4D5A" w:rsidP="008E5E01">
      <w:pPr>
        <w:pStyle w:val="BodyText"/>
      </w:pPr>
      <w:r>
        <w:t>The Australian Shipowners’ Association also nominated areas for change, including:</w:t>
      </w:r>
    </w:p>
    <w:p w:rsidR="00AE4D5A" w:rsidRDefault="00AE4D5A" w:rsidP="008E5E01">
      <w:pPr>
        <w:pStyle w:val="QuoteBullet"/>
      </w:pPr>
      <w:r>
        <w:t>temporary Licence voyages should not be subject to Australian pay rates</w:t>
      </w:r>
    </w:p>
    <w:p w:rsidR="00AE4D5A" w:rsidRDefault="00AE4D5A" w:rsidP="008E5E01">
      <w:pPr>
        <w:pStyle w:val="QuoteBullet"/>
      </w:pPr>
      <w:r>
        <w:t>reduce red tape by removing the 5 voyage minimum for Temporary Licence applicants</w:t>
      </w:r>
    </w:p>
    <w:p w:rsidR="00AE4D5A" w:rsidRPr="0014764E" w:rsidRDefault="00AE4D5A" w:rsidP="008E5E01">
      <w:pPr>
        <w:pStyle w:val="QuoteBullet"/>
      </w:pPr>
      <w:r>
        <w:t>introduce an ‘express’ Temporary Licence in certain circumstances. (sub. 29, p. 3)</w:t>
      </w:r>
    </w:p>
    <w:p w:rsidR="00AE4D5A" w:rsidRDefault="00AE4D5A" w:rsidP="008E5E01">
      <w:pPr>
        <w:pStyle w:val="BodyText"/>
      </w:pPr>
      <w:r>
        <w:t>Austrade proposed that the threshold for Ministerial Exemption for cruise ships be lowered to 500 gross tonnes (a proposal supported by Cruise Down Under, sub. </w:t>
      </w:r>
      <w:proofErr w:type="spellStart"/>
      <w:r>
        <w:t>DR72</w:t>
      </w:r>
      <w:proofErr w:type="spellEnd"/>
      <w:r>
        <w:t>):</w:t>
      </w:r>
    </w:p>
    <w:p w:rsidR="00AE4D5A" w:rsidRPr="008F5292" w:rsidRDefault="00AE4D5A" w:rsidP="008E5E01">
      <w:pPr>
        <w:pStyle w:val="Quote"/>
      </w:pPr>
      <w:r>
        <w:t>Granting expedition cruise ships weighing between 500 and 5000 gross tonnes the same freedom to operate as larger cruise vessels will increase tourism expenditure, deliver economic benefits across Tasmania, and help the Australian Government achieve its broader policy objectives. (sub. 41, p. 8)</w:t>
      </w:r>
    </w:p>
    <w:p w:rsidR="00AE4D5A" w:rsidRDefault="00AE4D5A" w:rsidP="008E5E01">
      <w:pPr>
        <w:pStyle w:val="BodyText"/>
      </w:pPr>
      <w:r>
        <w:lastRenderedPageBreak/>
        <w:t xml:space="preserve">Some participants called for more wholesale changes, including addressing the impact of cabotage generally. The Institute of Public Affairs, for example, commented: </w:t>
      </w:r>
    </w:p>
    <w:p w:rsidR="00AE4D5A" w:rsidRDefault="00AE4D5A" w:rsidP="008E5E01">
      <w:pPr>
        <w:pStyle w:val="Quote"/>
      </w:pPr>
      <w:r>
        <w:t>… tinkering around of the edges … will still not deliver cheap, efficient transport for Tasmania. We say that the best results … would be simply to remove any cabotage laws in Australia with respect to coastal shipping. (trans., p. 19)</w:t>
      </w:r>
    </w:p>
    <w:p w:rsidR="00AE4D5A" w:rsidRDefault="00AE4D5A" w:rsidP="008E5E01">
      <w:pPr>
        <w:pStyle w:val="BodyText"/>
      </w:pPr>
      <w:r>
        <w:t>Some participants called for immediate regulatory changes that would provide specific targeted relief from coastal trading regulation for Tasmania. For example, BBA suggested:</w:t>
      </w:r>
    </w:p>
    <w:p w:rsidR="00AE4D5A" w:rsidRDefault="00AE4D5A" w:rsidP="008E5E01">
      <w:pPr>
        <w:pStyle w:val="Quote"/>
      </w:pPr>
      <w:r>
        <w:t xml:space="preserve">… </w:t>
      </w:r>
      <w:r w:rsidRPr="002F259E">
        <w:t xml:space="preserve">there is an option which has not been considered in the current recommendations. That is, should there be a </w:t>
      </w:r>
      <w:r>
        <w:t>‘</w:t>
      </w:r>
      <w:r w:rsidRPr="002F259E">
        <w:t>Tasmanian exclusion zone</w:t>
      </w:r>
      <w:r>
        <w:t>’</w:t>
      </w:r>
      <w:r w:rsidRPr="002F259E">
        <w:t xml:space="preserve"> from legislation such as the Coastal Trading Act, which would have the potential to benefit every Tasmanian business/person who relies on sea transport? This could be in addition to broader reforms of the Coastal Trading Act at a Federal level.</w:t>
      </w:r>
      <w:r>
        <w:t xml:space="preserve"> (sub. </w:t>
      </w:r>
      <w:proofErr w:type="spellStart"/>
      <w:r>
        <w:t>DR77</w:t>
      </w:r>
      <w:proofErr w:type="spellEnd"/>
      <w:r>
        <w:t>, p. 1)</w:t>
      </w:r>
    </w:p>
    <w:p w:rsidR="00AE4D5A" w:rsidRPr="00E9492B" w:rsidRDefault="00AE4D5A" w:rsidP="008E5E01">
      <w:pPr>
        <w:pStyle w:val="BodyText"/>
      </w:pPr>
      <w:r>
        <w:t>The Commission considers that the greatest ongoing benefit for Tasmania would be through realising the efficiencies associated with a more liberalised coastal trading regime Australia</w:t>
      </w:r>
      <w:r>
        <w:noBreakHyphen/>
        <w:t>wide. For example, it would enable an international service to Tasmania to supplement its services with other coastal stops around Australia, potentially increasing its commercial viability and sustainability.</w:t>
      </w:r>
    </w:p>
    <w:p w:rsidR="00AE4D5A" w:rsidRDefault="00AE4D5A" w:rsidP="008E5E01">
      <w:pPr>
        <w:pStyle w:val="BodyText"/>
      </w:pPr>
      <w:r>
        <w:t>The Commission therefore considers that the review should have a broad scope to examine all regulations that impact upon coastal shipping, including an assessment of the current approach to cabotage in Australia. The assessment should also include consideration of the arrangements for cruise vessels as identified in this inquiry. At a minimum, it should identify and remove any anticompetitive provisions from legislation, unless a robust and transparent case can be demonstrated that they deliver a net benefit.</w:t>
      </w:r>
      <w:r w:rsidRPr="007F4B3E">
        <w:t xml:space="preserve"> </w:t>
      </w:r>
    </w:p>
    <w:p w:rsidR="00AE4D5A" w:rsidRDefault="00AE4D5A" w:rsidP="008E5E01">
      <w:pPr>
        <w:pStyle w:val="RecTitle"/>
      </w:pPr>
      <w:r>
        <w:t>Recommendation 1</w:t>
      </w:r>
    </w:p>
    <w:p w:rsidR="00AE4D5A" w:rsidRDefault="00AE4D5A" w:rsidP="008E5E01">
      <w:pPr>
        <w:pStyle w:val="Rec"/>
      </w:pPr>
      <w:r w:rsidRPr="0030679F">
        <w:t>The Australian Government should proceed with the foreshadowed review of coastal shipping regulation (including cabotage) as a matter of priority. The objective of the review should be to achieve the most efficient coastal shipping services feasible for Australia.</w:t>
      </w:r>
    </w:p>
    <w:p w:rsidR="00207B70" w:rsidRDefault="00207B70">
      <w:pPr>
        <w:rPr>
          <w:rFonts w:ascii="Arial" w:hAnsi="Arial"/>
          <w:b/>
          <w:sz w:val="32"/>
          <w:szCs w:val="20"/>
        </w:rPr>
      </w:pPr>
      <w:r>
        <w:br w:type="page"/>
      </w:r>
    </w:p>
    <w:p w:rsidR="00AE4D5A" w:rsidRDefault="00AE4D5A" w:rsidP="008E5E01">
      <w:pPr>
        <w:pStyle w:val="Heading2"/>
      </w:pPr>
      <w:r>
        <w:lastRenderedPageBreak/>
        <w:t>4.</w:t>
      </w:r>
      <w:r>
        <w:rPr>
          <w:noProof/>
        </w:rPr>
        <w:t>3</w:t>
      </w:r>
      <w:r>
        <w:tab/>
        <w:t>Key features of Tasmanian ports</w:t>
      </w:r>
    </w:p>
    <w:p w:rsidR="00AE4D5A" w:rsidRDefault="00AE4D5A" w:rsidP="008E5E01">
      <w:pPr>
        <w:pStyle w:val="BodyText"/>
      </w:pPr>
      <w:r>
        <w:t>Port costs generally constitute a relatively small share of the cost of shipping across Bass Strait, although they can be significant for some users (</w:t>
      </w:r>
      <w:proofErr w:type="spellStart"/>
      <w:r>
        <w:t>Nyrstar</w:t>
      </w:r>
      <w:proofErr w:type="spellEnd"/>
      <w:r>
        <w:t>, sub. </w:t>
      </w:r>
      <w:proofErr w:type="spellStart"/>
      <w:r>
        <w:t>DR105</w:t>
      </w:r>
      <w:proofErr w:type="spellEnd"/>
      <w:r>
        <w:t>). On this issue, TasPorts noted:</w:t>
      </w:r>
    </w:p>
    <w:p w:rsidR="00AE4D5A" w:rsidRDefault="00AE4D5A" w:rsidP="008E5E01">
      <w:pPr>
        <w:pStyle w:val="Quote"/>
      </w:pPr>
      <w:r w:rsidRPr="00FD6EDC">
        <w:t>The fixed port costs in a round</w:t>
      </w:r>
      <w:r>
        <w:noBreakHyphen/>
      </w:r>
      <w:r w:rsidRPr="00FD6EDC">
        <w:t>trip voyage (e.g. the fixed port costs would be a combination of costs in Burnie and Melbourne for a Bass Strait container vessel voyage) are estimated to encompass only 5% of that total amount.</w:t>
      </w:r>
      <w:r>
        <w:t xml:space="preserve"> (TasPorts, sub. 30, p. 1)</w:t>
      </w:r>
    </w:p>
    <w:p w:rsidR="00AE4D5A" w:rsidRDefault="00AE4D5A" w:rsidP="008E5E01">
      <w:pPr>
        <w:pStyle w:val="BodyText"/>
      </w:pPr>
      <w:r>
        <w:t>Although freight shipped to and from Tasmania also incurs other, variable port costs — such as wharfage and the Port of Melbourne port license fee (SeaRoad, sub. </w:t>
      </w:r>
      <w:proofErr w:type="spellStart"/>
      <w:r>
        <w:t>DR89</w:t>
      </w:r>
      <w:proofErr w:type="spellEnd"/>
      <w:r>
        <w:t>) — these would also generally represent a relatively small share of the total supply chain costs.</w:t>
      </w:r>
      <w:r>
        <w:rPr>
          <w:rStyle w:val="FootnoteReference"/>
        </w:rPr>
        <w:footnoteReference w:id="16"/>
      </w:r>
      <w:r>
        <w:t xml:space="preserve">  </w:t>
      </w:r>
    </w:p>
    <w:p w:rsidR="00AE4D5A" w:rsidRDefault="00AE4D5A" w:rsidP="008E5E01">
      <w:pPr>
        <w:pStyle w:val="BodyText"/>
      </w:pPr>
      <w:r w:rsidRPr="007451FE">
        <w:t>Accordingly, the potential for port efficiency improvements to directly reduce</w:t>
      </w:r>
      <w:r>
        <w:t xml:space="preserve"> shippers’ costs is commensurately modest. However, as ports are an integral link between shipping and land freight, inefficiencies in the port system can significantly hinder the optimal functioning of the logistics chain and, thus, have cost implications beyond those otherwise suggested by the direct share of supply chain costs (see earlier discussion of access to berths).</w:t>
      </w:r>
    </w:p>
    <w:p w:rsidR="00AE4D5A" w:rsidRDefault="00AE4D5A" w:rsidP="008E5E01">
      <w:pPr>
        <w:pStyle w:val="BodyText"/>
      </w:pPr>
      <w:r>
        <w:t>While Tasmania is served by a large number of ports (figure 4.3), the main ports are Bell Bay, Burnie, Devonport and Hobart. The majority of freight and virtually all regular sea passenger travel to and from Tasmania flows through the northern ports of Bell Bay, Burnie and Devonport,</w:t>
      </w:r>
      <w:r w:rsidRPr="00AE132A">
        <w:t xml:space="preserve"> </w:t>
      </w:r>
      <w:r>
        <w:t xml:space="preserve">while Hobart is largely focused on cruise ships and Antarctic operations. </w:t>
      </w:r>
    </w:p>
    <w:p w:rsidR="00AE4D5A" w:rsidRDefault="00AE4D5A" w:rsidP="008E5E01">
      <w:pPr>
        <w:pStyle w:val="FigureTitle"/>
      </w:pPr>
      <w:r>
        <w:rPr>
          <w:b w:val="0"/>
        </w:rPr>
        <w:lastRenderedPageBreak/>
        <w:t>Figure 4.</w:t>
      </w:r>
      <w:r>
        <w:rPr>
          <w:b w:val="0"/>
          <w:noProof/>
        </w:rPr>
        <w:t>3</w:t>
      </w:r>
      <w:r>
        <w:tab/>
      </w:r>
      <w:r w:rsidRPr="00276EB4">
        <w:t>The 12 ports managed by TasPorts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RPr="00012D01" w:rsidTr="008E5E01">
        <w:tc>
          <w:tcPr>
            <w:tcW w:w="8777" w:type="dxa"/>
            <w:tcBorders>
              <w:bottom w:val="single" w:sz="6" w:space="0" w:color="auto"/>
            </w:tcBorders>
          </w:tcPr>
          <w:p w:rsidR="00AE4D5A" w:rsidRPr="00012D01" w:rsidRDefault="00AE4D5A" w:rsidP="008E5E01">
            <w:pPr>
              <w:pStyle w:val="Figure"/>
            </w:pPr>
            <w:r>
              <w:rPr>
                <w:noProof/>
              </w:rPr>
              <w:drawing>
                <wp:inline distT="0" distB="0" distL="0" distR="0" wp14:anchorId="226040EE" wp14:editId="61A7B04B">
                  <wp:extent cx="5428439" cy="4962525"/>
                  <wp:effectExtent l="0" t="0" r="0" b="0"/>
                  <wp:docPr id="72" name="Picture 72" descr="Figure 4.3 The 12 ports managed by TasPorts. The 12 ports that are managed by TasPorts are depicted on a map of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cbradbear\AppData\Local\Microsoft\Windows\Temporary Internet Files\Content.Outlook\Y1CK85YY\tassie-ports-map.png"/>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t="1080"/>
                          <a:stretch/>
                        </pic:blipFill>
                        <pic:spPr bwMode="auto">
                          <a:xfrm>
                            <a:off x="0" y="0"/>
                            <a:ext cx="5428439" cy="49625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E4D5A" w:rsidRDefault="00AE4D5A" w:rsidP="008E5E01">
      <w:pPr>
        <w:pStyle w:val="Source"/>
      </w:pPr>
      <w:r>
        <w:rPr>
          <w:i/>
        </w:rPr>
        <w:t>Source</w:t>
      </w:r>
      <w:r w:rsidRPr="00167F06">
        <w:t xml:space="preserve">: </w:t>
      </w:r>
      <w:r>
        <w:t xml:space="preserve">TasPorts </w:t>
      </w:r>
      <w:r w:rsidRPr="009C36C7">
        <w:rPr>
          <w:rFonts w:cs="Arial"/>
        </w:rPr>
        <w:t>(2012a)</w:t>
      </w:r>
      <w:r>
        <w:t>.</w:t>
      </w:r>
    </w:p>
    <w:p w:rsidR="00AE4D5A" w:rsidRDefault="00AE4D5A" w:rsidP="008E5E01">
      <w:pPr>
        <w:pStyle w:val="BodyText"/>
      </w:pPr>
      <w:r>
        <w:t>The characteristics of the three main northern ports are described in table 4.4. For these ports the Tasmanian Government has a strategy of ‘one port, three locations’.</w:t>
      </w:r>
    </w:p>
    <w:p w:rsidR="00AE4D5A" w:rsidRDefault="00AE4D5A" w:rsidP="008E5E01">
      <w:pPr>
        <w:pStyle w:val="TableTitle"/>
      </w:pPr>
      <w:r>
        <w:rPr>
          <w:b w:val="0"/>
        </w:rPr>
        <w:lastRenderedPageBreak/>
        <w:t>Table 4.</w:t>
      </w:r>
      <w:r>
        <w:rPr>
          <w:b w:val="0"/>
          <w:noProof/>
        </w:rPr>
        <w:t>4</w:t>
      </w:r>
      <w:r>
        <w:tab/>
        <w:t>Characteristics of Tasmania’s northern ports</w:t>
      </w:r>
    </w:p>
    <w:tbl>
      <w:tblPr>
        <w:tblW w:w="5000" w:type="pct"/>
        <w:tblCellMar>
          <w:left w:w="0" w:type="dxa"/>
          <w:right w:w="0" w:type="dxa"/>
        </w:tblCellMar>
        <w:tblLook w:val="0000" w:firstRow="0" w:lastRow="0" w:firstColumn="0" w:lastColumn="0" w:noHBand="0" w:noVBand="0"/>
      </w:tblPr>
      <w:tblGrid>
        <w:gridCol w:w="1702"/>
        <w:gridCol w:w="3118"/>
        <w:gridCol w:w="1775"/>
        <w:gridCol w:w="2194"/>
      </w:tblGrid>
      <w:tr w:rsidR="00AE4D5A" w:rsidTr="008E5E01">
        <w:tc>
          <w:tcPr>
            <w:tcW w:w="968" w:type="pct"/>
            <w:tcBorders>
              <w:top w:val="single" w:sz="6" w:space="0" w:color="auto"/>
              <w:bottom w:val="single" w:sz="6" w:space="0" w:color="auto"/>
            </w:tcBorders>
            <w:shd w:val="clear" w:color="auto" w:fill="auto"/>
          </w:tcPr>
          <w:p w:rsidR="00AE4D5A" w:rsidRDefault="00AE4D5A" w:rsidP="008E5E01">
            <w:pPr>
              <w:pStyle w:val="TableColumnHeading"/>
              <w:jc w:val="left"/>
            </w:pPr>
          </w:p>
        </w:tc>
        <w:tc>
          <w:tcPr>
            <w:tcW w:w="1774" w:type="pct"/>
            <w:tcBorders>
              <w:top w:val="single" w:sz="6" w:space="0" w:color="auto"/>
              <w:bottom w:val="single" w:sz="6" w:space="0" w:color="auto"/>
            </w:tcBorders>
          </w:tcPr>
          <w:p w:rsidR="00AE4D5A" w:rsidRDefault="00AE4D5A" w:rsidP="008E5E01">
            <w:pPr>
              <w:pStyle w:val="TableColumnHeading"/>
              <w:jc w:val="left"/>
            </w:pPr>
            <w:r>
              <w:t>Devonport</w:t>
            </w:r>
          </w:p>
        </w:tc>
        <w:tc>
          <w:tcPr>
            <w:tcW w:w="1010" w:type="pct"/>
            <w:tcBorders>
              <w:top w:val="single" w:sz="6" w:space="0" w:color="auto"/>
              <w:bottom w:val="single" w:sz="6" w:space="0" w:color="auto"/>
            </w:tcBorders>
            <w:shd w:val="clear" w:color="auto" w:fill="auto"/>
          </w:tcPr>
          <w:p w:rsidR="00AE4D5A" w:rsidRDefault="00AE4D5A" w:rsidP="008E5E01">
            <w:pPr>
              <w:pStyle w:val="TableColumnHeading"/>
              <w:jc w:val="left"/>
            </w:pPr>
            <w:r>
              <w:t>Burnie</w:t>
            </w:r>
          </w:p>
        </w:tc>
        <w:tc>
          <w:tcPr>
            <w:tcW w:w="1248" w:type="pct"/>
            <w:tcBorders>
              <w:top w:val="single" w:sz="6" w:space="0" w:color="auto"/>
              <w:bottom w:val="single" w:sz="6" w:space="0" w:color="auto"/>
            </w:tcBorders>
            <w:shd w:val="clear" w:color="auto" w:fill="auto"/>
          </w:tcPr>
          <w:p w:rsidR="00AE4D5A" w:rsidRDefault="00AE4D5A" w:rsidP="008E5E01">
            <w:pPr>
              <w:pStyle w:val="TableColumnHeading"/>
              <w:ind w:right="28"/>
              <w:jc w:val="left"/>
            </w:pPr>
            <w:r>
              <w:t>Bell Bay</w:t>
            </w:r>
          </w:p>
        </w:tc>
      </w:tr>
      <w:tr w:rsidR="00AE4D5A" w:rsidTr="008E5E01">
        <w:tc>
          <w:tcPr>
            <w:tcW w:w="968" w:type="pct"/>
            <w:tcBorders>
              <w:top w:val="single" w:sz="6" w:space="0" w:color="auto"/>
            </w:tcBorders>
          </w:tcPr>
          <w:p w:rsidR="00AE4D5A" w:rsidRDefault="00AE4D5A" w:rsidP="008E5E01">
            <w:pPr>
              <w:pStyle w:val="TableUnitsRow"/>
              <w:jc w:val="left"/>
            </w:pPr>
            <w:r>
              <w:t>Operators</w:t>
            </w:r>
          </w:p>
        </w:tc>
        <w:tc>
          <w:tcPr>
            <w:tcW w:w="1774" w:type="pct"/>
            <w:tcBorders>
              <w:top w:val="single" w:sz="6" w:space="0" w:color="auto"/>
            </w:tcBorders>
          </w:tcPr>
          <w:p w:rsidR="00AE4D5A" w:rsidRDefault="00AE4D5A" w:rsidP="008E5E01">
            <w:pPr>
              <w:pStyle w:val="TableUnitsRow"/>
              <w:jc w:val="left"/>
            </w:pPr>
            <w:r>
              <w:t>TT</w:t>
            </w:r>
            <w:r>
              <w:noBreakHyphen/>
              <w:t>Line and SeaRoad, as well as Cement Australia and Origin Energy</w:t>
            </w:r>
          </w:p>
        </w:tc>
        <w:tc>
          <w:tcPr>
            <w:tcW w:w="1010" w:type="pct"/>
            <w:tcBorders>
              <w:top w:val="single" w:sz="6" w:space="0" w:color="auto"/>
            </w:tcBorders>
          </w:tcPr>
          <w:p w:rsidR="00AE4D5A" w:rsidRDefault="00AE4D5A" w:rsidP="008E5E01">
            <w:pPr>
              <w:pStyle w:val="TableUnitsRow"/>
              <w:jc w:val="left"/>
            </w:pPr>
            <w:r>
              <w:t>Toll and bulk ships</w:t>
            </w:r>
          </w:p>
        </w:tc>
        <w:tc>
          <w:tcPr>
            <w:tcW w:w="1248" w:type="pct"/>
            <w:tcBorders>
              <w:top w:val="single" w:sz="6" w:space="0" w:color="auto"/>
            </w:tcBorders>
          </w:tcPr>
          <w:p w:rsidR="00AE4D5A" w:rsidRDefault="00AE4D5A" w:rsidP="008E5E01">
            <w:pPr>
              <w:pStyle w:val="TableUnitsRow"/>
              <w:ind w:right="28"/>
              <w:jc w:val="left"/>
            </w:pPr>
            <w:r>
              <w:t>Not used at present for domestic Bass Strait freight</w:t>
            </w:r>
          </w:p>
          <w:p w:rsidR="00AE4D5A" w:rsidRDefault="00AE4D5A" w:rsidP="008E5E01">
            <w:pPr>
              <w:pStyle w:val="TableUnitsRow"/>
              <w:ind w:right="28"/>
              <w:jc w:val="left"/>
            </w:pPr>
            <w:r>
              <w:t xml:space="preserve">Used by international </w:t>
            </w:r>
            <w:r w:rsidRPr="004A01FF">
              <w:t>service</w:t>
            </w:r>
            <w:r>
              <w:t xml:space="preserve"> and bulk ships</w:t>
            </w:r>
          </w:p>
        </w:tc>
      </w:tr>
      <w:tr w:rsidR="00AE4D5A" w:rsidTr="008E5E01">
        <w:tc>
          <w:tcPr>
            <w:tcW w:w="968" w:type="pct"/>
          </w:tcPr>
          <w:p w:rsidR="00AE4D5A" w:rsidRDefault="00AE4D5A" w:rsidP="008E5E01">
            <w:pPr>
              <w:pStyle w:val="TableBodyText"/>
              <w:jc w:val="left"/>
            </w:pPr>
            <w:r>
              <w:t>Position of port</w:t>
            </w:r>
          </w:p>
        </w:tc>
        <w:tc>
          <w:tcPr>
            <w:tcW w:w="1774" w:type="pct"/>
          </w:tcPr>
          <w:p w:rsidR="00AE4D5A" w:rsidRDefault="00AE4D5A" w:rsidP="008E5E01">
            <w:pPr>
              <w:pStyle w:val="TableBodyText"/>
              <w:jc w:val="left"/>
            </w:pPr>
            <w:r>
              <w:t>Port straddles the Mersey river with the west bank for bulk goods and east bank for containers and passengers</w:t>
            </w:r>
          </w:p>
        </w:tc>
        <w:tc>
          <w:tcPr>
            <w:tcW w:w="1010" w:type="pct"/>
          </w:tcPr>
          <w:p w:rsidR="00AE4D5A" w:rsidRDefault="00AE4D5A" w:rsidP="008E5E01">
            <w:pPr>
              <w:pStyle w:val="TableBodyText"/>
              <w:jc w:val="left"/>
            </w:pPr>
            <w:r>
              <w:t>On the north coast</w:t>
            </w:r>
          </w:p>
        </w:tc>
        <w:tc>
          <w:tcPr>
            <w:tcW w:w="1248" w:type="pct"/>
          </w:tcPr>
          <w:p w:rsidR="00AE4D5A" w:rsidRDefault="00AE4D5A" w:rsidP="008E5E01">
            <w:pPr>
              <w:pStyle w:val="TableBodyText"/>
              <w:ind w:right="28"/>
              <w:jc w:val="left"/>
            </w:pPr>
            <w:r>
              <w:t>Along the Tamar river</w:t>
            </w:r>
          </w:p>
        </w:tc>
      </w:tr>
      <w:tr w:rsidR="00AE4D5A" w:rsidTr="008E5E01">
        <w:tc>
          <w:tcPr>
            <w:tcW w:w="968" w:type="pct"/>
          </w:tcPr>
          <w:p w:rsidR="00AE4D5A" w:rsidRDefault="00AE4D5A" w:rsidP="008E5E01">
            <w:pPr>
              <w:pStyle w:val="TableBodyText"/>
              <w:jc w:val="left"/>
            </w:pPr>
            <w:r>
              <w:t>Distance from sea</w:t>
            </w:r>
          </w:p>
        </w:tc>
        <w:tc>
          <w:tcPr>
            <w:tcW w:w="1774" w:type="pct"/>
          </w:tcPr>
          <w:p w:rsidR="00AE4D5A" w:rsidRDefault="00AE4D5A" w:rsidP="008E5E01">
            <w:pPr>
              <w:pStyle w:val="TableBodyText"/>
              <w:jc w:val="left"/>
            </w:pPr>
            <w:r>
              <w:t>Approximately 1.5 nm from river entrance</w:t>
            </w:r>
          </w:p>
        </w:tc>
        <w:tc>
          <w:tcPr>
            <w:tcW w:w="1010" w:type="pct"/>
          </w:tcPr>
          <w:p w:rsidR="00AE4D5A" w:rsidRDefault="00AE4D5A" w:rsidP="008E5E01">
            <w:pPr>
              <w:pStyle w:val="TableBodyText"/>
              <w:jc w:val="left"/>
            </w:pPr>
            <w:r>
              <w:t>On the sea</w:t>
            </w:r>
          </w:p>
        </w:tc>
        <w:tc>
          <w:tcPr>
            <w:tcW w:w="1248" w:type="pct"/>
          </w:tcPr>
          <w:p w:rsidR="00AE4D5A" w:rsidRDefault="00AE4D5A" w:rsidP="008E5E01">
            <w:pPr>
              <w:pStyle w:val="TableBodyText"/>
              <w:ind w:right="28"/>
              <w:jc w:val="left"/>
            </w:pPr>
            <w:r>
              <w:t>Approximately 9.0 nm from river entrance</w:t>
            </w:r>
          </w:p>
        </w:tc>
      </w:tr>
      <w:tr w:rsidR="00AE4D5A" w:rsidTr="008E5E01">
        <w:tc>
          <w:tcPr>
            <w:tcW w:w="968" w:type="pct"/>
          </w:tcPr>
          <w:p w:rsidR="00AE4D5A" w:rsidRDefault="00AE4D5A" w:rsidP="008E5E01">
            <w:pPr>
              <w:pStyle w:val="TableBodyText"/>
              <w:jc w:val="left"/>
            </w:pPr>
            <w:r>
              <w:t>Navigational issues</w:t>
            </w:r>
          </w:p>
        </w:tc>
        <w:tc>
          <w:tcPr>
            <w:tcW w:w="1774" w:type="pct"/>
          </w:tcPr>
          <w:p w:rsidR="00AE4D5A" w:rsidRDefault="00AE4D5A" w:rsidP="008E5E01">
            <w:pPr>
              <w:pStyle w:val="TableBodyText"/>
              <w:jc w:val="left"/>
            </w:pPr>
            <w:r>
              <w:t xml:space="preserve">Turning basin of </w:t>
            </w:r>
            <w:proofErr w:type="spellStart"/>
            <w:r>
              <w:t>300m</w:t>
            </w:r>
            <w:proofErr w:type="spellEnd"/>
            <w:r>
              <w:t xml:space="preserve"> in river; vessel length limited to </w:t>
            </w:r>
            <w:proofErr w:type="spellStart"/>
            <w:r>
              <w:t>205m</w:t>
            </w:r>
            <w:proofErr w:type="spellEnd"/>
            <w:r>
              <w:t xml:space="preserve"> due to width of river</w:t>
            </w:r>
          </w:p>
        </w:tc>
        <w:tc>
          <w:tcPr>
            <w:tcW w:w="1010" w:type="pct"/>
          </w:tcPr>
          <w:p w:rsidR="00AE4D5A" w:rsidRDefault="00AE4D5A" w:rsidP="008E5E01">
            <w:pPr>
              <w:pStyle w:val="TableBodyText"/>
              <w:jc w:val="left"/>
            </w:pPr>
            <w:r>
              <w:t>No issues</w:t>
            </w:r>
          </w:p>
        </w:tc>
        <w:tc>
          <w:tcPr>
            <w:tcW w:w="1248" w:type="pct"/>
          </w:tcPr>
          <w:p w:rsidR="00AE4D5A" w:rsidRDefault="00AE4D5A" w:rsidP="008E5E01">
            <w:pPr>
              <w:pStyle w:val="TableBodyText"/>
              <w:ind w:right="28"/>
              <w:jc w:val="left"/>
            </w:pPr>
            <w:r>
              <w:t xml:space="preserve">Turning basin in river and sharp turns in the river make navigation difficult; length limited to </w:t>
            </w:r>
            <w:proofErr w:type="spellStart"/>
            <w:r>
              <w:t>250m</w:t>
            </w:r>
            <w:proofErr w:type="spellEnd"/>
            <w:r>
              <w:t>.</w:t>
            </w:r>
          </w:p>
        </w:tc>
      </w:tr>
      <w:tr w:rsidR="00AE4D5A" w:rsidTr="008E5E01">
        <w:tc>
          <w:tcPr>
            <w:tcW w:w="968" w:type="pct"/>
          </w:tcPr>
          <w:p w:rsidR="00AE4D5A" w:rsidRDefault="00AE4D5A" w:rsidP="008E5E01">
            <w:pPr>
              <w:pStyle w:val="TableBodyText"/>
              <w:jc w:val="left"/>
            </w:pPr>
            <w:r>
              <w:t>Depth of channel</w:t>
            </w:r>
          </w:p>
        </w:tc>
        <w:tc>
          <w:tcPr>
            <w:tcW w:w="1774" w:type="pct"/>
          </w:tcPr>
          <w:p w:rsidR="00AE4D5A" w:rsidRDefault="00AE4D5A" w:rsidP="008E5E01">
            <w:pPr>
              <w:pStyle w:val="TableBodyText"/>
              <w:jc w:val="left"/>
            </w:pPr>
            <w:proofErr w:type="spellStart"/>
            <w:r>
              <w:t>9.2m</w:t>
            </w:r>
            <w:proofErr w:type="spellEnd"/>
          </w:p>
        </w:tc>
        <w:tc>
          <w:tcPr>
            <w:tcW w:w="1010" w:type="pct"/>
          </w:tcPr>
          <w:p w:rsidR="00AE4D5A" w:rsidRDefault="00AE4D5A" w:rsidP="008E5E01">
            <w:pPr>
              <w:pStyle w:val="TableBodyText"/>
              <w:jc w:val="left"/>
            </w:pPr>
            <w:proofErr w:type="spellStart"/>
            <w:r>
              <w:t>10m</w:t>
            </w:r>
            <w:proofErr w:type="spellEnd"/>
          </w:p>
        </w:tc>
        <w:tc>
          <w:tcPr>
            <w:tcW w:w="1248" w:type="pct"/>
          </w:tcPr>
          <w:p w:rsidR="00AE4D5A" w:rsidRDefault="00AE4D5A" w:rsidP="008E5E01">
            <w:pPr>
              <w:pStyle w:val="TableBodyText"/>
              <w:ind w:right="28"/>
              <w:jc w:val="left"/>
            </w:pPr>
            <w:r>
              <w:t xml:space="preserve">Greater than </w:t>
            </w:r>
            <w:proofErr w:type="spellStart"/>
            <w:r>
              <w:t>12m</w:t>
            </w:r>
            <w:proofErr w:type="spellEnd"/>
          </w:p>
        </w:tc>
      </w:tr>
      <w:tr w:rsidR="00AE4D5A" w:rsidTr="008E5E01">
        <w:tc>
          <w:tcPr>
            <w:tcW w:w="968" w:type="pct"/>
          </w:tcPr>
          <w:p w:rsidR="00AE4D5A" w:rsidRDefault="00AE4D5A" w:rsidP="008E5E01">
            <w:pPr>
              <w:pStyle w:val="TableBodyText"/>
              <w:jc w:val="left"/>
            </w:pPr>
            <w:r>
              <w:t>Dredged depth at berth</w:t>
            </w:r>
          </w:p>
        </w:tc>
        <w:tc>
          <w:tcPr>
            <w:tcW w:w="1774" w:type="pct"/>
          </w:tcPr>
          <w:p w:rsidR="00AE4D5A" w:rsidRDefault="00AE4D5A" w:rsidP="008E5E01">
            <w:pPr>
              <w:pStyle w:val="TableBodyText"/>
              <w:jc w:val="left"/>
            </w:pPr>
            <w:proofErr w:type="spellStart"/>
            <w:r>
              <w:t>6.7m</w:t>
            </w:r>
            <w:proofErr w:type="spellEnd"/>
            <w:r>
              <w:t xml:space="preserve"> </w:t>
            </w:r>
            <w:proofErr w:type="spellStart"/>
            <w:r>
              <w:t>TT</w:t>
            </w:r>
            <w:proofErr w:type="spellEnd"/>
            <w:r>
              <w:noBreakHyphen/>
              <w:t xml:space="preserve">Line (berth </w:t>
            </w:r>
            <w:proofErr w:type="spellStart"/>
            <w:r>
              <w:t>1E</w:t>
            </w:r>
            <w:proofErr w:type="spellEnd"/>
            <w:r>
              <w:t>)</w:t>
            </w:r>
          </w:p>
          <w:p w:rsidR="00AE4D5A" w:rsidRDefault="00AE4D5A" w:rsidP="008E5E01">
            <w:pPr>
              <w:pStyle w:val="TableBodyText"/>
              <w:jc w:val="left"/>
            </w:pPr>
            <w:proofErr w:type="spellStart"/>
            <w:r>
              <w:t>8.6m</w:t>
            </w:r>
            <w:proofErr w:type="spellEnd"/>
            <w:r>
              <w:t xml:space="preserve"> </w:t>
            </w:r>
            <w:proofErr w:type="spellStart"/>
            <w:r>
              <w:t>SeaRoad</w:t>
            </w:r>
            <w:proofErr w:type="spellEnd"/>
            <w:r>
              <w:t xml:space="preserve"> (berth </w:t>
            </w:r>
            <w:proofErr w:type="spellStart"/>
            <w:r>
              <w:t>2E</w:t>
            </w:r>
            <w:proofErr w:type="spellEnd"/>
            <w:r>
              <w:t>)</w:t>
            </w:r>
          </w:p>
        </w:tc>
        <w:tc>
          <w:tcPr>
            <w:tcW w:w="1010" w:type="pct"/>
          </w:tcPr>
          <w:p w:rsidR="00AE4D5A" w:rsidRDefault="00AE4D5A" w:rsidP="008E5E01">
            <w:pPr>
              <w:pStyle w:val="TableBodyText"/>
              <w:jc w:val="left"/>
            </w:pPr>
            <w:proofErr w:type="spellStart"/>
            <w:r>
              <w:t>10.5m</w:t>
            </w:r>
            <w:proofErr w:type="spellEnd"/>
            <w:r>
              <w:t xml:space="preserve"> (berth 4)</w:t>
            </w:r>
          </w:p>
        </w:tc>
        <w:tc>
          <w:tcPr>
            <w:tcW w:w="1248" w:type="pct"/>
          </w:tcPr>
          <w:p w:rsidR="00AE4D5A" w:rsidRDefault="00AE4D5A" w:rsidP="008E5E01">
            <w:pPr>
              <w:pStyle w:val="TableBodyText"/>
              <w:ind w:right="28"/>
              <w:jc w:val="left"/>
            </w:pPr>
            <w:proofErr w:type="spellStart"/>
            <w:r>
              <w:t>12m</w:t>
            </w:r>
            <w:proofErr w:type="spellEnd"/>
            <w:r>
              <w:t xml:space="preserve"> (berth 5)</w:t>
            </w:r>
          </w:p>
        </w:tc>
      </w:tr>
      <w:tr w:rsidR="00AE4D5A" w:rsidTr="008E5E01">
        <w:tc>
          <w:tcPr>
            <w:tcW w:w="968" w:type="pct"/>
            <w:tcBorders>
              <w:bottom w:val="single" w:sz="6" w:space="0" w:color="auto"/>
            </w:tcBorders>
            <w:shd w:val="clear" w:color="auto" w:fill="auto"/>
          </w:tcPr>
          <w:p w:rsidR="00AE4D5A" w:rsidRDefault="00AE4D5A" w:rsidP="008E5E01">
            <w:pPr>
              <w:pStyle w:val="TableBodyText"/>
              <w:jc w:val="left"/>
            </w:pPr>
            <w:r>
              <w:t>Available terminal space</w:t>
            </w:r>
          </w:p>
        </w:tc>
        <w:tc>
          <w:tcPr>
            <w:tcW w:w="1774" w:type="pct"/>
            <w:tcBorders>
              <w:bottom w:val="single" w:sz="6" w:space="0" w:color="auto"/>
            </w:tcBorders>
          </w:tcPr>
          <w:p w:rsidR="00AE4D5A" w:rsidRDefault="00AE4D5A" w:rsidP="008E5E01">
            <w:pPr>
              <w:pStyle w:val="TableBodyText"/>
              <w:jc w:val="left"/>
            </w:pPr>
            <w:r>
              <w:t>TT</w:t>
            </w:r>
            <w:r>
              <w:noBreakHyphen/>
              <w:t>Line: 2 ha</w:t>
            </w:r>
          </w:p>
          <w:p w:rsidR="00AE4D5A" w:rsidRDefault="00AE4D5A" w:rsidP="008E5E01">
            <w:pPr>
              <w:pStyle w:val="TableBodyText"/>
              <w:jc w:val="left"/>
            </w:pPr>
            <w:r>
              <w:t>SeaRoad: 7 ha</w:t>
            </w:r>
          </w:p>
        </w:tc>
        <w:tc>
          <w:tcPr>
            <w:tcW w:w="1010" w:type="pct"/>
            <w:tcBorders>
              <w:bottom w:val="single" w:sz="6" w:space="0" w:color="auto"/>
            </w:tcBorders>
            <w:shd w:val="clear" w:color="auto" w:fill="auto"/>
          </w:tcPr>
          <w:p w:rsidR="00AE4D5A" w:rsidRDefault="00AE4D5A" w:rsidP="008E5E01">
            <w:pPr>
              <w:pStyle w:val="TableBodyText"/>
              <w:jc w:val="left"/>
            </w:pPr>
            <w:r>
              <w:t xml:space="preserve">6 Ha </w:t>
            </w:r>
          </w:p>
        </w:tc>
        <w:tc>
          <w:tcPr>
            <w:tcW w:w="1248" w:type="pct"/>
            <w:tcBorders>
              <w:bottom w:val="single" w:sz="6" w:space="0" w:color="auto"/>
            </w:tcBorders>
            <w:shd w:val="clear" w:color="auto" w:fill="auto"/>
          </w:tcPr>
          <w:p w:rsidR="00AE4D5A" w:rsidRDefault="00AE4D5A" w:rsidP="008E5E01">
            <w:pPr>
              <w:pStyle w:val="TableBodyText"/>
              <w:ind w:right="28"/>
              <w:jc w:val="left"/>
            </w:pPr>
            <w:r>
              <w:t xml:space="preserve">7 Ha </w:t>
            </w:r>
          </w:p>
        </w:tc>
      </w:tr>
    </w:tbl>
    <w:p w:rsidR="00AE4D5A" w:rsidRPr="008E77FE" w:rsidRDefault="00AE4D5A" w:rsidP="008E5E01">
      <w:pPr>
        <w:pStyle w:val="Source"/>
      </w:pPr>
      <w:r>
        <w:rPr>
          <w:i/>
        </w:rPr>
        <w:t>Source</w:t>
      </w:r>
      <w:r>
        <w:t xml:space="preserve">: Aurecon </w:t>
      </w:r>
      <w:r w:rsidRPr="00A4506A">
        <w:rPr>
          <w:rFonts w:cs="Arial"/>
        </w:rPr>
        <w:t>(2013b)</w:t>
      </w:r>
      <w:r>
        <w:t>.</w:t>
      </w:r>
    </w:p>
    <w:p w:rsidR="00AE4D5A" w:rsidRDefault="00AE4D5A" w:rsidP="008E5E01">
      <w:pPr>
        <w:pStyle w:val="BodyText"/>
      </w:pPr>
      <w:r>
        <w:t>The throughput of the four major ports is shown in figure 4.4. In 2012</w:t>
      </w:r>
      <w:r>
        <w:noBreakHyphen/>
        <w:t>13, the total throughput (including empty containers) of Tasmania’s three northern ports was around 451 000 TEUs, of which Burnie accounted for around 56 per cent. This may be compared with t</w:t>
      </w:r>
      <w:r w:rsidRPr="003D1D53">
        <w:t>he current volume</w:t>
      </w:r>
      <w:r>
        <w:t xml:space="preserve"> (</w:t>
      </w:r>
      <w:r w:rsidRPr="003D1D53">
        <w:t>full and empty</w:t>
      </w:r>
      <w:r>
        <w:t>)</w:t>
      </w:r>
      <w:r w:rsidRPr="003D1D53">
        <w:t xml:space="preserve"> going through Flinders Port</w:t>
      </w:r>
      <w:r>
        <w:t>s’ Adelaide Container Terminal of</w:t>
      </w:r>
      <w:r w:rsidRPr="003D1D53">
        <w:t xml:space="preserve"> just </w:t>
      </w:r>
      <w:r>
        <w:t>under</w:t>
      </w:r>
      <w:r w:rsidRPr="003D1D53">
        <w:t xml:space="preserve"> 350</w:t>
      </w:r>
      <w:r>
        <w:t> </w:t>
      </w:r>
      <w:r w:rsidRPr="003D1D53">
        <w:t>000</w:t>
      </w:r>
      <w:r>
        <w:t xml:space="preserve"> TEUs </w:t>
      </w:r>
      <w:r w:rsidRPr="00272114">
        <w:rPr>
          <w:szCs w:val="24"/>
        </w:rPr>
        <w:t>(ACCC 2013)</w:t>
      </w:r>
      <w:r>
        <w:t>.</w:t>
      </w:r>
      <w:r w:rsidRPr="004A2769">
        <w:rPr>
          <w:rStyle w:val="FootnoteReference"/>
        </w:rPr>
        <w:footnoteReference w:id="17"/>
      </w:r>
      <w:r w:rsidRPr="003D1D53">
        <w:t xml:space="preserve"> </w:t>
      </w:r>
      <w:r>
        <w:t xml:space="preserve">Over the past five years, the total volume of </w:t>
      </w:r>
      <w:r w:rsidR="00207B70">
        <w:t xml:space="preserve">container </w:t>
      </w:r>
      <w:r>
        <w:t>freight through Burnie and Devonport has increased while volumes through Bell Bay</w:t>
      </w:r>
      <w:r w:rsidRPr="00A903A5">
        <w:t xml:space="preserve"> </w:t>
      </w:r>
      <w:r>
        <w:t>and Hobart have declined.</w:t>
      </w:r>
    </w:p>
    <w:p w:rsidR="00AE4D5A" w:rsidRDefault="00AE4D5A" w:rsidP="008E5E01">
      <w:pPr>
        <w:pStyle w:val="FigureTitle"/>
      </w:pPr>
      <w:r>
        <w:rPr>
          <w:b w:val="0"/>
        </w:rPr>
        <w:lastRenderedPageBreak/>
        <w:t>Figure 4.</w:t>
      </w:r>
      <w:r>
        <w:rPr>
          <w:b w:val="0"/>
          <w:noProof/>
        </w:rPr>
        <w:t>4</w:t>
      </w:r>
      <w:r>
        <w:tab/>
        <w:t>Freight movements through Tasmania’s main ports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Tr="008E5E01">
        <w:tc>
          <w:tcPr>
            <w:tcW w:w="8777"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1"/>
              <w:gridCol w:w="4381"/>
            </w:tblGrid>
            <w:tr w:rsidR="00AE4D5A" w:rsidTr="008E5E01">
              <w:tc>
                <w:tcPr>
                  <w:tcW w:w="4381" w:type="dxa"/>
                  <w:hideMark/>
                </w:tcPr>
                <w:p w:rsidR="00AE4D5A" w:rsidRDefault="00AE4D5A" w:rsidP="008E5E01">
                  <w:pPr>
                    <w:pStyle w:val="Figure"/>
                    <w:ind w:left="720"/>
                  </w:pPr>
                  <w:r>
                    <w:rPr>
                      <w:rFonts w:ascii="Arial" w:hAnsi="Arial" w:cs="Arial"/>
                      <w:b/>
                      <w:i/>
                      <w:sz w:val="18"/>
                      <w:szCs w:val="18"/>
                    </w:rPr>
                    <w:t>A: Inward freight – thousand TEUs</w:t>
                  </w:r>
                </w:p>
              </w:tc>
              <w:tc>
                <w:tcPr>
                  <w:tcW w:w="4381" w:type="dxa"/>
                  <w:hideMark/>
                </w:tcPr>
                <w:p w:rsidR="00AE4D5A" w:rsidRDefault="00AE4D5A" w:rsidP="008E5E01">
                  <w:pPr>
                    <w:pStyle w:val="Figure"/>
                    <w:ind w:left="720"/>
                  </w:pPr>
                  <w:r>
                    <w:rPr>
                      <w:rFonts w:ascii="Arial" w:hAnsi="Arial" w:cs="Arial"/>
                      <w:b/>
                      <w:i/>
                      <w:sz w:val="18"/>
                      <w:szCs w:val="18"/>
                    </w:rPr>
                    <w:t>B: Inward freight – million tonnes</w:t>
                  </w:r>
                </w:p>
              </w:tc>
            </w:tr>
            <w:tr w:rsidR="00AE4D5A" w:rsidTr="008E5E01">
              <w:tc>
                <w:tcPr>
                  <w:tcW w:w="4381" w:type="dxa"/>
                  <w:hideMark/>
                </w:tcPr>
                <w:p w:rsidR="00AE4D5A" w:rsidRDefault="00AE4D5A" w:rsidP="008E5E01">
                  <w:pPr>
                    <w:pStyle w:val="Figure"/>
                  </w:pPr>
                  <w:r w:rsidRPr="008D2F73">
                    <w:rPr>
                      <w:noProof/>
                    </w:rPr>
                    <w:drawing>
                      <wp:inline distT="0" distB="0" distL="0" distR="0" wp14:anchorId="7923122C" wp14:editId="517D1586">
                        <wp:extent cx="2628000" cy="1980000"/>
                        <wp:effectExtent l="0" t="0" r="1270" b="1270"/>
                        <wp:docPr id="74" name="Chart 74" descr="Figure 4.4 Freight movements through Tasmania's main ports. Panel A: Inward freight (thousand TEUs). Line chart shows inward container movements (by thousand TEU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4381" w:type="dxa"/>
                  <w:hideMark/>
                </w:tcPr>
                <w:p w:rsidR="00AE4D5A" w:rsidRDefault="00AE4D5A" w:rsidP="008E5E01">
                  <w:pPr>
                    <w:pStyle w:val="Figure"/>
                  </w:pPr>
                  <w:r w:rsidRPr="008D2F73">
                    <w:rPr>
                      <w:noProof/>
                    </w:rPr>
                    <w:drawing>
                      <wp:inline distT="0" distB="0" distL="0" distR="0" wp14:anchorId="46AF92F7" wp14:editId="58A5ED0A">
                        <wp:extent cx="2628000" cy="1980000"/>
                        <wp:effectExtent l="0" t="0" r="1270" b="1270"/>
                        <wp:docPr id="75" name="Chart 75" descr="Panel B: Inward freight (million tonnes). Line chart shows inward freight movement by weight (million tonne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AE4D5A" w:rsidTr="008E5E01">
              <w:tc>
                <w:tcPr>
                  <w:tcW w:w="4381" w:type="dxa"/>
                  <w:hideMark/>
                </w:tcPr>
                <w:p w:rsidR="00AE4D5A" w:rsidRDefault="00AE4D5A" w:rsidP="008E5E01">
                  <w:pPr>
                    <w:pStyle w:val="Figure"/>
                    <w:ind w:left="720"/>
                  </w:pPr>
                  <w:r>
                    <w:rPr>
                      <w:rFonts w:ascii="Arial" w:hAnsi="Arial" w:cs="Arial"/>
                      <w:b/>
                      <w:i/>
                      <w:sz w:val="18"/>
                      <w:szCs w:val="18"/>
                    </w:rPr>
                    <w:t>C: Outward freight –thousand TEUs</w:t>
                  </w:r>
                </w:p>
              </w:tc>
              <w:tc>
                <w:tcPr>
                  <w:tcW w:w="4381" w:type="dxa"/>
                  <w:hideMark/>
                </w:tcPr>
                <w:p w:rsidR="00AE4D5A" w:rsidRDefault="00AE4D5A" w:rsidP="008E5E01">
                  <w:pPr>
                    <w:pStyle w:val="Figure"/>
                    <w:ind w:left="720"/>
                  </w:pPr>
                  <w:r>
                    <w:rPr>
                      <w:rFonts w:ascii="Arial" w:hAnsi="Arial" w:cs="Arial"/>
                      <w:b/>
                      <w:i/>
                      <w:sz w:val="18"/>
                      <w:szCs w:val="18"/>
                    </w:rPr>
                    <w:t>D: Outward freight – million tonnes</w:t>
                  </w:r>
                </w:p>
              </w:tc>
            </w:tr>
            <w:tr w:rsidR="00AE4D5A" w:rsidTr="008E5E01">
              <w:tc>
                <w:tcPr>
                  <w:tcW w:w="4381" w:type="dxa"/>
                  <w:hideMark/>
                </w:tcPr>
                <w:p w:rsidR="00AE4D5A" w:rsidRDefault="00AE4D5A" w:rsidP="008E5E01">
                  <w:pPr>
                    <w:pStyle w:val="Figure"/>
                  </w:pPr>
                  <w:r w:rsidRPr="008D2F73">
                    <w:rPr>
                      <w:noProof/>
                    </w:rPr>
                    <w:drawing>
                      <wp:inline distT="0" distB="0" distL="0" distR="0" wp14:anchorId="70837444" wp14:editId="7E105A86">
                        <wp:extent cx="2628000" cy="1980000"/>
                        <wp:effectExtent l="0" t="0" r="1270" b="1270"/>
                        <wp:docPr id="76" name="Chart 76" descr="Panel C: Outward freight (thousand TEUs). Line chart shows outward container movements (by thousand TEU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c>
                <w:tcPr>
                  <w:tcW w:w="4381" w:type="dxa"/>
                  <w:hideMark/>
                </w:tcPr>
                <w:p w:rsidR="00AE4D5A" w:rsidRDefault="00AE4D5A" w:rsidP="008E5E01">
                  <w:pPr>
                    <w:pStyle w:val="Figure"/>
                  </w:pPr>
                  <w:r w:rsidRPr="008D2F73">
                    <w:rPr>
                      <w:noProof/>
                    </w:rPr>
                    <w:drawing>
                      <wp:inline distT="0" distB="0" distL="0" distR="0" wp14:anchorId="546DB041" wp14:editId="0F0F84E8">
                        <wp:extent cx="2628000" cy="1980000"/>
                        <wp:effectExtent l="0" t="0" r="1270" b="1270"/>
                        <wp:docPr id="77" name="Chart 77" descr="Panel D: Outward freight (million tonnes). Line chart shows outward freight movement by weight (million tonne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r w:rsidR="00AE4D5A" w:rsidTr="008E5E01">
              <w:tc>
                <w:tcPr>
                  <w:tcW w:w="4381" w:type="dxa"/>
                  <w:hideMark/>
                </w:tcPr>
                <w:p w:rsidR="00AE4D5A" w:rsidRDefault="00AE4D5A" w:rsidP="008E5E01">
                  <w:pPr>
                    <w:pStyle w:val="Figure"/>
                    <w:ind w:left="720"/>
                  </w:pPr>
                  <w:r>
                    <w:rPr>
                      <w:rFonts w:ascii="Arial" w:hAnsi="Arial" w:cs="Arial"/>
                      <w:b/>
                      <w:i/>
                      <w:sz w:val="18"/>
                      <w:szCs w:val="18"/>
                    </w:rPr>
                    <w:t>E: Total freight – thousand TEUs</w:t>
                  </w:r>
                </w:p>
              </w:tc>
              <w:tc>
                <w:tcPr>
                  <w:tcW w:w="4381" w:type="dxa"/>
                  <w:hideMark/>
                </w:tcPr>
                <w:p w:rsidR="00AE4D5A" w:rsidRDefault="00AE4D5A" w:rsidP="008E5E01">
                  <w:pPr>
                    <w:pStyle w:val="Figure"/>
                    <w:ind w:left="720"/>
                  </w:pPr>
                  <w:r>
                    <w:rPr>
                      <w:rFonts w:ascii="Arial" w:hAnsi="Arial" w:cs="Arial"/>
                      <w:b/>
                      <w:i/>
                      <w:sz w:val="18"/>
                      <w:szCs w:val="18"/>
                    </w:rPr>
                    <w:t>F: Total freight – million tonnes</w:t>
                  </w:r>
                </w:p>
              </w:tc>
            </w:tr>
            <w:tr w:rsidR="00AE4D5A" w:rsidTr="008E5E01">
              <w:tc>
                <w:tcPr>
                  <w:tcW w:w="4381" w:type="dxa"/>
                  <w:hideMark/>
                </w:tcPr>
                <w:p w:rsidR="00AE4D5A" w:rsidRDefault="00AE4D5A" w:rsidP="008E5E01">
                  <w:pPr>
                    <w:pStyle w:val="Figure"/>
                  </w:pPr>
                  <w:r w:rsidRPr="008D2F73">
                    <w:rPr>
                      <w:noProof/>
                    </w:rPr>
                    <w:drawing>
                      <wp:inline distT="0" distB="0" distL="0" distR="0" wp14:anchorId="616A8335" wp14:editId="4E387AAB">
                        <wp:extent cx="2628000" cy="1980000"/>
                        <wp:effectExtent l="0" t="0" r="1270" b="1270"/>
                        <wp:docPr id="79" name="Chart 79" descr="Panel E: Total freight (thousand TEUs). Line chart shows total container movements (by thousand TEU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c>
                <w:tcPr>
                  <w:tcW w:w="4381" w:type="dxa"/>
                  <w:hideMark/>
                </w:tcPr>
                <w:p w:rsidR="00AE4D5A" w:rsidRDefault="00AE4D5A" w:rsidP="008E5E01">
                  <w:pPr>
                    <w:pStyle w:val="Figure"/>
                  </w:pPr>
                  <w:r w:rsidRPr="008D2F73">
                    <w:rPr>
                      <w:noProof/>
                    </w:rPr>
                    <w:drawing>
                      <wp:inline distT="0" distB="0" distL="0" distR="0" wp14:anchorId="67C6D9F8" wp14:editId="52A4F5DB">
                        <wp:extent cx="2628000" cy="1980000"/>
                        <wp:effectExtent l="0" t="0" r="1270" b="1270"/>
                        <wp:docPr id="80" name="Chart 80" descr="Panel F: Total freight (million tonnes). Line chart shows total freight movement by weight (million tonnes) for Tasmania's four main ports from 1999-2000 to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AE4D5A" w:rsidTr="008E5E01">
              <w:tc>
                <w:tcPr>
                  <w:tcW w:w="8762" w:type="dxa"/>
                  <w:gridSpan w:val="2"/>
                </w:tcPr>
                <w:p w:rsidR="00AE4D5A" w:rsidRPr="008D2F73" w:rsidRDefault="0050299D" w:rsidP="008E5E01">
                  <w:pPr>
                    <w:pStyle w:val="Figure"/>
                  </w:pPr>
                  <w:r>
                    <w:rPr>
                      <w:noProof/>
                    </w:rPr>
                    <w:drawing>
                      <wp:inline distT="0" distB="0" distL="0" distR="0">
                        <wp:extent cx="5426710" cy="171450"/>
                        <wp:effectExtent l="0" t="0" r="2540" b="0"/>
                        <wp:docPr id="8" name="Picture 8" descr="Figure 4.4 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 - legend.jp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426710" cy="171450"/>
                                </a:xfrm>
                                <a:prstGeom prst="rect">
                                  <a:avLst/>
                                </a:prstGeom>
                              </pic:spPr>
                            </pic:pic>
                          </a:graphicData>
                        </a:graphic>
                      </wp:inline>
                    </w:drawing>
                  </w:r>
                </w:p>
              </w:tc>
            </w:tr>
          </w:tbl>
          <w:p w:rsidR="00AE4D5A" w:rsidRDefault="00AE4D5A" w:rsidP="008E5E01">
            <w:pPr>
              <w:pStyle w:val="Figure"/>
            </w:pPr>
          </w:p>
        </w:tc>
      </w:tr>
    </w:tbl>
    <w:p w:rsidR="00AE4D5A" w:rsidRDefault="00AE4D5A" w:rsidP="008E5E01">
      <w:pPr>
        <w:pStyle w:val="Source"/>
      </w:pPr>
      <w:r>
        <w:rPr>
          <w:i/>
        </w:rPr>
        <w:t>Data source</w:t>
      </w:r>
      <w:r w:rsidRPr="00167F06">
        <w:t>:</w:t>
      </w:r>
      <w:r>
        <w:t xml:space="preserve"> TasPorts </w:t>
      </w:r>
      <w:r w:rsidRPr="00A4506A">
        <w:rPr>
          <w:rFonts w:cs="Arial"/>
        </w:rPr>
        <w:t>(2013)</w:t>
      </w:r>
      <w:r>
        <w:t>.</w:t>
      </w:r>
    </w:p>
    <w:p w:rsidR="00AE4D5A" w:rsidRDefault="00AE4D5A" w:rsidP="008E5E01">
      <w:pPr>
        <w:pStyle w:val="BodyText"/>
      </w:pPr>
      <w:r>
        <w:lastRenderedPageBreak/>
        <w:t>TasPorts, a government</w:t>
      </w:r>
      <w:r>
        <w:noBreakHyphen/>
        <w:t xml:space="preserve">owned enterprise, is responsible for the management of 12 Tasmanian ports, including the four major ports. The port system had historically been operated by independent port corporations — four were remaining in 2005. Several studies over the past two decades identified benefits from moving to one statewide port entity, culminating in the passage of the </w:t>
      </w:r>
      <w:r>
        <w:rPr>
          <w:i/>
        </w:rPr>
        <w:t>Tasmanian Ports Corporation Act 2005 </w:t>
      </w:r>
      <w:r w:rsidRPr="00425D22">
        <w:t>(</w:t>
      </w:r>
      <w:r w:rsidRPr="001E0B61">
        <w:t>Tas)</w:t>
      </w:r>
      <w:r>
        <w:t xml:space="preserve">, creating </w:t>
      </w:r>
      <w:proofErr w:type="spellStart"/>
      <w:r>
        <w:t>TasPorts</w:t>
      </w:r>
      <w:proofErr w:type="spellEnd"/>
      <w:r>
        <w:t xml:space="preserve">. On 1 January 2006, all assets, liabilities and employees of the former port corporations passed to the new entity </w:t>
      </w:r>
      <w:r w:rsidRPr="00272114">
        <w:rPr>
          <w:szCs w:val="24"/>
        </w:rPr>
        <w:t>(Auditor-General 2012)</w:t>
      </w:r>
      <w:r>
        <w:t xml:space="preserve">. </w:t>
      </w:r>
    </w:p>
    <w:p w:rsidR="00AE4D5A" w:rsidRDefault="00AE4D5A" w:rsidP="008E5E01">
      <w:pPr>
        <w:pStyle w:val="BodyText"/>
      </w:pPr>
      <w:r w:rsidRPr="00DE570D">
        <w:t xml:space="preserve">The Bass Strait </w:t>
      </w:r>
      <w:proofErr w:type="spellStart"/>
      <w:r w:rsidRPr="00DE570D">
        <w:t>RORO</w:t>
      </w:r>
      <w:proofErr w:type="spellEnd"/>
      <w:r w:rsidRPr="00DE570D">
        <w:t xml:space="preserve"> </w:t>
      </w:r>
      <w:r>
        <w:t xml:space="preserve">and </w:t>
      </w:r>
      <w:proofErr w:type="spellStart"/>
      <w:r>
        <w:t>ROPAX</w:t>
      </w:r>
      <w:proofErr w:type="spellEnd"/>
      <w:r>
        <w:t xml:space="preserve"> </w:t>
      </w:r>
      <w:r w:rsidRPr="00DE570D">
        <w:t xml:space="preserve">services operate their own </w:t>
      </w:r>
      <w:r>
        <w:t xml:space="preserve">dedicated </w:t>
      </w:r>
      <w:r w:rsidRPr="00DE570D">
        <w:t xml:space="preserve">terminals at the northern ports, while other terminals are operated on a ‘community </w:t>
      </w:r>
      <w:r>
        <w:t>user</w:t>
      </w:r>
      <w:r w:rsidRPr="00DE570D">
        <w:t>’ basis.</w:t>
      </w:r>
      <w:r>
        <w:t xml:space="preserve"> SeaRoad and Toll have provided and funded their own infrastructure on terminals leased from TasPorts (SeaRoad, sub. </w:t>
      </w:r>
      <w:proofErr w:type="spellStart"/>
      <w:r>
        <w:t>DR81</w:t>
      </w:r>
      <w:proofErr w:type="spellEnd"/>
      <w:r>
        <w:t>).</w:t>
      </w:r>
    </w:p>
    <w:p w:rsidR="00AE4D5A" w:rsidRDefault="00AE4D5A" w:rsidP="008E5E01">
      <w:pPr>
        <w:pStyle w:val="Heading2"/>
      </w:pPr>
      <w:r>
        <w:t>4.</w:t>
      </w:r>
      <w:r>
        <w:rPr>
          <w:noProof/>
        </w:rPr>
        <w:t>4</w:t>
      </w:r>
      <w:r>
        <w:tab/>
        <w:t xml:space="preserve">Efficiency drivers of ports </w:t>
      </w:r>
    </w:p>
    <w:p w:rsidR="00AE4D5A" w:rsidRDefault="00AE4D5A" w:rsidP="008E5E01">
      <w:pPr>
        <w:pStyle w:val="BodyText"/>
      </w:pPr>
      <w:r>
        <w:t>Participants expressed concerns about port costs in Tasmania. BBA was particularly critical, claiming:</w:t>
      </w:r>
    </w:p>
    <w:p w:rsidR="00AE4D5A" w:rsidRDefault="00AE4D5A" w:rsidP="008E5E01">
      <w:pPr>
        <w:pStyle w:val="Quote"/>
      </w:pPr>
      <w:r>
        <w:t>Port of Bell Bay costs are higher than other ports when comparing the same size and type of ship and reason for the port call. … For example, for coastal alumina shipments between Gladstone and Tasmania, BBA pay the following port costs in their freight rate:</w:t>
      </w:r>
    </w:p>
    <w:p w:rsidR="00AE4D5A" w:rsidRDefault="00AE4D5A" w:rsidP="008E5E01">
      <w:pPr>
        <w:pStyle w:val="QuoteBullet"/>
        <w:spacing w:before="80"/>
      </w:pPr>
      <w:r>
        <w:t>Gladstone Port costs ~</w:t>
      </w:r>
      <w:proofErr w:type="spellStart"/>
      <w:r>
        <w:t>A$38</w:t>
      </w:r>
      <w:proofErr w:type="spellEnd"/>
      <w:r>
        <w:t> 000 versus</w:t>
      </w:r>
    </w:p>
    <w:p w:rsidR="00AE4D5A" w:rsidRDefault="00AE4D5A" w:rsidP="008E5E01">
      <w:pPr>
        <w:pStyle w:val="QuoteBullet"/>
        <w:spacing w:before="80"/>
      </w:pPr>
      <w:r>
        <w:t>Port of Bell Bay costs ~</w:t>
      </w:r>
      <w:proofErr w:type="spellStart"/>
      <w:r>
        <w:t>A$107</w:t>
      </w:r>
      <w:proofErr w:type="spellEnd"/>
      <w:r>
        <w:t> 000. (sub. 12, pp. 5, 6)</w:t>
      </w:r>
    </w:p>
    <w:p w:rsidR="00AE4D5A" w:rsidRDefault="00AE4D5A" w:rsidP="008E5E01">
      <w:pPr>
        <w:pStyle w:val="BodyText"/>
      </w:pPr>
      <w:r>
        <w:t>At Tasmania’s main freight ports, three factors appear to be of particular importance in determining the scope for those ports to operate more efficiently: scale of operations, adequacy of infrastructure and government ownership.</w:t>
      </w:r>
    </w:p>
    <w:p w:rsidR="00AE4D5A" w:rsidRDefault="00AE4D5A" w:rsidP="008E5E01">
      <w:pPr>
        <w:pStyle w:val="BodyText"/>
      </w:pPr>
      <w:r>
        <w:t>Participants also expressed concern about increased costs at the Port of Melbourne, arising from the recently introduced Port Licence Fee.</w:t>
      </w:r>
    </w:p>
    <w:p w:rsidR="00AE4D5A" w:rsidRDefault="00AE4D5A" w:rsidP="008E5E01">
      <w:pPr>
        <w:pStyle w:val="Heading3"/>
      </w:pPr>
      <w:r>
        <w:t>Scale of port operations</w:t>
      </w:r>
    </w:p>
    <w:p w:rsidR="00AE4D5A" w:rsidRDefault="00AE4D5A" w:rsidP="008E5E01">
      <w:pPr>
        <w:pStyle w:val="BodyText"/>
      </w:pPr>
      <w:r>
        <w:t>As with shipping, volume (or the scale of throughput</w:t>
      </w:r>
      <w:r w:rsidRPr="002929F9">
        <w:t xml:space="preserve"> </w:t>
      </w:r>
      <w:r>
        <w:t>in the case of ports) is a major factor affecting port efficiency.</w:t>
      </w:r>
      <w:r w:rsidRPr="004A2769">
        <w:rPr>
          <w:rStyle w:val="FootnoteReference"/>
        </w:rPr>
        <w:footnoteReference w:id="18"/>
      </w:r>
    </w:p>
    <w:p w:rsidR="00AE4D5A" w:rsidRDefault="00AE4D5A" w:rsidP="008E5E01">
      <w:pPr>
        <w:pStyle w:val="BodyText"/>
      </w:pPr>
      <w:r>
        <w:lastRenderedPageBreak/>
        <w:t xml:space="preserve">It is generally accepted that there are economies of scale in the operation of ports. The efficiencies available to a larger operator, typically in terms of management and coordination of workforce and equipment, may not be available to ports operated on a smaller scale. In fact, economies of scale have been found to be a more significant factor in market entry and exit than the associated costs </w:t>
      </w:r>
      <w:r w:rsidRPr="00272114">
        <w:rPr>
          <w:szCs w:val="24"/>
        </w:rPr>
        <w:t>(ACCC 2013)</w:t>
      </w:r>
      <w:r>
        <w:t xml:space="preserve">. </w:t>
      </w:r>
    </w:p>
    <w:p w:rsidR="00AE4D5A" w:rsidRPr="00192630" w:rsidRDefault="00AE4D5A" w:rsidP="008E5E01">
      <w:pPr>
        <w:pStyle w:val="BodyText"/>
      </w:pPr>
      <w:r w:rsidRPr="00192630">
        <w:t>Related to economies of scale is the concept of a minimum efficient scale (</w:t>
      </w:r>
      <w:proofErr w:type="spellStart"/>
      <w:r w:rsidRPr="00192630">
        <w:t>MES</w:t>
      </w:r>
      <w:proofErr w:type="spellEnd"/>
      <w:r w:rsidRPr="00192630">
        <w:t>) of operations at ports (box 4.</w:t>
      </w:r>
      <w:r>
        <w:t>4</w:t>
      </w:r>
      <w:r w:rsidRPr="00737C8C">
        <w:t>)</w:t>
      </w:r>
      <w:r w:rsidRPr="00B209F0">
        <w:t>. This is the point at which the average costs fall to the efficient level, and implies that port operations must be of a sufficient size to operate most efficiently. For container terminals, recent analysis suggests it could be in the region of 0.5</w:t>
      </w:r>
      <w:r>
        <w:t>–</w:t>
      </w:r>
      <w:r w:rsidRPr="00B209F0">
        <w:t>1 million TEU</w:t>
      </w:r>
      <w:r>
        <w:t>s</w:t>
      </w:r>
      <w:r w:rsidRPr="00B209F0">
        <w:t xml:space="preserve"> </w:t>
      </w:r>
      <w:r w:rsidRPr="0099488A">
        <w:rPr>
          <w:szCs w:val="24"/>
        </w:rPr>
        <w:t>(ESC 2007)</w:t>
      </w:r>
      <w:r w:rsidRPr="00192630">
        <w:t xml:space="preserve">. In 2008, the ACCC </w:t>
      </w:r>
      <w:r>
        <w:t xml:space="preserve">investigated </w:t>
      </w:r>
      <w:r w:rsidRPr="00B209F0">
        <w:t xml:space="preserve">the minimum total volume of container traffic that would be required to justify investment in a </w:t>
      </w:r>
      <w:r>
        <w:t>second terminal on a greenfield</w:t>
      </w:r>
      <w:r w:rsidRPr="00B209F0">
        <w:t xml:space="preserve"> site</w:t>
      </w:r>
      <w:r>
        <w:t xml:space="preserve">. Market inquiries suggested a minimum total volume of </w:t>
      </w:r>
      <w:r w:rsidRPr="00B209F0">
        <w:t>approximately 550 000 TEU</w:t>
      </w:r>
      <w:r>
        <w:t>s</w:t>
      </w:r>
      <w:r w:rsidRPr="00B209F0">
        <w:t xml:space="preserve"> per annum</w:t>
      </w:r>
      <w:r>
        <w:t xml:space="preserve">, though a number of </w:t>
      </w:r>
      <w:r w:rsidRPr="00B209F0">
        <w:t xml:space="preserve">submissions suggested that 600 000 TEUs per year was a more realistic threshold for new entry at Port Adelaide </w:t>
      </w:r>
      <w:r w:rsidR="007C1471" w:rsidRPr="007C1471">
        <w:rPr>
          <w:szCs w:val="24"/>
        </w:rPr>
        <w:t>(ACCC 2008a)</w:t>
      </w:r>
      <w:r w:rsidRPr="00192630">
        <w:t xml:space="preserve">. </w:t>
      </w:r>
    </w:p>
    <w:p w:rsidR="00AE4D5A" w:rsidRDefault="00AE4D5A" w:rsidP="008E5E01">
      <w:pPr>
        <w:pStyle w:val="BodyText"/>
      </w:pPr>
      <w:r>
        <w:t xml:space="preserve">However, there is no consensus on a uniform </w:t>
      </w:r>
      <w:proofErr w:type="spellStart"/>
      <w:r>
        <w:t>MES</w:t>
      </w:r>
      <w:proofErr w:type="spellEnd"/>
      <w:r>
        <w:t xml:space="preserve"> across all ports, and no consensus on the </w:t>
      </w:r>
      <w:proofErr w:type="spellStart"/>
      <w:r>
        <w:t>MES</w:t>
      </w:r>
      <w:proofErr w:type="spellEnd"/>
      <w:r>
        <w:t xml:space="preserve"> for Tasmanian ports.</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4</w:t>
            </w:r>
            <w:r>
              <w:tab/>
              <w:t>Minimum efficient scale at Australian container ports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 xml:space="preserve">An analysis of the Port of Melbourne in 2007 suggested that the market would be sufficient to support a third terminal once throughput reached 2.8 million TEUs </w:t>
            </w:r>
            <w:r w:rsidRPr="00272114">
              <w:rPr>
                <w:rFonts w:cs="Arial"/>
                <w:szCs w:val="24"/>
              </w:rPr>
              <w:t>(ESC 2007)</w:t>
            </w:r>
            <w:r>
              <w:t>. While in Sydney, a third terminal was deemed appropriate when throughput reached 1.784 million TEUs. In Brisbane, a third terminal was approved in 2008, when the Port of Brisbane’s throughput was 943 000 </w:t>
            </w:r>
            <w:proofErr w:type="spellStart"/>
            <w:r>
              <w:t>TEUs</w:t>
            </w:r>
            <w:proofErr w:type="spellEnd"/>
            <w:r>
              <w:t xml:space="preserve"> </w:t>
            </w:r>
            <w:r w:rsidRPr="00272114">
              <w:rPr>
                <w:rFonts w:cs="Arial"/>
                <w:szCs w:val="24"/>
              </w:rPr>
              <w:t>(</w:t>
            </w:r>
            <w:proofErr w:type="spellStart"/>
            <w:r w:rsidRPr="00272114">
              <w:rPr>
                <w:rFonts w:cs="Arial"/>
                <w:szCs w:val="24"/>
              </w:rPr>
              <w:t>Kaselimi</w:t>
            </w:r>
            <w:proofErr w:type="spellEnd"/>
            <w:r w:rsidRPr="00272114">
              <w:rPr>
                <w:rFonts w:cs="Arial"/>
                <w:szCs w:val="24"/>
              </w:rPr>
              <w:t xml:space="preserve"> et al. 2011)</w:t>
            </w:r>
            <w:r>
              <w:t>.</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Sources</w:t>
            </w:r>
            <w:r w:rsidRPr="00167F06">
              <w:t>:</w:t>
            </w:r>
            <w:r>
              <w:t xml:space="preserve"> ESC </w:t>
            </w:r>
            <w:r w:rsidRPr="00E13AAA">
              <w:rPr>
                <w:rFonts w:cs="Arial"/>
              </w:rPr>
              <w:t>(2007)</w:t>
            </w:r>
            <w:r>
              <w:t xml:space="preserve">, </w:t>
            </w:r>
            <w:proofErr w:type="spellStart"/>
            <w:r>
              <w:t>Kaselimi</w:t>
            </w:r>
            <w:proofErr w:type="spellEnd"/>
            <w:r>
              <w:t xml:space="preserve"> et al. </w:t>
            </w:r>
            <w:r w:rsidRPr="00E13AAA">
              <w:rPr>
                <w:rFonts w:cs="Arial"/>
              </w:rPr>
              <w:t>(2011)</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pPr>
      <w:r>
        <w:t xml:space="preserve">Given Tasmania’s relatively low freight flows, and those flows being spread across three terminals, Tasmanian ports have been limited in their ability to achieve economies of scale </w:t>
      </w:r>
      <w:r w:rsidR="007C1471" w:rsidRPr="007C1471">
        <w:rPr>
          <w:szCs w:val="24"/>
        </w:rPr>
        <w:t>(Infrastructure Australia 2012b; Juturna 2013)</w:t>
      </w:r>
      <w:r>
        <w:t xml:space="preserve">. </w:t>
      </w:r>
    </w:p>
    <w:p w:rsidR="00AE4D5A" w:rsidRDefault="00AE4D5A" w:rsidP="008E5E01">
      <w:pPr>
        <w:pStyle w:val="BodyText"/>
      </w:pPr>
      <w:r>
        <w:t xml:space="preserve">According to Infrastructure Australia </w:t>
      </w:r>
      <w:r w:rsidR="007C1471" w:rsidRPr="007C1471">
        <w:t>(2012b)</w:t>
      </w:r>
      <w:r>
        <w:t>, subscale operations and fragmentation of the freight task across ports has likely had a negative impact on the competitiveness of Tasmanian business and the Tasmanian economy generally.</w:t>
      </w:r>
    </w:p>
    <w:p w:rsidR="00AE4D5A" w:rsidRDefault="00AE4D5A" w:rsidP="008E5E01">
      <w:pPr>
        <w:pStyle w:val="BodyText"/>
      </w:pPr>
      <w:r>
        <w:t xml:space="preserve">Similarly, lower levels of throughput reduce the potential for competitive stevedore services to develop at terminals. While three terminal competitors can theoretically be a significant enabler of port competition (as is occurring at several mainland ports), without adequate scale, multiple port operators are unlikely to be viable. For </w:t>
      </w:r>
      <w:r>
        <w:lastRenderedPageBreak/>
        <w:t xml:space="preserve">example, </w:t>
      </w:r>
      <w:proofErr w:type="spellStart"/>
      <w:r>
        <w:t>Kaselimi</w:t>
      </w:r>
      <w:proofErr w:type="spellEnd"/>
      <w:r>
        <w:t xml:space="preserve"> et al. </w:t>
      </w:r>
      <w:r w:rsidRPr="00A4506A">
        <w:t>(2011)</w:t>
      </w:r>
      <w:r>
        <w:t xml:space="preserve"> have suggested that viable competition between terminals is only thought to be possible where the market size is at least twice as large as the </w:t>
      </w:r>
      <w:proofErr w:type="spellStart"/>
      <w:r>
        <w:t>MES</w:t>
      </w:r>
      <w:proofErr w:type="spellEnd"/>
      <w:r>
        <w:t xml:space="preserve"> for providing terminal services. If not, scale economies are only realised with one supplier of port services. </w:t>
      </w:r>
    </w:p>
    <w:p w:rsidR="00AE4D5A" w:rsidRDefault="00AE4D5A" w:rsidP="008E5E01">
      <w:pPr>
        <w:pStyle w:val="BodyText"/>
      </w:pPr>
      <w:r>
        <w:t xml:space="preserve">Given the advantages that come from greater scale at ports, there may be scope to increase efficiency through rationalisation and increasing the volume of port throughput. </w:t>
      </w:r>
    </w:p>
    <w:p w:rsidR="00AE4D5A" w:rsidRDefault="00AE4D5A" w:rsidP="008E5E01">
      <w:pPr>
        <w:pStyle w:val="BodyText"/>
      </w:pPr>
      <w:r>
        <w:t>The Commission understands that a strategy of terminal specialisation will be part of the 30 Year Plan currently under development by TasPorts. TasPorts has noted:</w:t>
      </w:r>
    </w:p>
    <w:p w:rsidR="00AE4D5A" w:rsidRDefault="00AE4D5A" w:rsidP="008E5E01">
      <w:pPr>
        <w:pStyle w:val="Quote"/>
      </w:pPr>
      <w:r>
        <w:t>The specialisation approach aims to limit duplicating infrastructure at multiple ports, while still maintaining viable and economic supply chains from point</w:t>
      </w:r>
      <w:r>
        <w:noBreakHyphen/>
        <w:t>of</w:t>
      </w:r>
      <w:r>
        <w:noBreakHyphen/>
        <w:t>origin to destination market. Where a commodity group can achieve an economy of scale, as in the container segment, the port specialisation will be directed towards a single port set of infrastructure for that commodity. In the short term, this approach must also be cognisant of the commercial arrangements that some industry operators have in place. (sub. </w:t>
      </w:r>
      <w:proofErr w:type="spellStart"/>
      <w:r>
        <w:t>DR97</w:t>
      </w:r>
      <w:proofErr w:type="spellEnd"/>
      <w:r>
        <w:t>, pp. 2–</w:t>
      </w:r>
      <w:r>
        <w:noBreakHyphen/>
        <w:t>3)</w:t>
      </w:r>
    </w:p>
    <w:p w:rsidR="00AE4D5A" w:rsidRDefault="00AE4D5A" w:rsidP="008E5E01">
      <w:pPr>
        <w:pStyle w:val="BodyText"/>
      </w:pPr>
      <w:r>
        <w:t>This approach is likely to bring some consolidation of freight services, although the extent to which it will achieve economies of scale is currently unknown.</w:t>
      </w:r>
    </w:p>
    <w:p w:rsidR="00AE4D5A" w:rsidRDefault="00AE4D5A" w:rsidP="008E5E01">
      <w:pPr>
        <w:pStyle w:val="Heading3"/>
      </w:pPr>
      <w:r>
        <w:t>Adequacy of port infrastructure</w:t>
      </w:r>
    </w:p>
    <w:p w:rsidR="00AE4D5A" w:rsidRDefault="00AE4D5A" w:rsidP="008E5E01">
      <w:pPr>
        <w:pStyle w:val="BodyText"/>
      </w:pPr>
      <w:r>
        <w:t>Recent reports have identified ageing and inadequate infrastructure as a problem for Tasmanian ports;</w:t>
      </w:r>
      <w:r w:rsidRPr="00E57025">
        <w:t xml:space="preserve"> acting as a bottleneck to capacity and limiting their ability to deliver cost</w:t>
      </w:r>
      <w:r>
        <w:noBreakHyphen/>
      </w:r>
      <w:r w:rsidRPr="00E57025">
        <w:t>effective port services</w:t>
      </w:r>
      <w:r>
        <w:t xml:space="preserve">. The Tasmanian Freight Logistics Council, for example, suggests that Tasmanian ports already have capacity constraints on their land side operations and that physical capacity limits will be reached in the near term </w:t>
      </w:r>
      <w:r w:rsidRPr="00272114">
        <w:rPr>
          <w:szCs w:val="24"/>
        </w:rPr>
        <w:t>(</w:t>
      </w:r>
      <w:proofErr w:type="spellStart"/>
      <w:r w:rsidRPr="00272114">
        <w:rPr>
          <w:szCs w:val="24"/>
        </w:rPr>
        <w:t>TFLC</w:t>
      </w:r>
      <w:proofErr w:type="spellEnd"/>
      <w:r w:rsidRPr="00272114">
        <w:rPr>
          <w:szCs w:val="24"/>
        </w:rPr>
        <w:t> 2013, p. 10)</w:t>
      </w:r>
      <w:r>
        <w:t xml:space="preserve">. Similarly, </w:t>
      </w:r>
      <w:proofErr w:type="spellStart"/>
      <w:r>
        <w:t>RDA</w:t>
      </w:r>
      <w:proofErr w:type="spellEnd"/>
      <w:r>
        <w:t xml:space="preserve">–Tasmania </w:t>
      </w:r>
      <w:r w:rsidRPr="00DB072D">
        <w:t>drew attention to ‘Ageing Infrastructure at multiple port facilities that are small and specialist’ (sub. 17, p. 3).</w:t>
      </w:r>
    </w:p>
    <w:p w:rsidR="00AE4D5A" w:rsidRPr="00DB072D" w:rsidRDefault="00AE4D5A" w:rsidP="008E5E01">
      <w:pPr>
        <w:pStyle w:val="BodyText"/>
      </w:pPr>
      <w:r w:rsidRPr="00DB072D">
        <w:t>Not all infrastructure at Tasmania’s major ports is old or inadequate though. As Toll noted:</w:t>
      </w:r>
    </w:p>
    <w:p w:rsidR="00AE4D5A" w:rsidRDefault="00AE4D5A" w:rsidP="008E5E01">
      <w:pPr>
        <w:pStyle w:val="Quote"/>
      </w:pPr>
      <w:r w:rsidRPr="00DB072D">
        <w:t xml:space="preserve">Our dedicated terminals at … </w:t>
      </w:r>
      <w:proofErr w:type="spellStart"/>
      <w:r w:rsidRPr="00DB072D">
        <w:t>McGaw</w:t>
      </w:r>
      <w:proofErr w:type="spellEnd"/>
      <w:r w:rsidRPr="00DB072D">
        <w:t xml:space="preserve"> Wharf in Burnie utilise cutting edge RORO cargo handling technology to efficiently handle all cargo types. (sub. </w:t>
      </w:r>
      <w:r>
        <w:t>55</w:t>
      </w:r>
      <w:r w:rsidRPr="00DB072D">
        <w:t>, p. 1)</w:t>
      </w:r>
    </w:p>
    <w:p w:rsidR="00AE4D5A" w:rsidRDefault="00AE4D5A" w:rsidP="008E5E01">
      <w:pPr>
        <w:pStyle w:val="BodyText"/>
      </w:pPr>
      <w:r w:rsidRPr="00E57025">
        <w:t xml:space="preserve">For international shipping services, infrastructure deficiencies </w:t>
      </w:r>
      <w:r>
        <w:t xml:space="preserve">(particularly in channel depths) </w:t>
      </w:r>
      <w:r w:rsidRPr="00DB072D">
        <w:t>can mean vessels are physically unable to call into a port</w:t>
      </w:r>
      <w:r>
        <w:t>. A global trend to larger container ships (box 4.5), even for regional international shipping lines, means Tasmanian ports will increasingly face the need to upgrade their infrastructure if they are to attract and retain an international container service:</w:t>
      </w:r>
      <w:r w:rsidRPr="009C450E">
        <w:t xml:space="preserve"> </w:t>
      </w:r>
    </w:p>
    <w:p w:rsidR="00AE4D5A" w:rsidRDefault="00AE4D5A" w:rsidP="008E5E01">
      <w:pPr>
        <w:pStyle w:val="Quote"/>
      </w:pPr>
      <w:r w:rsidRPr="00D71B17">
        <w:lastRenderedPageBreak/>
        <w:t xml:space="preserve">By Australian and worldwide standards, Tasmania’s potential international container ports … all face challenges with regard to access and infrastructure. Bell Bay has potentially the best opportunity to support an international service; however there are many issues such as tidal constraints, suitable </w:t>
      </w:r>
      <w:proofErr w:type="spellStart"/>
      <w:r w:rsidRPr="00D71B17">
        <w:t>cranage</w:t>
      </w:r>
      <w:proofErr w:type="spellEnd"/>
      <w:r w:rsidRPr="00D71B17">
        <w:t xml:space="preserve"> and berth length which would impact on an international shipping line or consortium considering a call into Tasmania. </w:t>
      </w:r>
      <w:r w:rsidRPr="00A4506A">
        <w:rPr>
          <w:szCs w:val="24"/>
        </w:rPr>
        <w:t>(GPS 2013, p. 2)</w:t>
      </w:r>
    </w:p>
    <w:p w:rsidR="00AE4D5A" w:rsidRPr="0066606F" w:rsidRDefault="00AE4D5A" w:rsidP="008E5E01">
      <w:pPr>
        <w:pStyle w:val="BoxSpaceAbove"/>
      </w:pPr>
      <w:r w:rsidRPr="001D0244">
        <w:rPr>
          <w:b/>
          <w:sz w:val="14"/>
        </w:rP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5</w:t>
            </w:r>
            <w:r>
              <w:tab/>
              <w:t>Global trend to larger container vessels</w:t>
            </w:r>
          </w:p>
        </w:tc>
      </w:tr>
      <w:tr w:rsidR="00AE4D5A" w:rsidTr="008E5E01">
        <w:trPr>
          <w:cantSplit/>
        </w:trPr>
        <w:tc>
          <w:tcPr>
            <w:tcW w:w="8771" w:type="dxa"/>
            <w:tcBorders>
              <w:top w:val="nil"/>
              <w:left w:val="single" w:sz="6" w:space="0" w:color="auto"/>
              <w:bottom w:val="nil"/>
              <w:right w:val="single" w:sz="6" w:space="0" w:color="auto"/>
            </w:tcBorders>
          </w:tcPr>
          <w:p w:rsidR="00AE4D5A" w:rsidRPr="00FC2FFE" w:rsidRDefault="00AE4D5A" w:rsidP="008E5E01">
            <w:pPr>
              <w:pStyle w:val="Box"/>
            </w:pPr>
            <w:r w:rsidRPr="00FC2FFE">
              <w:t>Annual reviews of maritime transport reveal that container vessels are getting larger</w:t>
            </w:r>
            <w:r>
              <w:t xml:space="preserve"> </w:t>
            </w:r>
            <w:r w:rsidRPr="00272114">
              <w:rPr>
                <w:rFonts w:cs="Arial"/>
                <w:szCs w:val="24"/>
              </w:rPr>
              <w:t>(</w:t>
            </w:r>
            <w:proofErr w:type="spellStart"/>
            <w:r w:rsidRPr="00272114">
              <w:rPr>
                <w:rFonts w:cs="Arial"/>
                <w:szCs w:val="24"/>
              </w:rPr>
              <w:t>UNCTAD</w:t>
            </w:r>
            <w:proofErr w:type="spellEnd"/>
            <w:r w:rsidRPr="00272114">
              <w:rPr>
                <w:rFonts w:cs="Arial"/>
                <w:szCs w:val="24"/>
              </w:rPr>
              <w:t> 2012)</w:t>
            </w:r>
            <w:r w:rsidRPr="00FC2FFE">
              <w:t xml:space="preserve">. In part, this trend to larger vessels is a consequence of the widening and deepening of the Panama Canal, </w:t>
            </w:r>
            <w:r>
              <w:t>to</w:t>
            </w:r>
            <w:r w:rsidRPr="00FC2FFE">
              <w:t xml:space="preserve"> </w:t>
            </w:r>
            <w:r>
              <w:t>allow the passage of</w:t>
            </w:r>
            <w:r w:rsidRPr="00FC2FFE">
              <w:t xml:space="preserve"> bigger vessels:</w:t>
            </w:r>
          </w:p>
          <w:p w:rsidR="00AE4D5A" w:rsidRPr="00FC2FFE" w:rsidRDefault="00AE4D5A" w:rsidP="008E5E01">
            <w:pPr>
              <w:pStyle w:val="BoxQuote"/>
            </w:pPr>
            <w:r w:rsidRPr="00FC2FFE">
              <w:t>…</w:t>
            </w:r>
            <w:r>
              <w:t xml:space="preserve"> </w:t>
            </w:r>
            <w:r w:rsidRPr="00FC2FFE">
              <w:t>the … plan to widen and deepen the Panama Canal will have a significant impact on the global trading patterns of the current containership fleet and will most likely create a spurt in new building activity in the 5000–12 000 TEU size range with the existing class of 4000</w:t>
            </w:r>
            <w:r w:rsidRPr="00FC2FFE">
              <w:noBreakHyphen/>
              <w:t>4500 </w:t>
            </w:r>
            <w:proofErr w:type="spellStart"/>
            <w:r w:rsidRPr="00FC2FFE">
              <w:t>TEU</w:t>
            </w:r>
            <w:proofErr w:type="spellEnd"/>
            <w:r w:rsidRPr="00FC2FFE">
              <w:t xml:space="preserve"> </w:t>
            </w:r>
            <w:proofErr w:type="spellStart"/>
            <w:r w:rsidRPr="00FC2FFE">
              <w:t>Panamax</w:t>
            </w:r>
            <w:proofErr w:type="spellEnd"/>
            <w:r w:rsidRPr="00FC2FFE">
              <w:t xml:space="preserve"> containerships and 60 000</w:t>
            </w:r>
            <w:r w:rsidRPr="00FC2FFE">
              <w:rPr>
                <w:rFonts w:cs="Arial"/>
              </w:rPr>
              <w:t>–</w:t>
            </w:r>
            <w:r w:rsidRPr="00FC2FFE">
              <w:t xml:space="preserve">70 000 </w:t>
            </w:r>
            <w:proofErr w:type="spellStart"/>
            <w:r w:rsidRPr="00FC2FFE">
              <w:t>dwt</w:t>
            </w:r>
            <w:proofErr w:type="spellEnd"/>
            <w:r w:rsidRPr="00FC2FFE">
              <w:t xml:space="preserve"> bulk carriers cascading down to minor and newly developing trades. </w:t>
            </w:r>
            <w:r w:rsidRPr="00272114">
              <w:rPr>
                <w:rFonts w:cs="Arial"/>
                <w:szCs w:val="24"/>
              </w:rPr>
              <w:t>(</w:t>
            </w:r>
            <w:proofErr w:type="spellStart"/>
            <w:r w:rsidRPr="00272114">
              <w:rPr>
                <w:rFonts w:cs="Arial"/>
                <w:szCs w:val="24"/>
              </w:rPr>
              <w:t>Meyrick</w:t>
            </w:r>
            <w:proofErr w:type="spellEnd"/>
            <w:r w:rsidRPr="00272114">
              <w:rPr>
                <w:rFonts w:cs="Arial"/>
                <w:szCs w:val="24"/>
              </w:rPr>
              <w:t xml:space="preserve"> and Associates 2007, p. 37)</w:t>
            </w:r>
          </w:p>
          <w:p w:rsidR="00AE4D5A" w:rsidRPr="00FC2FFE" w:rsidRDefault="00AE4D5A" w:rsidP="008E5E01">
            <w:pPr>
              <w:pStyle w:val="Box"/>
              <w:ind w:left="403" w:hanging="403"/>
            </w:pPr>
            <w:r w:rsidRPr="00FC2FFE">
              <w:t>In Australia, that trend is supported by local factors:</w:t>
            </w:r>
          </w:p>
          <w:p w:rsidR="00AE4D5A" w:rsidRPr="00FC2FFE" w:rsidRDefault="00AE4D5A" w:rsidP="008E5E01">
            <w:pPr>
              <w:pStyle w:val="BoxQuote"/>
            </w:pPr>
            <w:r w:rsidRPr="00FC2FFE">
              <w:t>…</w:t>
            </w:r>
            <w:r>
              <w:t xml:space="preserve"> </w:t>
            </w:r>
            <w:r w:rsidRPr="00FC2FFE">
              <w:t>analyses we have performed for various port authorities suggests that the average and maximum containership sizes deployed on Australian trades will rise within 20 years from a current average of 2700 TEU and maximum of 4100 TEU to a future average of around 4500 TEU and maximum of around 6000 TEU</w:t>
            </w:r>
            <w:r>
              <w:t>.</w:t>
            </w:r>
            <w:r w:rsidRPr="00FC2FFE">
              <w:t xml:space="preserve"> </w:t>
            </w:r>
            <w:r w:rsidRPr="00272114">
              <w:rPr>
                <w:rFonts w:cs="Arial"/>
                <w:szCs w:val="24"/>
              </w:rPr>
              <w:t>(</w:t>
            </w:r>
            <w:proofErr w:type="spellStart"/>
            <w:r w:rsidRPr="00272114">
              <w:rPr>
                <w:rFonts w:cs="Arial"/>
                <w:szCs w:val="24"/>
              </w:rPr>
              <w:t>Meyrick</w:t>
            </w:r>
            <w:proofErr w:type="spellEnd"/>
            <w:r w:rsidRPr="00272114">
              <w:rPr>
                <w:rFonts w:cs="Arial"/>
                <w:szCs w:val="24"/>
              </w:rPr>
              <w:t xml:space="preserve"> and Associates 2007, p. 40)</w:t>
            </w:r>
            <w:r w:rsidDel="00B156BC">
              <w:t xml:space="preserve"> </w:t>
            </w:r>
          </w:p>
          <w:p w:rsidR="00AE4D5A" w:rsidRDefault="00AE4D5A" w:rsidP="008E5E01">
            <w:pPr>
              <w:pStyle w:val="BoxQuote"/>
            </w:pPr>
            <w:r w:rsidRPr="00FC2FFE">
              <w:t>…</w:t>
            </w:r>
            <w:r>
              <w:t xml:space="preserve"> </w:t>
            </w:r>
            <w:r w:rsidRPr="00FC2FFE">
              <w:t xml:space="preserve">the maximum size of containerships is expected to increase from the current 4100 TEU to around 6000 TEU after completion of the planned Melbourne channel deepening in 2010. </w:t>
            </w:r>
            <w:r w:rsidRPr="00272114">
              <w:rPr>
                <w:rFonts w:cs="Arial"/>
                <w:szCs w:val="24"/>
              </w:rPr>
              <w:t>(</w:t>
            </w:r>
            <w:proofErr w:type="spellStart"/>
            <w:r w:rsidRPr="00272114">
              <w:rPr>
                <w:rFonts w:cs="Arial"/>
                <w:szCs w:val="24"/>
              </w:rPr>
              <w:t>Meyrick</w:t>
            </w:r>
            <w:proofErr w:type="spellEnd"/>
            <w:r w:rsidRPr="00272114">
              <w:rPr>
                <w:rFonts w:cs="Arial"/>
                <w:szCs w:val="24"/>
              </w:rPr>
              <w:t xml:space="preserve"> and Associates 2007, p. 48)</w:t>
            </w:r>
            <w:r w:rsidDel="00B156BC">
              <w:t xml:space="preserve"> </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Sources</w:t>
            </w:r>
            <w:r w:rsidRPr="00167F06">
              <w:t xml:space="preserve">: </w:t>
            </w:r>
            <w:proofErr w:type="spellStart"/>
            <w:r>
              <w:t>UNCTAD</w:t>
            </w:r>
            <w:proofErr w:type="spellEnd"/>
            <w:r>
              <w:t xml:space="preserve"> </w:t>
            </w:r>
            <w:r w:rsidRPr="00A4506A">
              <w:rPr>
                <w:rFonts w:cs="Arial"/>
              </w:rPr>
              <w:t>(2012)</w:t>
            </w:r>
            <w:r>
              <w:t xml:space="preserve">, </w:t>
            </w:r>
            <w:proofErr w:type="spellStart"/>
            <w:r>
              <w:t>Meyrick</w:t>
            </w:r>
            <w:proofErr w:type="spellEnd"/>
            <w:r>
              <w:t xml:space="preserve"> and Associates </w:t>
            </w:r>
            <w:r w:rsidRPr="00A4506A">
              <w:rPr>
                <w:rFonts w:cs="Arial"/>
              </w:rPr>
              <w:t>(2007)</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pPr>
      <w:r>
        <w:t xml:space="preserve">An Infrastructure Australia report highlighted </w:t>
      </w:r>
      <w:r w:rsidRPr="00A208FF">
        <w:t xml:space="preserve">channel depths at Tasmania’s </w:t>
      </w:r>
      <w:r>
        <w:t xml:space="preserve">northern </w:t>
      </w:r>
      <w:r w:rsidRPr="00A208FF">
        <w:t xml:space="preserve">ports </w:t>
      </w:r>
      <w:r>
        <w:t>(table 4.5)</w:t>
      </w:r>
      <w:r w:rsidRPr="00A208FF">
        <w:t xml:space="preserve"> </w:t>
      </w:r>
      <w:r>
        <w:t xml:space="preserve">as a major obstacle to attracting direct international shipping services given that, in the future, navigation channels will need to cater to vessels with a draught of 12–13 metres </w:t>
      </w:r>
      <w:r w:rsidRPr="0099488A">
        <w:rPr>
          <w:szCs w:val="24"/>
        </w:rPr>
        <w:t>(GPS 2013)</w:t>
      </w:r>
      <w:r>
        <w:t xml:space="preserve">. That report also noted that </w:t>
      </w:r>
      <w:r w:rsidRPr="00A208FF">
        <w:t>the cost to address this</w:t>
      </w:r>
      <w:r>
        <w:t xml:space="preserve"> deficiency would be </w:t>
      </w:r>
      <w:r w:rsidRPr="00A208FF">
        <w:t xml:space="preserve">prohibitive </w:t>
      </w:r>
      <w:r w:rsidR="007C1471" w:rsidRPr="007C1471">
        <w:rPr>
          <w:szCs w:val="24"/>
        </w:rPr>
        <w:t>(Infrastructure Australia 2012b)</w:t>
      </w:r>
      <w:r w:rsidRPr="00A208FF">
        <w:t>.</w:t>
      </w:r>
      <w:r>
        <w:t xml:space="preserve"> </w:t>
      </w:r>
      <w:r w:rsidDel="00CA5646">
        <w:t>The ports at King Island and the Furneaux Group of islands face more acute physical constraint issues (box 4.6).</w:t>
      </w:r>
    </w:p>
    <w:p w:rsidR="00AE4D5A" w:rsidRDefault="00AE4D5A" w:rsidP="008E5E01">
      <w:pPr>
        <w:pStyle w:val="TableTitle"/>
      </w:pPr>
      <w:r>
        <w:rPr>
          <w:b w:val="0"/>
        </w:rPr>
        <w:t>Table 4.</w:t>
      </w:r>
      <w:r>
        <w:rPr>
          <w:b w:val="0"/>
          <w:noProof/>
        </w:rPr>
        <w:t>5</w:t>
      </w:r>
      <w:r>
        <w:tab/>
        <w:t>Channel depths at Tasmania’s main ports</w:t>
      </w:r>
    </w:p>
    <w:tbl>
      <w:tblPr>
        <w:tblW w:w="5000" w:type="pct"/>
        <w:tblCellMar>
          <w:left w:w="0" w:type="dxa"/>
          <w:right w:w="0" w:type="dxa"/>
        </w:tblCellMar>
        <w:tblLook w:val="0000" w:firstRow="0" w:lastRow="0" w:firstColumn="0" w:lastColumn="0" w:noHBand="0" w:noVBand="0"/>
      </w:tblPr>
      <w:tblGrid>
        <w:gridCol w:w="4396"/>
        <w:gridCol w:w="4393"/>
      </w:tblGrid>
      <w:tr w:rsidR="00AE4D5A" w:rsidTr="008E5E01">
        <w:tc>
          <w:tcPr>
            <w:tcW w:w="2501" w:type="pct"/>
            <w:tcBorders>
              <w:top w:val="single" w:sz="6" w:space="0" w:color="auto"/>
              <w:bottom w:val="single" w:sz="6" w:space="0" w:color="auto"/>
            </w:tcBorders>
            <w:shd w:val="clear" w:color="auto" w:fill="auto"/>
          </w:tcPr>
          <w:p w:rsidR="00AE4D5A" w:rsidRDefault="00AE4D5A" w:rsidP="008E5E01">
            <w:pPr>
              <w:pStyle w:val="TableColumnHeading"/>
              <w:jc w:val="left"/>
            </w:pPr>
            <w:r>
              <w:t>Port</w:t>
            </w:r>
          </w:p>
        </w:tc>
        <w:tc>
          <w:tcPr>
            <w:tcW w:w="2499" w:type="pct"/>
            <w:tcBorders>
              <w:top w:val="single" w:sz="6" w:space="0" w:color="auto"/>
              <w:bottom w:val="single" w:sz="6" w:space="0" w:color="auto"/>
            </w:tcBorders>
            <w:shd w:val="clear" w:color="auto" w:fill="auto"/>
          </w:tcPr>
          <w:p w:rsidR="00AE4D5A" w:rsidRDefault="00AE4D5A" w:rsidP="008E5E01">
            <w:pPr>
              <w:pStyle w:val="TableColumnHeading"/>
              <w:ind w:right="28"/>
            </w:pPr>
            <w:r>
              <w:t>Channel depth</w:t>
            </w:r>
          </w:p>
        </w:tc>
      </w:tr>
      <w:tr w:rsidR="00AE4D5A" w:rsidTr="008E5E01">
        <w:tc>
          <w:tcPr>
            <w:tcW w:w="2501" w:type="pct"/>
            <w:tcBorders>
              <w:top w:val="single" w:sz="6" w:space="0" w:color="auto"/>
            </w:tcBorders>
          </w:tcPr>
          <w:p w:rsidR="00AE4D5A" w:rsidRDefault="00AE4D5A" w:rsidP="008E5E01">
            <w:pPr>
              <w:pStyle w:val="TableUnitsRow"/>
              <w:jc w:val="left"/>
            </w:pPr>
            <w:r>
              <w:t>Bell Bay</w:t>
            </w:r>
          </w:p>
        </w:tc>
        <w:tc>
          <w:tcPr>
            <w:tcW w:w="2499" w:type="pct"/>
            <w:tcBorders>
              <w:top w:val="single" w:sz="6" w:space="0" w:color="auto"/>
            </w:tcBorders>
          </w:tcPr>
          <w:p w:rsidR="00AE4D5A" w:rsidRDefault="00AE4D5A" w:rsidP="008E5E01">
            <w:pPr>
              <w:pStyle w:val="TableUnitsRow"/>
              <w:ind w:right="28"/>
            </w:pPr>
            <w:r>
              <w:t>10.8 m</w:t>
            </w:r>
          </w:p>
        </w:tc>
      </w:tr>
      <w:tr w:rsidR="00AE4D5A" w:rsidTr="008E5E01">
        <w:tc>
          <w:tcPr>
            <w:tcW w:w="2501" w:type="pct"/>
          </w:tcPr>
          <w:p w:rsidR="00AE4D5A" w:rsidRDefault="00AE4D5A" w:rsidP="008E5E01">
            <w:pPr>
              <w:pStyle w:val="TableBodyText"/>
              <w:jc w:val="left"/>
            </w:pPr>
            <w:r>
              <w:t>Burnie</w:t>
            </w:r>
          </w:p>
        </w:tc>
        <w:tc>
          <w:tcPr>
            <w:tcW w:w="2499" w:type="pct"/>
          </w:tcPr>
          <w:p w:rsidR="00AE4D5A" w:rsidRDefault="00AE4D5A" w:rsidP="008E5E01">
            <w:pPr>
              <w:pStyle w:val="TableBodyText"/>
              <w:ind w:right="28"/>
            </w:pPr>
            <w:r>
              <w:t>9.4 to 10.0 m</w:t>
            </w:r>
          </w:p>
        </w:tc>
      </w:tr>
      <w:tr w:rsidR="00AE4D5A" w:rsidTr="008E5E01">
        <w:tc>
          <w:tcPr>
            <w:tcW w:w="2501" w:type="pct"/>
          </w:tcPr>
          <w:p w:rsidR="00AE4D5A" w:rsidRDefault="00AE4D5A" w:rsidP="008E5E01">
            <w:pPr>
              <w:pStyle w:val="TableBodyText"/>
              <w:jc w:val="left"/>
            </w:pPr>
            <w:r>
              <w:t>Devonport</w:t>
            </w:r>
          </w:p>
        </w:tc>
        <w:tc>
          <w:tcPr>
            <w:tcW w:w="2499" w:type="pct"/>
          </w:tcPr>
          <w:p w:rsidR="00AE4D5A" w:rsidRDefault="00AE4D5A" w:rsidP="008E5E01">
            <w:pPr>
              <w:pStyle w:val="TableBodyText"/>
              <w:ind w:right="28"/>
            </w:pPr>
            <w:r>
              <w:t>9.4 to 10.0 m</w:t>
            </w:r>
          </w:p>
        </w:tc>
      </w:tr>
      <w:tr w:rsidR="00AE4D5A" w:rsidTr="008E5E01">
        <w:tc>
          <w:tcPr>
            <w:tcW w:w="2501" w:type="pct"/>
            <w:tcBorders>
              <w:bottom w:val="single" w:sz="6" w:space="0" w:color="auto"/>
            </w:tcBorders>
            <w:shd w:val="clear" w:color="auto" w:fill="auto"/>
          </w:tcPr>
          <w:p w:rsidR="00AE4D5A" w:rsidRDefault="00AE4D5A" w:rsidP="008E5E01">
            <w:pPr>
              <w:pStyle w:val="TableBodyText"/>
              <w:jc w:val="left"/>
            </w:pPr>
            <w:r>
              <w:t>Hobart</w:t>
            </w:r>
          </w:p>
        </w:tc>
        <w:tc>
          <w:tcPr>
            <w:tcW w:w="2499" w:type="pct"/>
            <w:tcBorders>
              <w:bottom w:val="single" w:sz="6" w:space="0" w:color="auto"/>
            </w:tcBorders>
            <w:shd w:val="clear" w:color="auto" w:fill="auto"/>
          </w:tcPr>
          <w:p w:rsidR="00AE4D5A" w:rsidRDefault="00AE4D5A" w:rsidP="008E5E01">
            <w:pPr>
              <w:pStyle w:val="TableBodyText"/>
              <w:ind w:right="28"/>
            </w:pPr>
            <w:r>
              <w:t>12.5 to 13.7 m</w:t>
            </w:r>
          </w:p>
        </w:tc>
      </w:tr>
    </w:tbl>
    <w:p w:rsidR="00AE4D5A" w:rsidRPr="008E77FE" w:rsidRDefault="00AE4D5A" w:rsidP="008E5E01">
      <w:pPr>
        <w:pStyle w:val="Source"/>
      </w:pPr>
      <w:r>
        <w:rPr>
          <w:i/>
        </w:rPr>
        <w:t>Source</w:t>
      </w:r>
      <w:r w:rsidRPr="006F4A3B">
        <w:t xml:space="preserve">: Infrastructure Australia </w:t>
      </w:r>
      <w:r w:rsidR="007C1471" w:rsidRPr="007C1471">
        <w:rPr>
          <w:rFonts w:cs="Arial"/>
        </w:rPr>
        <w:t>(2012b)</w:t>
      </w:r>
      <w:r>
        <w:t>, citing TasPorts.</w:t>
      </w:r>
    </w:p>
    <w:p w:rsidR="00AE4D5A" w:rsidRDefault="00AE4D5A" w:rsidP="008E5E01">
      <w:pPr>
        <w:pStyle w:val="BodyText"/>
      </w:pPr>
      <w:r>
        <w:lastRenderedPageBreak/>
        <w:t>T</w:t>
      </w:r>
      <w:r w:rsidRPr="00F8386A">
        <w:t>he physical constraints inherent in Tasmania’s northern ports (where channel depths and other restrictions impose a dra</w:t>
      </w:r>
      <w:r>
        <w:t>ught</w:t>
      </w:r>
      <w:r w:rsidRPr="00F8386A">
        <w:t xml:space="preserve"> limit of around 12 metres and a vessel length of 265</w:t>
      </w:r>
      <w:r>
        <w:t> </w:t>
      </w:r>
      <w:r w:rsidRPr="00F8386A">
        <w:t xml:space="preserve">metres) are likely to be too </w:t>
      </w:r>
      <w:r>
        <w:t>costly to address,</w:t>
      </w:r>
      <w:r w:rsidRPr="00F8386A">
        <w:t xml:space="preserve"> or face intractable environmental hurdles. If this proves so, then </w:t>
      </w:r>
      <w:r>
        <w:t xml:space="preserve">port </w:t>
      </w:r>
      <w:r w:rsidRPr="00F8386A">
        <w:t>access will be limited to 3000</w:t>
      </w:r>
      <w:r>
        <w:noBreakHyphen/>
      </w:r>
      <w:r w:rsidRPr="00F8386A">
        <w:t>4000 TEU vessels, which will only be adequate for the domestic Bass Strait trade</w:t>
      </w:r>
      <w:r>
        <w:t xml:space="preserve">. </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6</w:t>
            </w:r>
            <w:r>
              <w:tab/>
              <w:t>Port infrastructure at King Island and the Furneaux Group of islands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Ports are central to industry and the communities on King and Furneaux Group of islands. In 2012</w:t>
            </w:r>
            <w:r>
              <w:noBreakHyphen/>
              <w:t xml:space="preserve">13, there were 92 ship calls at King Island, with a freight task of around 8110 TEUs (TasPorts, sub. 30, p. 2). </w:t>
            </w:r>
          </w:p>
          <w:p w:rsidR="00AE4D5A" w:rsidRDefault="00AE4D5A" w:rsidP="008E5E01">
            <w:pPr>
              <w:pStyle w:val="Box"/>
            </w:pPr>
            <w:r>
              <w:t>As the Flinders Council states:</w:t>
            </w:r>
          </w:p>
          <w:p w:rsidR="00AE4D5A" w:rsidRDefault="00AE4D5A" w:rsidP="008E5E01">
            <w:pPr>
              <w:pStyle w:val="BoxQuote"/>
            </w:pPr>
            <w:r>
              <w:t>Having a modern port facility to ensure the proper handling of goods and livestock, while maximising efficiencies in stevedoring are essential to the economic future of Flinders Island. (sub. 23, p. 3)</w:t>
            </w:r>
          </w:p>
          <w:p w:rsidR="00AE4D5A" w:rsidRDefault="00AE4D5A" w:rsidP="008E5E01">
            <w:pPr>
              <w:pStyle w:val="Box"/>
            </w:pPr>
            <w:r>
              <w:t xml:space="preserve">Both the King and Flinders Island ports have size restrictions. Currently, the existing volume is easily serviced by the current vessels operating from these ports (TasPorts, sub. 30, p. 4). </w:t>
            </w:r>
          </w:p>
          <w:p w:rsidR="00AE4D5A" w:rsidRDefault="00AE4D5A" w:rsidP="008E5E01">
            <w:pPr>
              <w:pStyle w:val="Box"/>
            </w:pPr>
            <w:r>
              <w:t>However, there is concern that future increases in vessel size may put a sea freight service to the islands at risk. The TFGA — King Island Branch commented:</w:t>
            </w:r>
          </w:p>
          <w:p w:rsidR="00AE4D5A" w:rsidRDefault="00AE4D5A" w:rsidP="008E5E01">
            <w:pPr>
              <w:pStyle w:val="BoxQuote"/>
            </w:pPr>
            <w:r w:rsidRPr="0036239D">
              <w:t>There are limitations with the Grassy Port around ship length and depth of harbour with regard to a potential replacement ship</w:t>
            </w:r>
            <w:r>
              <w:t>. (TFGA — King Island Branch, sub. 8, p. 3)</w:t>
            </w:r>
          </w:p>
        </w:tc>
      </w:tr>
      <w:tr w:rsidR="00AE4D5A" w:rsidTr="008E5E01">
        <w:trPr>
          <w:cantSplit/>
          <w:trHeight w:val="283"/>
        </w:trPr>
        <w:tc>
          <w:tcPr>
            <w:tcW w:w="8771" w:type="dxa"/>
            <w:tcBorders>
              <w:top w:val="nil"/>
              <w:left w:val="single" w:sz="6" w:space="0" w:color="auto"/>
              <w:bottom w:val="single" w:sz="6" w:space="0" w:color="auto"/>
              <w:right w:val="single" w:sz="6" w:space="0" w:color="auto"/>
            </w:tcBorders>
          </w:tcPr>
          <w:p w:rsidR="00AE4D5A" w:rsidRPr="006F4A3B" w:rsidRDefault="00AE4D5A" w:rsidP="008E5E01">
            <w:pPr>
              <w:pStyle w:val="BoxSource"/>
              <w:rPr>
                <w:sz w:val="16"/>
                <w:szCs w:val="16"/>
              </w:rPr>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pPr>
      <w:r>
        <w:t>This is an issue facing many smaller ports in Australia (such as Adelaide) and around the world, as international shipping moves towards a hub and spoke model, with fewer, larger hubs and larger ships serving them. As ANL commented in regard to Tasmanian ports:</w:t>
      </w:r>
    </w:p>
    <w:p w:rsidR="00AE4D5A" w:rsidRDefault="00AE4D5A" w:rsidP="008E5E01">
      <w:pPr>
        <w:pStyle w:val="Quote"/>
      </w:pPr>
      <w:r>
        <w:t>These container ports are very small by world standards and the dilemma facing small ports the world over is the increasing size of container ships … The issue for the smaller ports is having enough throughput for a big and more expensive (in overall daily cost) vessel calling direct and having the necessary infrastructure to service them in terms of draft, berths and number of quay cranes. (sub. 33, p. 4)</w:t>
      </w:r>
    </w:p>
    <w:p w:rsidR="00AE4D5A" w:rsidRDefault="00AE4D5A" w:rsidP="008E5E01">
      <w:pPr>
        <w:pStyle w:val="BodyText"/>
      </w:pPr>
      <w:r>
        <w:t>According to TasPorts, however, some northern ports are still capable of handling international vessels, and it does seem likely that Tasmanian port infrastructure is not the main impediment to international shipping operations:</w:t>
      </w:r>
    </w:p>
    <w:p w:rsidR="00AE4D5A" w:rsidRDefault="00AE4D5A" w:rsidP="008E5E01">
      <w:pPr>
        <w:pStyle w:val="Quote"/>
      </w:pPr>
      <w:r>
        <w:t xml:space="preserve">TasPorts has assessed the capability of Burnie and Bell Bay ports to accommodate calls by international container ships currently serving the Australian market. With berth parameters of 280 ML (at Burnie) and 265 ML (at Bell Bay), </w:t>
      </w:r>
      <w:proofErr w:type="spellStart"/>
      <w:r>
        <w:t>Tasports</w:t>
      </w:r>
      <w:proofErr w:type="spellEnd"/>
      <w:r>
        <w:t xml:space="preserve">’ infrastructure </w:t>
      </w:r>
      <w:r>
        <w:lastRenderedPageBreak/>
        <w:t xml:space="preserve">could handle in excess of 50 % of container vessels calling at Melbourne within the current channel, berth depth and quay length parameters. (sub. 30, p. 4) </w:t>
      </w:r>
    </w:p>
    <w:p w:rsidR="00AE4D5A" w:rsidRDefault="00AE4D5A" w:rsidP="008E5E01">
      <w:pPr>
        <w:pStyle w:val="BodyText"/>
      </w:pPr>
      <w:r>
        <w:t>Addressing infrastructure deficiencies is essential if Tasmanian ports are to cope with the freight task required of them and deliver more efficient port services. However, being able to do this is closely linked to the issue of scale — greater throughput can provide justification for investments needed to overcome capacity bottlenecks and improve infrastructure efficiency — and issues around ownership of the port system. As such, infrastructure investment implications would need to be considered in any strategy for port rationalisation.</w:t>
      </w:r>
    </w:p>
    <w:p w:rsidR="00AE4D5A" w:rsidRPr="00B71562" w:rsidRDefault="00AE4D5A" w:rsidP="008E5E01">
      <w:pPr>
        <w:pStyle w:val="BodyText"/>
      </w:pPr>
      <w:r w:rsidRPr="00B71562">
        <w:t>As noted, TasPorts is developing a 30 Year Plan which scopes future need for the ports in Tasmania:</w:t>
      </w:r>
    </w:p>
    <w:p w:rsidR="00AE4D5A" w:rsidRPr="00B71562" w:rsidRDefault="00AE4D5A" w:rsidP="008E5E01">
      <w:pPr>
        <w:pStyle w:val="Quote"/>
      </w:pPr>
      <w:r w:rsidRPr="00B71562">
        <w:t xml:space="preserve">The strategy is based on an incremental infrastructure plan, the benefits of which include building capacity as required, avoiding duplications and maintaining the ability to flexibly manage ongoing pressures and potential innovations. (sub. 30, p. 5) </w:t>
      </w:r>
    </w:p>
    <w:p w:rsidR="00AE4D5A" w:rsidRDefault="00AE4D5A" w:rsidP="008E5E01">
      <w:pPr>
        <w:pStyle w:val="BodyText"/>
      </w:pPr>
      <w:r>
        <w:t xml:space="preserve">The FLCT </w:t>
      </w:r>
      <w:r w:rsidRPr="007476E7">
        <w:t>(2013a)</w:t>
      </w:r>
      <w:r w:rsidRPr="00B71562">
        <w:t xml:space="preserve"> has suggested that incremental investment in port infrastructure at Burnie</w:t>
      </w:r>
      <w:r>
        <w:t xml:space="preserve"> </w:t>
      </w:r>
      <w:r w:rsidRPr="00B71562">
        <w:t>would provide sufficient capacity to handle growth in volume.</w:t>
      </w:r>
      <w:r>
        <w:t xml:space="preserve"> The main port related recommendations of the FLCT are outlined in box 4.7.</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7</w:t>
            </w:r>
            <w:r>
              <w:tab/>
              <w:t>FLCT port recommendations</w:t>
            </w:r>
          </w:p>
        </w:tc>
      </w:tr>
      <w:tr w:rsidR="00AE4D5A" w:rsidTr="008E5E01">
        <w:trPr>
          <w:cantSplit/>
        </w:trPr>
        <w:tc>
          <w:tcPr>
            <w:tcW w:w="8771" w:type="dxa"/>
            <w:tcBorders>
              <w:top w:val="nil"/>
              <w:left w:val="single" w:sz="6" w:space="0" w:color="auto"/>
              <w:bottom w:val="nil"/>
              <w:right w:val="single" w:sz="6" w:space="0" w:color="auto"/>
            </w:tcBorders>
          </w:tcPr>
          <w:p w:rsidR="00AE4D5A" w:rsidRPr="00A858F6" w:rsidRDefault="00AE4D5A" w:rsidP="008E5E01">
            <w:pPr>
              <w:pStyle w:val="Box"/>
            </w:pPr>
            <w:r w:rsidRPr="00A858F6">
              <w:t>The final report of the FLCT made a series of recommendations regarding Tasmania</w:t>
            </w:r>
            <w:r>
              <w:t>n</w:t>
            </w:r>
            <w:r w:rsidRPr="00A858F6">
              <w:t xml:space="preserve"> ports and the Port of Melbourne:</w:t>
            </w:r>
          </w:p>
          <w:p w:rsidR="00AE4D5A" w:rsidRPr="00A858F6" w:rsidRDefault="00AE4D5A" w:rsidP="008E5E01">
            <w:pPr>
              <w:pStyle w:val="BoxListBullet"/>
            </w:pPr>
            <w:r w:rsidRPr="00A858F6">
              <w:t>Port development is critical for Tasmania and should be progressed on the following basis:</w:t>
            </w:r>
          </w:p>
          <w:p w:rsidR="00AE4D5A" w:rsidRPr="00A858F6" w:rsidRDefault="00AE4D5A" w:rsidP="008E5E01">
            <w:pPr>
              <w:pStyle w:val="BoxListBullet2"/>
              <w:numPr>
                <w:ilvl w:val="0"/>
                <w:numId w:val="2"/>
              </w:numPr>
            </w:pPr>
            <w:r w:rsidRPr="00A858F6">
              <w:t>Formalise a long</w:t>
            </w:r>
            <w:r>
              <w:noBreakHyphen/>
            </w:r>
            <w:r w:rsidRPr="00A858F6">
              <w:t>term port strategy that recognises Burnie Port as Tasmania’s principal domestic container port in the medium to long term, based on potential for deep water expansion, closest sea travel time to Melbourne, the ability to develop at comparatively lower cost and alignment with land transport networks.</w:t>
            </w:r>
          </w:p>
          <w:p w:rsidR="00AE4D5A" w:rsidRPr="00A858F6" w:rsidRDefault="00AE4D5A" w:rsidP="008E5E01">
            <w:pPr>
              <w:pStyle w:val="BoxListBullet2"/>
              <w:numPr>
                <w:ilvl w:val="0"/>
                <w:numId w:val="2"/>
              </w:numPr>
            </w:pPr>
            <w:r w:rsidRPr="00A858F6">
              <w:t>Ensure investment in other ports is targeted to meet specific freight needs, with no investment in duplicated functions.</w:t>
            </w:r>
          </w:p>
          <w:p w:rsidR="00AE4D5A" w:rsidRPr="00A858F6" w:rsidRDefault="00AE4D5A" w:rsidP="008E5E01">
            <w:pPr>
              <w:pStyle w:val="BoxListBullet2"/>
              <w:numPr>
                <w:ilvl w:val="0"/>
                <w:numId w:val="2"/>
              </w:numPr>
            </w:pPr>
            <w:r w:rsidRPr="00A858F6">
              <w:t>Formalise an involvement by the Tasmanian Government with the Victorian Government in Port Planning that recognises Tasmania is a significant customer of the Port of Melbourne.</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w:t>
            </w:r>
            <w:r>
              <w:t xml:space="preserve"> FLCT </w:t>
            </w:r>
            <w:r w:rsidRPr="00A4506A">
              <w:rPr>
                <w:rFonts w:cs="Arial"/>
              </w:rPr>
              <w:t>(2013a)</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Heading3"/>
      </w:pPr>
      <w:r>
        <w:lastRenderedPageBreak/>
        <w:t>Port ownership</w:t>
      </w:r>
    </w:p>
    <w:p w:rsidR="00AE4D5A" w:rsidRDefault="00AE4D5A" w:rsidP="008E5E01">
      <w:pPr>
        <w:pStyle w:val="BodyText"/>
      </w:pPr>
      <w:r>
        <w:t>Most Tasmanian ports are owned and managed by TasPorts, a g</w:t>
      </w:r>
      <w:r w:rsidRPr="00453D2F">
        <w:t xml:space="preserve">overnment </w:t>
      </w:r>
      <w:r>
        <w:t>b</w:t>
      </w:r>
      <w:r w:rsidRPr="00453D2F">
        <w:t xml:space="preserve">usiness </w:t>
      </w:r>
      <w:r>
        <w:t>e</w:t>
      </w:r>
      <w:r w:rsidRPr="00453D2F">
        <w:t>nterprise</w:t>
      </w:r>
      <w:r>
        <w:t>. This contrasts with most mainland capital city ports which have been privatised — the Port of Melbourne is the only remaining mainland capital city port still government</w:t>
      </w:r>
      <w:r>
        <w:noBreakHyphen/>
        <w:t xml:space="preserve">owned </w:t>
      </w:r>
      <w:r w:rsidRPr="00272114">
        <w:rPr>
          <w:szCs w:val="24"/>
        </w:rPr>
        <w:t xml:space="preserve">(van </w:t>
      </w:r>
      <w:proofErr w:type="spellStart"/>
      <w:r w:rsidRPr="00272114">
        <w:rPr>
          <w:szCs w:val="24"/>
        </w:rPr>
        <w:t>Duyn</w:t>
      </w:r>
      <w:proofErr w:type="spellEnd"/>
      <w:r w:rsidRPr="00272114">
        <w:rPr>
          <w:szCs w:val="24"/>
        </w:rPr>
        <w:t> 2013)</w:t>
      </w:r>
      <w:r>
        <w:t xml:space="preserve">. </w:t>
      </w:r>
    </w:p>
    <w:p w:rsidR="00AE4D5A" w:rsidRDefault="00AE4D5A" w:rsidP="008E5E01">
      <w:pPr>
        <w:pStyle w:val="BodyText"/>
      </w:pPr>
      <w:r>
        <w:t xml:space="preserve">Ports have also generally adopted a landlord model, separating ownership of the port from the operation of services such as stevedoring and towage. </w:t>
      </w:r>
      <w:r w:rsidRPr="00A858F6">
        <w:t xml:space="preserve">Under this model, investment decisions </w:t>
      </w:r>
      <w:r>
        <w:t xml:space="preserve">at terminals </w:t>
      </w:r>
      <w:r w:rsidRPr="00A858F6">
        <w:t xml:space="preserve">should be driven by </w:t>
      </w:r>
      <w:r>
        <w:t xml:space="preserve">core </w:t>
      </w:r>
      <w:r w:rsidRPr="00A858F6">
        <w:t>commercial imperatives.</w:t>
      </w:r>
      <w:r>
        <w:t xml:space="preserve"> In Tasmania, TasPorts provides towage and pilotage as well as ownership of the ports (</w:t>
      </w:r>
      <w:proofErr w:type="spellStart"/>
      <w:r>
        <w:t>SeaRoad</w:t>
      </w:r>
      <w:proofErr w:type="spellEnd"/>
      <w:r>
        <w:t xml:space="preserve">, </w:t>
      </w:r>
      <w:proofErr w:type="spellStart"/>
      <w:r>
        <w:t>DR81</w:t>
      </w:r>
      <w:proofErr w:type="spellEnd"/>
      <w:r>
        <w:t>).</w:t>
      </w:r>
    </w:p>
    <w:p w:rsidR="00AE4D5A" w:rsidRDefault="00AE4D5A" w:rsidP="008E5E01">
      <w:pPr>
        <w:pStyle w:val="BodyText"/>
      </w:pPr>
      <w:r>
        <w:t xml:space="preserve">In Tasmania, the three Bass Strait shipping companies use dedicated terminals under long term leases. The Commission understands that this has facilitated significant private investment in infrastructure at these terminals. It has also prompted some private investment in land transport infrastructure, including a tripartite project between TasPorts, TasRail and Toll to redevelop the Burnie rail yard and improve access to the Toll terminal </w:t>
      </w:r>
      <w:r w:rsidR="007C1471" w:rsidRPr="007C1471">
        <w:rPr>
          <w:szCs w:val="24"/>
        </w:rPr>
        <w:t>(DIER 2013b)</w:t>
      </w:r>
      <w:r>
        <w:t>.</w:t>
      </w:r>
    </w:p>
    <w:p w:rsidR="00AE4D5A" w:rsidRDefault="00AE4D5A" w:rsidP="008E5E01">
      <w:pPr>
        <w:pStyle w:val="BodyText"/>
        <w:spacing w:before="200"/>
      </w:pPr>
      <w:r>
        <w:t xml:space="preserve">That said, government involvement in the port system introduces the risk of weaker incentives for effective management of assets compared to private sector businesses </w:t>
      </w:r>
      <w:r w:rsidRPr="00272114">
        <w:rPr>
          <w:szCs w:val="24"/>
        </w:rPr>
        <w:t>(PC 2008)</w:t>
      </w:r>
      <w:r>
        <w:t xml:space="preserve">. Studies indicate that private sector involvement in infrastructure provision more generally can deliver savings, for example of around 22 per cent in the design and build phase under a public private partnership model </w:t>
      </w:r>
      <w:r w:rsidRPr="00272114">
        <w:rPr>
          <w:szCs w:val="24"/>
        </w:rPr>
        <w:t>(Mercer 2011)</w:t>
      </w:r>
      <w:r>
        <w:t>.</w:t>
      </w:r>
    </w:p>
    <w:p w:rsidR="00AE4D5A" w:rsidRDefault="00AE4D5A" w:rsidP="008E5E01">
      <w:pPr>
        <w:pStyle w:val="BodyText"/>
        <w:spacing w:before="200"/>
      </w:pPr>
      <w:r>
        <w:t>The TasPorts Members Statement of Expectations sets out the principal commercial objective of TasPorts as:</w:t>
      </w:r>
    </w:p>
    <w:p w:rsidR="00AE4D5A" w:rsidRDefault="00AE4D5A" w:rsidP="008E5E01">
      <w:pPr>
        <w:pStyle w:val="QuoteBullet"/>
      </w:pPr>
      <w:r>
        <w:t>be a successful company by operating in accordance with sound commercial practice and as efficiently as possible</w:t>
      </w:r>
    </w:p>
    <w:p w:rsidR="00AE4D5A" w:rsidRPr="002D6D27" w:rsidRDefault="00AE4D5A" w:rsidP="008E5E01">
      <w:pPr>
        <w:pStyle w:val="QuoteBullet"/>
      </w:pPr>
      <w:r>
        <w:t xml:space="preserve">achieve a sustainable commercial rate of return in accordance with its corporate plan, having regard to the social and economic objectives of the State, as agreed in writing with the Members </w:t>
      </w:r>
      <w:r w:rsidRPr="009C36C7">
        <w:rPr>
          <w:szCs w:val="24"/>
        </w:rPr>
        <w:t>(TasPorts 2012b, p. 2)</w:t>
      </w:r>
      <w:r>
        <w:t>.</w:t>
      </w:r>
    </w:p>
    <w:p w:rsidR="00AE4D5A" w:rsidRDefault="00AE4D5A" w:rsidP="008E5E01">
      <w:pPr>
        <w:pStyle w:val="BodyText"/>
        <w:spacing w:before="200"/>
      </w:pPr>
      <w:r>
        <w:t>An assessment of the financial performance of TasPorts indicates that it is not making a commercial return and in the past two years did not recover operating costs (table 4.6). The rate of return on equity, for example, is significantly below the risk</w:t>
      </w:r>
      <w:r>
        <w:noBreakHyphen/>
        <w:t xml:space="preserve">free rate of return. </w:t>
      </w:r>
    </w:p>
    <w:p w:rsidR="00AE4D5A" w:rsidRDefault="00AE4D5A" w:rsidP="008E5E01">
      <w:pPr>
        <w:pStyle w:val="TableTitle"/>
        <w:spacing w:before="240"/>
      </w:pPr>
      <w:r>
        <w:rPr>
          <w:b w:val="0"/>
        </w:rPr>
        <w:lastRenderedPageBreak/>
        <w:t>Table 4.</w:t>
      </w:r>
      <w:r>
        <w:rPr>
          <w:b w:val="0"/>
          <w:noProof/>
        </w:rPr>
        <w:t>6</w:t>
      </w:r>
      <w:r>
        <w:tab/>
        <w:t>Financial Performance of TasPorts</w:t>
      </w:r>
    </w:p>
    <w:tbl>
      <w:tblPr>
        <w:tblW w:w="5000" w:type="pct"/>
        <w:tblCellMar>
          <w:left w:w="0" w:type="dxa"/>
          <w:right w:w="0" w:type="dxa"/>
        </w:tblCellMar>
        <w:tblLook w:val="0000" w:firstRow="0" w:lastRow="0" w:firstColumn="0" w:lastColumn="0" w:noHBand="0" w:noVBand="0"/>
      </w:tblPr>
      <w:tblGrid>
        <w:gridCol w:w="1874"/>
        <w:gridCol w:w="944"/>
        <w:gridCol w:w="1194"/>
        <w:gridCol w:w="1202"/>
        <w:gridCol w:w="1202"/>
        <w:gridCol w:w="1202"/>
        <w:gridCol w:w="1171"/>
      </w:tblGrid>
      <w:tr w:rsidR="00AE4D5A" w:rsidRPr="00F416F3" w:rsidTr="008E5E01">
        <w:tc>
          <w:tcPr>
            <w:tcW w:w="1066" w:type="pct"/>
            <w:tcBorders>
              <w:top w:val="single" w:sz="6" w:space="0" w:color="auto"/>
              <w:bottom w:val="single" w:sz="6" w:space="0" w:color="auto"/>
            </w:tcBorders>
            <w:shd w:val="clear" w:color="auto" w:fill="auto"/>
          </w:tcPr>
          <w:p w:rsidR="00AE4D5A" w:rsidRPr="00F416F3" w:rsidRDefault="00AE4D5A" w:rsidP="008E5E01">
            <w:pPr>
              <w:pStyle w:val="TableColumnHeading"/>
              <w:jc w:val="left"/>
              <w:rPr>
                <w:sz w:val="18"/>
                <w:szCs w:val="18"/>
              </w:rPr>
            </w:pPr>
            <w:r w:rsidRPr="00F416F3">
              <w:rPr>
                <w:sz w:val="18"/>
                <w:szCs w:val="18"/>
              </w:rPr>
              <w:t>Indicators</w:t>
            </w:r>
          </w:p>
        </w:tc>
        <w:tc>
          <w:tcPr>
            <w:tcW w:w="537" w:type="pct"/>
            <w:tcBorders>
              <w:top w:val="single" w:sz="6" w:space="0" w:color="auto"/>
              <w:bottom w:val="single" w:sz="6" w:space="0" w:color="auto"/>
            </w:tcBorders>
            <w:shd w:val="clear" w:color="auto" w:fill="auto"/>
          </w:tcPr>
          <w:p w:rsidR="00AE4D5A" w:rsidRPr="00F416F3" w:rsidRDefault="00AE4D5A" w:rsidP="008E5E01">
            <w:pPr>
              <w:pStyle w:val="TableColumnHeading"/>
              <w:rPr>
                <w:sz w:val="18"/>
                <w:szCs w:val="18"/>
              </w:rPr>
            </w:pPr>
            <w:r w:rsidRPr="00F416F3">
              <w:rPr>
                <w:sz w:val="18"/>
                <w:szCs w:val="18"/>
              </w:rPr>
              <w:t>Units</w:t>
            </w:r>
          </w:p>
        </w:tc>
        <w:tc>
          <w:tcPr>
            <w:tcW w:w="679"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2008</w:t>
            </w:r>
            <w:r>
              <w:rPr>
                <w:sz w:val="18"/>
                <w:szCs w:val="18"/>
              </w:rPr>
              <w:noBreakHyphen/>
            </w:r>
            <w:r w:rsidRPr="00F416F3">
              <w:rPr>
                <w:sz w:val="18"/>
                <w:szCs w:val="18"/>
              </w:rPr>
              <w:t>09</w:t>
            </w:r>
          </w:p>
        </w:tc>
        <w:tc>
          <w:tcPr>
            <w:tcW w:w="68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2009</w:t>
            </w:r>
            <w:r>
              <w:rPr>
                <w:sz w:val="18"/>
                <w:szCs w:val="18"/>
              </w:rPr>
              <w:noBreakHyphen/>
            </w:r>
            <w:r w:rsidRPr="00F416F3">
              <w:rPr>
                <w:sz w:val="18"/>
                <w:szCs w:val="18"/>
              </w:rPr>
              <w:t>10</w:t>
            </w:r>
          </w:p>
        </w:tc>
        <w:tc>
          <w:tcPr>
            <w:tcW w:w="68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2010</w:t>
            </w:r>
            <w:r>
              <w:rPr>
                <w:sz w:val="18"/>
                <w:szCs w:val="18"/>
              </w:rPr>
              <w:noBreakHyphen/>
            </w:r>
            <w:r w:rsidRPr="00F416F3">
              <w:rPr>
                <w:sz w:val="18"/>
                <w:szCs w:val="18"/>
              </w:rPr>
              <w:t>11</w:t>
            </w:r>
          </w:p>
        </w:tc>
        <w:tc>
          <w:tcPr>
            <w:tcW w:w="684" w:type="pct"/>
            <w:tcBorders>
              <w:top w:val="single" w:sz="6" w:space="0" w:color="auto"/>
              <w:bottom w:val="single" w:sz="6" w:space="0" w:color="auto"/>
            </w:tcBorders>
          </w:tcPr>
          <w:p w:rsidR="00AE4D5A" w:rsidRPr="00F416F3" w:rsidRDefault="00AE4D5A" w:rsidP="008E5E01">
            <w:pPr>
              <w:pStyle w:val="TableColumnHeading"/>
              <w:rPr>
                <w:sz w:val="18"/>
                <w:szCs w:val="18"/>
              </w:rPr>
            </w:pPr>
            <w:r w:rsidRPr="00F416F3">
              <w:rPr>
                <w:sz w:val="18"/>
                <w:szCs w:val="18"/>
              </w:rPr>
              <w:t>2011</w:t>
            </w:r>
            <w:r>
              <w:rPr>
                <w:sz w:val="18"/>
                <w:szCs w:val="18"/>
              </w:rPr>
              <w:noBreakHyphen/>
            </w:r>
            <w:r w:rsidRPr="00F416F3">
              <w:rPr>
                <w:sz w:val="18"/>
                <w:szCs w:val="18"/>
              </w:rPr>
              <w:t>12</w:t>
            </w:r>
          </w:p>
        </w:tc>
        <w:tc>
          <w:tcPr>
            <w:tcW w:w="666" w:type="pct"/>
            <w:tcBorders>
              <w:top w:val="single" w:sz="6" w:space="0" w:color="auto"/>
              <w:bottom w:val="single" w:sz="6" w:space="0" w:color="auto"/>
            </w:tcBorders>
            <w:shd w:val="clear" w:color="auto" w:fill="auto"/>
          </w:tcPr>
          <w:p w:rsidR="00AE4D5A" w:rsidRPr="00F416F3" w:rsidRDefault="00AE4D5A" w:rsidP="008E5E01">
            <w:pPr>
              <w:pStyle w:val="TableColumnHeading"/>
              <w:ind w:right="28"/>
              <w:rPr>
                <w:sz w:val="18"/>
                <w:szCs w:val="18"/>
              </w:rPr>
            </w:pPr>
            <w:r w:rsidRPr="00F416F3">
              <w:rPr>
                <w:sz w:val="18"/>
                <w:szCs w:val="18"/>
              </w:rPr>
              <w:t>2012</w:t>
            </w:r>
            <w:r>
              <w:rPr>
                <w:sz w:val="18"/>
                <w:szCs w:val="18"/>
              </w:rPr>
              <w:noBreakHyphen/>
            </w:r>
            <w:r w:rsidRPr="00F416F3">
              <w:rPr>
                <w:sz w:val="18"/>
                <w:szCs w:val="18"/>
              </w:rPr>
              <w:t>13</w:t>
            </w:r>
          </w:p>
        </w:tc>
      </w:tr>
      <w:tr w:rsidR="00AE4D5A" w:rsidTr="008E5E01">
        <w:tc>
          <w:tcPr>
            <w:tcW w:w="1066" w:type="pct"/>
          </w:tcPr>
          <w:p w:rsidR="00AE4D5A" w:rsidRPr="00F416F3" w:rsidRDefault="00AE4D5A" w:rsidP="008E5E01">
            <w:pPr>
              <w:pStyle w:val="TableBodyText"/>
              <w:jc w:val="left"/>
              <w:rPr>
                <w:sz w:val="18"/>
                <w:szCs w:val="18"/>
              </w:rPr>
            </w:pPr>
            <w:r w:rsidRPr="00F416F3">
              <w:rPr>
                <w:sz w:val="18"/>
                <w:szCs w:val="18"/>
              </w:rPr>
              <w:t>Profit before tax</w:t>
            </w:r>
          </w:p>
        </w:tc>
        <w:tc>
          <w:tcPr>
            <w:tcW w:w="537" w:type="pct"/>
          </w:tcPr>
          <w:p w:rsidR="00AE4D5A" w:rsidRPr="00F416F3" w:rsidRDefault="00AE4D5A" w:rsidP="008E5E01">
            <w:pPr>
              <w:pStyle w:val="TableBodyText"/>
              <w:rPr>
                <w:sz w:val="18"/>
                <w:szCs w:val="18"/>
              </w:rPr>
            </w:pPr>
            <w:r w:rsidRPr="00F416F3">
              <w:rPr>
                <w:sz w:val="18"/>
                <w:szCs w:val="18"/>
              </w:rPr>
              <w:t>$’000</w:t>
            </w:r>
          </w:p>
        </w:tc>
        <w:tc>
          <w:tcPr>
            <w:tcW w:w="679" w:type="pct"/>
          </w:tcPr>
          <w:p w:rsidR="00AE4D5A" w:rsidRPr="00F416F3" w:rsidRDefault="00AE4D5A" w:rsidP="008E5E01">
            <w:pPr>
              <w:pStyle w:val="TableBodyText"/>
              <w:rPr>
                <w:sz w:val="18"/>
                <w:szCs w:val="18"/>
              </w:rPr>
            </w:pPr>
            <w:r>
              <w:rPr>
                <w:sz w:val="18"/>
                <w:szCs w:val="18"/>
              </w:rPr>
              <w:t>7 604.0</w:t>
            </w:r>
          </w:p>
        </w:tc>
        <w:tc>
          <w:tcPr>
            <w:tcW w:w="684" w:type="pct"/>
          </w:tcPr>
          <w:p w:rsidR="00AE4D5A" w:rsidRPr="00F416F3" w:rsidRDefault="00AE4D5A" w:rsidP="008E5E01">
            <w:pPr>
              <w:pStyle w:val="TableBodyText"/>
              <w:rPr>
                <w:sz w:val="18"/>
                <w:szCs w:val="18"/>
              </w:rPr>
            </w:pPr>
            <w:r>
              <w:rPr>
                <w:sz w:val="18"/>
                <w:szCs w:val="18"/>
              </w:rPr>
              <w:t>1 483.7</w:t>
            </w:r>
          </w:p>
        </w:tc>
        <w:tc>
          <w:tcPr>
            <w:tcW w:w="684" w:type="pct"/>
          </w:tcPr>
          <w:p w:rsidR="00AE4D5A" w:rsidRPr="00F416F3" w:rsidRDefault="00AE4D5A" w:rsidP="008E5E01">
            <w:pPr>
              <w:pStyle w:val="TableBodyText"/>
              <w:rPr>
                <w:sz w:val="18"/>
                <w:szCs w:val="18"/>
              </w:rPr>
            </w:pPr>
            <w:r>
              <w:rPr>
                <w:sz w:val="18"/>
                <w:szCs w:val="18"/>
              </w:rPr>
              <w:t>34.2</w:t>
            </w:r>
          </w:p>
        </w:tc>
        <w:tc>
          <w:tcPr>
            <w:tcW w:w="684" w:type="pct"/>
          </w:tcPr>
          <w:p w:rsidR="00AE4D5A" w:rsidRPr="00F416F3" w:rsidRDefault="00AE4D5A" w:rsidP="008E5E01">
            <w:pPr>
              <w:pStyle w:val="TableBodyText"/>
              <w:rPr>
                <w:sz w:val="18"/>
                <w:szCs w:val="18"/>
              </w:rPr>
            </w:pPr>
            <w:r>
              <w:rPr>
                <w:sz w:val="18"/>
                <w:szCs w:val="18"/>
              </w:rPr>
              <w:noBreakHyphen/>
              <w:t>7 713.0</w:t>
            </w:r>
          </w:p>
        </w:tc>
        <w:tc>
          <w:tcPr>
            <w:tcW w:w="666" w:type="pct"/>
          </w:tcPr>
          <w:p w:rsidR="00AE4D5A" w:rsidRPr="00F416F3" w:rsidRDefault="00AE4D5A" w:rsidP="008E5E01">
            <w:pPr>
              <w:pStyle w:val="TableBodyText"/>
              <w:ind w:right="28"/>
              <w:rPr>
                <w:sz w:val="18"/>
                <w:szCs w:val="18"/>
              </w:rPr>
            </w:pPr>
            <w:r>
              <w:rPr>
                <w:sz w:val="18"/>
                <w:szCs w:val="18"/>
              </w:rPr>
              <w:noBreakHyphen/>
              <w:t>1 334.8</w:t>
            </w:r>
          </w:p>
        </w:tc>
      </w:tr>
      <w:tr w:rsidR="00AE4D5A" w:rsidTr="008E5E01">
        <w:tc>
          <w:tcPr>
            <w:tcW w:w="1066" w:type="pct"/>
          </w:tcPr>
          <w:p w:rsidR="00AE4D5A" w:rsidRPr="00F416F3" w:rsidRDefault="00AE4D5A" w:rsidP="008E5E01">
            <w:pPr>
              <w:pStyle w:val="TableBodyText"/>
              <w:jc w:val="left"/>
              <w:rPr>
                <w:sz w:val="18"/>
                <w:szCs w:val="18"/>
              </w:rPr>
            </w:pPr>
            <w:r w:rsidRPr="00F416F3">
              <w:rPr>
                <w:sz w:val="18"/>
                <w:szCs w:val="18"/>
              </w:rPr>
              <w:t>Operating profit margin</w:t>
            </w:r>
          </w:p>
        </w:tc>
        <w:tc>
          <w:tcPr>
            <w:tcW w:w="537" w:type="pct"/>
          </w:tcPr>
          <w:p w:rsidR="00AE4D5A" w:rsidRPr="00F416F3" w:rsidRDefault="00AE4D5A" w:rsidP="008E5E01">
            <w:pPr>
              <w:pStyle w:val="TableBodyText"/>
              <w:rPr>
                <w:sz w:val="18"/>
                <w:szCs w:val="18"/>
              </w:rPr>
            </w:pPr>
            <w:r w:rsidRPr="00F416F3">
              <w:rPr>
                <w:sz w:val="18"/>
                <w:szCs w:val="18"/>
              </w:rPr>
              <w:t>%</w:t>
            </w:r>
          </w:p>
        </w:tc>
        <w:tc>
          <w:tcPr>
            <w:tcW w:w="679" w:type="pct"/>
          </w:tcPr>
          <w:p w:rsidR="00AE4D5A" w:rsidRPr="00F416F3" w:rsidRDefault="00AE4D5A" w:rsidP="008E5E01">
            <w:pPr>
              <w:pStyle w:val="TableBodyText"/>
              <w:rPr>
                <w:sz w:val="18"/>
                <w:szCs w:val="18"/>
              </w:rPr>
            </w:pPr>
            <w:r>
              <w:rPr>
                <w:sz w:val="18"/>
                <w:szCs w:val="18"/>
              </w:rPr>
              <w:t>8.2</w:t>
            </w:r>
          </w:p>
        </w:tc>
        <w:tc>
          <w:tcPr>
            <w:tcW w:w="684" w:type="pct"/>
          </w:tcPr>
          <w:p w:rsidR="00AE4D5A" w:rsidRPr="00F416F3" w:rsidRDefault="00AE4D5A" w:rsidP="008E5E01">
            <w:pPr>
              <w:pStyle w:val="TableBodyText"/>
              <w:rPr>
                <w:sz w:val="18"/>
                <w:szCs w:val="18"/>
              </w:rPr>
            </w:pPr>
            <w:r>
              <w:rPr>
                <w:sz w:val="18"/>
                <w:szCs w:val="18"/>
              </w:rPr>
              <w:t>3.0</w:t>
            </w:r>
          </w:p>
        </w:tc>
        <w:tc>
          <w:tcPr>
            <w:tcW w:w="684" w:type="pct"/>
          </w:tcPr>
          <w:p w:rsidR="00AE4D5A" w:rsidRPr="00F416F3" w:rsidRDefault="00AE4D5A" w:rsidP="008E5E01">
            <w:pPr>
              <w:pStyle w:val="TableBodyText"/>
              <w:rPr>
                <w:sz w:val="18"/>
                <w:szCs w:val="18"/>
              </w:rPr>
            </w:pPr>
            <w:r>
              <w:rPr>
                <w:sz w:val="18"/>
                <w:szCs w:val="18"/>
              </w:rPr>
              <w:t>0.0</w:t>
            </w:r>
          </w:p>
        </w:tc>
        <w:tc>
          <w:tcPr>
            <w:tcW w:w="684" w:type="pct"/>
          </w:tcPr>
          <w:p w:rsidR="00AE4D5A" w:rsidRPr="00F416F3" w:rsidRDefault="00AE4D5A" w:rsidP="008E5E01">
            <w:pPr>
              <w:pStyle w:val="TableBodyText"/>
              <w:rPr>
                <w:sz w:val="18"/>
                <w:szCs w:val="18"/>
              </w:rPr>
            </w:pPr>
            <w:r>
              <w:rPr>
                <w:sz w:val="18"/>
                <w:szCs w:val="18"/>
              </w:rPr>
              <w:noBreakHyphen/>
              <w:t>9.0</w:t>
            </w:r>
          </w:p>
        </w:tc>
        <w:tc>
          <w:tcPr>
            <w:tcW w:w="666" w:type="pct"/>
          </w:tcPr>
          <w:p w:rsidR="00AE4D5A" w:rsidRPr="00F416F3" w:rsidRDefault="00AE4D5A" w:rsidP="008E5E01">
            <w:pPr>
              <w:pStyle w:val="TableBodyText"/>
              <w:ind w:right="28"/>
              <w:rPr>
                <w:sz w:val="18"/>
                <w:szCs w:val="18"/>
              </w:rPr>
            </w:pPr>
            <w:r>
              <w:rPr>
                <w:sz w:val="18"/>
                <w:szCs w:val="18"/>
              </w:rPr>
              <w:noBreakHyphen/>
              <w:t>0.9</w:t>
            </w:r>
          </w:p>
        </w:tc>
      </w:tr>
      <w:tr w:rsidR="00AE4D5A" w:rsidTr="008E5E01">
        <w:tc>
          <w:tcPr>
            <w:tcW w:w="1066" w:type="pct"/>
          </w:tcPr>
          <w:p w:rsidR="00AE4D5A" w:rsidRPr="00F416F3" w:rsidRDefault="00AE4D5A" w:rsidP="008E5E01">
            <w:pPr>
              <w:pStyle w:val="TableBodyText"/>
              <w:jc w:val="left"/>
              <w:rPr>
                <w:sz w:val="18"/>
                <w:szCs w:val="18"/>
              </w:rPr>
            </w:pPr>
            <w:r w:rsidRPr="00F416F3">
              <w:rPr>
                <w:sz w:val="18"/>
                <w:szCs w:val="18"/>
              </w:rPr>
              <w:t>Cost recovery</w:t>
            </w:r>
          </w:p>
        </w:tc>
        <w:tc>
          <w:tcPr>
            <w:tcW w:w="537" w:type="pct"/>
          </w:tcPr>
          <w:p w:rsidR="00AE4D5A" w:rsidRPr="00F416F3" w:rsidRDefault="00AE4D5A" w:rsidP="008E5E01">
            <w:pPr>
              <w:pStyle w:val="TableBodyText"/>
              <w:rPr>
                <w:sz w:val="18"/>
                <w:szCs w:val="18"/>
              </w:rPr>
            </w:pPr>
            <w:r w:rsidRPr="00F416F3">
              <w:rPr>
                <w:sz w:val="18"/>
                <w:szCs w:val="18"/>
              </w:rPr>
              <w:t>%</w:t>
            </w:r>
          </w:p>
        </w:tc>
        <w:tc>
          <w:tcPr>
            <w:tcW w:w="679" w:type="pct"/>
          </w:tcPr>
          <w:p w:rsidR="00AE4D5A" w:rsidRPr="00F416F3" w:rsidRDefault="00AE4D5A" w:rsidP="008E5E01">
            <w:pPr>
              <w:pStyle w:val="TableBodyText"/>
              <w:rPr>
                <w:sz w:val="18"/>
                <w:szCs w:val="18"/>
              </w:rPr>
            </w:pPr>
            <w:r>
              <w:rPr>
                <w:sz w:val="18"/>
                <w:szCs w:val="18"/>
              </w:rPr>
              <w:t>108.9</w:t>
            </w:r>
          </w:p>
        </w:tc>
        <w:tc>
          <w:tcPr>
            <w:tcW w:w="684" w:type="pct"/>
          </w:tcPr>
          <w:p w:rsidR="00AE4D5A" w:rsidRPr="00F416F3" w:rsidRDefault="00AE4D5A" w:rsidP="008E5E01">
            <w:pPr>
              <w:pStyle w:val="TableBodyText"/>
              <w:rPr>
                <w:sz w:val="18"/>
                <w:szCs w:val="18"/>
              </w:rPr>
            </w:pPr>
            <w:r>
              <w:rPr>
                <w:sz w:val="18"/>
                <w:szCs w:val="18"/>
              </w:rPr>
              <w:t>103.0</w:t>
            </w:r>
          </w:p>
        </w:tc>
        <w:tc>
          <w:tcPr>
            <w:tcW w:w="684" w:type="pct"/>
          </w:tcPr>
          <w:p w:rsidR="00AE4D5A" w:rsidRPr="00F416F3" w:rsidRDefault="00AE4D5A" w:rsidP="008E5E01">
            <w:pPr>
              <w:pStyle w:val="TableBodyText"/>
              <w:rPr>
                <w:sz w:val="18"/>
                <w:szCs w:val="18"/>
              </w:rPr>
            </w:pPr>
            <w:r>
              <w:rPr>
                <w:sz w:val="18"/>
                <w:szCs w:val="18"/>
              </w:rPr>
              <w:t>100.0</w:t>
            </w:r>
          </w:p>
        </w:tc>
        <w:tc>
          <w:tcPr>
            <w:tcW w:w="684" w:type="pct"/>
          </w:tcPr>
          <w:p w:rsidR="00AE4D5A" w:rsidRPr="00F416F3" w:rsidRDefault="00AE4D5A" w:rsidP="008E5E01">
            <w:pPr>
              <w:pStyle w:val="TableBodyText"/>
              <w:rPr>
                <w:sz w:val="18"/>
                <w:szCs w:val="18"/>
              </w:rPr>
            </w:pPr>
            <w:r>
              <w:rPr>
                <w:sz w:val="18"/>
                <w:szCs w:val="18"/>
              </w:rPr>
              <w:t>91.7</w:t>
            </w:r>
          </w:p>
        </w:tc>
        <w:tc>
          <w:tcPr>
            <w:tcW w:w="666" w:type="pct"/>
          </w:tcPr>
          <w:p w:rsidR="00AE4D5A" w:rsidRPr="00F416F3" w:rsidRDefault="00AE4D5A" w:rsidP="008E5E01">
            <w:pPr>
              <w:pStyle w:val="TableBodyText"/>
              <w:ind w:right="28"/>
              <w:rPr>
                <w:sz w:val="18"/>
                <w:szCs w:val="18"/>
              </w:rPr>
            </w:pPr>
            <w:r>
              <w:rPr>
                <w:sz w:val="18"/>
                <w:szCs w:val="18"/>
              </w:rPr>
              <w:t>99.1</w:t>
            </w:r>
          </w:p>
        </w:tc>
      </w:tr>
      <w:tr w:rsidR="00AE4D5A" w:rsidTr="008E5E01">
        <w:tc>
          <w:tcPr>
            <w:tcW w:w="1066" w:type="pct"/>
          </w:tcPr>
          <w:p w:rsidR="00AE4D5A" w:rsidRPr="00F416F3" w:rsidRDefault="00AE4D5A" w:rsidP="008E5E01">
            <w:pPr>
              <w:pStyle w:val="TableBodyText"/>
              <w:jc w:val="left"/>
              <w:rPr>
                <w:sz w:val="18"/>
                <w:szCs w:val="18"/>
              </w:rPr>
            </w:pPr>
            <w:r w:rsidRPr="00F416F3">
              <w:rPr>
                <w:sz w:val="18"/>
                <w:szCs w:val="18"/>
              </w:rPr>
              <w:t>Return on assets</w:t>
            </w:r>
          </w:p>
        </w:tc>
        <w:tc>
          <w:tcPr>
            <w:tcW w:w="537" w:type="pct"/>
          </w:tcPr>
          <w:p w:rsidR="00AE4D5A" w:rsidRPr="00F416F3" w:rsidRDefault="00AE4D5A" w:rsidP="008E5E01">
            <w:pPr>
              <w:pStyle w:val="TableBodyText"/>
              <w:rPr>
                <w:sz w:val="18"/>
                <w:szCs w:val="18"/>
              </w:rPr>
            </w:pPr>
            <w:r w:rsidRPr="00F416F3">
              <w:rPr>
                <w:sz w:val="18"/>
                <w:szCs w:val="18"/>
              </w:rPr>
              <w:t>%</w:t>
            </w:r>
          </w:p>
        </w:tc>
        <w:tc>
          <w:tcPr>
            <w:tcW w:w="679" w:type="pct"/>
          </w:tcPr>
          <w:p w:rsidR="00AE4D5A" w:rsidRPr="00F416F3" w:rsidRDefault="00AE4D5A" w:rsidP="008E5E01">
            <w:pPr>
              <w:pStyle w:val="TableBodyText"/>
              <w:rPr>
                <w:sz w:val="18"/>
                <w:szCs w:val="18"/>
              </w:rPr>
            </w:pPr>
            <w:r>
              <w:rPr>
                <w:sz w:val="18"/>
                <w:szCs w:val="18"/>
              </w:rPr>
              <w:t>5.4</w:t>
            </w:r>
          </w:p>
        </w:tc>
        <w:tc>
          <w:tcPr>
            <w:tcW w:w="684" w:type="pct"/>
          </w:tcPr>
          <w:p w:rsidR="00AE4D5A" w:rsidRPr="00F416F3" w:rsidRDefault="00AE4D5A" w:rsidP="008E5E01">
            <w:pPr>
              <w:pStyle w:val="TableBodyText"/>
              <w:rPr>
                <w:sz w:val="18"/>
                <w:szCs w:val="18"/>
              </w:rPr>
            </w:pPr>
            <w:r>
              <w:rPr>
                <w:sz w:val="18"/>
                <w:szCs w:val="18"/>
              </w:rPr>
              <w:t>1.7</w:t>
            </w:r>
          </w:p>
        </w:tc>
        <w:tc>
          <w:tcPr>
            <w:tcW w:w="684" w:type="pct"/>
          </w:tcPr>
          <w:p w:rsidR="00AE4D5A" w:rsidRPr="00F416F3" w:rsidRDefault="00AE4D5A" w:rsidP="008E5E01">
            <w:pPr>
              <w:pStyle w:val="TableBodyText"/>
              <w:rPr>
                <w:sz w:val="18"/>
                <w:szCs w:val="18"/>
              </w:rPr>
            </w:pPr>
            <w:r>
              <w:rPr>
                <w:sz w:val="18"/>
                <w:szCs w:val="18"/>
              </w:rPr>
              <w:t>0.8</w:t>
            </w:r>
          </w:p>
        </w:tc>
        <w:tc>
          <w:tcPr>
            <w:tcW w:w="684" w:type="pct"/>
          </w:tcPr>
          <w:p w:rsidR="00AE4D5A" w:rsidRPr="00F416F3" w:rsidRDefault="00AE4D5A" w:rsidP="008E5E01">
            <w:pPr>
              <w:pStyle w:val="TableBodyText"/>
              <w:rPr>
                <w:sz w:val="18"/>
                <w:szCs w:val="18"/>
              </w:rPr>
            </w:pPr>
            <w:r>
              <w:rPr>
                <w:sz w:val="18"/>
                <w:szCs w:val="18"/>
              </w:rPr>
              <w:noBreakHyphen/>
              <w:t>2.7</w:t>
            </w:r>
          </w:p>
        </w:tc>
        <w:tc>
          <w:tcPr>
            <w:tcW w:w="666" w:type="pct"/>
          </w:tcPr>
          <w:p w:rsidR="00AE4D5A" w:rsidRPr="00F416F3" w:rsidRDefault="00AE4D5A" w:rsidP="008E5E01">
            <w:pPr>
              <w:pStyle w:val="TableBodyText"/>
              <w:ind w:right="28"/>
              <w:rPr>
                <w:sz w:val="18"/>
                <w:szCs w:val="18"/>
              </w:rPr>
            </w:pPr>
            <w:r>
              <w:rPr>
                <w:sz w:val="18"/>
                <w:szCs w:val="18"/>
              </w:rPr>
              <w:t>0.1</w:t>
            </w:r>
          </w:p>
        </w:tc>
      </w:tr>
      <w:tr w:rsidR="00AE4D5A" w:rsidTr="008E5E01">
        <w:tc>
          <w:tcPr>
            <w:tcW w:w="1066" w:type="pct"/>
            <w:tcBorders>
              <w:bottom w:val="single" w:sz="4" w:space="0" w:color="auto"/>
            </w:tcBorders>
          </w:tcPr>
          <w:p w:rsidR="00AE4D5A" w:rsidRPr="00F416F3" w:rsidRDefault="00AE4D5A" w:rsidP="008E5E01">
            <w:pPr>
              <w:pStyle w:val="TableBodyText"/>
              <w:jc w:val="left"/>
              <w:rPr>
                <w:sz w:val="18"/>
                <w:szCs w:val="18"/>
              </w:rPr>
            </w:pPr>
            <w:r w:rsidRPr="00F416F3">
              <w:rPr>
                <w:sz w:val="18"/>
                <w:szCs w:val="18"/>
              </w:rPr>
              <w:t>Return on total equity</w:t>
            </w:r>
          </w:p>
        </w:tc>
        <w:tc>
          <w:tcPr>
            <w:tcW w:w="537" w:type="pct"/>
            <w:tcBorders>
              <w:bottom w:val="single" w:sz="4" w:space="0" w:color="auto"/>
            </w:tcBorders>
          </w:tcPr>
          <w:p w:rsidR="00AE4D5A" w:rsidRPr="00F416F3" w:rsidRDefault="00AE4D5A" w:rsidP="008E5E01">
            <w:pPr>
              <w:pStyle w:val="TableBodyText"/>
              <w:rPr>
                <w:sz w:val="18"/>
                <w:szCs w:val="18"/>
              </w:rPr>
            </w:pPr>
            <w:r w:rsidRPr="00F416F3">
              <w:rPr>
                <w:sz w:val="18"/>
                <w:szCs w:val="18"/>
              </w:rPr>
              <w:t>%</w:t>
            </w:r>
          </w:p>
        </w:tc>
        <w:tc>
          <w:tcPr>
            <w:tcW w:w="679" w:type="pct"/>
            <w:tcBorders>
              <w:bottom w:val="single" w:sz="4" w:space="0" w:color="auto"/>
            </w:tcBorders>
          </w:tcPr>
          <w:p w:rsidR="00AE4D5A" w:rsidRPr="00F416F3" w:rsidRDefault="00AE4D5A" w:rsidP="008E5E01">
            <w:pPr>
              <w:pStyle w:val="TableBodyText"/>
              <w:rPr>
                <w:sz w:val="18"/>
                <w:szCs w:val="18"/>
              </w:rPr>
            </w:pPr>
            <w:r>
              <w:rPr>
                <w:sz w:val="18"/>
                <w:szCs w:val="18"/>
              </w:rPr>
              <w:t>4.1</w:t>
            </w:r>
          </w:p>
        </w:tc>
        <w:tc>
          <w:tcPr>
            <w:tcW w:w="684" w:type="pct"/>
            <w:tcBorders>
              <w:bottom w:val="single" w:sz="4" w:space="0" w:color="auto"/>
            </w:tcBorders>
          </w:tcPr>
          <w:p w:rsidR="00AE4D5A" w:rsidRPr="00F416F3" w:rsidRDefault="00AE4D5A" w:rsidP="008E5E01">
            <w:pPr>
              <w:pStyle w:val="TableBodyText"/>
              <w:rPr>
                <w:sz w:val="18"/>
                <w:szCs w:val="18"/>
              </w:rPr>
            </w:pPr>
            <w:r>
              <w:rPr>
                <w:sz w:val="18"/>
                <w:szCs w:val="18"/>
              </w:rPr>
              <w:t>1.7</w:t>
            </w:r>
          </w:p>
        </w:tc>
        <w:tc>
          <w:tcPr>
            <w:tcW w:w="684" w:type="pct"/>
            <w:tcBorders>
              <w:bottom w:val="single" w:sz="4" w:space="0" w:color="auto"/>
            </w:tcBorders>
          </w:tcPr>
          <w:p w:rsidR="00AE4D5A" w:rsidRPr="00F416F3" w:rsidRDefault="00AE4D5A" w:rsidP="008E5E01">
            <w:pPr>
              <w:pStyle w:val="TableBodyText"/>
              <w:rPr>
                <w:sz w:val="18"/>
                <w:szCs w:val="18"/>
              </w:rPr>
            </w:pPr>
            <w:r>
              <w:rPr>
                <w:sz w:val="18"/>
                <w:szCs w:val="18"/>
              </w:rPr>
              <w:t>0.2</w:t>
            </w:r>
          </w:p>
        </w:tc>
        <w:tc>
          <w:tcPr>
            <w:tcW w:w="684" w:type="pct"/>
            <w:tcBorders>
              <w:bottom w:val="single" w:sz="4" w:space="0" w:color="auto"/>
            </w:tcBorders>
          </w:tcPr>
          <w:p w:rsidR="00AE4D5A" w:rsidRPr="00F416F3" w:rsidRDefault="00AE4D5A" w:rsidP="008E5E01">
            <w:pPr>
              <w:pStyle w:val="TableBodyText"/>
              <w:rPr>
                <w:sz w:val="18"/>
                <w:szCs w:val="18"/>
              </w:rPr>
            </w:pPr>
            <w:r>
              <w:rPr>
                <w:sz w:val="18"/>
                <w:szCs w:val="18"/>
              </w:rPr>
              <w:noBreakHyphen/>
              <w:t>2.4</w:t>
            </w:r>
          </w:p>
        </w:tc>
        <w:tc>
          <w:tcPr>
            <w:tcW w:w="666" w:type="pct"/>
            <w:tcBorders>
              <w:bottom w:val="single" w:sz="4" w:space="0" w:color="auto"/>
            </w:tcBorders>
          </w:tcPr>
          <w:p w:rsidR="00AE4D5A" w:rsidRPr="00F416F3" w:rsidRDefault="00AE4D5A" w:rsidP="008E5E01">
            <w:pPr>
              <w:pStyle w:val="TableBodyText"/>
              <w:ind w:right="28"/>
              <w:rPr>
                <w:sz w:val="18"/>
                <w:szCs w:val="18"/>
              </w:rPr>
            </w:pPr>
            <w:r>
              <w:rPr>
                <w:sz w:val="18"/>
                <w:szCs w:val="18"/>
              </w:rPr>
              <w:noBreakHyphen/>
              <w:t>0.4</w:t>
            </w:r>
          </w:p>
        </w:tc>
      </w:tr>
      <w:tr w:rsidR="00AE4D5A" w:rsidRPr="00D81288" w:rsidTr="008E5E01">
        <w:tc>
          <w:tcPr>
            <w:tcW w:w="1066" w:type="pct"/>
            <w:tcBorders>
              <w:top w:val="single" w:sz="4" w:space="0" w:color="auto"/>
              <w:bottom w:val="single" w:sz="4" w:space="0" w:color="auto"/>
            </w:tcBorders>
          </w:tcPr>
          <w:p w:rsidR="00AE4D5A" w:rsidRPr="00D81288" w:rsidRDefault="00AE4D5A" w:rsidP="008E5E01">
            <w:pPr>
              <w:pStyle w:val="TableBodyText"/>
              <w:jc w:val="left"/>
              <w:rPr>
                <w:rStyle w:val="NoteLabel"/>
              </w:rPr>
            </w:pPr>
            <w:r w:rsidRPr="00D81288">
              <w:rPr>
                <w:sz w:val="18"/>
                <w:szCs w:val="18"/>
              </w:rPr>
              <w:t>10</w:t>
            </w:r>
            <w:r>
              <w:rPr>
                <w:sz w:val="18"/>
                <w:szCs w:val="18"/>
              </w:rPr>
              <w:noBreakHyphen/>
            </w:r>
            <w:r w:rsidRPr="00D81288">
              <w:rPr>
                <w:sz w:val="18"/>
                <w:szCs w:val="18"/>
              </w:rPr>
              <w:t>year Australian government bond</w:t>
            </w:r>
            <w:r>
              <w:rPr>
                <w:sz w:val="18"/>
                <w:szCs w:val="18"/>
              </w:rPr>
              <w:t xml:space="preserve"> yield</w:t>
            </w:r>
            <w:r w:rsidRPr="00581576">
              <w:rPr>
                <w:rStyle w:val="NoteLabel"/>
              </w:rPr>
              <w:t>a</w:t>
            </w:r>
          </w:p>
        </w:tc>
        <w:tc>
          <w:tcPr>
            <w:tcW w:w="537" w:type="pct"/>
            <w:tcBorders>
              <w:top w:val="single" w:sz="4" w:space="0" w:color="auto"/>
              <w:bottom w:val="single" w:sz="4" w:space="0" w:color="auto"/>
            </w:tcBorders>
          </w:tcPr>
          <w:p w:rsidR="00AE4D5A" w:rsidRPr="00D81288" w:rsidRDefault="00AE4D5A" w:rsidP="008E5E01">
            <w:pPr>
              <w:pStyle w:val="TableBodyText"/>
              <w:rPr>
                <w:sz w:val="18"/>
                <w:szCs w:val="18"/>
              </w:rPr>
            </w:pPr>
            <w:r w:rsidRPr="00D81288">
              <w:rPr>
                <w:sz w:val="18"/>
                <w:szCs w:val="18"/>
              </w:rPr>
              <w:t>%</w:t>
            </w:r>
          </w:p>
        </w:tc>
        <w:tc>
          <w:tcPr>
            <w:tcW w:w="679" w:type="pct"/>
            <w:tcBorders>
              <w:top w:val="single" w:sz="4" w:space="0" w:color="auto"/>
              <w:bottom w:val="single" w:sz="4" w:space="0" w:color="auto"/>
            </w:tcBorders>
          </w:tcPr>
          <w:p w:rsidR="00AE4D5A" w:rsidRPr="00D81288" w:rsidRDefault="00AE4D5A" w:rsidP="008E5E01">
            <w:pPr>
              <w:pStyle w:val="TableBodyText"/>
              <w:rPr>
                <w:sz w:val="18"/>
                <w:szCs w:val="18"/>
              </w:rPr>
            </w:pPr>
            <w:r w:rsidRPr="00D81288">
              <w:rPr>
                <w:sz w:val="18"/>
                <w:szCs w:val="18"/>
              </w:rPr>
              <w:t>5.70</w:t>
            </w:r>
          </w:p>
        </w:tc>
        <w:tc>
          <w:tcPr>
            <w:tcW w:w="684" w:type="pct"/>
            <w:tcBorders>
              <w:top w:val="single" w:sz="4" w:space="0" w:color="auto"/>
              <w:bottom w:val="single" w:sz="4" w:space="0" w:color="auto"/>
            </w:tcBorders>
          </w:tcPr>
          <w:p w:rsidR="00AE4D5A" w:rsidRPr="00D81288" w:rsidRDefault="00AE4D5A" w:rsidP="008E5E01">
            <w:pPr>
              <w:pStyle w:val="TableBodyText"/>
              <w:rPr>
                <w:sz w:val="18"/>
                <w:szCs w:val="18"/>
              </w:rPr>
            </w:pPr>
            <w:r w:rsidRPr="00D81288">
              <w:rPr>
                <w:sz w:val="18"/>
                <w:szCs w:val="18"/>
              </w:rPr>
              <w:t>5.60</w:t>
            </w:r>
          </w:p>
        </w:tc>
        <w:tc>
          <w:tcPr>
            <w:tcW w:w="684" w:type="pct"/>
            <w:tcBorders>
              <w:top w:val="single" w:sz="4" w:space="0" w:color="auto"/>
              <w:bottom w:val="single" w:sz="4" w:space="0" w:color="auto"/>
            </w:tcBorders>
          </w:tcPr>
          <w:p w:rsidR="00AE4D5A" w:rsidRPr="00D81288" w:rsidRDefault="00AE4D5A" w:rsidP="008E5E01">
            <w:pPr>
              <w:pStyle w:val="TableBodyText"/>
              <w:rPr>
                <w:sz w:val="18"/>
                <w:szCs w:val="18"/>
              </w:rPr>
            </w:pPr>
            <w:r w:rsidRPr="00D81288">
              <w:rPr>
                <w:sz w:val="18"/>
                <w:szCs w:val="18"/>
              </w:rPr>
              <w:t>5.55</w:t>
            </w:r>
          </w:p>
        </w:tc>
        <w:tc>
          <w:tcPr>
            <w:tcW w:w="684" w:type="pct"/>
            <w:tcBorders>
              <w:top w:val="single" w:sz="4" w:space="0" w:color="auto"/>
              <w:bottom w:val="single" w:sz="4" w:space="0" w:color="auto"/>
            </w:tcBorders>
          </w:tcPr>
          <w:p w:rsidR="00AE4D5A" w:rsidRPr="00D81288" w:rsidRDefault="00AE4D5A" w:rsidP="008E5E01">
            <w:pPr>
              <w:pStyle w:val="TableBodyText"/>
              <w:rPr>
                <w:sz w:val="18"/>
                <w:szCs w:val="18"/>
              </w:rPr>
            </w:pPr>
            <w:r w:rsidRPr="00D81288">
              <w:rPr>
                <w:sz w:val="18"/>
                <w:szCs w:val="18"/>
              </w:rPr>
              <w:t>5.36</w:t>
            </w:r>
          </w:p>
        </w:tc>
        <w:tc>
          <w:tcPr>
            <w:tcW w:w="666" w:type="pct"/>
            <w:tcBorders>
              <w:top w:val="single" w:sz="4" w:space="0" w:color="auto"/>
              <w:bottom w:val="single" w:sz="4" w:space="0" w:color="auto"/>
            </w:tcBorders>
          </w:tcPr>
          <w:p w:rsidR="00AE4D5A" w:rsidRPr="00D81288" w:rsidRDefault="00AE4D5A" w:rsidP="008E5E01">
            <w:pPr>
              <w:pStyle w:val="TableBodyText"/>
              <w:ind w:right="28"/>
              <w:rPr>
                <w:sz w:val="18"/>
                <w:szCs w:val="18"/>
              </w:rPr>
            </w:pPr>
            <w:r w:rsidRPr="00D81288">
              <w:rPr>
                <w:sz w:val="18"/>
                <w:szCs w:val="18"/>
              </w:rPr>
              <w:t>5.15</w:t>
            </w:r>
          </w:p>
        </w:tc>
      </w:tr>
    </w:tbl>
    <w:p w:rsidR="00AE4D5A" w:rsidRDefault="00AE4D5A" w:rsidP="008E5E01">
      <w:pPr>
        <w:pStyle w:val="Note"/>
      </w:pPr>
      <w:proofErr w:type="spellStart"/>
      <w:r w:rsidRPr="00D81288">
        <w:rPr>
          <w:rStyle w:val="NoteLabel"/>
        </w:rPr>
        <w:t>a</w:t>
      </w:r>
      <w:proofErr w:type="spellEnd"/>
      <w:r>
        <w:t xml:space="preserve"> An historical ten year average of the 10</w:t>
      </w:r>
      <w:r>
        <w:noBreakHyphen/>
        <w:t>year Australian Government bond yield.</w:t>
      </w:r>
    </w:p>
    <w:p w:rsidR="00AE4D5A" w:rsidRPr="008E77FE" w:rsidRDefault="00AE4D5A" w:rsidP="008E5E01">
      <w:pPr>
        <w:pStyle w:val="Source"/>
      </w:pPr>
      <w:r>
        <w:rPr>
          <w:i/>
        </w:rPr>
        <w:t>Sources</w:t>
      </w:r>
      <w:r w:rsidRPr="001D0244">
        <w:t>:</w:t>
      </w:r>
      <w:r>
        <w:t xml:space="preserve"> Commission estimates, based on TasPorts annual reports; PC </w:t>
      </w:r>
      <w:r w:rsidRPr="00192630">
        <w:rPr>
          <w:rFonts w:cs="Arial"/>
        </w:rPr>
        <w:t>(2008)</w:t>
      </w:r>
      <w:r>
        <w:t xml:space="preserve">; </w:t>
      </w:r>
      <w:r w:rsidRPr="00DF4D8F">
        <w:t>RBA</w:t>
      </w:r>
      <w:r>
        <w:t xml:space="preserve"> </w:t>
      </w:r>
      <w:r w:rsidRPr="00B31878">
        <w:rPr>
          <w:rFonts w:cs="Arial"/>
        </w:rPr>
        <w:t>(2014)</w:t>
      </w:r>
      <w:r>
        <w:t>.</w:t>
      </w:r>
    </w:p>
    <w:p w:rsidR="00AE4D5A" w:rsidRPr="00EA5BDE" w:rsidRDefault="00AE4D5A" w:rsidP="008E5E01">
      <w:pPr>
        <w:pStyle w:val="BodyText"/>
      </w:pPr>
      <w:r>
        <w:t>T</w:t>
      </w:r>
      <w:r w:rsidRPr="00EA5BDE">
        <w:t>he Tasmanian Auditor</w:t>
      </w:r>
      <w:r w:rsidRPr="00EA5BDE">
        <w:noBreakHyphen/>
        <w:t>General</w:t>
      </w:r>
      <w:r>
        <w:t xml:space="preserve"> reached a similar conclusion</w:t>
      </w:r>
      <w:r w:rsidRPr="00EA5BDE">
        <w:t>:</w:t>
      </w:r>
    </w:p>
    <w:p w:rsidR="00AE4D5A" w:rsidRDefault="00AE4D5A" w:rsidP="008E5E01">
      <w:pPr>
        <w:pStyle w:val="QuoteBullet"/>
      </w:pPr>
      <w:r w:rsidRPr="00EA5BDE">
        <w:t xml:space="preserve">While financial performance improved, </w:t>
      </w:r>
      <w:proofErr w:type="spellStart"/>
      <w:r w:rsidRPr="00EA5BDE">
        <w:t>Tasports</w:t>
      </w:r>
      <w:proofErr w:type="spellEnd"/>
      <w:r w:rsidRPr="00EA5BDE">
        <w:t>’ average operating margin over</w:t>
      </w:r>
      <w:r>
        <w:t xml:space="preserve"> the past four years was still under our benchmark.</w:t>
      </w:r>
    </w:p>
    <w:p w:rsidR="00AE4D5A" w:rsidRDefault="00AE4D5A" w:rsidP="008E5E01">
      <w:pPr>
        <w:pStyle w:val="QuoteBullet"/>
      </w:pPr>
      <w:r>
        <w:t xml:space="preserve">Return on assets and return on equity ratios were well below what would be regarded as commercial returns </w:t>
      </w:r>
      <w:r w:rsidRPr="006F2EE7">
        <w:rPr>
          <w:szCs w:val="24"/>
        </w:rPr>
        <w:t>(Auditor-General 2013, p.</w:t>
      </w:r>
      <w:r w:rsidRPr="00D22B92">
        <w:rPr>
          <w:szCs w:val="24"/>
        </w:rPr>
        <w:t> </w:t>
      </w:r>
      <w:r w:rsidRPr="005E4BB9">
        <w:rPr>
          <w:szCs w:val="24"/>
        </w:rPr>
        <w:t>122)</w:t>
      </w:r>
      <w:r>
        <w:t xml:space="preserve">. </w:t>
      </w:r>
    </w:p>
    <w:p w:rsidR="00AE4D5A" w:rsidRDefault="00AE4D5A" w:rsidP="008E5E01">
      <w:pPr>
        <w:pStyle w:val="BodyText"/>
      </w:pPr>
      <w:r>
        <w:t>Although the Auditor</w:t>
      </w:r>
      <w:r>
        <w:noBreakHyphen/>
        <w:t>General also observed:</w:t>
      </w:r>
    </w:p>
    <w:p w:rsidR="00AE4D5A" w:rsidRDefault="00AE4D5A" w:rsidP="008E5E01">
      <w:pPr>
        <w:pStyle w:val="Quote"/>
      </w:pPr>
      <w:r>
        <w:t xml:space="preserve">‘ </w:t>
      </w:r>
      <w:r w:rsidRPr="007A44FB">
        <w:t>…</w:t>
      </w:r>
      <w:r>
        <w:t xml:space="preserve"> </w:t>
      </w:r>
      <w:proofErr w:type="spellStart"/>
      <w:r w:rsidRPr="007A44FB">
        <w:t>Tasports</w:t>
      </w:r>
      <w:proofErr w:type="spellEnd"/>
      <w:r w:rsidRPr="007A44FB">
        <w:t xml:space="preserve">’ performance has been reasonable in the context of the economic decline and other structural changes to the Tasmanian economy and </w:t>
      </w:r>
      <w:r>
        <w:t xml:space="preserve">[the combined ports’ financial performance] </w:t>
      </w:r>
      <w:r w:rsidRPr="007A44FB">
        <w:t>would probably have been worse if no amalgamation had occurred.</w:t>
      </w:r>
      <w:r>
        <w:t>’ (TasPorts, sub. </w:t>
      </w:r>
      <w:proofErr w:type="spellStart"/>
      <w:r>
        <w:t>DR97</w:t>
      </w:r>
      <w:proofErr w:type="spellEnd"/>
      <w:r>
        <w:t>, p. 1)</w:t>
      </w:r>
    </w:p>
    <w:p w:rsidR="00AE4D5A" w:rsidRDefault="00AE4D5A" w:rsidP="008E5E01">
      <w:pPr>
        <w:pStyle w:val="BodyText"/>
      </w:pPr>
      <w:r>
        <w:t>Factors outside TasPorts’ control appear to explain much of its poor performance. The structural changes cited by the Auditor</w:t>
      </w:r>
      <w:r>
        <w:noBreakHyphen/>
        <w:t xml:space="preserve">General, for example, have resulted in major reductions in woodchip exports (and associated port revenues) </w:t>
      </w:r>
      <w:r w:rsidRPr="00272114">
        <w:rPr>
          <w:szCs w:val="24"/>
        </w:rPr>
        <w:t>(TasPorts 2012a)</w:t>
      </w:r>
      <w:r>
        <w:t xml:space="preserve">. </w:t>
      </w:r>
    </w:p>
    <w:p w:rsidR="00AE4D5A" w:rsidRDefault="00AE4D5A" w:rsidP="008E5E01">
      <w:pPr>
        <w:pStyle w:val="BodyText"/>
      </w:pPr>
      <w:r>
        <w:t>In addition, long term lease arrangements</w:t>
      </w:r>
      <w:r w:rsidRPr="00953C3D">
        <w:t xml:space="preserve"> </w:t>
      </w:r>
      <w:r>
        <w:t>inherited by TasPorts on its formation limit its ability to increase lessee charges. As the Launceston Chamber of Commerce noted:</w:t>
      </w:r>
    </w:p>
    <w:p w:rsidR="00AE4D5A" w:rsidRDefault="00AE4D5A" w:rsidP="008E5E01">
      <w:pPr>
        <w:pStyle w:val="Quote"/>
      </w:pPr>
      <w:r>
        <w:t xml:space="preserve">… </w:t>
      </w:r>
      <w:r w:rsidRPr="00C139EB">
        <w:t xml:space="preserve">prior to the formation of </w:t>
      </w:r>
      <w:proofErr w:type="spellStart"/>
      <w:r w:rsidRPr="00C139EB">
        <w:t>Tasports</w:t>
      </w:r>
      <w:proofErr w:type="spellEnd"/>
      <w:r w:rsidRPr="00C139EB">
        <w:t>, the Burnie Port authority provided a major volume discount to the private container operators using the port at that time. This arrangement has at</w:t>
      </w:r>
      <w:r>
        <w:t xml:space="preserve"> least another 10+ years to run … (sub. </w:t>
      </w:r>
      <w:proofErr w:type="spellStart"/>
      <w:r>
        <w:t>DR70</w:t>
      </w:r>
      <w:proofErr w:type="spellEnd"/>
      <w:r>
        <w:t>, p. 2)</w:t>
      </w:r>
    </w:p>
    <w:p w:rsidR="00AE4D5A" w:rsidRDefault="00AE4D5A" w:rsidP="008E5E01">
      <w:pPr>
        <w:pStyle w:val="BodyText"/>
      </w:pPr>
      <w:r>
        <w:t xml:space="preserve">Further, inadequate or ageing port infrastructure and a lack of investment in new infrastructure have also contributed to poor performance, although these were also problems evident prior to port amalgamation and were inherited by TasPorts </w:t>
      </w:r>
      <w:r w:rsidRPr="00272114">
        <w:rPr>
          <w:szCs w:val="24"/>
        </w:rPr>
        <w:t>(Juturna 2013)</w:t>
      </w:r>
      <w:r>
        <w:t xml:space="preserve">. </w:t>
      </w:r>
      <w:r w:rsidRPr="00B11832">
        <w:t xml:space="preserve">TasPorts </w:t>
      </w:r>
      <w:r>
        <w:t xml:space="preserve">indicated it </w:t>
      </w:r>
      <w:r w:rsidRPr="00B11832">
        <w:t>is taking steps to address the legacy infrastructure</w:t>
      </w:r>
      <w:r>
        <w:t xml:space="preserve"> </w:t>
      </w:r>
      <w:r w:rsidRPr="00B11832">
        <w:t>problem</w:t>
      </w:r>
      <w:r>
        <w:t>:</w:t>
      </w:r>
    </w:p>
    <w:p w:rsidR="00AE4D5A" w:rsidRDefault="00AE4D5A" w:rsidP="008E5E01">
      <w:pPr>
        <w:pStyle w:val="Quote"/>
      </w:pPr>
      <w:r w:rsidRPr="00525BB8">
        <w:lastRenderedPageBreak/>
        <w:t xml:space="preserve">Our recent financial performance is a direct result of a shareholder endorsed strategy to increase investment in the remediation and renewal of wharf assets and infrastructure. Since 2010 </w:t>
      </w:r>
      <w:proofErr w:type="spellStart"/>
      <w:r w:rsidRPr="00525BB8">
        <w:t>Tasports</w:t>
      </w:r>
      <w:proofErr w:type="spellEnd"/>
      <w:r w:rsidRPr="00525BB8">
        <w:t xml:space="preserve"> has increased its expenditure in maintenance of priority assets by 166% and this will continue in the short to medium term.</w:t>
      </w:r>
      <w:r>
        <w:t xml:space="preserve"> (sub. </w:t>
      </w:r>
      <w:proofErr w:type="spellStart"/>
      <w:r>
        <w:t>DR97</w:t>
      </w:r>
      <w:proofErr w:type="spellEnd"/>
      <w:r>
        <w:t>, p. 1)</w:t>
      </w:r>
    </w:p>
    <w:p w:rsidR="00AE4D5A" w:rsidRDefault="00AE4D5A" w:rsidP="008E5E01">
      <w:pPr>
        <w:pStyle w:val="BodyText"/>
      </w:pPr>
      <w:r>
        <w:t>Major port users have also shown a willingness to invest in the infrastructure needed to support their operations or alternative use developments (facilitated by the security of tenor from long term leases):</w:t>
      </w:r>
    </w:p>
    <w:p w:rsidR="00AE4D5A" w:rsidRDefault="00AE4D5A" w:rsidP="008E5E01">
      <w:pPr>
        <w:pStyle w:val="Quote"/>
      </w:pPr>
      <w:r>
        <w:t>It should also be noted that both SeaRoad and Toll have provided and funded their own infrastructure on terminals leased from TasPorts. (SeaRoad, sub. </w:t>
      </w:r>
      <w:proofErr w:type="spellStart"/>
      <w:r>
        <w:t>DR81</w:t>
      </w:r>
      <w:proofErr w:type="spellEnd"/>
      <w:r>
        <w:t>, p. 18)</w:t>
      </w:r>
    </w:p>
    <w:p w:rsidR="00AE4D5A" w:rsidRDefault="00AE4D5A" w:rsidP="008E5E01">
      <w:pPr>
        <w:pStyle w:val="Quote"/>
      </w:pPr>
      <w:r>
        <w:t>… the recently announced alternate</w:t>
      </w:r>
      <w:r>
        <w:noBreakHyphen/>
        <w:t xml:space="preserve">use development plan at Macquarie </w:t>
      </w:r>
      <w:proofErr w:type="spellStart"/>
      <w:r>
        <w:t>No.1</w:t>
      </w:r>
      <w:proofErr w:type="spellEnd"/>
      <w:r>
        <w:t xml:space="preserve"> in Hobart will be supported by a long</w:t>
      </w:r>
      <w:r>
        <w:noBreakHyphen/>
        <w:t>term lease to the VOS Group. (TasPorts, sub. </w:t>
      </w:r>
      <w:proofErr w:type="spellStart"/>
      <w:r>
        <w:t>DR97</w:t>
      </w:r>
      <w:proofErr w:type="spellEnd"/>
      <w:r>
        <w:t>, p. 1)</w:t>
      </w:r>
    </w:p>
    <w:p w:rsidR="00AE4D5A" w:rsidRDefault="00AE4D5A" w:rsidP="008E5E01">
      <w:pPr>
        <w:pStyle w:val="BodyText"/>
      </w:pPr>
      <w:r>
        <w:t>In addition, TasPorts has been rationalising some assets through partial privatisation and divestment:</w:t>
      </w:r>
    </w:p>
    <w:p w:rsidR="00AE4D5A" w:rsidRDefault="00AE4D5A" w:rsidP="008E5E01">
      <w:pPr>
        <w:pStyle w:val="Quote"/>
      </w:pPr>
      <w:r>
        <w:t xml:space="preserve">… local privatisation within port areas is a feature with examples including the Bell Bay Aluminium terminal in Bell Bay and the </w:t>
      </w:r>
      <w:proofErr w:type="spellStart"/>
      <w:r>
        <w:t>Nyrstar</w:t>
      </w:r>
      <w:proofErr w:type="spellEnd"/>
      <w:r>
        <w:t xml:space="preserve"> terminal in Hobart. … Targeted divestment of port assets has also occurred since amalgamation … (TasPorts, sub. </w:t>
      </w:r>
      <w:proofErr w:type="spellStart"/>
      <w:r>
        <w:t>DR97</w:t>
      </w:r>
      <w:proofErr w:type="spellEnd"/>
      <w:r>
        <w:t>, p. 1)</w:t>
      </w:r>
    </w:p>
    <w:p w:rsidR="00AE4D5A" w:rsidRDefault="00AE4D5A" w:rsidP="008E5E01">
      <w:pPr>
        <w:pStyle w:val="BodyText"/>
      </w:pPr>
      <w:r>
        <w:t>There are, however, factors within TasPorts’ control that are likely to be contributing to its poor performance: a deliberate policy to pursue some non</w:t>
      </w:r>
      <w:r>
        <w:noBreakHyphen/>
        <w:t>commercial activities and a policy of statewide uniform pricing.</w:t>
      </w:r>
    </w:p>
    <w:p w:rsidR="00AE4D5A" w:rsidRDefault="00AE4D5A" w:rsidP="008E5E01">
      <w:pPr>
        <w:pStyle w:val="BodyText"/>
      </w:pPr>
      <w:r>
        <w:t>TasPorts has been undertaking some activities that are clearly non</w:t>
      </w:r>
      <w:r>
        <w:noBreakHyphen/>
        <w:t xml:space="preserve">commercial. For example, the TasPorts chairman has stated: </w:t>
      </w:r>
    </w:p>
    <w:p w:rsidR="00AE4D5A" w:rsidRDefault="00AE4D5A" w:rsidP="008E5E01">
      <w:pPr>
        <w:pStyle w:val="Quote"/>
      </w:pPr>
      <w:r>
        <w:t xml:space="preserve">When we did the business case on [Macquarie Wharf 2] it did not meet the commercial benchmark. We set a rate of return for investment, so just looking at it from a purely commercial basis you would say it would be fairly marginal but the board considered, in the broader context of the contribution that that facility would make beyond the revenue that we get in the tourism industry. We spoke to our owners and said, ‘This is what we propose to do. It’s not strictly a commercial investment but we are disposed to do it. Tell us if you have a problem with that’. They were comfortable with what we did. </w:t>
      </w:r>
      <w:r w:rsidRPr="009C36C7">
        <w:rPr>
          <w:szCs w:val="24"/>
        </w:rPr>
        <w:t>(Norton 2013, pp. 10–11)</w:t>
      </w:r>
    </w:p>
    <w:p w:rsidR="00AE4D5A" w:rsidRDefault="00AE4D5A" w:rsidP="008E5E01">
      <w:pPr>
        <w:pStyle w:val="BodyText"/>
      </w:pPr>
      <w:r>
        <w:t>Further, TasPorts ha</w:t>
      </w:r>
      <w:r w:rsidR="00207B70">
        <w:t>s</w:t>
      </w:r>
      <w:r>
        <w:t xml:space="preserve"> identified other non</w:t>
      </w:r>
      <w:r>
        <w:noBreakHyphen/>
        <w:t>commercial activities it undertakes:</w:t>
      </w:r>
    </w:p>
    <w:p w:rsidR="00AE4D5A" w:rsidRDefault="00AE4D5A" w:rsidP="008E5E01">
      <w:pPr>
        <w:pStyle w:val="Quote"/>
      </w:pPr>
      <w:proofErr w:type="spellStart"/>
      <w:r w:rsidRPr="00E151A6">
        <w:t>Tasports</w:t>
      </w:r>
      <w:proofErr w:type="spellEnd"/>
      <w:r w:rsidRPr="00E151A6">
        <w:t xml:space="preserve"> does have carriage of a number of community based assets which are non</w:t>
      </w:r>
      <w:r>
        <w:noBreakHyphen/>
      </w:r>
      <w:r w:rsidRPr="00E151A6">
        <w:t>commercial in nature and therefore do not generate sustainable revenue to cover essential operating costs. However it is imperative that they are maintained for the safety of the public as well as to assist industries such as tourism within the state.</w:t>
      </w:r>
      <w:r>
        <w:t xml:space="preserve"> (sub. </w:t>
      </w:r>
      <w:proofErr w:type="spellStart"/>
      <w:r>
        <w:t>DR97</w:t>
      </w:r>
      <w:proofErr w:type="spellEnd"/>
      <w:r>
        <w:t>, p. 3)</w:t>
      </w:r>
    </w:p>
    <w:p w:rsidR="00AE4D5A" w:rsidRDefault="00AE4D5A" w:rsidP="008E5E01">
      <w:pPr>
        <w:pStyle w:val="BodyText"/>
      </w:pPr>
      <w:r>
        <w:t>While this makes clear that TasPorts considers it has an obligation to pursue such non</w:t>
      </w:r>
      <w:r>
        <w:noBreakHyphen/>
        <w:t xml:space="preserve">commercial activities for the greater benefit of the community, the Tasmanian </w:t>
      </w:r>
      <w:r>
        <w:lastRenderedPageBreak/>
        <w:t>Government has not explicitly directed TasPorts to do so nor provided it with an explicit community service obligation</w:t>
      </w:r>
      <w:r>
        <w:rPr>
          <w:rStyle w:val="FootnoteReference"/>
        </w:rPr>
        <w:footnoteReference w:id="19"/>
      </w:r>
      <w:r>
        <w:t xml:space="preserve"> payment to reimburse it for meeting non</w:t>
      </w:r>
      <w:r>
        <w:noBreakHyphen/>
        <w:t xml:space="preserve">commercial objectives. </w:t>
      </w:r>
      <w:r w:rsidRPr="00272114">
        <w:rPr>
          <w:szCs w:val="24"/>
        </w:rPr>
        <w:t>(TasPorts 2012b)</w:t>
      </w:r>
      <w:r>
        <w:t xml:space="preserve">. </w:t>
      </w:r>
    </w:p>
    <w:p w:rsidR="00AE4D5A" w:rsidRDefault="00AE4D5A" w:rsidP="008E5E01">
      <w:pPr>
        <w:pStyle w:val="BodyText"/>
      </w:pPr>
      <w:r>
        <w:t>TasPorts’ statewide pricing strategy may also be contributing to its poor financial performance. Under the Members’ Statement of Expectation, TasPorts is expected to set prices, fees and charges that:</w:t>
      </w:r>
    </w:p>
    <w:p w:rsidR="00AE4D5A" w:rsidRDefault="00AE4D5A" w:rsidP="008E5E01">
      <w:pPr>
        <w:pStyle w:val="QuoteBullet"/>
      </w:pPr>
      <w:r>
        <w:t>meet the objectives of efficiency, and financial sustainability</w:t>
      </w:r>
    </w:p>
    <w:p w:rsidR="00AE4D5A" w:rsidRDefault="00AE4D5A" w:rsidP="008E5E01">
      <w:pPr>
        <w:pStyle w:val="QuoteBullet"/>
      </w:pPr>
      <w:r>
        <w:t>represent fair value to its customers</w:t>
      </w:r>
    </w:p>
    <w:p w:rsidR="00AE4D5A" w:rsidRDefault="00AE4D5A" w:rsidP="008E5E01">
      <w:pPr>
        <w:pStyle w:val="QuoteBullet"/>
      </w:pPr>
      <w:r>
        <w:t xml:space="preserve">to the extent possible, move towards a commercial return on assets employed as set out in the annual Statement of Corporate Intent </w:t>
      </w:r>
      <w:r w:rsidRPr="00626DDA">
        <w:rPr>
          <w:szCs w:val="24"/>
        </w:rPr>
        <w:t>(TasPorts 2012b, p. 5)</w:t>
      </w:r>
      <w:r>
        <w:t xml:space="preserve">. </w:t>
      </w:r>
    </w:p>
    <w:p w:rsidR="00AE4D5A" w:rsidRDefault="00AE4D5A" w:rsidP="008E5E01">
      <w:pPr>
        <w:pStyle w:val="BodyText"/>
      </w:pPr>
      <w:r>
        <w:t>A uniform pricing policy across disparate ports is unlikely to be efficient. Further the observed under</w:t>
      </w:r>
      <w:r>
        <w:noBreakHyphen/>
        <w:t xml:space="preserve">recovery of TasPorts’ </w:t>
      </w:r>
      <w:r w:rsidRPr="00C132D8">
        <w:t>costs</w:t>
      </w:r>
      <w:r w:rsidRPr="00C04A2A">
        <w:t xml:space="preserve"> </w:t>
      </w:r>
      <w:r>
        <w:t xml:space="preserve">(table 4.6) </w:t>
      </w:r>
      <w:r w:rsidRPr="00C04A2A">
        <w:t xml:space="preserve">indicates it </w:t>
      </w:r>
      <w:r>
        <w:t>may not be</w:t>
      </w:r>
      <w:r w:rsidRPr="00C04A2A">
        <w:t xml:space="preserve"> charging users the full cost of services it provides.</w:t>
      </w:r>
      <w:r>
        <w:rPr>
          <w:rStyle w:val="BodyTextChar"/>
        </w:rPr>
        <w:t xml:space="preserve"> </w:t>
      </w:r>
      <w:r>
        <w:t>Below</w:t>
      </w:r>
      <w:r>
        <w:noBreakHyphen/>
        <w:t>cost pricing would reduce future profitability of TasPorts and exacerbate a cycle of poor profitability and poor capital management. Some participants were critical of this approach:</w:t>
      </w:r>
    </w:p>
    <w:p w:rsidR="00AE4D5A" w:rsidRDefault="00AE4D5A" w:rsidP="008E5E01">
      <w:pPr>
        <w:pStyle w:val="Quote"/>
      </w:pPr>
      <w:r>
        <w:t>Uniform pricing by TasPorts implies that it is behaving as a monopoly with little or no negotiation. There is no competition between ports. (SeaRoad, sub. </w:t>
      </w:r>
      <w:proofErr w:type="spellStart"/>
      <w:r>
        <w:t>DR81</w:t>
      </w:r>
      <w:proofErr w:type="spellEnd"/>
      <w:r>
        <w:t>, p. 4)</w:t>
      </w:r>
    </w:p>
    <w:p w:rsidR="00AE4D5A" w:rsidRPr="00FC7080" w:rsidRDefault="00AE4D5A" w:rsidP="008E5E01">
      <w:pPr>
        <w:pStyle w:val="Quote"/>
      </w:pPr>
      <w:proofErr w:type="spellStart"/>
      <w:r w:rsidRPr="00FC7080">
        <w:t>Nyrstar</w:t>
      </w:r>
      <w:proofErr w:type="spellEnd"/>
      <w:r w:rsidRPr="00FC7080">
        <w:t xml:space="preserve"> does not believe the current pricing strategy of TasPorts reflects efficient costs of providing the port infrastructure and services</w:t>
      </w:r>
      <w:r>
        <w:t>. …</w:t>
      </w:r>
      <w:r w:rsidRPr="00FC7080">
        <w:t xml:space="preserve"> </w:t>
      </w:r>
      <w:proofErr w:type="spellStart"/>
      <w:r w:rsidRPr="00FC7080">
        <w:t>Nyrstar</w:t>
      </w:r>
      <w:proofErr w:type="spellEnd"/>
      <w:r w:rsidRPr="00FC7080">
        <w:t xml:space="preserve"> fully supports the draft report’s view that the current pricing strategy of TasPorts results in cross</w:t>
      </w:r>
      <w:r>
        <w:noBreakHyphen/>
      </w:r>
      <w:r w:rsidRPr="00FC7080">
        <w:t xml:space="preserve">subsidisation across ports and port activities. </w:t>
      </w:r>
      <w:proofErr w:type="spellStart"/>
      <w:r w:rsidRPr="00FC7080">
        <w:t>Nyrstar</w:t>
      </w:r>
      <w:proofErr w:type="spellEnd"/>
      <w:r w:rsidRPr="00FC7080">
        <w:t xml:space="preserve"> would like to see a full review of TasPorts’ pricing strategy</w:t>
      </w:r>
      <w:r>
        <w:t xml:space="preserve"> … (</w:t>
      </w:r>
      <w:proofErr w:type="spellStart"/>
      <w:r>
        <w:t>Nyrstar</w:t>
      </w:r>
      <w:proofErr w:type="spellEnd"/>
      <w:r>
        <w:t>, sub. </w:t>
      </w:r>
      <w:proofErr w:type="spellStart"/>
      <w:r>
        <w:t>DR105</w:t>
      </w:r>
      <w:proofErr w:type="spellEnd"/>
      <w:r>
        <w:t>, p. 3)</w:t>
      </w:r>
    </w:p>
    <w:p w:rsidR="00AE4D5A" w:rsidRDefault="00AE4D5A" w:rsidP="008E5E01">
      <w:pPr>
        <w:pStyle w:val="BodyText"/>
      </w:pPr>
      <w:r>
        <w:t>The system of statewide uniform pricing adopted by TasPorts introduces a lack of flexibility in pricing, and likely results in some cross</w:t>
      </w:r>
      <w:r>
        <w:noBreakHyphen/>
        <w:t xml:space="preserve">subsidisation across ports and port activities. Pricing that is inefficient and not cost reflective may mask price signals, limit potential for competition between ports, and potentially support less efficient ports at the expense of others. </w:t>
      </w:r>
    </w:p>
    <w:p w:rsidR="00AE4D5A" w:rsidRDefault="00AE4D5A" w:rsidP="008E5E01">
      <w:pPr>
        <w:pStyle w:val="BodyText"/>
      </w:pPr>
      <w:r>
        <w:t>The Commission received evidence from TasPorts that it has the potential to determine pricing on a customer basis and in fact does so for some customers:</w:t>
      </w:r>
    </w:p>
    <w:p w:rsidR="00AE4D5A" w:rsidRDefault="00AE4D5A" w:rsidP="008E5E01">
      <w:pPr>
        <w:pStyle w:val="Quote"/>
      </w:pPr>
      <w:r w:rsidRPr="00A0524D">
        <w:t xml:space="preserve">While a state wide pricing tariff has been adopted this does not restrict </w:t>
      </w:r>
      <w:proofErr w:type="spellStart"/>
      <w:r w:rsidRPr="00A0524D">
        <w:t>Tasports</w:t>
      </w:r>
      <w:proofErr w:type="spellEnd"/>
      <w:r w:rsidRPr="00A0524D">
        <w:t xml:space="preserve"> in negotiating confidential </w:t>
      </w:r>
      <w:proofErr w:type="spellStart"/>
      <w:r w:rsidRPr="00A0524D">
        <w:t>contractual</w:t>
      </w:r>
      <w:proofErr w:type="spellEnd"/>
      <w:r w:rsidRPr="00A0524D">
        <w:t xml:space="preserve"> arrangements with key customers and such arrangements do exist.</w:t>
      </w:r>
      <w:r>
        <w:t xml:space="preserve"> (sub. </w:t>
      </w:r>
      <w:proofErr w:type="spellStart"/>
      <w:r>
        <w:t>DR97</w:t>
      </w:r>
      <w:proofErr w:type="spellEnd"/>
      <w:r>
        <w:t>, p. 3)</w:t>
      </w:r>
    </w:p>
    <w:p w:rsidR="00AE4D5A" w:rsidRDefault="00AE4D5A" w:rsidP="008E5E01">
      <w:pPr>
        <w:pStyle w:val="BodyText"/>
      </w:pPr>
      <w:r>
        <w:lastRenderedPageBreak/>
        <w:t>SeaRoad, however, argued that the scope for customers to negotiate with TasPorts was limited because of its monopoly position:</w:t>
      </w:r>
    </w:p>
    <w:p w:rsidR="00AE4D5A" w:rsidRDefault="00AE4D5A" w:rsidP="008E5E01">
      <w:pPr>
        <w:pStyle w:val="Quote"/>
      </w:pPr>
      <w:r>
        <w:t xml:space="preserve">During the </w:t>
      </w:r>
      <w:proofErr w:type="spellStart"/>
      <w:r>
        <w:t>1990s</w:t>
      </w:r>
      <w:proofErr w:type="spellEnd"/>
      <w:r>
        <w:t xml:space="preserve"> </w:t>
      </w:r>
      <w:proofErr w:type="spellStart"/>
      <w:r>
        <w:t>SeaRoad’s</w:t>
      </w:r>
      <w:proofErr w:type="spellEnd"/>
      <w:r>
        <w:t xml:space="preserve"> predecessor consolidated its Tasmanian operations to one hub in mainland Tasmania. Robust negotiations were held … Competitive offers were received from both ports and Devonport was chosen as the successful bidder. This ability to negotiate independently was lost when all the Tasmanian ports were consolidated under the one entity of TasPorts. It is our opinion that there are no longer the same competitive tensions between the Tasmanian ports because TasPorts is effectively a monopoly. Current and future negotiations will take place in this environment and it is unlikely that favourable commercial arrangements can be achieved resulting in increased costs to the shipping lines and ultimately an increase in shipping rates. (sub. </w:t>
      </w:r>
      <w:proofErr w:type="spellStart"/>
      <w:r>
        <w:t>DR100</w:t>
      </w:r>
      <w:proofErr w:type="spellEnd"/>
      <w:r>
        <w:t>, p. 3)</w:t>
      </w:r>
    </w:p>
    <w:p w:rsidR="00AE4D5A" w:rsidRDefault="00AE4D5A" w:rsidP="008E5E01">
      <w:pPr>
        <w:pStyle w:val="BodyText"/>
      </w:pPr>
      <w:r>
        <w:t>Some participants claimed that TasPorts’ charges are high relative to other Australian ports. For example:</w:t>
      </w:r>
    </w:p>
    <w:p w:rsidR="00AE4D5A" w:rsidRDefault="00AE4D5A" w:rsidP="008E5E01">
      <w:pPr>
        <w:pStyle w:val="Quote"/>
      </w:pPr>
      <w:r>
        <w:t xml:space="preserve">… </w:t>
      </w:r>
      <w:r w:rsidRPr="00705147">
        <w:t>the Gladstone towage charges are about $8000. To bring that same ship into Bell Bay is $33</w:t>
      </w:r>
      <w:r>
        <w:t> </w:t>
      </w:r>
      <w:r w:rsidRPr="00705147">
        <w:t>000. To park it on the wharf is about $8300 in Gladstone and it is $18</w:t>
      </w:r>
      <w:r>
        <w:t> </w:t>
      </w:r>
      <w:r w:rsidRPr="00705147">
        <w:t xml:space="preserve">800 here in Bell Bay </w:t>
      </w:r>
      <w:r>
        <w:t>—</w:t>
      </w:r>
      <w:r w:rsidRPr="00705147">
        <w:t xml:space="preserve"> the same ship, same load, same journey</w:t>
      </w:r>
      <w:r>
        <w:t>. (BBA, trans., p. 322)</w:t>
      </w:r>
      <w:r>
        <w:rPr>
          <w:rStyle w:val="FootnoteReference"/>
        </w:rPr>
        <w:footnoteReference w:id="20"/>
      </w:r>
    </w:p>
    <w:p w:rsidR="00AE4D5A" w:rsidRPr="00EC09B5" w:rsidRDefault="00AE4D5A" w:rsidP="008E5E01">
      <w:pPr>
        <w:pStyle w:val="Quote"/>
      </w:pPr>
      <w:r w:rsidRPr="00EC09B5">
        <w:t xml:space="preserve">It is </w:t>
      </w:r>
      <w:proofErr w:type="spellStart"/>
      <w:r w:rsidRPr="00EC09B5">
        <w:t>Nyrstar’s</w:t>
      </w:r>
      <w:proofErr w:type="spellEnd"/>
      <w:r w:rsidRPr="00EC09B5">
        <w:t xml:space="preserve"> commercial experience that port charges for its Risdon wharf are excessive and have been increasing well beyond any other Australian port year on year. Alarmingly over the past four years </w:t>
      </w:r>
      <w:proofErr w:type="spellStart"/>
      <w:r w:rsidRPr="00EC09B5">
        <w:t>Nyrstar</w:t>
      </w:r>
      <w:proofErr w:type="spellEnd"/>
      <w:r w:rsidRPr="00EC09B5">
        <w:t xml:space="preserve"> has seen port costs increase by 71% with no visible improv</w:t>
      </w:r>
      <w:r w:rsidRPr="00FC7080">
        <w:t xml:space="preserve">ement in port infrastructure or service resulting in </w:t>
      </w:r>
      <w:proofErr w:type="spellStart"/>
      <w:r w:rsidRPr="00FC7080">
        <w:t>Nyrstar</w:t>
      </w:r>
      <w:proofErr w:type="spellEnd"/>
      <w:r w:rsidRPr="00FC7080">
        <w:t xml:space="preserve"> believing that we are subsidising other ports within Tasmania.</w:t>
      </w:r>
      <w:r>
        <w:t xml:space="preserve"> (</w:t>
      </w:r>
      <w:proofErr w:type="spellStart"/>
      <w:r>
        <w:t>Nyrstar</w:t>
      </w:r>
      <w:proofErr w:type="spellEnd"/>
      <w:r>
        <w:t>, sub. </w:t>
      </w:r>
      <w:proofErr w:type="spellStart"/>
      <w:r>
        <w:t>DR105</w:t>
      </w:r>
      <w:proofErr w:type="spellEnd"/>
      <w:r>
        <w:t>, p. 2)</w:t>
      </w:r>
    </w:p>
    <w:p w:rsidR="00AE4D5A" w:rsidRDefault="00AE4D5A" w:rsidP="008E5E01">
      <w:pPr>
        <w:pStyle w:val="BodyText"/>
      </w:pPr>
      <w:r>
        <w:t xml:space="preserve">APT, a cruise shipping operator, cited the cost of ports in Tasmania as one reason why it is unlikely to return to Tasmania in the foreseeable future (sub. 11). </w:t>
      </w:r>
    </w:p>
    <w:p w:rsidR="00AE4D5A" w:rsidRDefault="00AE4D5A" w:rsidP="008E5E01">
      <w:pPr>
        <w:pStyle w:val="BodyText"/>
      </w:pPr>
      <w:r>
        <w:t>Given TasPorts is a monopoly service provider, these concerns may be legitimate. However, the Commission does not have sufficient evidence to conclude that market power is currently being exploited by TasPorts. Further, it is not clear whether the cost differences experienced by users are due to scale factors, or result from cross</w:t>
      </w:r>
      <w:r>
        <w:noBreakHyphen/>
        <w:t xml:space="preserve">subsidies to support unprofitable ports. </w:t>
      </w:r>
    </w:p>
    <w:p w:rsidR="00AE4D5A" w:rsidRPr="00944444" w:rsidRDefault="00AE4D5A" w:rsidP="008E5E01">
      <w:pPr>
        <w:pStyle w:val="BodyText"/>
      </w:pPr>
      <w:r w:rsidRPr="00944444">
        <w:t xml:space="preserve">Concerns around the pricing of TasPorts suggest there would be benefits from the </w:t>
      </w:r>
      <w:r>
        <w:t xml:space="preserve">Office of the </w:t>
      </w:r>
      <w:r w:rsidRPr="00944444">
        <w:t>Tasmanian Economic Regulator undertaking an in</w:t>
      </w:r>
      <w:r>
        <w:t>quiry</w:t>
      </w:r>
      <w:r w:rsidRPr="00944444">
        <w:t xml:space="preserve"> into TasPorts’ pricing arrangements. This would increase transparency around pricing processes and assist in ensuring that users of port services pay prices that reflect the efficient costs of providing a particular service</w:t>
      </w:r>
      <w:r>
        <w:t xml:space="preserve"> and are cost reflective where appropriate</w:t>
      </w:r>
      <w:r w:rsidRPr="00944444">
        <w:t>. In carrying out this in</w:t>
      </w:r>
      <w:r>
        <w:t>quiry</w:t>
      </w:r>
      <w:r w:rsidRPr="00944444">
        <w:t>, the Tasmanian Economic Regulator should particularly consider and make recommendations on whether pricing at the three northern ports — through which TFES</w:t>
      </w:r>
      <w:r>
        <w:noBreakHyphen/>
      </w:r>
      <w:r w:rsidRPr="00944444">
        <w:t xml:space="preserve">eligible freight is moved — is </w:t>
      </w:r>
      <w:r>
        <w:t xml:space="preserve">efficient and </w:t>
      </w:r>
      <w:r w:rsidRPr="00944444">
        <w:t>cost reflective.</w:t>
      </w:r>
    </w:p>
    <w:p w:rsidR="00AE4D5A" w:rsidRPr="00944444" w:rsidRDefault="00AE4D5A" w:rsidP="008E5E01">
      <w:pPr>
        <w:pStyle w:val="RecTitle"/>
      </w:pPr>
      <w:r w:rsidRPr="00944444">
        <w:lastRenderedPageBreak/>
        <w:t>Recommendation</w:t>
      </w:r>
      <w:r>
        <w:t xml:space="preserve"> 16</w:t>
      </w:r>
    </w:p>
    <w:p w:rsidR="00AE4D5A" w:rsidRDefault="00AE4D5A" w:rsidP="008E5E01">
      <w:pPr>
        <w:pStyle w:val="Rec"/>
      </w:pPr>
      <w:r>
        <w:t xml:space="preserve">The Tasmanian Government should direct the Office of the Tasmanian Economic Regulator to conduct an inquiry into the pricing policies of TasPorts. In carrying out the inquiry, the Tasmanian Economic Regulator should consider and make recommendations on the extent to which pricing at the three major northern ports is efficient and, where appropriate, cost reflective of individual ports. </w:t>
      </w:r>
    </w:p>
    <w:p w:rsidR="00AE4D5A" w:rsidRDefault="00AE4D5A" w:rsidP="008E5E01">
      <w:pPr>
        <w:pStyle w:val="BodyText"/>
      </w:pPr>
      <w:r>
        <w:t xml:space="preserve">Improving the performance of TasPorts should be a key concern for the Tasmanian Government. Ultimately, the Tasmanian Government’s tolerance of low rates of return on assets or equity for TasPorts, if sustained for extended periods, must represent an implicit subsidy to TasPorts and to the users of port services. </w:t>
      </w:r>
    </w:p>
    <w:p w:rsidR="00AE4D5A" w:rsidRDefault="00AE4D5A" w:rsidP="008E5E01">
      <w:pPr>
        <w:pStyle w:val="BodyText"/>
      </w:pPr>
      <w:r>
        <w:t xml:space="preserve">As the FLCT noted: </w:t>
      </w:r>
    </w:p>
    <w:p w:rsidR="00AE4D5A" w:rsidRDefault="00AE4D5A" w:rsidP="008E5E01">
      <w:pPr>
        <w:pStyle w:val="Quote"/>
      </w:pPr>
      <w:r>
        <w:t xml:space="preserve">At a minimum, Government should create greater options for private sector involvement through supporting efficiency led improvements in government business returns, and increased information transparency </w:t>
      </w:r>
      <w:r w:rsidRPr="009C36C7">
        <w:rPr>
          <w:szCs w:val="24"/>
        </w:rPr>
        <w:t>(FLCT 2013a, p. 22)</w:t>
      </w:r>
      <w:r>
        <w:t xml:space="preserve">. </w:t>
      </w:r>
    </w:p>
    <w:p w:rsidR="00AE4D5A" w:rsidRDefault="00AE4D5A" w:rsidP="008E5E01">
      <w:pPr>
        <w:pStyle w:val="BodyText"/>
      </w:pPr>
      <w:r>
        <w:t xml:space="preserve">MMC Link has also suggested that TasPorts ‘must seek opportunities for efficiency, including specialisation, to reduce operating costs’ </w:t>
      </w:r>
      <w:r w:rsidRPr="004C41F4">
        <w:rPr>
          <w:szCs w:val="24"/>
        </w:rPr>
        <w:t>(MMC Link 2012, p. 18)</w:t>
      </w:r>
      <w:r>
        <w:t>.</w:t>
      </w:r>
      <w:r w:rsidRPr="00D1610F">
        <w:t xml:space="preserve"> </w:t>
      </w:r>
    </w:p>
    <w:p w:rsidR="00AE4D5A" w:rsidRDefault="00AE4D5A" w:rsidP="008E5E01">
      <w:pPr>
        <w:pStyle w:val="BodyText"/>
      </w:pPr>
      <w:r>
        <w:t xml:space="preserve">However, TasPorts operates within the planning and development framework established by the Tasmanian Government. As such, the Tasmanian Government’s commitment to a ‘one port three locations’ strategy in the north is a likely impediment to TasPorts accessing economies of scale and focusing investment in infrastructure. </w:t>
      </w:r>
    </w:p>
    <w:p w:rsidR="00AE4D5A" w:rsidRPr="00944444" w:rsidRDefault="00AE4D5A" w:rsidP="008E5E01">
      <w:pPr>
        <w:pStyle w:val="BodyText"/>
      </w:pPr>
      <w:r w:rsidRPr="00944444">
        <w:t>With this in mind, the Commission considers that the Tasmanian Government should assess the commercial viability of TasPorts and potential changes that could enhance its operation. Part of this assessment should include consideration of alternative funding models for infrastructure</w:t>
      </w:r>
      <w:r>
        <w:t xml:space="preserve">, including </w:t>
      </w:r>
      <w:r w:rsidRPr="00944444">
        <w:t>privatisation</w:t>
      </w:r>
      <w:r>
        <w:t xml:space="preserve"> and</w:t>
      </w:r>
      <w:r w:rsidRPr="00944444">
        <w:t xml:space="preserve"> long term leases. </w:t>
      </w:r>
      <w:r>
        <w:t>These models are a growing component of structural reform programs in most mainland jurisdictions. The assessment would provide an opportunity to reprioritise and redirect capital and also to ensure capital investment decisions are underpinned by commercial imperatives. Further, it may be an opportune time for the Tasmanian Government to seek commercial third party advice on the merit of testing the market for interest in TasPorts.</w:t>
      </w:r>
    </w:p>
    <w:p w:rsidR="00AE4D5A" w:rsidRPr="00944444" w:rsidRDefault="00AE4D5A" w:rsidP="008E5E01">
      <w:pPr>
        <w:pStyle w:val="RecTitle"/>
      </w:pPr>
      <w:r w:rsidRPr="00944444">
        <w:lastRenderedPageBreak/>
        <w:t>recommendation</w:t>
      </w:r>
      <w:r>
        <w:t xml:space="preserve"> 17</w:t>
      </w:r>
    </w:p>
    <w:p w:rsidR="00AE4D5A" w:rsidRDefault="00AE4D5A" w:rsidP="008E5E01">
      <w:pPr>
        <w:pStyle w:val="Rec"/>
      </w:pPr>
      <w:r w:rsidRPr="00B316DD">
        <w:t>The Tasmanian Government should assess the commercial viability of TasPorts and potential changes to enhance its operation. The assessment should include a consideration of alternative models for the provision of port infrastructure, including the feasibility of privatisation</w:t>
      </w:r>
      <w:r>
        <w:t xml:space="preserve"> or</w:t>
      </w:r>
      <w:r w:rsidRPr="00B316DD">
        <w:t xml:space="preserve"> long term leases</w:t>
      </w:r>
      <w:r>
        <w:t xml:space="preserve"> to private operators and be informed by the findings of recommendation 16.</w:t>
      </w:r>
    </w:p>
    <w:p w:rsidR="00AE4D5A" w:rsidRDefault="00AE4D5A" w:rsidP="008E5E01">
      <w:pPr>
        <w:pStyle w:val="Heading3"/>
      </w:pPr>
      <w:r>
        <w:t>Facilitating a more efficient future for Tasmanian ports</w:t>
      </w:r>
    </w:p>
    <w:p w:rsidR="00AE4D5A" w:rsidRDefault="00AE4D5A" w:rsidP="008E5E01">
      <w:pPr>
        <w:pStyle w:val="BodyText"/>
      </w:pPr>
      <w:r>
        <w:t>Previous sections have identified barriers to improving the efficiency of Tasmanian ports. Addressing those barriers will require substantial investments in port and landside infrastructure.</w:t>
      </w:r>
      <w:r w:rsidRPr="00010F9D">
        <w:t xml:space="preserve"> </w:t>
      </w:r>
    </w:p>
    <w:p w:rsidR="00AE4D5A" w:rsidRDefault="00AE4D5A" w:rsidP="008E5E01">
      <w:pPr>
        <w:pStyle w:val="BodyText"/>
      </w:pPr>
      <w:r>
        <w:t xml:space="preserve">However, that investment will occur within the policy framework of the Tasmanian Government and reflect its vision for the future of the ports it owns and operates (box 4.8). In this regard, TasPorts is developing a 30 year ports strategy, due to be released by 30 June 2014. This long term plan is intended to be consistent with the National Ports Strategy, which aims to identify: effective regulatory and governance frameworks; ways to improve land planning and corridor preservation; and the future infrastructure requirements of Australia’s ports, including road and rail links </w:t>
      </w:r>
      <w:r w:rsidRPr="002B6B06">
        <w:rPr>
          <w:szCs w:val="24"/>
        </w:rPr>
        <w:t>(Infrastructure Australia 2011)</w:t>
      </w:r>
      <w:r>
        <w:t>.</w:t>
      </w:r>
    </w:p>
    <w:p w:rsidR="00AE4D5A" w:rsidRPr="0066606F"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Box 4.</w:t>
            </w:r>
            <w:r>
              <w:rPr>
                <w:b w:val="0"/>
                <w:noProof/>
              </w:rPr>
              <w:t>8</w:t>
            </w:r>
            <w:r>
              <w:tab/>
              <w:t>Tasmania’s port development plan</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 xml:space="preserve">Tasmania’s current port </w:t>
            </w:r>
            <w:r w:rsidRPr="00755DA7">
              <w:t xml:space="preserve">strategy is aimed at developing a single port system of specialised terminals (one northern port with three terminals at Bell Bay, Devonport and Burnie). </w:t>
            </w:r>
            <w:r>
              <w:t>The strategy involves:</w:t>
            </w:r>
          </w:p>
          <w:p w:rsidR="00AE4D5A" w:rsidRDefault="00AE4D5A" w:rsidP="00AE4D5A">
            <w:pPr>
              <w:pStyle w:val="BoxListNumber"/>
              <w:numPr>
                <w:ilvl w:val="0"/>
                <w:numId w:val="19"/>
              </w:numPr>
            </w:pPr>
            <w:r>
              <w:t>The short term development of container terminal and intermodal capacity at Burnie (0–5 years)</w:t>
            </w:r>
          </w:p>
          <w:p w:rsidR="00AE4D5A" w:rsidRDefault="00AE4D5A" w:rsidP="008E5E01">
            <w:pPr>
              <w:pStyle w:val="BoxListNumber"/>
            </w:pPr>
            <w:r>
              <w:t>Medium to long term — Tasmanian Port development (three terminals)</w:t>
            </w:r>
          </w:p>
          <w:p w:rsidR="00AE4D5A" w:rsidRDefault="00AE4D5A" w:rsidP="008E5E01">
            <w:pPr>
              <w:pStyle w:val="BoxListNumber2"/>
            </w:pPr>
            <w:r>
              <w:t>Bulk minerals terminal at Burnie and dry bulk terminal at Bell Bay</w:t>
            </w:r>
          </w:p>
          <w:p w:rsidR="00AE4D5A" w:rsidRDefault="00AE4D5A" w:rsidP="008E5E01">
            <w:pPr>
              <w:pStyle w:val="BoxListNumber2"/>
            </w:pPr>
            <w:r>
              <w:t>Specialised terminal (i.e. TT</w:t>
            </w:r>
            <w:r>
              <w:noBreakHyphen/>
              <w:t>Line, Cement Australia) at Devonport</w:t>
            </w:r>
          </w:p>
          <w:p w:rsidR="00AE4D5A" w:rsidRDefault="00AE4D5A" w:rsidP="008E5E01">
            <w:pPr>
              <w:pStyle w:val="BoxListNumber2"/>
            </w:pPr>
            <w:r>
              <w:t>Priority Container terminal (Location still being developed)</w:t>
            </w:r>
          </w:p>
          <w:p w:rsidR="00AE4D5A" w:rsidRDefault="00AE4D5A" w:rsidP="008E5E01">
            <w:pPr>
              <w:pStyle w:val="Box"/>
            </w:pPr>
            <w:r>
              <w:t>The Port of Hobart is to specialise in Antarctic operations and cruise vessels.</w:t>
            </w:r>
          </w:p>
          <w:p w:rsidR="00AE4D5A" w:rsidRDefault="00AE4D5A" w:rsidP="008E5E01">
            <w:pPr>
              <w:pStyle w:val="Box"/>
            </w:pPr>
            <w:r>
              <w:t>It is estimated that Burnie, through proposed expansions, can handle up to 350 000 TEUs per year. Based on this figure and a projected 3 per cent average annual growth, Burnie is forecast to reach capacity by 2020. Based on this, it is not anticipated that the Bell Bay Intermodal Expansion would be required before 2020.</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Source"/>
            </w:pPr>
            <w:r>
              <w:rPr>
                <w:i/>
              </w:rPr>
              <w:t>Source</w:t>
            </w:r>
            <w:r w:rsidRPr="00167F06">
              <w:t xml:space="preserve">: </w:t>
            </w:r>
            <w:r>
              <w:t xml:space="preserve">DIER </w:t>
            </w:r>
            <w:r w:rsidRPr="009C36C7">
              <w:rPr>
                <w:rFonts w:cs="Arial"/>
              </w:rPr>
              <w:t>(2012)</w:t>
            </w:r>
            <w: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6606F" w:rsidRDefault="00AE4D5A" w:rsidP="008E5E01">
            <w:pPr>
              <w:pStyle w:val="BoxSpaceBelow"/>
            </w:pPr>
          </w:p>
        </w:tc>
      </w:tr>
    </w:tbl>
    <w:p w:rsidR="00AE4D5A" w:rsidRDefault="00AE4D5A" w:rsidP="008E5E01">
      <w:pPr>
        <w:pStyle w:val="BodyText"/>
      </w:pPr>
      <w:r>
        <w:lastRenderedPageBreak/>
        <w:t xml:space="preserve">Ports are key to effective long term freight planning for Tasmania, with appropriate planning processes for ports also critical to decisions around key road and freight corridors </w:t>
      </w:r>
      <w:r w:rsidRPr="002B6B06">
        <w:rPr>
          <w:szCs w:val="24"/>
        </w:rPr>
        <w:t>(FLCT 2013b)</w:t>
      </w:r>
      <w:r>
        <w:t>. For example, planning for landside infrastructure such as rail access and the length of rail marshalling yards are closely linked to issues of scale, rationalisation and specialisation.</w:t>
      </w:r>
      <w:r w:rsidRPr="00010F9D">
        <w:t xml:space="preserve"> </w:t>
      </w:r>
    </w:p>
    <w:p w:rsidR="00AE4D5A" w:rsidRDefault="00AE4D5A" w:rsidP="008E5E01">
      <w:pPr>
        <w:pStyle w:val="BodyText"/>
      </w:pPr>
      <w:r>
        <w:t xml:space="preserve">The Commission notes that the FLCT has made a number of recommendations on Tasmanian ports, including that Burnie become Tasmania’s principal domestic container port (box 4.7). The Commission considers that any decision on port strategy should be made within the context of Tasmania’s broader freight transport planning framework (chapter 5) and following the Tasmanian Government considering the fundamental issues raised in recommendations </w:t>
      </w:r>
      <w:r w:rsidRPr="000E00B3">
        <w:t>19 and 20</w:t>
      </w:r>
      <w:r w:rsidRPr="00414893">
        <w:t xml:space="preserve"> </w:t>
      </w:r>
      <w:r>
        <w:t xml:space="preserve">of this report, discussed in chapter 6. </w:t>
      </w:r>
    </w:p>
    <w:p w:rsidR="00AE4D5A" w:rsidRDefault="00AE4D5A" w:rsidP="008E5E01">
      <w:pPr>
        <w:pStyle w:val="Heading3"/>
      </w:pPr>
      <w:r w:rsidRPr="00DE570D">
        <w:t>Port of Melbourne licence fee</w:t>
      </w:r>
      <w:r>
        <w:t xml:space="preserve">  </w:t>
      </w:r>
    </w:p>
    <w:p w:rsidR="00AE4D5A" w:rsidRDefault="00AE4D5A" w:rsidP="008E5E01">
      <w:pPr>
        <w:pStyle w:val="BodyText"/>
      </w:pPr>
      <w:r>
        <w:t>The efficiency and associated costs of the Port of Melbourne have an important role in the cost of transporting freight, especially non</w:t>
      </w:r>
      <w:r>
        <w:noBreakHyphen/>
        <w:t>bulk freight, to and from Tasmania given that most of this freight moves through that port. Tasmania’s inbound and outbound non</w:t>
      </w:r>
      <w:r>
        <w:noBreakHyphen/>
        <w:t>bulk</w:t>
      </w:r>
      <w:r w:rsidRPr="004C44F3">
        <w:t xml:space="preserve"> freight </w:t>
      </w:r>
      <w:r>
        <w:t>constitutes</w:t>
      </w:r>
      <w:r w:rsidRPr="004C44F3">
        <w:t xml:space="preserve"> around 2</w:t>
      </w:r>
      <w:r>
        <w:t>5 </w:t>
      </w:r>
      <w:r w:rsidRPr="004C44F3">
        <w:t>per</w:t>
      </w:r>
      <w:r>
        <w:t> </w:t>
      </w:r>
      <w:r w:rsidRPr="004C44F3">
        <w:t>cent of the freight flow through the Port of Melbourne</w:t>
      </w:r>
      <w:r>
        <w:t xml:space="preserve"> (Tasmanian Government, sub. 43</w:t>
      </w:r>
      <w:r w:rsidRPr="00E15AC0">
        <w:t>).</w:t>
      </w:r>
      <w:r>
        <w:t xml:space="preserve"> It is also possible that transhipment through the Port of Melbourne will remain the dominant means of shipment for Tasmanian exports in the future </w:t>
      </w:r>
      <w:r w:rsidRPr="002B6B06">
        <w:rPr>
          <w:szCs w:val="24"/>
        </w:rPr>
        <w:t>(Juturna 2013)</w:t>
      </w:r>
      <w:r>
        <w:t xml:space="preserve">. </w:t>
      </w:r>
    </w:p>
    <w:p w:rsidR="00AE4D5A" w:rsidRDefault="00AE4D5A" w:rsidP="008E5E01">
      <w:pPr>
        <w:pStyle w:val="BodyText"/>
      </w:pPr>
      <w:r>
        <w:t xml:space="preserve">In 2011, the Victorian Government introduced the </w:t>
      </w:r>
      <w:r w:rsidRPr="004C44F3">
        <w:t>Port Management Amendment (Port of Melbourne Corporation Licence Fee) Bill 2011</w:t>
      </w:r>
      <w:r>
        <w:t>, which required the Port of Melbourne Corporation (</w:t>
      </w:r>
      <w:proofErr w:type="spellStart"/>
      <w:r>
        <w:t>PoMC</w:t>
      </w:r>
      <w:proofErr w:type="spellEnd"/>
      <w:r>
        <w:t>) to remit an annual fee (</w:t>
      </w:r>
      <w:proofErr w:type="spellStart"/>
      <w:r>
        <w:t>PLF</w:t>
      </w:r>
      <w:proofErr w:type="spellEnd"/>
      <w:r>
        <w:t xml:space="preserve">) to the Government. The </w:t>
      </w:r>
      <w:proofErr w:type="spellStart"/>
      <w:r>
        <w:t>PLF</w:t>
      </w:r>
      <w:proofErr w:type="spellEnd"/>
      <w:r>
        <w:t xml:space="preserve"> was $75 million in 2012</w:t>
      </w:r>
      <w:r>
        <w:noBreakHyphen/>
        <w:t>13 and is indexed to a CPI based adjustment factor (in 2013</w:t>
      </w:r>
      <w:r>
        <w:noBreakHyphen/>
        <w:t xml:space="preserve">14, the </w:t>
      </w:r>
      <w:proofErr w:type="spellStart"/>
      <w:r>
        <w:t>PLF</w:t>
      </w:r>
      <w:proofErr w:type="spellEnd"/>
      <w:r>
        <w:t xml:space="preserve"> will recover $76.4 million). The </w:t>
      </w:r>
      <w:proofErr w:type="spellStart"/>
      <w:r>
        <w:t>PLF</w:t>
      </w:r>
      <w:proofErr w:type="spellEnd"/>
      <w:r>
        <w:t xml:space="preserve"> is recovered through an increase in the general fees and charges included in the </w:t>
      </w:r>
      <w:proofErr w:type="spellStart"/>
      <w:r>
        <w:t>PoMC’s</w:t>
      </w:r>
      <w:proofErr w:type="spellEnd"/>
      <w:r>
        <w:t xml:space="preserve"> Reference Tariff Schedule, with the intent of spreading the cost across all of the port’s trade sectors </w:t>
      </w:r>
      <w:r w:rsidRPr="00F01349">
        <w:rPr>
          <w:szCs w:val="24"/>
        </w:rPr>
        <w:t>(Port of Melbourne Corporation 2013a)</w:t>
      </w:r>
      <w:r>
        <w:t xml:space="preserve">. Approximately 34 per cent of the </w:t>
      </w:r>
      <w:proofErr w:type="spellStart"/>
      <w:r>
        <w:t>PoMC’s</w:t>
      </w:r>
      <w:proofErr w:type="spellEnd"/>
      <w:r>
        <w:t xml:space="preserve"> 2013</w:t>
      </w:r>
      <w:r>
        <w:noBreakHyphen/>
        <w:t xml:space="preserve">14 standard charges (excluding the wharfage infrastructure fee) relate to the recovery of the </w:t>
      </w:r>
      <w:proofErr w:type="spellStart"/>
      <w:r>
        <w:t>PLF</w:t>
      </w:r>
      <w:proofErr w:type="spellEnd"/>
      <w:r>
        <w:t xml:space="preserve"> </w:t>
      </w:r>
      <w:r w:rsidRPr="00F01349">
        <w:rPr>
          <w:szCs w:val="24"/>
        </w:rPr>
        <w:t>(Port of Melbourne Corporation 2013b)</w:t>
      </w:r>
      <w:r>
        <w:t xml:space="preserve">. The impact of the </w:t>
      </w:r>
      <w:proofErr w:type="spellStart"/>
      <w:r>
        <w:t>PLF</w:t>
      </w:r>
      <w:proofErr w:type="spellEnd"/>
      <w:r>
        <w:t xml:space="preserve"> is described in table 4.7.</w:t>
      </w:r>
      <w:r w:rsidRPr="00C2050E">
        <w:t xml:space="preserve"> </w:t>
      </w:r>
    </w:p>
    <w:p w:rsidR="00AE4D5A" w:rsidRDefault="00AE4D5A" w:rsidP="008E5E01">
      <w:pPr>
        <w:pStyle w:val="BodyText"/>
      </w:pPr>
      <w:r w:rsidRPr="0066606F">
        <w:t xml:space="preserve">While the cost increase associated with the </w:t>
      </w:r>
      <w:proofErr w:type="spellStart"/>
      <w:r w:rsidRPr="0066606F">
        <w:t>PLF</w:t>
      </w:r>
      <w:proofErr w:type="spellEnd"/>
      <w:r w:rsidRPr="0066606F">
        <w:t xml:space="preserve"> represents only a small proportion of shippers’ total costs (around 1</w:t>
      </w:r>
      <w:r>
        <w:t>.4</w:t>
      </w:r>
      <w:r w:rsidRPr="0066606F">
        <w:t xml:space="preserve"> per cent</w:t>
      </w:r>
      <w:r>
        <w:t xml:space="preserve"> of the median total door</w:t>
      </w:r>
      <w:r>
        <w:noBreakHyphen/>
        <w:t>to</w:t>
      </w:r>
      <w:r>
        <w:noBreakHyphen/>
        <w:t>door cost for TFES claims</w:t>
      </w:r>
      <w:r w:rsidRPr="0066606F">
        <w:t>), some</w:t>
      </w:r>
      <w:r>
        <w:t xml:space="preserve"> inquiry participants drew attention to the significant added costs this licence fee imposed on their businesses. Harvest Moon, for example, estimated that the introduction of the </w:t>
      </w:r>
      <w:proofErr w:type="spellStart"/>
      <w:r>
        <w:t>PLF</w:t>
      </w:r>
      <w:proofErr w:type="spellEnd"/>
      <w:r>
        <w:t xml:space="preserve"> has an impact equivalent to </w:t>
      </w:r>
      <w:r>
        <w:lastRenderedPageBreak/>
        <w:t>$96 000 per year (sub. 21), while Simplot noted that it adds $350 000 to its Bass Strait shipping task (sub. 50).</w:t>
      </w:r>
    </w:p>
    <w:p w:rsidR="00AE4D5A" w:rsidRDefault="00AE4D5A" w:rsidP="008E5E01">
      <w:pPr>
        <w:pStyle w:val="TableTitle"/>
      </w:pPr>
      <w:r>
        <w:rPr>
          <w:b w:val="0"/>
        </w:rPr>
        <w:t>Table 4.</w:t>
      </w:r>
      <w:r>
        <w:rPr>
          <w:b w:val="0"/>
          <w:noProof/>
        </w:rPr>
        <w:t>7</w:t>
      </w:r>
      <w:r>
        <w:tab/>
        <w:t>Port of Melbourne wharfage fees for containerised freight</w:t>
      </w:r>
    </w:p>
    <w:p w:rsidR="00AE4D5A" w:rsidRPr="003265D2" w:rsidRDefault="00AE4D5A" w:rsidP="008E5E01">
      <w:pPr>
        <w:keepNext/>
        <w:keepLines/>
        <w:spacing w:after="80" w:line="200" w:lineRule="exact"/>
        <w:ind w:left="1474"/>
      </w:pPr>
      <w:r>
        <w:rPr>
          <w:rFonts w:ascii="Arial" w:hAnsi="Arial"/>
          <w:sz w:val="20"/>
        </w:rPr>
        <w:t>Before and after the introduction of the Port Licence Fee</w:t>
      </w:r>
    </w:p>
    <w:tbl>
      <w:tblPr>
        <w:tblW w:w="5000" w:type="pct"/>
        <w:tblCellMar>
          <w:left w:w="0" w:type="dxa"/>
          <w:right w:w="0" w:type="dxa"/>
        </w:tblCellMar>
        <w:tblLook w:val="0000" w:firstRow="0" w:lastRow="0" w:firstColumn="0" w:lastColumn="0" w:noHBand="0" w:noVBand="0"/>
      </w:tblPr>
      <w:tblGrid>
        <w:gridCol w:w="2202"/>
        <w:gridCol w:w="2197"/>
        <w:gridCol w:w="2195"/>
        <w:gridCol w:w="2195"/>
      </w:tblGrid>
      <w:tr w:rsidR="00AE4D5A" w:rsidTr="008E5E01">
        <w:tc>
          <w:tcPr>
            <w:tcW w:w="1252" w:type="pct"/>
            <w:tcBorders>
              <w:top w:val="single" w:sz="6" w:space="0" w:color="auto"/>
              <w:bottom w:val="single" w:sz="6" w:space="0" w:color="auto"/>
            </w:tcBorders>
            <w:shd w:val="clear" w:color="auto" w:fill="auto"/>
          </w:tcPr>
          <w:p w:rsidR="00AE4D5A" w:rsidRPr="00CE6272" w:rsidRDefault="00AE4D5A" w:rsidP="008E5E01">
            <w:pPr>
              <w:pStyle w:val="TableColumnHeading"/>
              <w:jc w:val="left"/>
              <w:rPr>
                <w:szCs w:val="24"/>
              </w:rPr>
            </w:pPr>
            <w:r w:rsidRPr="00CE6272">
              <w:t>Containerised</w:t>
            </w:r>
          </w:p>
        </w:tc>
        <w:tc>
          <w:tcPr>
            <w:tcW w:w="1250" w:type="pct"/>
            <w:tcBorders>
              <w:top w:val="single" w:sz="6" w:space="0" w:color="auto"/>
              <w:bottom w:val="single" w:sz="6" w:space="0" w:color="auto"/>
            </w:tcBorders>
            <w:shd w:val="clear" w:color="auto" w:fill="auto"/>
          </w:tcPr>
          <w:p w:rsidR="00AE4D5A" w:rsidRPr="00CE6272" w:rsidRDefault="00AE4D5A" w:rsidP="008E5E01">
            <w:pPr>
              <w:pStyle w:val="TableColumnHeading"/>
            </w:pPr>
            <w:r w:rsidRPr="00CE6272">
              <w:t>Tariff 1</w:t>
            </w:r>
            <w:r>
              <w:t> </w:t>
            </w:r>
            <w:r w:rsidRPr="00CE6272">
              <w:t xml:space="preserve">July 2011, excluding GST </w:t>
            </w:r>
          </w:p>
        </w:tc>
        <w:tc>
          <w:tcPr>
            <w:tcW w:w="1249" w:type="pct"/>
            <w:tcBorders>
              <w:top w:val="single" w:sz="6" w:space="0" w:color="auto"/>
              <w:bottom w:val="single" w:sz="6" w:space="0" w:color="auto"/>
            </w:tcBorders>
            <w:shd w:val="clear" w:color="auto" w:fill="auto"/>
          </w:tcPr>
          <w:p w:rsidR="00AE4D5A" w:rsidRDefault="00AE4D5A" w:rsidP="008E5E01">
            <w:pPr>
              <w:pStyle w:val="TableColumnHeading"/>
              <w:ind w:right="28"/>
            </w:pPr>
            <w:r>
              <w:t xml:space="preserve">Tariff 1 July 2012, </w:t>
            </w:r>
            <w:r w:rsidRPr="00CE6272">
              <w:t>excluding GST</w:t>
            </w:r>
          </w:p>
          <w:p w:rsidR="00AE4D5A" w:rsidRDefault="00AE4D5A" w:rsidP="008E5E01">
            <w:pPr>
              <w:pStyle w:val="TableColumnHeading"/>
              <w:ind w:right="28"/>
            </w:pPr>
            <w:r>
              <w:t xml:space="preserve">(with </w:t>
            </w:r>
            <w:proofErr w:type="spellStart"/>
            <w:r>
              <w:t>PLF</w:t>
            </w:r>
            <w:proofErr w:type="spellEnd"/>
            <w:r>
              <w:t xml:space="preserve">) </w:t>
            </w:r>
          </w:p>
        </w:tc>
        <w:tc>
          <w:tcPr>
            <w:tcW w:w="1249" w:type="pct"/>
            <w:tcBorders>
              <w:top w:val="single" w:sz="6" w:space="0" w:color="auto"/>
              <w:bottom w:val="single" w:sz="6" w:space="0" w:color="auto"/>
            </w:tcBorders>
          </w:tcPr>
          <w:p w:rsidR="00AE4D5A" w:rsidRDefault="00AE4D5A" w:rsidP="008E5E01">
            <w:pPr>
              <w:pStyle w:val="TableColumnHeading"/>
              <w:ind w:right="28"/>
            </w:pPr>
            <w:r>
              <w:t xml:space="preserve">Tariff 1 July 2013, </w:t>
            </w:r>
            <w:r w:rsidRPr="00CE6272">
              <w:t>excluding GST</w:t>
            </w:r>
          </w:p>
          <w:p w:rsidR="00AE4D5A" w:rsidRPr="00CE6272" w:rsidRDefault="00AE4D5A" w:rsidP="008E5E01">
            <w:pPr>
              <w:pStyle w:val="TableColumnHeading"/>
              <w:ind w:right="28"/>
            </w:pPr>
            <w:r>
              <w:t xml:space="preserve">(with </w:t>
            </w:r>
            <w:proofErr w:type="spellStart"/>
            <w:r>
              <w:t>PLF</w:t>
            </w:r>
            <w:proofErr w:type="spellEnd"/>
            <w:r>
              <w:t>)</w:t>
            </w:r>
          </w:p>
        </w:tc>
      </w:tr>
      <w:tr w:rsidR="00AE4D5A" w:rsidTr="008E5E01">
        <w:tc>
          <w:tcPr>
            <w:tcW w:w="1252" w:type="pct"/>
            <w:tcBorders>
              <w:top w:val="single" w:sz="6" w:space="0" w:color="auto"/>
            </w:tcBorders>
          </w:tcPr>
          <w:p w:rsidR="00AE4D5A" w:rsidRDefault="00AE4D5A" w:rsidP="008E5E01">
            <w:pPr>
              <w:pStyle w:val="TableUnitsRow"/>
              <w:jc w:val="left"/>
            </w:pPr>
          </w:p>
        </w:tc>
        <w:tc>
          <w:tcPr>
            <w:tcW w:w="1250" w:type="pct"/>
            <w:tcBorders>
              <w:top w:val="single" w:sz="6" w:space="0" w:color="auto"/>
            </w:tcBorders>
          </w:tcPr>
          <w:p w:rsidR="00AE4D5A" w:rsidRDefault="00AE4D5A" w:rsidP="008E5E01">
            <w:pPr>
              <w:pStyle w:val="TableUnitsRow"/>
            </w:pPr>
            <w:r>
              <w:t>($/TEU)</w:t>
            </w:r>
          </w:p>
        </w:tc>
        <w:tc>
          <w:tcPr>
            <w:tcW w:w="1249" w:type="pct"/>
            <w:tcBorders>
              <w:top w:val="single" w:sz="6" w:space="0" w:color="auto"/>
            </w:tcBorders>
          </w:tcPr>
          <w:p w:rsidR="00AE4D5A" w:rsidRDefault="00AE4D5A" w:rsidP="008E5E01">
            <w:pPr>
              <w:pStyle w:val="TableUnitsRow"/>
              <w:ind w:right="28"/>
            </w:pPr>
            <w:r>
              <w:t>($/TEU)</w:t>
            </w:r>
          </w:p>
        </w:tc>
        <w:tc>
          <w:tcPr>
            <w:tcW w:w="1249" w:type="pct"/>
            <w:tcBorders>
              <w:top w:val="single" w:sz="6" w:space="0" w:color="auto"/>
            </w:tcBorders>
          </w:tcPr>
          <w:p w:rsidR="00AE4D5A" w:rsidRDefault="00AE4D5A" w:rsidP="008E5E01">
            <w:pPr>
              <w:pStyle w:val="TableUnitsRow"/>
              <w:ind w:right="28"/>
            </w:pPr>
            <w:r>
              <w:t>($/TEU)</w:t>
            </w:r>
          </w:p>
        </w:tc>
      </w:tr>
      <w:tr w:rsidR="00AE4D5A" w:rsidTr="008E5E01">
        <w:tc>
          <w:tcPr>
            <w:tcW w:w="1252" w:type="pct"/>
          </w:tcPr>
          <w:p w:rsidR="00AE4D5A" w:rsidRDefault="00AE4D5A" w:rsidP="008E5E01">
            <w:pPr>
              <w:pStyle w:val="TableBodyText"/>
              <w:jc w:val="left"/>
            </w:pPr>
            <w:r>
              <w:t>Full</w:t>
            </w:r>
          </w:p>
        </w:tc>
        <w:tc>
          <w:tcPr>
            <w:tcW w:w="1250" w:type="pct"/>
          </w:tcPr>
          <w:p w:rsidR="00AE4D5A" w:rsidRDefault="00AE4D5A" w:rsidP="008E5E01">
            <w:pPr>
              <w:pStyle w:val="TableBodyText"/>
            </w:pPr>
            <w:r>
              <w:t>40.10</w:t>
            </w:r>
          </w:p>
        </w:tc>
        <w:tc>
          <w:tcPr>
            <w:tcW w:w="1249" w:type="pct"/>
          </w:tcPr>
          <w:p w:rsidR="00AE4D5A" w:rsidRDefault="00AE4D5A" w:rsidP="008E5E01">
            <w:pPr>
              <w:pStyle w:val="TableBodyText"/>
              <w:ind w:right="28"/>
            </w:pPr>
            <w:r>
              <w:t>61.20</w:t>
            </w:r>
          </w:p>
        </w:tc>
        <w:tc>
          <w:tcPr>
            <w:tcW w:w="1249" w:type="pct"/>
          </w:tcPr>
          <w:p w:rsidR="00AE4D5A" w:rsidRDefault="00AE4D5A" w:rsidP="008E5E01">
            <w:pPr>
              <w:pStyle w:val="TableBodyText"/>
              <w:ind w:right="28"/>
            </w:pPr>
            <w:r>
              <w:t>64.40</w:t>
            </w:r>
          </w:p>
        </w:tc>
      </w:tr>
      <w:tr w:rsidR="00AE4D5A" w:rsidTr="008E5E01">
        <w:tc>
          <w:tcPr>
            <w:tcW w:w="1252" w:type="pct"/>
          </w:tcPr>
          <w:p w:rsidR="00AE4D5A" w:rsidRDefault="00AE4D5A" w:rsidP="008E5E01">
            <w:pPr>
              <w:pStyle w:val="TableBodyText"/>
              <w:jc w:val="left"/>
            </w:pPr>
            <w:r>
              <w:t>Full Bass Strait</w:t>
            </w:r>
          </w:p>
        </w:tc>
        <w:tc>
          <w:tcPr>
            <w:tcW w:w="1250" w:type="pct"/>
          </w:tcPr>
          <w:p w:rsidR="00AE4D5A" w:rsidRDefault="00AE4D5A" w:rsidP="008E5E01">
            <w:pPr>
              <w:pStyle w:val="TableBodyText"/>
            </w:pPr>
            <w:r>
              <w:t>41.80</w:t>
            </w:r>
          </w:p>
        </w:tc>
        <w:tc>
          <w:tcPr>
            <w:tcW w:w="1249" w:type="pct"/>
          </w:tcPr>
          <w:p w:rsidR="00AE4D5A" w:rsidRDefault="00AE4D5A" w:rsidP="008E5E01">
            <w:pPr>
              <w:pStyle w:val="TableBodyText"/>
              <w:ind w:right="28"/>
            </w:pPr>
            <w:r>
              <w:t>63.60</w:t>
            </w:r>
          </w:p>
        </w:tc>
        <w:tc>
          <w:tcPr>
            <w:tcW w:w="1249" w:type="pct"/>
          </w:tcPr>
          <w:p w:rsidR="00AE4D5A" w:rsidRDefault="00AE4D5A" w:rsidP="008E5E01">
            <w:pPr>
              <w:pStyle w:val="TableBodyText"/>
              <w:ind w:right="28"/>
            </w:pPr>
            <w:r>
              <w:t>66.90</w:t>
            </w:r>
          </w:p>
        </w:tc>
      </w:tr>
      <w:tr w:rsidR="00AE4D5A" w:rsidTr="008E5E01">
        <w:tc>
          <w:tcPr>
            <w:tcW w:w="1252" w:type="pct"/>
          </w:tcPr>
          <w:p w:rsidR="00AE4D5A" w:rsidRDefault="00AE4D5A" w:rsidP="008E5E01">
            <w:pPr>
              <w:pStyle w:val="TableBodyText"/>
              <w:jc w:val="left"/>
            </w:pPr>
            <w:r>
              <w:t>Empty</w:t>
            </w:r>
          </w:p>
        </w:tc>
        <w:tc>
          <w:tcPr>
            <w:tcW w:w="1250" w:type="pct"/>
          </w:tcPr>
          <w:p w:rsidR="00AE4D5A" w:rsidRDefault="00AE4D5A" w:rsidP="008E5E01">
            <w:pPr>
              <w:pStyle w:val="TableBodyText"/>
            </w:pPr>
            <w:r>
              <w:t>10</w:t>
            </w:r>
          </w:p>
        </w:tc>
        <w:tc>
          <w:tcPr>
            <w:tcW w:w="1249" w:type="pct"/>
          </w:tcPr>
          <w:p w:rsidR="00AE4D5A" w:rsidRDefault="00AE4D5A" w:rsidP="008E5E01">
            <w:pPr>
              <w:pStyle w:val="TableBodyText"/>
              <w:ind w:right="28"/>
            </w:pPr>
            <w:r>
              <w:t>15.20</w:t>
            </w:r>
          </w:p>
        </w:tc>
        <w:tc>
          <w:tcPr>
            <w:tcW w:w="1249" w:type="pct"/>
          </w:tcPr>
          <w:p w:rsidR="00AE4D5A" w:rsidRDefault="00AE4D5A" w:rsidP="008E5E01">
            <w:pPr>
              <w:pStyle w:val="TableBodyText"/>
              <w:ind w:right="28"/>
            </w:pPr>
            <w:r>
              <w:t>16.00</w:t>
            </w:r>
          </w:p>
        </w:tc>
      </w:tr>
      <w:tr w:rsidR="00AE4D5A" w:rsidTr="008E5E01">
        <w:tc>
          <w:tcPr>
            <w:tcW w:w="1252" w:type="pct"/>
            <w:tcBorders>
              <w:bottom w:val="single" w:sz="6" w:space="0" w:color="auto"/>
            </w:tcBorders>
            <w:shd w:val="clear" w:color="auto" w:fill="auto"/>
          </w:tcPr>
          <w:p w:rsidR="00AE4D5A" w:rsidRDefault="00AE4D5A" w:rsidP="008E5E01">
            <w:pPr>
              <w:pStyle w:val="TableBodyText"/>
              <w:jc w:val="left"/>
            </w:pPr>
            <w:r>
              <w:t>Transhipment</w:t>
            </w:r>
          </w:p>
        </w:tc>
        <w:tc>
          <w:tcPr>
            <w:tcW w:w="1250" w:type="pct"/>
            <w:tcBorders>
              <w:bottom w:val="single" w:sz="6" w:space="0" w:color="auto"/>
            </w:tcBorders>
            <w:shd w:val="clear" w:color="auto" w:fill="auto"/>
          </w:tcPr>
          <w:p w:rsidR="00AE4D5A" w:rsidRDefault="00AE4D5A" w:rsidP="008E5E01">
            <w:pPr>
              <w:pStyle w:val="TableBodyText"/>
            </w:pPr>
            <w:r>
              <w:t>50 per cent of published rate</w:t>
            </w:r>
          </w:p>
        </w:tc>
        <w:tc>
          <w:tcPr>
            <w:tcW w:w="1249" w:type="pct"/>
            <w:tcBorders>
              <w:bottom w:val="single" w:sz="6" w:space="0" w:color="auto"/>
            </w:tcBorders>
            <w:shd w:val="clear" w:color="auto" w:fill="auto"/>
          </w:tcPr>
          <w:p w:rsidR="00AE4D5A" w:rsidRDefault="00AE4D5A" w:rsidP="008E5E01">
            <w:pPr>
              <w:pStyle w:val="TableBodyText"/>
              <w:ind w:right="28"/>
            </w:pPr>
            <w:r>
              <w:t>35 per cent of published rate</w:t>
            </w:r>
          </w:p>
        </w:tc>
        <w:tc>
          <w:tcPr>
            <w:tcW w:w="1249" w:type="pct"/>
            <w:tcBorders>
              <w:bottom w:val="single" w:sz="6" w:space="0" w:color="auto"/>
            </w:tcBorders>
          </w:tcPr>
          <w:p w:rsidR="00AE4D5A" w:rsidRDefault="00AE4D5A" w:rsidP="008E5E01">
            <w:pPr>
              <w:pStyle w:val="TableBodyText"/>
              <w:ind w:right="28"/>
            </w:pPr>
            <w:r>
              <w:t>35 per cent of published rate</w:t>
            </w:r>
          </w:p>
        </w:tc>
      </w:tr>
    </w:tbl>
    <w:p w:rsidR="00AE4D5A" w:rsidRDefault="00AE4D5A" w:rsidP="008E5E01">
      <w:pPr>
        <w:pStyle w:val="Source"/>
      </w:pPr>
      <w:r>
        <w:rPr>
          <w:i/>
        </w:rPr>
        <w:t>Sources</w:t>
      </w:r>
      <w:r>
        <w:t xml:space="preserve">: </w:t>
      </w:r>
      <w:r w:rsidRPr="005E4612">
        <w:t>Infrastructure Australia</w:t>
      </w:r>
      <w:r>
        <w:t xml:space="preserve"> </w:t>
      </w:r>
      <w:r w:rsidR="007C1471" w:rsidRPr="007C1471">
        <w:rPr>
          <w:rFonts w:cs="Arial"/>
        </w:rPr>
        <w:t>(2012b)</w:t>
      </w:r>
      <w:r>
        <w:rPr>
          <w:rFonts w:cs="Arial"/>
        </w:rPr>
        <w:t xml:space="preserve">, Port of Melbourne Corporation </w:t>
      </w:r>
      <w:r w:rsidRPr="00364CCA">
        <w:rPr>
          <w:rFonts w:cs="Arial"/>
        </w:rPr>
        <w:t>(2012b, 2013b)</w:t>
      </w:r>
      <w:r>
        <w:t>.</w:t>
      </w:r>
    </w:p>
    <w:p w:rsidR="00AE4D5A" w:rsidRDefault="00AE4D5A" w:rsidP="008E5E01">
      <w:pPr>
        <w:pStyle w:val="BodyText"/>
      </w:pPr>
      <w:r>
        <w:t xml:space="preserve">The Victorian Government advised the Commission that the </w:t>
      </w:r>
      <w:proofErr w:type="spellStart"/>
      <w:r>
        <w:t>PLF</w:t>
      </w:r>
      <w:proofErr w:type="spellEnd"/>
      <w:r>
        <w:t xml:space="preserve"> is a revenue raising measure, unrelated to port services or costs. While the licence fee is levied across all users, the nature of freight movement through the Port of Melbourne means that Tasmanian shippers bear a large proportion of the cost of the licence fee, around $20 million in 2013</w:t>
      </w:r>
      <w:r>
        <w:noBreakHyphen/>
        <w:t xml:space="preserve">14. </w:t>
      </w:r>
    </w:p>
    <w:p w:rsidR="00AE4D5A" w:rsidRDefault="00AE4D5A" w:rsidP="008E5E01">
      <w:pPr>
        <w:pStyle w:val="BodyText"/>
      </w:pPr>
      <w:r>
        <w:t>The Commission does not have definitive advice on whether legal recourse is available to address this matter, but notes the comment of the Tasmanian Government:</w:t>
      </w:r>
    </w:p>
    <w:p w:rsidR="00AE4D5A" w:rsidRDefault="00AE4D5A" w:rsidP="008E5E01">
      <w:pPr>
        <w:pStyle w:val="Quote"/>
      </w:pPr>
      <w:r w:rsidRPr="0088308E">
        <w:t>We took advice on the constitutionality of it and of course because the licence fee</w:t>
      </w:r>
      <w:r>
        <w:t xml:space="preserve"> …</w:t>
      </w:r>
      <w:r w:rsidRPr="0088308E">
        <w:t xml:space="preserve"> was levied on all business, not necessarily just interstate business but that was clearly not a matter for constitutional lawyers to argue</w:t>
      </w:r>
      <w:r>
        <w:t xml:space="preserve"> … </w:t>
      </w:r>
      <w:r w:rsidRPr="0088308E">
        <w:t>Our understanding is that unless the Victorian government makes a determination that they will change their position then ultimately they have acted lawfully.</w:t>
      </w:r>
      <w:r>
        <w:t xml:space="preserve"> (trans., p. 444)</w:t>
      </w:r>
    </w:p>
    <w:p w:rsidR="00AE4D5A" w:rsidRDefault="00AE4D5A" w:rsidP="008E5E01">
      <w:pPr>
        <w:pStyle w:val="BodyText"/>
      </w:pPr>
      <w:r>
        <w:t xml:space="preserve">However, the </w:t>
      </w:r>
      <w:proofErr w:type="spellStart"/>
      <w:r>
        <w:t>PLF</w:t>
      </w:r>
      <w:proofErr w:type="spellEnd"/>
      <w:r>
        <w:t>, by taxing business inputs, is an inefficient way to raise revenue. It also negatively impacts upon businesses in non</w:t>
      </w:r>
      <w:r>
        <w:noBreakHyphen/>
        <w:t xml:space="preserve">Victorian jurisdictions. </w:t>
      </w:r>
    </w:p>
    <w:p w:rsidR="00AE4D5A" w:rsidRDefault="00AE4D5A" w:rsidP="008E5E01">
      <w:pPr>
        <w:pStyle w:val="BodyText"/>
      </w:pPr>
      <w:r>
        <w:t xml:space="preserve">Further, the </w:t>
      </w:r>
      <w:proofErr w:type="spellStart"/>
      <w:r>
        <w:t>PLF</w:t>
      </w:r>
      <w:proofErr w:type="spellEnd"/>
      <w:r>
        <w:t xml:space="preserve"> effectively embodies a revenue transfer from the Australian Government to the Victorian Government at the expense of Tasmanian business through its effective and material dilution of the benefit of the TFES. </w:t>
      </w:r>
    </w:p>
    <w:p w:rsidR="00AE4D5A" w:rsidRDefault="00AE4D5A" w:rsidP="008E5E01">
      <w:pPr>
        <w:pStyle w:val="BodyText"/>
      </w:pPr>
    </w:p>
    <w:p w:rsidR="00AE4D5A" w:rsidRDefault="00AE4D5A" w:rsidP="00AE4D5A">
      <w:pPr>
        <w:sectPr w:rsidR="00AE4D5A" w:rsidSect="00AE4D5A">
          <w:headerReference w:type="even" r:id="rId82"/>
          <w:headerReference w:type="default" r:id="rId83"/>
          <w:footerReference w:type="even" r:id="rId84"/>
          <w:footerReference w:type="default" r:id="rId85"/>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Heading1"/>
        <w:spacing w:before="0"/>
      </w:pPr>
      <w:r>
        <w:lastRenderedPageBreak/>
        <w:t>5</w:t>
      </w:r>
      <w:r>
        <w:tab/>
        <w:t>Land freight</w:t>
      </w:r>
    </w:p>
    <w:p w:rsidR="00AE4D5A" w:rsidRPr="001353C8"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t>Key points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ListBullet"/>
            </w:pPr>
            <w:r>
              <w:t>The road network accounts for most of the land freight task in Tasmania — 82 per cent on a tonne kilometre basis in 2011</w:t>
            </w:r>
            <w:r>
              <w:noBreakHyphen/>
              <w:t>12.</w:t>
            </w:r>
          </w:p>
          <w:p w:rsidR="00AE4D5A" w:rsidRDefault="00AE4D5A" w:rsidP="008E5E01">
            <w:pPr>
              <w:pStyle w:val="BoxListBullet2"/>
              <w:numPr>
                <w:ilvl w:val="0"/>
                <w:numId w:val="2"/>
              </w:numPr>
            </w:pPr>
            <w:r>
              <w:t>While Tasmania has an extensive road network, there are limitations on the use of high productivity vehicles, such as B</w:t>
            </w:r>
            <w:r>
              <w:noBreakHyphen/>
              <w:t>Doubles, as there are on most mainland networks.</w:t>
            </w:r>
          </w:p>
          <w:p w:rsidR="00AE4D5A" w:rsidRDefault="00AE4D5A" w:rsidP="008E5E01">
            <w:pPr>
              <w:pStyle w:val="BoxListBullet"/>
            </w:pPr>
            <w:r>
              <w:t>Road freight rates in Tasmania do not appear to be substantially out of step with rates on the mainland.</w:t>
            </w:r>
          </w:p>
          <w:p w:rsidR="00AE4D5A" w:rsidRDefault="00AE4D5A" w:rsidP="008E5E01">
            <w:pPr>
              <w:pStyle w:val="BoxListBullet"/>
            </w:pPr>
            <w:r>
              <w:t>Rail accounts for a relatively small share of the Tasmanian land freight task — 18 per cent on a tonne kilometre basis in 2011</w:t>
            </w:r>
            <w:r>
              <w:noBreakHyphen/>
              <w:t>12. In comparison, rail accounts for over half of the land freight task nationally. Bulk commodities including cement, coal and minerals account for the majority of rail freight in Tasmania.</w:t>
            </w:r>
          </w:p>
          <w:p w:rsidR="00AE4D5A" w:rsidRDefault="00AE4D5A" w:rsidP="008E5E01">
            <w:pPr>
              <w:pStyle w:val="BoxListBullet2"/>
              <w:numPr>
                <w:ilvl w:val="0"/>
                <w:numId w:val="2"/>
              </w:numPr>
            </w:pPr>
            <w:r>
              <w:t>Rail has had a chequered history in Tasmania, with various operating arrangements including Australian Government ownership and part</w:t>
            </w:r>
            <w:r>
              <w:noBreakHyphen/>
              <w:t>private operation. The rail network returned to full Tasmanian Government ownership in 2009 and has continued to operate at a loss.</w:t>
            </w:r>
          </w:p>
          <w:p w:rsidR="00AE4D5A" w:rsidRDefault="00AE4D5A" w:rsidP="008E5E01">
            <w:pPr>
              <w:pStyle w:val="BoxListBullet2"/>
              <w:numPr>
                <w:ilvl w:val="0"/>
                <w:numId w:val="2"/>
              </w:numPr>
            </w:pPr>
            <w:r>
              <w:t xml:space="preserve">While substantial upgrades to tracks and rolling stock have recently been funded by the Australian and Tasmanian Governments, it is unclear whether these are justified on the basis of the potential growth in freight volumes and the forgone benefits from alternative investments in other Tasmanian infrastructure. </w:t>
            </w:r>
          </w:p>
          <w:p w:rsidR="00AE4D5A" w:rsidRDefault="00AE4D5A" w:rsidP="008E5E01">
            <w:pPr>
              <w:pStyle w:val="BoxListBullet"/>
              <w:rPr>
                <w:szCs w:val="24"/>
              </w:rPr>
            </w:pPr>
            <w:r>
              <w:rPr>
                <w:szCs w:val="24"/>
              </w:rPr>
              <w:t>There is a relatively high degree of substitutability between road and rail in Tasmania because of duplicated networks and relatively short distances.</w:t>
            </w:r>
          </w:p>
          <w:p w:rsidR="00AE4D5A" w:rsidRPr="00476C87" w:rsidRDefault="00AE4D5A" w:rsidP="008E5E01">
            <w:pPr>
              <w:pStyle w:val="BoxListBullet"/>
              <w:rPr>
                <w:szCs w:val="24"/>
              </w:rPr>
            </w:pPr>
            <w:r>
              <w:rPr>
                <w:szCs w:val="24"/>
              </w:rPr>
              <w:t>T</w:t>
            </w:r>
            <w:r w:rsidRPr="007B012B">
              <w:rPr>
                <w:szCs w:val="24"/>
              </w:rPr>
              <w:t>he Australian Government’s share of road expenditure in Tasmania has averaged 43 per cent</w:t>
            </w:r>
            <w:r>
              <w:rPr>
                <w:szCs w:val="24"/>
              </w:rPr>
              <w:t xml:space="preserve"> (</w:t>
            </w:r>
            <w:r w:rsidRPr="007B012B">
              <w:rPr>
                <w:szCs w:val="24"/>
              </w:rPr>
              <w:t>1998</w:t>
            </w:r>
            <w:r w:rsidRPr="007B012B">
              <w:rPr>
                <w:szCs w:val="24"/>
              </w:rPr>
              <w:noBreakHyphen/>
              <w:t>99 to 2011</w:t>
            </w:r>
            <w:r w:rsidRPr="007B012B">
              <w:rPr>
                <w:szCs w:val="24"/>
              </w:rPr>
              <w:noBreakHyphen/>
              <w:t xml:space="preserve">12), </w:t>
            </w:r>
            <w:r w:rsidRPr="000E3915">
              <w:rPr>
                <w:szCs w:val="24"/>
              </w:rPr>
              <w:t>significantly above the Australia</w:t>
            </w:r>
            <w:r w:rsidRPr="000E3915">
              <w:rPr>
                <w:szCs w:val="24"/>
              </w:rPr>
              <w:noBreakHyphen/>
            </w:r>
            <w:r w:rsidRPr="00C85DA6">
              <w:rPr>
                <w:szCs w:val="24"/>
              </w:rPr>
              <w:t>wide average of 27 per cent</w:t>
            </w:r>
            <w:r>
              <w:rPr>
                <w:szCs w:val="24"/>
              </w:rPr>
              <w:t>.</w:t>
            </w:r>
          </w:p>
          <w:p w:rsidR="00AE4D5A" w:rsidRDefault="00AE4D5A" w:rsidP="008E5E01">
            <w:pPr>
              <w:pStyle w:val="BoxListBullet"/>
              <w:rPr>
                <w:szCs w:val="24"/>
              </w:rPr>
            </w:pPr>
            <w:r>
              <w:t>Many inquiry participants have identified the lack of an integrated freight strategy for Tasmania. The absence of such a strategy raises the risk of inefficient decision making in relation to road and rail corridors and their connectivity to ports, and whether developments in freight infrastructure support Tasmania’s long term economic growth prospects most efficiently and effectively.</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1353C8" w:rsidRDefault="00AE4D5A" w:rsidP="008E5E01">
            <w:pPr>
              <w:pStyle w:val="BoxSpaceBelow"/>
            </w:pPr>
          </w:p>
        </w:tc>
      </w:tr>
    </w:tbl>
    <w:p w:rsidR="00AE4D5A" w:rsidRDefault="00AE4D5A" w:rsidP="008E5E01">
      <w:pPr>
        <w:pStyle w:val="BodyText"/>
      </w:pPr>
      <w:r>
        <w:t xml:space="preserve">Intrastate land transport represents a significant component of Tasmania’s economic infrastructure and the overall freight task for many Tasmanian businesses. The efficiency of road and rail infrastructure and service provision is therefore an important element in the overall costs of moving freight between Tasmania and the </w:t>
      </w:r>
      <w:r>
        <w:lastRenderedPageBreak/>
        <w:t>mainland, particularly in the context of the more limited scope for public investment over, at least, the medium term.</w:t>
      </w:r>
    </w:p>
    <w:p w:rsidR="00AE4D5A" w:rsidRDefault="00AE4D5A" w:rsidP="008E5E01">
      <w:pPr>
        <w:pStyle w:val="BodyText"/>
      </w:pPr>
      <w:r>
        <w:t xml:space="preserve">This chapter looks at the land freight sector in Tasmania with a focus on the adequacy and efficiency of road and rail infrastructure and their interface with port infrastructure. </w:t>
      </w:r>
    </w:p>
    <w:p w:rsidR="00AE4D5A" w:rsidRDefault="00AE4D5A" w:rsidP="008E5E01">
      <w:pPr>
        <w:pStyle w:val="Heading2"/>
      </w:pPr>
      <w:r>
        <w:t>5.</w:t>
      </w:r>
      <w:r>
        <w:rPr>
          <w:noProof/>
        </w:rPr>
        <w:t>1</w:t>
      </w:r>
      <w:r>
        <w:tab/>
        <w:t>Land freight movements</w:t>
      </w:r>
    </w:p>
    <w:p w:rsidR="00AE4D5A" w:rsidRDefault="00AE4D5A" w:rsidP="008E5E01">
      <w:pPr>
        <w:pStyle w:val="BodyText"/>
      </w:pPr>
      <w:r>
        <w:t>In 2011</w:t>
      </w:r>
      <w:r>
        <w:noBreakHyphen/>
        <w:t>12, the freight task moved on Tasmanian roads and railways was estimated at around 23 million tonnes, down from 28 million tonnes in 2008</w:t>
      </w:r>
      <w:r>
        <w:noBreakHyphen/>
        <w:t xml:space="preserve">09 </w:t>
      </w:r>
      <w:r w:rsidR="007C1471" w:rsidRPr="007C1471">
        <w:rPr>
          <w:szCs w:val="24"/>
        </w:rPr>
        <w:t>(DIER 2009, 2013a)</w:t>
      </w:r>
      <w:r>
        <w:t xml:space="preserve">. This was roughly double the volume of freight shipped to and from Tasmania. On a tonne kilometre basis (that is, the movement of one tonne of freight over one kilometre) the land freight task totalled almost 1.9 billion tonne kilometres (table 5.1). </w:t>
      </w:r>
    </w:p>
    <w:p w:rsidR="00AE4D5A" w:rsidRDefault="00AE4D5A" w:rsidP="008E5E01">
      <w:pPr>
        <w:pStyle w:val="TableTitle"/>
      </w:pPr>
      <w:r>
        <w:rPr>
          <w:b w:val="0"/>
        </w:rPr>
        <w:t xml:space="preserve">Table </w:t>
      </w:r>
      <w:bookmarkStart w:id="6" w:name="OLE_LINK3"/>
      <w:r>
        <w:rPr>
          <w:b w:val="0"/>
        </w:rPr>
        <w:t>5.</w:t>
      </w:r>
      <w:r>
        <w:rPr>
          <w:b w:val="0"/>
          <w:noProof/>
        </w:rPr>
        <w:t>1</w:t>
      </w:r>
      <w:bookmarkEnd w:id="6"/>
      <w:r>
        <w:tab/>
        <w:t>Tasmanian freight movements, 2011</w:t>
      </w:r>
      <w:r>
        <w:noBreakHyphen/>
        <w:t>12</w:t>
      </w:r>
      <w:r w:rsidRPr="00044F57">
        <w:rPr>
          <w:rStyle w:val="NoteLabel"/>
          <w:b/>
        </w:rPr>
        <w:t>a</w:t>
      </w:r>
    </w:p>
    <w:p w:rsidR="00AE4D5A" w:rsidRDefault="00AE4D5A" w:rsidP="008E5E01">
      <w:pPr>
        <w:pStyle w:val="Subtitle"/>
      </w:pPr>
      <w:r>
        <w:t>By road type and rail</w:t>
      </w:r>
      <w:r w:rsidRPr="00DF393F">
        <w:rPr>
          <w:rStyle w:val="NoteLabel"/>
        </w:rPr>
        <w:t>b</w:t>
      </w:r>
    </w:p>
    <w:tbl>
      <w:tblPr>
        <w:tblW w:w="5000" w:type="pct"/>
        <w:tblCellMar>
          <w:left w:w="0" w:type="dxa"/>
          <w:right w:w="0" w:type="dxa"/>
        </w:tblCellMar>
        <w:tblLook w:val="0000" w:firstRow="0" w:lastRow="0" w:firstColumn="0" w:lastColumn="0" w:noHBand="0" w:noVBand="0"/>
      </w:tblPr>
      <w:tblGrid>
        <w:gridCol w:w="3262"/>
        <w:gridCol w:w="1843"/>
        <w:gridCol w:w="1842"/>
        <w:gridCol w:w="1842"/>
      </w:tblGrid>
      <w:tr w:rsidR="00AE4D5A" w:rsidTr="008E5E01">
        <w:tc>
          <w:tcPr>
            <w:tcW w:w="1855" w:type="pct"/>
            <w:tcBorders>
              <w:top w:val="single" w:sz="6" w:space="0" w:color="auto"/>
              <w:bottom w:val="single" w:sz="6" w:space="0" w:color="auto"/>
            </w:tcBorders>
            <w:shd w:val="clear" w:color="auto" w:fill="auto"/>
          </w:tcPr>
          <w:p w:rsidR="00AE4D5A" w:rsidRDefault="00AE4D5A" w:rsidP="008E5E01">
            <w:pPr>
              <w:pStyle w:val="TableColumnHeading"/>
              <w:jc w:val="left"/>
            </w:pPr>
          </w:p>
        </w:tc>
        <w:tc>
          <w:tcPr>
            <w:tcW w:w="1048" w:type="pct"/>
            <w:tcBorders>
              <w:top w:val="single" w:sz="6" w:space="0" w:color="auto"/>
              <w:bottom w:val="single" w:sz="6" w:space="0" w:color="auto"/>
            </w:tcBorders>
            <w:shd w:val="clear" w:color="auto" w:fill="auto"/>
            <w:vAlign w:val="bottom"/>
          </w:tcPr>
          <w:p w:rsidR="00AE4D5A" w:rsidRDefault="00AE4D5A" w:rsidP="008E5E01">
            <w:pPr>
              <w:pStyle w:val="TableColumnHeading"/>
            </w:pPr>
            <w:r>
              <w:t>Total length (km)</w:t>
            </w:r>
          </w:p>
        </w:tc>
        <w:tc>
          <w:tcPr>
            <w:tcW w:w="1048" w:type="pct"/>
            <w:tcBorders>
              <w:top w:val="single" w:sz="6" w:space="0" w:color="auto"/>
              <w:bottom w:val="single" w:sz="6" w:space="0" w:color="auto"/>
            </w:tcBorders>
            <w:shd w:val="clear" w:color="auto" w:fill="auto"/>
            <w:vAlign w:val="bottom"/>
          </w:tcPr>
          <w:p w:rsidR="00AE4D5A" w:rsidRDefault="00AE4D5A" w:rsidP="008E5E01">
            <w:pPr>
              <w:pStyle w:val="TableColumnHeading"/>
            </w:pPr>
            <w:r>
              <w:t>Tonne kilometres travelled (million)</w:t>
            </w:r>
          </w:p>
        </w:tc>
        <w:tc>
          <w:tcPr>
            <w:tcW w:w="1048" w:type="pct"/>
            <w:tcBorders>
              <w:top w:val="single" w:sz="6" w:space="0" w:color="auto"/>
              <w:bottom w:val="single" w:sz="6" w:space="0" w:color="auto"/>
            </w:tcBorders>
            <w:vAlign w:val="bottom"/>
          </w:tcPr>
          <w:p w:rsidR="00AE4D5A" w:rsidRDefault="00AE4D5A" w:rsidP="008E5E01">
            <w:pPr>
              <w:pStyle w:val="TableColumnHeading"/>
              <w:ind w:right="28"/>
            </w:pPr>
            <w:r>
              <w:t>Per cent of tonne kilometres travelled</w:t>
            </w:r>
          </w:p>
        </w:tc>
      </w:tr>
      <w:tr w:rsidR="00AE4D5A" w:rsidTr="008E5E01">
        <w:tc>
          <w:tcPr>
            <w:tcW w:w="1855" w:type="pct"/>
            <w:tcBorders>
              <w:top w:val="single" w:sz="6" w:space="0" w:color="auto"/>
            </w:tcBorders>
          </w:tcPr>
          <w:p w:rsidR="00AE4D5A" w:rsidRDefault="00AE4D5A" w:rsidP="008E5E01">
            <w:pPr>
              <w:pStyle w:val="TableUnitsRow"/>
              <w:jc w:val="left"/>
            </w:pPr>
            <w:r>
              <w:t>National Network roads</w:t>
            </w:r>
          </w:p>
        </w:tc>
        <w:tc>
          <w:tcPr>
            <w:tcW w:w="1048" w:type="pct"/>
            <w:tcBorders>
              <w:top w:val="single" w:sz="6" w:space="0" w:color="auto"/>
            </w:tcBorders>
          </w:tcPr>
          <w:p w:rsidR="00AE4D5A" w:rsidRDefault="00AE4D5A" w:rsidP="008E5E01">
            <w:pPr>
              <w:pStyle w:val="TableUnitsRow"/>
            </w:pPr>
            <w:r>
              <w:t>404</w:t>
            </w:r>
          </w:p>
        </w:tc>
        <w:tc>
          <w:tcPr>
            <w:tcW w:w="1048" w:type="pct"/>
            <w:tcBorders>
              <w:top w:val="single" w:sz="6" w:space="0" w:color="auto"/>
            </w:tcBorders>
          </w:tcPr>
          <w:p w:rsidR="00AE4D5A" w:rsidRDefault="00AE4D5A" w:rsidP="008E5E01">
            <w:pPr>
              <w:pStyle w:val="TableUnitsRow"/>
            </w:pPr>
            <w:r>
              <w:t>872</w:t>
            </w:r>
          </w:p>
        </w:tc>
        <w:tc>
          <w:tcPr>
            <w:tcW w:w="1048" w:type="pct"/>
            <w:tcBorders>
              <w:top w:val="single" w:sz="6" w:space="0" w:color="auto"/>
            </w:tcBorders>
          </w:tcPr>
          <w:p w:rsidR="00AE4D5A" w:rsidRDefault="00AE4D5A" w:rsidP="008E5E01">
            <w:pPr>
              <w:pStyle w:val="TableUnitsRow"/>
              <w:ind w:right="28"/>
            </w:pPr>
            <w:r>
              <w:t>47</w:t>
            </w:r>
          </w:p>
        </w:tc>
      </w:tr>
      <w:tr w:rsidR="00AE4D5A" w:rsidTr="008E5E01">
        <w:tc>
          <w:tcPr>
            <w:tcW w:w="1855" w:type="pct"/>
          </w:tcPr>
          <w:p w:rsidR="00AE4D5A" w:rsidRDefault="00AE4D5A" w:rsidP="008E5E01">
            <w:pPr>
              <w:pStyle w:val="TableBodyText"/>
              <w:jc w:val="left"/>
            </w:pPr>
            <w:r>
              <w:t>State roads</w:t>
            </w:r>
          </w:p>
        </w:tc>
        <w:tc>
          <w:tcPr>
            <w:tcW w:w="1048" w:type="pct"/>
          </w:tcPr>
          <w:p w:rsidR="00AE4D5A" w:rsidRDefault="00AE4D5A" w:rsidP="008E5E01">
            <w:pPr>
              <w:pStyle w:val="TableBodyText"/>
            </w:pPr>
            <w:r>
              <w:t>3 592</w:t>
            </w:r>
          </w:p>
        </w:tc>
        <w:tc>
          <w:tcPr>
            <w:tcW w:w="1048" w:type="pct"/>
          </w:tcPr>
          <w:p w:rsidR="00AE4D5A" w:rsidRDefault="00AE4D5A" w:rsidP="008E5E01">
            <w:pPr>
              <w:pStyle w:val="TableBodyText"/>
            </w:pPr>
            <w:r>
              <w:t>512</w:t>
            </w:r>
          </w:p>
        </w:tc>
        <w:tc>
          <w:tcPr>
            <w:tcW w:w="1048" w:type="pct"/>
          </w:tcPr>
          <w:p w:rsidR="00AE4D5A" w:rsidRDefault="00AE4D5A" w:rsidP="008E5E01">
            <w:pPr>
              <w:pStyle w:val="TableBodyText"/>
              <w:ind w:right="28"/>
            </w:pPr>
            <w:r>
              <w:t>28</w:t>
            </w:r>
          </w:p>
        </w:tc>
      </w:tr>
      <w:tr w:rsidR="00AE4D5A" w:rsidTr="008E5E01">
        <w:tc>
          <w:tcPr>
            <w:tcW w:w="1855" w:type="pct"/>
          </w:tcPr>
          <w:p w:rsidR="00AE4D5A" w:rsidRDefault="00AE4D5A" w:rsidP="008E5E01">
            <w:pPr>
              <w:pStyle w:val="TableBodyText"/>
              <w:jc w:val="left"/>
            </w:pPr>
            <w:r>
              <w:t>Local government roads</w:t>
            </w:r>
          </w:p>
        </w:tc>
        <w:tc>
          <w:tcPr>
            <w:tcW w:w="1048" w:type="pct"/>
          </w:tcPr>
          <w:p w:rsidR="00AE4D5A" w:rsidRDefault="00AE4D5A" w:rsidP="008E5E01">
            <w:pPr>
              <w:pStyle w:val="TableBodyText"/>
            </w:pPr>
            <w:r>
              <w:t>16 826</w:t>
            </w:r>
          </w:p>
        </w:tc>
        <w:tc>
          <w:tcPr>
            <w:tcW w:w="1048" w:type="pct"/>
          </w:tcPr>
          <w:p w:rsidR="00AE4D5A" w:rsidRDefault="00AE4D5A" w:rsidP="008E5E01">
            <w:pPr>
              <w:pStyle w:val="TableBodyText"/>
            </w:pPr>
            <w:r>
              <w:t>105</w:t>
            </w:r>
          </w:p>
        </w:tc>
        <w:tc>
          <w:tcPr>
            <w:tcW w:w="1048" w:type="pct"/>
          </w:tcPr>
          <w:p w:rsidR="00AE4D5A" w:rsidRDefault="00AE4D5A" w:rsidP="008E5E01">
            <w:pPr>
              <w:pStyle w:val="TableBodyText"/>
              <w:ind w:right="28"/>
            </w:pPr>
            <w:r>
              <w:t>6</w:t>
            </w:r>
          </w:p>
        </w:tc>
      </w:tr>
      <w:tr w:rsidR="00AE4D5A" w:rsidTr="008E5E01">
        <w:tc>
          <w:tcPr>
            <w:tcW w:w="1855" w:type="pct"/>
          </w:tcPr>
          <w:p w:rsidR="00AE4D5A" w:rsidRDefault="00AE4D5A" w:rsidP="008E5E01">
            <w:pPr>
              <w:pStyle w:val="TableBodyText"/>
              <w:jc w:val="left"/>
            </w:pPr>
            <w:r>
              <w:t>Other roads</w:t>
            </w:r>
          </w:p>
        </w:tc>
        <w:tc>
          <w:tcPr>
            <w:tcW w:w="1048" w:type="pct"/>
          </w:tcPr>
          <w:p w:rsidR="00AE4D5A" w:rsidRDefault="00AE4D5A" w:rsidP="008E5E01">
            <w:pPr>
              <w:pStyle w:val="TableBodyText"/>
            </w:pPr>
            <w:r>
              <w:t>28 200</w:t>
            </w:r>
          </w:p>
        </w:tc>
        <w:tc>
          <w:tcPr>
            <w:tcW w:w="1048" w:type="pct"/>
          </w:tcPr>
          <w:p w:rsidR="00AE4D5A" w:rsidRDefault="00AE4D5A" w:rsidP="008E5E01">
            <w:pPr>
              <w:pStyle w:val="TableBodyText"/>
            </w:pPr>
            <w:r>
              <w:t>39</w:t>
            </w:r>
          </w:p>
        </w:tc>
        <w:tc>
          <w:tcPr>
            <w:tcW w:w="1048" w:type="pct"/>
          </w:tcPr>
          <w:p w:rsidR="00AE4D5A" w:rsidRDefault="00AE4D5A" w:rsidP="008E5E01">
            <w:pPr>
              <w:pStyle w:val="TableBodyText"/>
              <w:ind w:right="28"/>
            </w:pPr>
            <w:r>
              <w:t>2</w:t>
            </w:r>
          </w:p>
        </w:tc>
      </w:tr>
      <w:tr w:rsidR="00AE4D5A" w:rsidTr="008E5E01">
        <w:tc>
          <w:tcPr>
            <w:tcW w:w="1855" w:type="pct"/>
          </w:tcPr>
          <w:p w:rsidR="00AE4D5A" w:rsidRPr="006319E5" w:rsidRDefault="00AE4D5A" w:rsidP="008E5E01">
            <w:pPr>
              <w:pStyle w:val="TableBodyText"/>
              <w:jc w:val="left"/>
              <w:rPr>
                <w:b/>
              </w:rPr>
            </w:pPr>
            <w:r w:rsidRPr="006319E5">
              <w:rPr>
                <w:b/>
              </w:rPr>
              <w:t>Total road</w:t>
            </w:r>
            <w:r>
              <w:rPr>
                <w:b/>
              </w:rPr>
              <w:t>s</w:t>
            </w:r>
          </w:p>
        </w:tc>
        <w:tc>
          <w:tcPr>
            <w:tcW w:w="1048" w:type="pct"/>
          </w:tcPr>
          <w:p w:rsidR="00AE4D5A" w:rsidRPr="006319E5" w:rsidRDefault="00AE4D5A" w:rsidP="008E5E01">
            <w:pPr>
              <w:pStyle w:val="TableBodyText"/>
              <w:rPr>
                <w:b/>
              </w:rPr>
            </w:pPr>
            <w:r w:rsidRPr="006319E5">
              <w:rPr>
                <w:b/>
              </w:rPr>
              <w:t>4</w:t>
            </w:r>
            <w:r>
              <w:rPr>
                <w:b/>
              </w:rPr>
              <w:t>9</w:t>
            </w:r>
            <w:r w:rsidRPr="006319E5">
              <w:rPr>
                <w:b/>
              </w:rPr>
              <w:t> </w:t>
            </w:r>
            <w:r>
              <w:rPr>
                <w:b/>
              </w:rPr>
              <w:t>021</w:t>
            </w:r>
          </w:p>
        </w:tc>
        <w:tc>
          <w:tcPr>
            <w:tcW w:w="1048" w:type="pct"/>
          </w:tcPr>
          <w:p w:rsidR="00AE4D5A" w:rsidRPr="006319E5" w:rsidRDefault="00AE4D5A" w:rsidP="008E5E01">
            <w:pPr>
              <w:pStyle w:val="TableBodyText"/>
              <w:rPr>
                <w:b/>
              </w:rPr>
            </w:pPr>
            <w:r>
              <w:rPr>
                <w:b/>
              </w:rPr>
              <w:t>1 528</w:t>
            </w:r>
          </w:p>
        </w:tc>
        <w:tc>
          <w:tcPr>
            <w:tcW w:w="1048" w:type="pct"/>
          </w:tcPr>
          <w:p w:rsidR="00AE4D5A" w:rsidRPr="006319E5" w:rsidRDefault="00AE4D5A" w:rsidP="008E5E01">
            <w:pPr>
              <w:pStyle w:val="TableBodyText"/>
              <w:ind w:right="28"/>
              <w:rPr>
                <w:b/>
              </w:rPr>
            </w:pPr>
            <w:r>
              <w:rPr>
                <w:b/>
              </w:rPr>
              <w:t>82</w:t>
            </w:r>
          </w:p>
        </w:tc>
      </w:tr>
      <w:tr w:rsidR="00AE4D5A" w:rsidTr="008E5E01">
        <w:tc>
          <w:tcPr>
            <w:tcW w:w="1855" w:type="pct"/>
            <w:tcBorders>
              <w:bottom w:val="single" w:sz="6" w:space="0" w:color="auto"/>
            </w:tcBorders>
            <w:shd w:val="clear" w:color="auto" w:fill="auto"/>
          </w:tcPr>
          <w:p w:rsidR="00AE4D5A" w:rsidRPr="006319E5" w:rsidRDefault="00AE4D5A" w:rsidP="008E5E01">
            <w:pPr>
              <w:pStyle w:val="TableBodyText"/>
              <w:jc w:val="left"/>
              <w:rPr>
                <w:b/>
              </w:rPr>
            </w:pPr>
            <w:r w:rsidRPr="006319E5">
              <w:rPr>
                <w:b/>
              </w:rPr>
              <w:t>Total rail</w:t>
            </w:r>
          </w:p>
        </w:tc>
        <w:tc>
          <w:tcPr>
            <w:tcW w:w="1048" w:type="pct"/>
            <w:tcBorders>
              <w:bottom w:val="single" w:sz="6" w:space="0" w:color="auto"/>
            </w:tcBorders>
            <w:shd w:val="clear" w:color="auto" w:fill="auto"/>
          </w:tcPr>
          <w:p w:rsidR="00AE4D5A" w:rsidRPr="006319E5" w:rsidRDefault="00AE4D5A" w:rsidP="008E5E01">
            <w:pPr>
              <w:pStyle w:val="TableBodyText"/>
              <w:rPr>
                <w:b/>
              </w:rPr>
            </w:pPr>
            <w:r w:rsidRPr="006319E5">
              <w:rPr>
                <w:b/>
              </w:rPr>
              <w:t>632</w:t>
            </w:r>
          </w:p>
        </w:tc>
        <w:tc>
          <w:tcPr>
            <w:tcW w:w="1048" w:type="pct"/>
            <w:tcBorders>
              <w:bottom w:val="single" w:sz="6" w:space="0" w:color="auto"/>
            </w:tcBorders>
            <w:shd w:val="clear" w:color="auto" w:fill="auto"/>
          </w:tcPr>
          <w:p w:rsidR="00AE4D5A" w:rsidRPr="006319E5" w:rsidRDefault="00AE4D5A" w:rsidP="008E5E01">
            <w:pPr>
              <w:pStyle w:val="TableBodyText"/>
              <w:rPr>
                <w:b/>
              </w:rPr>
            </w:pPr>
            <w:r w:rsidRPr="006319E5">
              <w:rPr>
                <w:b/>
              </w:rPr>
              <w:t>3</w:t>
            </w:r>
            <w:r>
              <w:rPr>
                <w:b/>
              </w:rPr>
              <w:t>29</w:t>
            </w:r>
          </w:p>
        </w:tc>
        <w:tc>
          <w:tcPr>
            <w:tcW w:w="1048" w:type="pct"/>
            <w:tcBorders>
              <w:bottom w:val="single" w:sz="6" w:space="0" w:color="auto"/>
            </w:tcBorders>
          </w:tcPr>
          <w:p w:rsidR="00AE4D5A" w:rsidRPr="006319E5" w:rsidRDefault="00AE4D5A" w:rsidP="008E5E01">
            <w:pPr>
              <w:pStyle w:val="TableBodyText"/>
              <w:ind w:right="28"/>
              <w:rPr>
                <w:b/>
              </w:rPr>
            </w:pPr>
            <w:r>
              <w:rPr>
                <w:b/>
              </w:rPr>
              <w:t>18</w:t>
            </w:r>
          </w:p>
        </w:tc>
      </w:tr>
    </w:tbl>
    <w:p w:rsidR="00AE4D5A" w:rsidRDefault="00AE4D5A" w:rsidP="008E5E01">
      <w:pPr>
        <w:pStyle w:val="Note"/>
      </w:pPr>
      <w:proofErr w:type="spellStart"/>
      <w:r w:rsidRPr="008E77FE">
        <w:rPr>
          <w:rStyle w:val="NoteLabel"/>
        </w:rPr>
        <w:t>a</w:t>
      </w:r>
      <w:proofErr w:type="spellEnd"/>
      <w:r>
        <w:t xml:space="preserve"> The Tasmanian freight survey is based on interviews with major freight users and understates the total freight task. For instance, it does not include freight moved by light commercial vehicles. Other sources suggest the total road freight task in Tasmania is substantially higher. The ABS estimates total Tasmanian road freight movements for 2011</w:t>
      </w:r>
      <w:r>
        <w:noBreakHyphen/>
        <w:t xml:space="preserve">12 at 2874 million tonne kilometres (ABS Cat. No. 9208.0). </w:t>
      </w:r>
      <w:r>
        <w:rPr>
          <w:rStyle w:val="NoteLabel"/>
        </w:rPr>
        <w:t>b</w:t>
      </w:r>
      <w:r>
        <w:t xml:space="preserve"> National Network roads are those roads identified as part of the National Land Transport Network and are the key roads linking the urban centres and ports. State and Local road figures exclude those parts of State or Local roads included in the National Network. Other roads includes roads operated by Forestry Tasmania, Hydro Tasmania, TasPorts and privately owned roads, of which 26 000 km are authorised access or privately owned. The rail network of 632 km includes 432 km which is included in the National Network.</w:t>
      </w:r>
    </w:p>
    <w:p w:rsidR="00AE4D5A" w:rsidRDefault="00AE4D5A" w:rsidP="008E5E01">
      <w:pPr>
        <w:pStyle w:val="Source"/>
      </w:pPr>
      <w:r>
        <w:rPr>
          <w:i/>
        </w:rPr>
        <w:t>Source</w:t>
      </w:r>
      <w:r>
        <w:t xml:space="preserve">: DIER </w:t>
      </w:r>
      <w:r w:rsidR="007C1471" w:rsidRPr="007C1471">
        <w:rPr>
          <w:rFonts w:cs="Arial"/>
        </w:rPr>
        <w:t>(2013a)</w:t>
      </w:r>
      <w:r>
        <w:t>.</w:t>
      </w:r>
    </w:p>
    <w:p w:rsidR="00AE4D5A" w:rsidRDefault="00AE4D5A" w:rsidP="008E5E01">
      <w:pPr>
        <w:pStyle w:val="BodyText"/>
      </w:pPr>
      <w:r>
        <w:t xml:space="preserve">The Tasmanian road network comprises around 49 000 kilometres, although most freight movements occur on a relatively small proportion of the road network. The National Network roads (which comprise the main freight corridors between the major population centres and ports) accounted for almost half of total land freight movements. Given their small share of the total road network, these roads operate at much higher levels of utilisation relative to regional and local roads. </w:t>
      </w:r>
    </w:p>
    <w:p w:rsidR="00AE4D5A" w:rsidRDefault="00AE4D5A" w:rsidP="008E5E01">
      <w:pPr>
        <w:pStyle w:val="BodyText"/>
      </w:pPr>
      <w:r>
        <w:lastRenderedPageBreak/>
        <w:t>In moving road freight, larger capacity vehicles are typically used for longer journeys. Accordingly, their share of the freight task is larger in terms of tonne kilometres travelled than in absolute tonnage. In 2008</w:t>
      </w:r>
      <w:r>
        <w:noBreakHyphen/>
        <w:t>09, B</w:t>
      </w:r>
      <w:r>
        <w:noBreakHyphen/>
        <w:t xml:space="preserve">Doubles accounted for 28 per cent of the Tasmanian land freight task, but 34 per cent in terms of tonne kilometres travelled </w:t>
      </w:r>
      <w:r w:rsidRPr="0091153B">
        <w:rPr>
          <w:szCs w:val="24"/>
        </w:rPr>
        <w:t>(DIER 2009)</w:t>
      </w:r>
      <w:r>
        <w:t>.</w:t>
      </w:r>
      <w:r w:rsidRPr="004A2769">
        <w:rPr>
          <w:rStyle w:val="FootnoteReference"/>
        </w:rPr>
        <w:footnoteReference w:id="21"/>
      </w:r>
    </w:p>
    <w:p w:rsidR="00AE4D5A" w:rsidRDefault="00AE4D5A" w:rsidP="008E5E01">
      <w:pPr>
        <w:pStyle w:val="BodyText"/>
      </w:pPr>
      <w:r>
        <w:t xml:space="preserve">Five sectors account for most of the freight moved by road or rail — agriculture, construction materials, consumer goods, forestry and mining. The biggest change in the land freight task recently has been a result of the significant decline in the production volumes and therefore transport (by road) of forestry products (figure 5.1). </w:t>
      </w:r>
    </w:p>
    <w:p w:rsidR="00AE4D5A" w:rsidRDefault="00AE4D5A" w:rsidP="008E5E01">
      <w:pPr>
        <w:pStyle w:val="FigureTitle"/>
      </w:pPr>
      <w:r>
        <w:rPr>
          <w:b w:val="0"/>
        </w:rPr>
        <w:t xml:space="preserve">Figure </w:t>
      </w:r>
      <w:bookmarkStart w:id="7" w:name="OLE_LINK9"/>
      <w:r>
        <w:rPr>
          <w:b w:val="0"/>
        </w:rPr>
        <w:t>5.</w:t>
      </w:r>
      <w:r>
        <w:rPr>
          <w:b w:val="0"/>
          <w:noProof/>
        </w:rPr>
        <w:t>1</w:t>
      </w:r>
      <w:bookmarkEnd w:id="7"/>
      <w:r>
        <w:tab/>
        <w:t>Total freight moved by road or rail, key industries</w:t>
      </w:r>
    </w:p>
    <w:p w:rsidR="00AE4D5A" w:rsidRDefault="00AE4D5A" w:rsidP="008E5E01">
      <w:pPr>
        <w:pStyle w:val="Subtitle"/>
      </w:pPr>
      <w:r>
        <w:t>Million tonnes</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pPr>
            <w:r w:rsidRPr="00D871BC">
              <w:rPr>
                <w:noProof/>
              </w:rPr>
              <w:drawing>
                <wp:inline distT="0" distB="0" distL="0" distR="0" wp14:anchorId="36EE1E89" wp14:editId="68164F40">
                  <wp:extent cx="5343525" cy="3352800"/>
                  <wp:effectExtent l="0" t="0" r="0" b="0"/>
                  <wp:docPr id="82" name="Chart 82" descr="Figure 5.1 Total freight moved by road or rail, key industries. This chart compares the total freight moved in the forestry, construction materials, agriculture, consumer goods and mining industries in 2008-09 with freight moved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bl>
    <w:p w:rsidR="00AE4D5A" w:rsidRPr="00676B30" w:rsidRDefault="00AE4D5A" w:rsidP="008E5E01">
      <w:pPr>
        <w:pStyle w:val="Source"/>
      </w:pPr>
      <w:r>
        <w:rPr>
          <w:i/>
        </w:rPr>
        <w:t>Data sources</w:t>
      </w:r>
      <w:r w:rsidRPr="00167F06">
        <w:t xml:space="preserve">: </w:t>
      </w:r>
      <w:r>
        <w:t xml:space="preserve">DIER </w:t>
      </w:r>
      <w:r w:rsidR="007C1471" w:rsidRPr="007C1471">
        <w:rPr>
          <w:rFonts w:cs="Arial"/>
        </w:rPr>
        <w:t>(2009, 2013a)</w:t>
      </w:r>
      <w:r>
        <w:t>.</w:t>
      </w:r>
    </w:p>
    <w:p w:rsidR="00AE4D5A" w:rsidRDefault="00AE4D5A" w:rsidP="008E5E01">
      <w:pPr>
        <w:pStyle w:val="Heading2"/>
      </w:pPr>
      <w:r>
        <w:t>5.</w:t>
      </w:r>
      <w:r>
        <w:rPr>
          <w:noProof/>
        </w:rPr>
        <w:t>2</w:t>
      </w:r>
      <w:r>
        <w:tab/>
        <w:t>Road freight</w:t>
      </w:r>
    </w:p>
    <w:p w:rsidR="00AE4D5A" w:rsidRDefault="00AE4D5A" w:rsidP="008E5E01">
      <w:pPr>
        <w:pStyle w:val="BodyText"/>
      </w:pPr>
      <w:r>
        <w:t xml:space="preserve">Road transport accounts for the bulk of intrastate freight movements. For some businesses, the intrastate transport leg represents a significant share of the cost of </w:t>
      </w:r>
      <w:r>
        <w:lastRenderedPageBreak/>
        <w:t xml:space="preserve">moving goods between Tasmania and the mainland. Inquiry participants located in the south of the State have noted that the efficiency of the road freight sector in Tasmania is an important factor in their overall freight costs. </w:t>
      </w:r>
    </w:p>
    <w:p w:rsidR="00AE4D5A" w:rsidRPr="00260C74" w:rsidRDefault="00AE4D5A" w:rsidP="008E5E01">
      <w:pPr>
        <w:pStyle w:val="BodyText"/>
      </w:pPr>
      <w:r>
        <w:t>The efficiency of road freight transport is influenced by: the adequacy of road infrastructure and its accessibility for high productivity vehicles; the efficiency of investment in road infrastructure and pricing structures; and competition in the provision of road freight services.</w:t>
      </w:r>
    </w:p>
    <w:p w:rsidR="00AE4D5A" w:rsidRDefault="00AE4D5A" w:rsidP="008E5E01">
      <w:pPr>
        <w:pStyle w:val="Heading3"/>
      </w:pPr>
      <w:r>
        <w:t>Adequacy of road infrastructure</w:t>
      </w:r>
    </w:p>
    <w:p w:rsidR="00AE4D5A" w:rsidRPr="004A56C4" w:rsidRDefault="00AE4D5A" w:rsidP="008E5E01">
      <w:pPr>
        <w:pStyle w:val="BodyText"/>
      </w:pPr>
      <w:r>
        <w:t xml:space="preserve">While the Tasmanian road network is extensive, the bulk of freight movements are concentrated on key roads (see chapter 2, figure 2.4). The primary freight corridor — part of the National Land Transport Network — runs from Burnie (through Devonport) to Hobart, comprising the Bass Highway, Illawarra Road (which bypasses Launceston), the Midland Highway and the </w:t>
      </w:r>
      <w:proofErr w:type="spellStart"/>
      <w:r>
        <w:t>Brooker</w:t>
      </w:r>
      <w:proofErr w:type="spellEnd"/>
      <w:r>
        <w:t xml:space="preserve"> Highway (south of the Derwent River). The East Tamar Highway connects Bell Bay to the Midland Highway. Beyond these major trunk roads that connect Hobart and the major northern centres and ports, road freight is dependent on numerous regional roads, as well as the network of local roads for the initial collection and final distribution of freight.</w:t>
      </w:r>
    </w:p>
    <w:p w:rsidR="00AE4D5A" w:rsidRDefault="00AE4D5A" w:rsidP="008E5E01">
      <w:pPr>
        <w:pStyle w:val="BodyText"/>
      </w:pPr>
      <w:r>
        <w:t xml:space="preserve">Recent proposals for upgrading road infrastructure have focused on the primary freight corridor. For instance, the Tasmanian Government, in its 2012 </w:t>
      </w:r>
      <w:r w:rsidRPr="005F1AA1">
        <w:rPr>
          <w:i/>
        </w:rPr>
        <w:t>Nation Building 2</w:t>
      </w:r>
      <w:r>
        <w:t xml:space="preserve"> submission to the Australian Government, outlined a number of proposed road projects, including:</w:t>
      </w:r>
    </w:p>
    <w:p w:rsidR="00AE4D5A" w:rsidRDefault="00AE4D5A" w:rsidP="008E5E01">
      <w:pPr>
        <w:pStyle w:val="ListBullet"/>
      </w:pPr>
      <w:proofErr w:type="spellStart"/>
      <w:r>
        <w:t>Brooker</w:t>
      </w:r>
      <w:proofErr w:type="spellEnd"/>
      <w:r>
        <w:t xml:space="preserve"> Highway upgrades</w:t>
      </w:r>
    </w:p>
    <w:p w:rsidR="00AE4D5A" w:rsidRDefault="00AE4D5A" w:rsidP="008E5E01">
      <w:pPr>
        <w:pStyle w:val="ListBullet"/>
      </w:pPr>
      <w:r>
        <w:t>Illawarra Main Road South Perth bypass and upgrades on the western section of road</w:t>
      </w:r>
    </w:p>
    <w:p w:rsidR="00AE4D5A" w:rsidRDefault="00AE4D5A" w:rsidP="008E5E01">
      <w:pPr>
        <w:pStyle w:val="ListBullet"/>
      </w:pPr>
      <w:r>
        <w:t xml:space="preserve">Midland Highway projects </w:t>
      </w:r>
    </w:p>
    <w:p w:rsidR="00AE4D5A" w:rsidRDefault="00AE4D5A" w:rsidP="008E5E01">
      <w:pPr>
        <w:pStyle w:val="ListBullet"/>
      </w:pPr>
      <w:r>
        <w:t>Murchison Highway upgrades</w:t>
      </w:r>
    </w:p>
    <w:p w:rsidR="00AE4D5A" w:rsidRDefault="00AE4D5A" w:rsidP="008E5E01">
      <w:pPr>
        <w:pStyle w:val="ListBullet"/>
      </w:pPr>
      <w:r>
        <w:t xml:space="preserve">Birralee Main Road upgrades </w:t>
      </w:r>
      <w:r w:rsidRPr="0091153B">
        <w:rPr>
          <w:szCs w:val="24"/>
        </w:rPr>
        <w:t>(Tasmanian Government 2012)</w:t>
      </w:r>
      <w:r>
        <w:t>.</w:t>
      </w:r>
    </w:p>
    <w:p w:rsidR="00AE4D5A" w:rsidRDefault="00AE4D5A" w:rsidP="008E5E01">
      <w:pPr>
        <w:pStyle w:val="Heading4"/>
      </w:pPr>
      <w:r>
        <w:t xml:space="preserve">Access for high productivity vehicles </w:t>
      </w:r>
    </w:p>
    <w:p w:rsidR="00AE4D5A" w:rsidRDefault="00AE4D5A" w:rsidP="008E5E01">
      <w:pPr>
        <w:pStyle w:val="BodyText"/>
      </w:pPr>
      <w:r>
        <w:t>High productivity vehicles (HPVs), such as B</w:t>
      </w:r>
      <w:r>
        <w:noBreakHyphen/>
        <w:t>Doubles, are restricted to a gazetted road network (figure 5.2). While in 2008</w:t>
      </w:r>
      <w:r>
        <w:noBreakHyphen/>
        <w:t>09 B</w:t>
      </w:r>
      <w:r>
        <w:noBreakHyphen/>
        <w:t xml:space="preserve">Doubles accounted for around a third of freight movements in Tasmania, concerns have been raised, particularly by Infrastructure Australia </w:t>
      </w:r>
      <w:r w:rsidRPr="008D0245">
        <w:t>(2012b)</w:t>
      </w:r>
      <w:r>
        <w:t xml:space="preserve">, that the use of HPVs in Tasmania is being </w:t>
      </w:r>
      <w:r>
        <w:lastRenderedPageBreak/>
        <w:t xml:space="preserve">constrained by the condition of the road network. While the gazetted routes cover the main Tasmanian roads, there appear to be gaps in the routes that might prevent greater utilisation of higher mass vehicles. Many gazetted roads are not considered to be of a sufficient standard for use by HPVs. A 2011 review, against some newly developed Tasmanian guidelines, determined that 32 per cent of the gazetted network met the guidelines, 35 per cent was marginally below the guidelines and 33 per cent did not meet the guidelines </w:t>
      </w:r>
      <w:r w:rsidRPr="008D0245">
        <w:rPr>
          <w:szCs w:val="24"/>
        </w:rPr>
        <w:t>(DIER 2011a)</w:t>
      </w:r>
      <w:r>
        <w:t>. This may be an optimal investment strategy by the Tasmanian Government.</w:t>
      </w:r>
    </w:p>
    <w:p w:rsidR="00AE4D5A" w:rsidRDefault="00AE4D5A" w:rsidP="008E5E01">
      <w:pPr>
        <w:pStyle w:val="FigureTitle"/>
      </w:pPr>
      <w:r>
        <w:rPr>
          <w:b w:val="0"/>
        </w:rPr>
        <w:t xml:space="preserve">Figure </w:t>
      </w:r>
      <w:bookmarkStart w:id="8" w:name="OLE_LINK1"/>
      <w:r>
        <w:rPr>
          <w:b w:val="0"/>
        </w:rPr>
        <w:t>5.</w:t>
      </w:r>
      <w:r>
        <w:rPr>
          <w:b w:val="0"/>
          <w:noProof/>
        </w:rPr>
        <w:t>2</w:t>
      </w:r>
      <w:bookmarkEnd w:id="8"/>
      <w:r>
        <w:tab/>
        <w:t>Gazetted routes for high productivity vehicles</w:t>
      </w:r>
      <w:r w:rsidRPr="00F262FD">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pPr>
            <w:r>
              <w:rPr>
                <w:noProof/>
              </w:rPr>
              <w:drawing>
                <wp:inline distT="0" distB="0" distL="0" distR="0" wp14:anchorId="3AEB3027" wp14:editId="6BA32334">
                  <wp:extent cx="5180400" cy="5630400"/>
                  <wp:effectExtent l="0" t="0" r="1270" b="8890"/>
                  <wp:docPr id="83" name="Picture 83" descr="Figure 5.2 Gazetted routes for high productivity vehicles.&#10;Shows a map of gazetted routes for high productivity vehi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mcdonald\AppData\Local\Microsoft\Windows\Temporary Internet Files\Content.Outlook\CQLRTA1I\figure-5-2.pn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5180400" cy="5630400"/>
                          </a:xfrm>
                          <a:prstGeom prst="rect">
                            <a:avLst/>
                          </a:prstGeom>
                          <a:noFill/>
                          <a:ln>
                            <a:noFill/>
                          </a:ln>
                        </pic:spPr>
                      </pic:pic>
                    </a:graphicData>
                  </a:graphic>
                </wp:inline>
              </w:drawing>
            </w:r>
          </w:p>
        </w:tc>
      </w:tr>
    </w:tbl>
    <w:p w:rsidR="00AE4D5A" w:rsidRDefault="00AE4D5A" w:rsidP="008E5E01">
      <w:pPr>
        <w:pStyle w:val="Note"/>
      </w:pPr>
      <w:r>
        <w:rPr>
          <w:rStyle w:val="NoteLabel"/>
        </w:rPr>
        <w:t>a</w:t>
      </w:r>
      <w:r>
        <w:t xml:space="preserve"> Shows both higher mass limit (</w:t>
      </w:r>
      <w:proofErr w:type="spellStart"/>
      <w:r>
        <w:t>HML</w:t>
      </w:r>
      <w:proofErr w:type="spellEnd"/>
      <w:r>
        <w:t xml:space="preserve">) routes (in green) and high productivity vehicle (HPV) routes (in purple). </w:t>
      </w:r>
      <w:proofErr w:type="spellStart"/>
      <w:r>
        <w:t>HML</w:t>
      </w:r>
      <w:proofErr w:type="spellEnd"/>
      <w:r>
        <w:t xml:space="preserve"> routes allow slightly higher gross weights, 67 tonnes, versus 62 tonnes on HPV only routes.</w:t>
      </w:r>
    </w:p>
    <w:p w:rsidR="00AE4D5A" w:rsidRDefault="00AE4D5A" w:rsidP="008E5E01">
      <w:pPr>
        <w:pStyle w:val="Source"/>
      </w:pPr>
      <w:r>
        <w:rPr>
          <w:i/>
        </w:rPr>
        <w:t>Data source</w:t>
      </w:r>
      <w:r w:rsidRPr="00167F06">
        <w:t xml:space="preserve">: </w:t>
      </w:r>
      <w:r>
        <w:t xml:space="preserve">DIER </w:t>
      </w:r>
      <w:r w:rsidRPr="008D0245">
        <w:rPr>
          <w:rFonts w:cs="Arial"/>
        </w:rPr>
        <w:t>(2011a)</w:t>
      </w:r>
      <w:r>
        <w:t>.</w:t>
      </w:r>
    </w:p>
    <w:p w:rsidR="00AE4D5A" w:rsidRDefault="00AE4D5A" w:rsidP="008E5E01">
      <w:pPr>
        <w:pStyle w:val="BodyText"/>
      </w:pPr>
      <w:r>
        <w:lastRenderedPageBreak/>
        <w:t xml:space="preserve">Nationally, reform options to increase the efficiency of road transport have been proposed, including by Infrastructure Australia </w:t>
      </w:r>
      <w:r w:rsidRPr="008D0245">
        <w:t>(2012b)</w:t>
      </w:r>
      <w:r>
        <w:t>. These include the introduction of even higher productivity vehicles, such as B</w:t>
      </w:r>
      <w:r>
        <w:noBreakHyphen/>
        <w:t>Triples or super B</w:t>
      </w:r>
      <w:r>
        <w:noBreakHyphen/>
        <w:t xml:space="preserve">Doubles. </w:t>
      </w:r>
    </w:p>
    <w:p w:rsidR="00AE4D5A" w:rsidRDefault="00AE4D5A" w:rsidP="008E5E01">
      <w:pPr>
        <w:pStyle w:val="BodyText"/>
      </w:pPr>
      <w:r>
        <w:t>Infrastructure Australia previously raised the issue of expanding HPV access in its discussion paper on development of a National Land Freight Strategy in February 2011. But in response, the Tasmanian Department of Infrastructure, Energy and Resources (DIER) stated that:</w:t>
      </w:r>
    </w:p>
    <w:p w:rsidR="00AE4D5A" w:rsidRDefault="00AE4D5A" w:rsidP="008E5E01">
      <w:pPr>
        <w:pStyle w:val="Quote"/>
      </w:pPr>
      <w:r>
        <w:t>… in Tasmania’s case, it is unlikely that further major road productivity improvements would be justified in the short to medium term. Tasmania’s current road network would require significant upgrades to meet the geometric standards required for the highest productivity vehicles available (i.e. B</w:t>
      </w:r>
      <w:r>
        <w:noBreakHyphen/>
        <w:t xml:space="preserve">triples). It is the Department’s position that the focus for Tasmania’s freight network needs to be on maximising the productivity and capacity of the three key northern ports and the relative efficiency of their connection to major road and rail freight corridors, both in Tasmania and interstate. </w:t>
      </w:r>
      <w:r w:rsidRPr="008D0245">
        <w:rPr>
          <w:szCs w:val="24"/>
        </w:rPr>
        <w:t>(</w:t>
      </w:r>
      <w:proofErr w:type="spellStart"/>
      <w:r w:rsidRPr="008D0245">
        <w:rPr>
          <w:szCs w:val="24"/>
        </w:rPr>
        <w:t>DIER</w:t>
      </w:r>
      <w:proofErr w:type="spellEnd"/>
      <w:r w:rsidRPr="008D0245">
        <w:rPr>
          <w:szCs w:val="24"/>
        </w:rPr>
        <w:t> </w:t>
      </w:r>
      <w:proofErr w:type="spellStart"/>
      <w:r w:rsidRPr="008D0245">
        <w:rPr>
          <w:szCs w:val="24"/>
        </w:rPr>
        <w:t>2011b</w:t>
      </w:r>
      <w:proofErr w:type="spellEnd"/>
      <w:r w:rsidRPr="008D0245">
        <w:rPr>
          <w:szCs w:val="24"/>
        </w:rPr>
        <w:t>,</w:t>
      </w:r>
      <w:r>
        <w:rPr>
          <w:szCs w:val="24"/>
        </w:rPr>
        <w:t> </w:t>
      </w:r>
      <w:r w:rsidRPr="008D0245">
        <w:rPr>
          <w:szCs w:val="24"/>
        </w:rPr>
        <w:t>p. 2)</w:t>
      </w:r>
    </w:p>
    <w:p w:rsidR="00AE4D5A" w:rsidRDefault="00AE4D5A" w:rsidP="008E5E01">
      <w:pPr>
        <w:pStyle w:val="BodyText"/>
      </w:pPr>
      <w:r>
        <w:t>Infrastructure Australia’s June 2012 update on developing the National Land Freight Strategy maintained that Tasmania should:</w:t>
      </w:r>
    </w:p>
    <w:p w:rsidR="00AE4D5A" w:rsidRDefault="00AE4D5A" w:rsidP="008E5E01">
      <w:pPr>
        <w:pStyle w:val="Quote"/>
      </w:pPr>
      <w:r>
        <w:t xml:space="preserve">… </w:t>
      </w:r>
      <w:r w:rsidRPr="001645A5">
        <w:t>more widely introduce the higher productivity vehicles necessary to reduce costs to the local businesses that trade with the mainland and internationally</w:t>
      </w:r>
      <w:r>
        <w:t xml:space="preserve">. </w:t>
      </w:r>
      <w:r w:rsidRPr="008D0245">
        <w:rPr>
          <w:szCs w:val="24"/>
        </w:rPr>
        <w:t>(Infrastructure Australia 2012a, p. 5)</w:t>
      </w:r>
    </w:p>
    <w:p w:rsidR="00AE4D5A" w:rsidRPr="00376D54" w:rsidRDefault="00AE4D5A" w:rsidP="008E5E01">
      <w:pPr>
        <w:pStyle w:val="BodyText"/>
      </w:pPr>
      <w:r>
        <w:t>While the use of HPVs offers advantages, such as lower unit freight costs and reduced vehicle movements, it also imposes a cost on road infrastructure, including through the need for better road geometry and higher capacity bridges. A benefit</w:t>
      </w:r>
      <w:r>
        <w:noBreakHyphen/>
        <w:t>cost approach should be used to assess expanding access for HPVs (B</w:t>
      </w:r>
      <w:r>
        <w:noBreakHyphen/>
        <w:t xml:space="preserve">Doubles) and higher mass vehicles. The Commission views this as an appropriate approach to inform related deliberations in the foreshadowed development of an integrated Tasmanian freight strategy, detailed further below. </w:t>
      </w:r>
    </w:p>
    <w:p w:rsidR="00AE4D5A" w:rsidRDefault="00AE4D5A" w:rsidP="008E5E01">
      <w:pPr>
        <w:pStyle w:val="Heading4"/>
      </w:pPr>
      <w:r>
        <w:t>Prioritising road investment</w:t>
      </w:r>
    </w:p>
    <w:p w:rsidR="00AE4D5A" w:rsidRDefault="00AE4D5A" w:rsidP="008E5E01">
      <w:pPr>
        <w:pStyle w:val="BodyText"/>
      </w:pPr>
      <w:r w:rsidRPr="00D74708">
        <w:t xml:space="preserve">While </w:t>
      </w:r>
      <w:r>
        <w:t xml:space="preserve">there appear to be some </w:t>
      </w:r>
      <w:r w:rsidRPr="00D74708">
        <w:t xml:space="preserve">access </w:t>
      </w:r>
      <w:r>
        <w:t xml:space="preserve">constraints </w:t>
      </w:r>
      <w:r w:rsidRPr="00D74708">
        <w:t>for high productivity vehicles</w:t>
      </w:r>
      <w:r>
        <w:t>, road accessibility overall does not appear to currently be a significant constraint on the Tasmanian freight task and was not raised as a significant issue in this inquiry. Similarly, the Freight Logistics Coordination Team (FLCT) recently concluded that:</w:t>
      </w:r>
    </w:p>
    <w:p w:rsidR="00AE4D5A" w:rsidRDefault="00AE4D5A" w:rsidP="008E5E01">
      <w:pPr>
        <w:pStyle w:val="Quote"/>
      </w:pPr>
      <w:r>
        <w:t xml:space="preserve">Generally, capacity across the road and rail network is sufficient, and this is a benefit to users. </w:t>
      </w:r>
      <w:r w:rsidRPr="004E3383">
        <w:rPr>
          <w:szCs w:val="24"/>
        </w:rPr>
        <w:t>(FLCT 2013a, p. 13)</w:t>
      </w:r>
      <w:r>
        <w:t xml:space="preserve"> </w:t>
      </w:r>
    </w:p>
    <w:p w:rsidR="00AE4D5A" w:rsidRDefault="00AE4D5A" w:rsidP="008E5E01">
      <w:pPr>
        <w:pStyle w:val="BodyText"/>
      </w:pPr>
      <w:r>
        <w:lastRenderedPageBreak/>
        <w:t>Nonetheless, the FLCT noted the need to prioritise road investment on the main freight corridor in its final report recommendation:</w:t>
      </w:r>
    </w:p>
    <w:p w:rsidR="00AE4D5A" w:rsidRDefault="00AE4D5A" w:rsidP="008E5E01">
      <w:pPr>
        <w:pStyle w:val="Quote"/>
      </w:pPr>
      <w:r>
        <w:t xml:space="preserve">Road investment in Tasmania should target one high standard freight corridor, supported by key regional connections and – </w:t>
      </w:r>
    </w:p>
    <w:p w:rsidR="00AE4D5A" w:rsidRDefault="00AE4D5A" w:rsidP="00AE4D5A">
      <w:pPr>
        <w:pStyle w:val="Quote"/>
        <w:numPr>
          <w:ilvl w:val="1"/>
          <w:numId w:val="20"/>
        </w:numPr>
      </w:pPr>
      <w:r>
        <w:t>Prioritise road expenditure to the Burnie</w:t>
      </w:r>
      <w:r>
        <w:noBreakHyphen/>
        <w:t>Devonport to Hobart primary freight corridor, which is part of the National Freight Network, developing this corridor as Tasmania’s highest standard freight route.</w:t>
      </w:r>
    </w:p>
    <w:p w:rsidR="00AE4D5A" w:rsidRDefault="00AE4D5A" w:rsidP="00AE4D5A">
      <w:pPr>
        <w:pStyle w:val="Quote"/>
        <w:numPr>
          <w:ilvl w:val="1"/>
          <w:numId w:val="20"/>
        </w:numPr>
      </w:pPr>
      <w:r>
        <w:t>Ensure that investment outside this corridor prioritises key regional freight roads that connect to the primary freight corridor. This include the Bass Highway west of Burnie, East Tamar Highway and Frankford</w:t>
      </w:r>
      <w:r>
        <w:noBreakHyphen/>
        <w:t>Birralee</w:t>
      </w:r>
      <w:r>
        <w:noBreakHyphen/>
        <w:t>Batman corridor.</w:t>
      </w:r>
    </w:p>
    <w:p w:rsidR="00AE4D5A" w:rsidRDefault="00AE4D5A" w:rsidP="00AE4D5A">
      <w:pPr>
        <w:pStyle w:val="Quote"/>
        <w:numPr>
          <w:ilvl w:val="1"/>
          <w:numId w:val="20"/>
        </w:numPr>
      </w:pPr>
      <w:r>
        <w:t>Inform the development of a high</w:t>
      </w:r>
      <w:r>
        <w:noBreakHyphen/>
        <w:t xml:space="preserve">productivity vehicle access policy by the Tasmanian Government. </w:t>
      </w:r>
      <w:r w:rsidRPr="004E3383">
        <w:rPr>
          <w:szCs w:val="24"/>
        </w:rPr>
        <w:t>(FLCT 2013a, p. 5)</w:t>
      </w:r>
    </w:p>
    <w:p w:rsidR="00AE4D5A" w:rsidRDefault="00AE4D5A" w:rsidP="008E5E01">
      <w:pPr>
        <w:pStyle w:val="BodyText"/>
      </w:pPr>
      <w:r>
        <w:t>The Tasmanian Government has indicated its support for this FLCT recommendation and indicated that development of a HPV access policy will be completed by December 2014.</w:t>
      </w:r>
    </w:p>
    <w:p w:rsidR="00AE4D5A" w:rsidRDefault="00AE4D5A" w:rsidP="008E5E01">
      <w:pPr>
        <w:pStyle w:val="Heading3"/>
      </w:pPr>
      <w:r>
        <w:t>Road funding and user pricing</w:t>
      </w:r>
    </w:p>
    <w:p w:rsidR="00AE4D5A" w:rsidRDefault="00AE4D5A" w:rsidP="008E5E01">
      <w:pPr>
        <w:pStyle w:val="BodyText"/>
      </w:pPr>
      <w:r>
        <w:t>Roads are largely funded by governments because they display a range of features — such as large lumpy capital expenditure, economies of scale, network planning and management requirements, and benefits from interconnectivity — that generally make provision of a single integrated network the most efficient outcome. They also typically exhibit a degree of non</w:t>
      </w:r>
      <w:r>
        <w:noBreakHyphen/>
        <w:t xml:space="preserve">excludability, in that it is difficult to directly charge users and beneficiaries of a particular road, with the exception of those road corridors designed and constructed to allow efficient tolling. </w:t>
      </w:r>
    </w:p>
    <w:p w:rsidR="00AE4D5A" w:rsidRDefault="00AE4D5A" w:rsidP="008E5E01">
      <w:pPr>
        <w:pStyle w:val="BodyText"/>
      </w:pPr>
      <w:r>
        <w:t>Road expenditure is undertaken by all three levels of government. Over time, there have been substantial changes in the share of road expenditure by level of government, with significant year to year volatility (figure 5.3). Over the period 1998</w:t>
      </w:r>
      <w:r>
        <w:noBreakHyphen/>
        <w:t>99 to 2011</w:t>
      </w:r>
      <w:r>
        <w:noBreakHyphen/>
        <w:t>12, the Australian Government’s share of road expenditure in Tasmania has averaged 43 per cent, significantly above the Australia</w:t>
      </w:r>
      <w:r>
        <w:noBreakHyphen/>
        <w:t xml:space="preserve">wide average of 27 per cent. </w:t>
      </w:r>
    </w:p>
    <w:p w:rsidR="00AE4D5A" w:rsidRDefault="00AE4D5A" w:rsidP="008E5E01">
      <w:pPr>
        <w:pStyle w:val="FigureTitle"/>
      </w:pPr>
      <w:r>
        <w:rPr>
          <w:b w:val="0"/>
        </w:rPr>
        <w:lastRenderedPageBreak/>
        <w:t xml:space="preserve">Figure </w:t>
      </w:r>
      <w:bookmarkStart w:id="9" w:name="OLE_LINK6"/>
      <w:r>
        <w:rPr>
          <w:b w:val="0"/>
        </w:rPr>
        <w:t>5.</w:t>
      </w:r>
      <w:r>
        <w:rPr>
          <w:b w:val="0"/>
          <w:noProof/>
        </w:rPr>
        <w:t>3</w:t>
      </w:r>
      <w:bookmarkEnd w:id="9"/>
      <w:r>
        <w:tab/>
        <w:t>Share of Tasmanian road expenditure by level of government</w:t>
      </w:r>
    </w:p>
    <w:p w:rsidR="00AE4D5A" w:rsidRDefault="00AE4D5A" w:rsidP="008E5E01">
      <w:pPr>
        <w:pStyle w:val="Subtitle"/>
      </w:pPr>
      <w:r>
        <w:t>Per cent</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pPr>
            <w:r w:rsidRPr="00D871BC">
              <w:rPr>
                <w:noProof/>
              </w:rPr>
              <w:drawing>
                <wp:inline distT="0" distB="0" distL="0" distR="0" wp14:anchorId="6C8A7654" wp14:editId="16EA58B3">
                  <wp:extent cx="5400000" cy="3419476"/>
                  <wp:effectExtent l="0" t="0" r="0" b="0"/>
                  <wp:docPr id="84" name="Chart 84" descr="Figure 5.3 Share of Tasmanian road expenditure by level of government. This figure shows the percentage share of funding by the Australian Government, Tasmanian Government and local governments in Tasmania between 1998-99 and 2011-12. It also shows the average percentage spend by the Australian Government across Australia for the same tim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AE4D5A" w:rsidRDefault="002E3AFE" w:rsidP="008E5E01">
            <w:pPr>
              <w:pStyle w:val="Figure"/>
            </w:pPr>
            <w:r>
              <w:rPr>
                <w:noProof/>
              </w:rPr>
              <w:drawing>
                <wp:inline distT="0" distB="0" distL="0" distR="0">
                  <wp:extent cx="3347499" cy="495821"/>
                  <wp:effectExtent l="0" t="0" r="5715" b="0"/>
                  <wp:docPr id="81" name="Picture 81" descr="Figure 5.3 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 legend.jp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3351659" cy="496437"/>
                          </a:xfrm>
                          <a:prstGeom prst="rect">
                            <a:avLst/>
                          </a:prstGeom>
                        </pic:spPr>
                      </pic:pic>
                    </a:graphicData>
                  </a:graphic>
                </wp:inline>
              </w:drawing>
            </w:r>
          </w:p>
        </w:tc>
        <w:bookmarkStart w:id="10" w:name="_GoBack"/>
        <w:bookmarkEnd w:id="10"/>
      </w:tr>
    </w:tbl>
    <w:p w:rsidR="00AE4D5A" w:rsidRPr="007271CA" w:rsidRDefault="00AE4D5A" w:rsidP="008E5E01">
      <w:pPr>
        <w:pStyle w:val="Source"/>
      </w:pPr>
      <w:r>
        <w:rPr>
          <w:i/>
        </w:rPr>
        <w:t>Data source</w:t>
      </w:r>
      <w:r w:rsidRPr="00167F06">
        <w:t xml:space="preserve">: </w:t>
      </w:r>
      <w:proofErr w:type="spellStart"/>
      <w:r>
        <w:t>BITRE</w:t>
      </w:r>
      <w:proofErr w:type="spellEnd"/>
      <w:r>
        <w:t xml:space="preserve"> </w:t>
      </w:r>
      <w:r w:rsidR="007C1471" w:rsidRPr="007C1471">
        <w:rPr>
          <w:rFonts w:cs="Arial"/>
        </w:rPr>
        <w:t>(</w:t>
      </w:r>
      <w:proofErr w:type="spellStart"/>
      <w:r w:rsidR="007C1471" w:rsidRPr="007C1471">
        <w:rPr>
          <w:rFonts w:cs="Arial"/>
        </w:rPr>
        <w:t>2013e</w:t>
      </w:r>
      <w:proofErr w:type="spellEnd"/>
      <w:r w:rsidR="007C1471" w:rsidRPr="007C1471">
        <w:rPr>
          <w:rFonts w:cs="Arial"/>
        </w:rPr>
        <w:t>)</w:t>
      </w:r>
      <w:r>
        <w:t>.</w:t>
      </w:r>
    </w:p>
    <w:p w:rsidR="00AE4D5A" w:rsidRDefault="00AE4D5A" w:rsidP="008E5E01">
      <w:pPr>
        <w:pStyle w:val="BodyText"/>
      </w:pPr>
      <w:r>
        <w:t xml:space="preserve">Road funding is allocated through a range of programs. For instance, Australian Government funding has been allocated through funding programs such as: the National Network; Black Spots; Roads to Recovery; and Local Government Financial Assistance Grants Identified for Roads </w:t>
      </w:r>
      <w:r w:rsidR="007C1471" w:rsidRPr="007C1471">
        <w:rPr>
          <w:szCs w:val="24"/>
        </w:rPr>
        <w:t>(BITRE 2011a)</w:t>
      </w:r>
      <w:r>
        <w:t>. In addition, funding may also be allocated to particular projects on an individual basis, separately from broader funding programs. For example, in its election commitments, the Coalition committed to providing $400 million (comprising $40 million a year for ten years commencing in 2014</w:t>
      </w:r>
      <w:r>
        <w:noBreakHyphen/>
        <w:t xml:space="preserve">15) for upgrading the Midland Highway </w:t>
      </w:r>
      <w:r w:rsidRPr="009D2D80">
        <w:rPr>
          <w:szCs w:val="24"/>
        </w:rPr>
        <w:t>(Coalition 2013)</w:t>
      </w:r>
      <w:r>
        <w:t xml:space="preserve">. </w:t>
      </w:r>
    </w:p>
    <w:p w:rsidR="00AE4D5A" w:rsidRDefault="00AE4D5A" w:rsidP="008E5E01">
      <w:pPr>
        <w:pStyle w:val="BodyText"/>
      </w:pPr>
      <w:r>
        <w:t>The current funding model for roads can lead to a less than efficient allocation of investment, with funding not always directed to projects, especially maintenance, that deliver the greatest net benefits. As Infrastructure Australia noted:</w:t>
      </w:r>
    </w:p>
    <w:p w:rsidR="00AE4D5A" w:rsidRDefault="00AE4D5A" w:rsidP="008E5E01">
      <w:pPr>
        <w:pStyle w:val="Quote"/>
      </w:pPr>
      <w:r>
        <w:t xml:space="preserve">… roads are more prone to highly politicised spending decisions, especially in the absence of data on baseline road cost and condition. The lack of information on road cost and condition means that governments are perceived to allocate funding on the basis of particular needs within the political cycle, rather than for the longer term. </w:t>
      </w:r>
      <w:r w:rsidRPr="009D2D80">
        <w:rPr>
          <w:szCs w:val="24"/>
        </w:rPr>
        <w:t>(Infrastructure Australia 2012b, p. 9)</w:t>
      </w:r>
    </w:p>
    <w:p w:rsidR="00AE4D5A" w:rsidRPr="003C4C87" w:rsidRDefault="00AE4D5A" w:rsidP="008E5E01">
      <w:pPr>
        <w:pStyle w:val="BodyText"/>
      </w:pPr>
      <w:r>
        <w:lastRenderedPageBreak/>
        <w:t>Of course, the weaknesses in Australia’s road funding arrangements are not unique to Tasmania, although the greater dependence on Australian Government funding in Tasmania may exacerbate the issue.</w:t>
      </w:r>
    </w:p>
    <w:p w:rsidR="00AE4D5A" w:rsidRDefault="00AE4D5A" w:rsidP="008E5E01">
      <w:pPr>
        <w:pStyle w:val="BodyText"/>
      </w:pPr>
      <w:r>
        <w:t>One underlying road funding issue — which contributes to less than optimal investment decisions — is the current manner in which road users are charged. Notwithstanding the use of toll roads in most major capital cities, road user charges, for both light and heavy vehicles, are levied in the form of fixed annual vehicle registration charges and fuel excise. The latter crudely approximates use</w:t>
      </w:r>
      <w:r>
        <w:noBreakHyphen/>
        <w:t xml:space="preserve">based charging, as fuel use (and hence excise paid) will generally be higher for heavier vehicles or those that travel longer distances. However, these charges are not location determined, that is, they do not reflect the difference in costs that heavy vehicles impose on different types of road. </w:t>
      </w:r>
    </w:p>
    <w:p w:rsidR="00AE4D5A" w:rsidRDefault="00AE4D5A" w:rsidP="008E5E01">
      <w:pPr>
        <w:pStyle w:val="BodyText"/>
      </w:pPr>
      <w:r>
        <w:t xml:space="preserve">As the Commission found in a previous inquiry into </w:t>
      </w:r>
      <w:r>
        <w:rPr>
          <w:i/>
        </w:rPr>
        <w:t>Road and Rail Freight Infrastructure Pricing</w:t>
      </w:r>
      <w:r>
        <w:t>:</w:t>
      </w:r>
    </w:p>
    <w:p w:rsidR="00AE4D5A" w:rsidRDefault="00AE4D5A" w:rsidP="008E5E01">
      <w:pPr>
        <w:pStyle w:val="Quote"/>
      </w:pPr>
      <w:r>
        <w:t>The main efficiency losses with current road charging arrangements derive from the averaging of costs and charges … and the disconnect between road revenue and spending decisions.</w:t>
      </w:r>
    </w:p>
    <w:p w:rsidR="00AE4D5A" w:rsidRDefault="00AE4D5A" w:rsidP="008E5E01">
      <w:pPr>
        <w:pStyle w:val="Quote"/>
      </w:pPr>
      <w:r>
        <w:t xml:space="preserve">– These provide poor price signals and distort the incentives needed for efficient road use and provision. </w:t>
      </w:r>
      <w:r w:rsidR="007C1471" w:rsidRPr="007C1471">
        <w:rPr>
          <w:szCs w:val="24"/>
        </w:rPr>
        <w:t>(PC </w:t>
      </w:r>
      <w:proofErr w:type="spellStart"/>
      <w:r w:rsidR="007C1471" w:rsidRPr="007C1471">
        <w:rPr>
          <w:szCs w:val="24"/>
        </w:rPr>
        <w:t>2006a</w:t>
      </w:r>
      <w:proofErr w:type="spellEnd"/>
      <w:r w:rsidR="007C1471" w:rsidRPr="007C1471">
        <w:rPr>
          <w:szCs w:val="24"/>
        </w:rPr>
        <w:t>, p. XXVI)</w:t>
      </w:r>
    </w:p>
    <w:p w:rsidR="00AE4D5A" w:rsidRDefault="00AE4D5A" w:rsidP="008E5E01">
      <w:pPr>
        <w:pStyle w:val="BodyText"/>
      </w:pPr>
      <w:r>
        <w:t>Likewise, the Australian Competition and Consumer Commission (ACCC) submitted that:</w:t>
      </w:r>
    </w:p>
    <w:p w:rsidR="00AE4D5A" w:rsidRDefault="00AE4D5A" w:rsidP="008E5E01">
      <w:pPr>
        <w:pStyle w:val="Quote"/>
      </w:pPr>
      <w:r>
        <w:t>Existing national road pricing structures do not encourage efficient investment in essential freight infrastructure. … In particular, the ACCC considers that reform of heavy vehicle road provision and charging is necessary to better reflect the cost of road use and ensure the right investments in roads are undertaken. (sub. 28, p. 7)</w:t>
      </w:r>
    </w:p>
    <w:p w:rsidR="00AE4D5A" w:rsidRDefault="00AE4D5A" w:rsidP="008E5E01">
      <w:pPr>
        <w:pStyle w:val="BodyText"/>
      </w:pPr>
      <w:r>
        <w:t xml:space="preserve">This issue was also noted by the Tasmanian Government in its recent </w:t>
      </w:r>
      <w:r w:rsidRPr="005F1AA1">
        <w:rPr>
          <w:i/>
        </w:rPr>
        <w:t>Nation Building 2</w:t>
      </w:r>
      <w:r>
        <w:t xml:space="preserve"> submission:</w:t>
      </w:r>
    </w:p>
    <w:p w:rsidR="00AE4D5A" w:rsidRDefault="00AE4D5A" w:rsidP="008E5E01">
      <w:pPr>
        <w:pStyle w:val="Quote"/>
      </w:pPr>
      <w:r>
        <w:t xml:space="preserve">Unlike the rail sector, the road sector does not operate within a market framework. Although heavy vehicle registration charges are set to cover past expenditure on roads used by these vehicles, there is currently little direct relationship between use of the road network and road funding allocations. Within current frameworks, the opportunity for private sector funding of freight roads is limited. </w:t>
      </w:r>
      <w:r w:rsidRPr="00A21127">
        <w:rPr>
          <w:szCs w:val="24"/>
        </w:rPr>
        <w:t>(Tasmanian Government 2012,</w:t>
      </w:r>
      <w:r>
        <w:rPr>
          <w:szCs w:val="24"/>
        </w:rPr>
        <w:t> </w:t>
      </w:r>
      <w:r w:rsidRPr="00A21127">
        <w:rPr>
          <w:szCs w:val="24"/>
        </w:rPr>
        <w:t>p. 20)</w:t>
      </w:r>
    </w:p>
    <w:p w:rsidR="00AE4D5A" w:rsidRDefault="00AE4D5A" w:rsidP="008E5E01">
      <w:pPr>
        <w:pStyle w:val="BodyText"/>
      </w:pPr>
      <w:r>
        <w:t xml:space="preserve">However, in its 2006 inquiry, the Commission noted that developments in road pricing technology could create opportunities for more cost reflective pricing which, in combination with institutional changes to link road supply and demand, could offer substantial efficiency gains. It subsequently recommended a phased approach </w:t>
      </w:r>
      <w:r>
        <w:lastRenderedPageBreak/>
        <w:t>to reform which could see the roll out of location</w:t>
      </w:r>
      <w:r>
        <w:noBreakHyphen/>
        <w:t xml:space="preserve">based charging, subject to an assessment of the costs and benefits </w:t>
      </w:r>
      <w:r w:rsidR="007C1471" w:rsidRPr="007C1471">
        <w:rPr>
          <w:szCs w:val="24"/>
        </w:rPr>
        <w:t>(PC </w:t>
      </w:r>
      <w:proofErr w:type="spellStart"/>
      <w:r w:rsidR="007C1471" w:rsidRPr="007C1471">
        <w:rPr>
          <w:szCs w:val="24"/>
        </w:rPr>
        <w:t>2006a</w:t>
      </w:r>
      <w:proofErr w:type="spellEnd"/>
      <w:r w:rsidR="007C1471" w:rsidRPr="007C1471">
        <w:rPr>
          <w:szCs w:val="24"/>
        </w:rPr>
        <w:t>)</w:t>
      </w:r>
      <w:r>
        <w:t xml:space="preserve">. </w:t>
      </w:r>
    </w:p>
    <w:p w:rsidR="00AE4D5A" w:rsidRPr="00DF0C78" w:rsidRDefault="00AE4D5A" w:rsidP="008E5E01">
      <w:pPr>
        <w:pStyle w:val="BodyText"/>
      </w:pPr>
      <w:r>
        <w:t xml:space="preserve">National reform options are being developed through the Heavy Vehicle Charging and Investment (HVCI) project. This is a reform best undertaken at a national rather than State level. The Council of Australian Governments identified heavy vehicle charging as a major transport reform at its December 2013 meeting and is seeking further advice on the HVCI proposals for its next meeting </w:t>
      </w:r>
      <w:r w:rsidRPr="00FA147A">
        <w:rPr>
          <w:szCs w:val="24"/>
        </w:rPr>
        <w:t>(HVCI 2014)</w:t>
      </w:r>
      <w:r>
        <w:t xml:space="preserve">. </w:t>
      </w:r>
    </w:p>
    <w:p w:rsidR="00AE4D5A" w:rsidRDefault="00AE4D5A" w:rsidP="008E5E01">
      <w:pPr>
        <w:pStyle w:val="Heading3"/>
      </w:pPr>
      <w:r>
        <w:t>Road freight charges</w:t>
      </w:r>
    </w:p>
    <w:p w:rsidR="00AE4D5A" w:rsidRDefault="00AE4D5A" w:rsidP="008E5E01">
      <w:pPr>
        <w:pStyle w:val="BodyText"/>
      </w:pPr>
      <w:r>
        <w:t>The Tasmanian road freight sector appears to be competitive, with charges comparable to those for mainland services, notwithstanding slightly higher fuel costs. This was illustrated by G. Riley, Fresh Freight Tasmania, who testified that:</w:t>
      </w:r>
    </w:p>
    <w:p w:rsidR="00AE4D5A" w:rsidRDefault="00AE4D5A" w:rsidP="008E5E01">
      <w:pPr>
        <w:pStyle w:val="Quote"/>
      </w:pPr>
      <w:r>
        <w:t>I think Tasmania is very competitive on road transport. There’s plenty of options out there … (trans., p. 129)</w:t>
      </w:r>
    </w:p>
    <w:p w:rsidR="00AE4D5A" w:rsidRDefault="00AE4D5A" w:rsidP="008E5E01">
      <w:pPr>
        <w:pStyle w:val="BodyText"/>
      </w:pPr>
      <w:r>
        <w:t>Similarly, Veolia submitted that:</w:t>
      </w:r>
    </w:p>
    <w:p w:rsidR="00AE4D5A" w:rsidRDefault="00AE4D5A" w:rsidP="008E5E01">
      <w:pPr>
        <w:pStyle w:val="Quote"/>
      </w:pPr>
      <w:r>
        <w:t>In Veolia’s experience Tasmania pricing is competitive … (sub. DR103, p. 13)</w:t>
      </w:r>
    </w:p>
    <w:p w:rsidR="00AE4D5A" w:rsidRDefault="00AE4D5A" w:rsidP="008E5E01">
      <w:pPr>
        <w:pStyle w:val="BodyText"/>
      </w:pPr>
      <w:r>
        <w:t xml:space="preserve">Aurecon </w:t>
      </w:r>
      <w:r w:rsidR="007C1471" w:rsidRPr="007C1471">
        <w:t>(2013a)</w:t>
      </w:r>
      <w:r>
        <w:t>, in its report to the FLCT, compared Tasmanian road freight rates (for a 19 metre semi</w:t>
      </w:r>
      <w:r>
        <w:noBreakHyphen/>
        <w:t>trailer, assuming a load of two twenty foot equivalent units) with those in Victoria. It concluded that rates were marginally more expensive than in Victoria, which it attributed to higher fuel costs in Tasmania relative to the mainland.</w:t>
      </w:r>
    </w:p>
    <w:p w:rsidR="00AE4D5A" w:rsidRDefault="00AE4D5A" w:rsidP="008E5E01">
      <w:pPr>
        <w:pStyle w:val="BodyText"/>
      </w:pPr>
      <w:r>
        <w:t>Mondelez submitted a similar claim about road transport costs in Tasmania:</w:t>
      </w:r>
    </w:p>
    <w:p w:rsidR="00AE4D5A" w:rsidRDefault="00AE4D5A" w:rsidP="008E5E01">
      <w:pPr>
        <w:pStyle w:val="Quote"/>
      </w:pPr>
      <w:r w:rsidRPr="001D51AF">
        <w:t>Road freight costs in Tasmania are marginally higher than on the mainland. The main contributor to this higher cost appears to be the higher cost of fuel on the island.</w:t>
      </w:r>
      <w:r>
        <w:t xml:space="preserve"> (sub. DR98, p. 17)</w:t>
      </w:r>
    </w:p>
    <w:p w:rsidR="00AE4D5A" w:rsidRDefault="00AE4D5A" w:rsidP="008E5E01">
      <w:pPr>
        <w:pStyle w:val="BodyText"/>
      </w:pPr>
      <w:r>
        <w:t xml:space="preserve">Relative to other transport modes such as rail or shipping, the scope for anticompetitive behaviour in the road freight industry is limited. Barriers to entry in the industry are relatively low, and while there are economies of scale in the industry, road freight can be efficiently conducted on a relatively small scale, including by businesses themselves. </w:t>
      </w:r>
    </w:p>
    <w:p w:rsidR="00AE4D5A" w:rsidRDefault="00AE4D5A" w:rsidP="008E5E01">
      <w:pPr>
        <w:pStyle w:val="BodyText"/>
      </w:pPr>
      <w:r>
        <w:t xml:space="preserve">A feature of the road freight market is the presence of integrated freight logistics businesses, whereby the Bass Strait shipping operators, Toll ANL and SeaRoad Holdings, also provide road transport services. However, no evidence was presented to this inquiry to indicate that this was having significant ramifications on competition in the Tasmanian road freight market. Similarly, the ACCC noted that: </w:t>
      </w:r>
    </w:p>
    <w:p w:rsidR="00AE4D5A" w:rsidRDefault="00AE4D5A" w:rsidP="008E5E01">
      <w:pPr>
        <w:pStyle w:val="Quote"/>
      </w:pPr>
      <w:r>
        <w:lastRenderedPageBreak/>
        <w:t>In 2013, the ACCC concluded that a proposed acquisition of Linfox Australia’s Trans</w:t>
      </w:r>
      <w:r>
        <w:noBreakHyphen/>
        <w:t>Bass Freight Forwarding business by Toll would not substantially lessen competition. In the market for freight forwarding services between Tasmania and mainland Australia, the ACCC considered that remaining competitors would provide an ongoing competitive constraint. (sub. 28, p. 5)</w:t>
      </w:r>
    </w:p>
    <w:p w:rsidR="00AE4D5A" w:rsidRDefault="00AE4D5A" w:rsidP="008E5E01">
      <w:pPr>
        <w:pStyle w:val="Heading2"/>
      </w:pPr>
      <w:r>
        <w:t>5.</w:t>
      </w:r>
      <w:r>
        <w:rPr>
          <w:noProof/>
        </w:rPr>
        <w:t>3</w:t>
      </w:r>
      <w:r>
        <w:tab/>
        <w:t>Rail freight</w:t>
      </w:r>
    </w:p>
    <w:p w:rsidR="00AE4D5A" w:rsidRDefault="00AE4D5A" w:rsidP="008E5E01">
      <w:pPr>
        <w:pStyle w:val="BodyText"/>
      </w:pPr>
      <w:r>
        <w:t>Railways in Tasmania comprise the freight</w:t>
      </w:r>
      <w:r>
        <w:noBreakHyphen/>
        <w:t>only Tasmanian Rail Network and the historic rail lines. There are no passenger services.</w:t>
      </w:r>
    </w:p>
    <w:p w:rsidR="00AE4D5A" w:rsidRDefault="00AE4D5A" w:rsidP="008E5E01">
      <w:pPr>
        <w:pStyle w:val="BodyText"/>
      </w:pPr>
      <w:r>
        <w:t>In 2011</w:t>
      </w:r>
      <w:r>
        <w:noBreakHyphen/>
        <w:t xml:space="preserve">12, rail accounted for 10 per cent of the total Tasmanian freight task by tonnage, and 18 per cent of the total freight task based on tonne kilometres travelled </w:t>
      </w:r>
      <w:r w:rsidR="007C1471" w:rsidRPr="007C1471">
        <w:rPr>
          <w:szCs w:val="24"/>
        </w:rPr>
        <w:t>(DIER 2013a)</w:t>
      </w:r>
      <w:r>
        <w:t>. Bulk freight (coal, ores and cement) accounted for most freight moved by train, but there has recently been an increase in non</w:t>
      </w:r>
      <w:r>
        <w:noBreakHyphen/>
        <w:t xml:space="preserve">bulk (or ‘intermodal’) freight volumes, including containers and a recommencement of log transportation </w:t>
      </w:r>
      <w:r w:rsidRPr="00FA147A">
        <w:rPr>
          <w:szCs w:val="24"/>
        </w:rPr>
        <w:t>(TasRail 2013)</w:t>
      </w:r>
      <w:r>
        <w:t xml:space="preserve">. </w:t>
      </w:r>
    </w:p>
    <w:p w:rsidR="00AE4D5A" w:rsidRDefault="00AE4D5A" w:rsidP="008E5E01">
      <w:pPr>
        <w:pStyle w:val="BodyText"/>
      </w:pPr>
      <w:r>
        <w:t>While rail accounts for a small share of the total land freight task in Tasmania (nationally, rail accounts for over half of the land freight task</w:t>
      </w:r>
      <w:r w:rsidRPr="004A2769">
        <w:rPr>
          <w:rStyle w:val="FootnoteReference"/>
        </w:rPr>
        <w:footnoteReference w:id="22"/>
      </w:r>
      <w:r>
        <w:t>), for many of those businesses that use rail, it is their primary form of intrastate freight transport. For instance, Norske Skog submitted:</w:t>
      </w:r>
    </w:p>
    <w:p w:rsidR="00AE4D5A" w:rsidRDefault="00AE4D5A" w:rsidP="008E5E01">
      <w:pPr>
        <w:pStyle w:val="Quote"/>
      </w:pPr>
      <w:r>
        <w:t>Given 96% of all production is shipped across Bass Strait, the Boyer Mill has a clear reliance on moving its freight as efficiently as possible between the Mill, near Hobart to the Port of Burnie on Tasmania’s North West Coast. This is undertaken with the support of TasRail which represents a vital link in Boyer’s inbound and outbound freight task. Rail freight between the Mill warehouse hardstand and the Port of Burnie offers the lowest cost option to move large volumes of containerised product in an efficient manner, while also removing the significant freight volumes from the Tasmanian road network.</w:t>
      </w:r>
    </w:p>
    <w:p w:rsidR="00AE4D5A" w:rsidRDefault="00AE4D5A" w:rsidP="008E5E01">
      <w:pPr>
        <w:pStyle w:val="Quote"/>
      </w:pPr>
      <w:r>
        <w:t>All sales volumes destined for markets outside Tasmania are transported by TasRail on a dedicated northbound train to Burnie leaving the Boyer Mill 6 days per week. (sub. 39, p. 8)</w:t>
      </w:r>
    </w:p>
    <w:p w:rsidR="00AE4D5A" w:rsidRDefault="00AE4D5A" w:rsidP="008E5E01">
      <w:pPr>
        <w:pStyle w:val="BodyText"/>
      </w:pPr>
      <w:r>
        <w:t>The Tasmanian rail network consists of a single line narrow gauge track. There are 632 kilometres of operational track (there are also a further 211 kilometres of non</w:t>
      </w:r>
      <w:r>
        <w:noBreakHyphen/>
        <w:t>operational lines), with the main rail line following a similar route to the main road corridor (figure 5.4).</w:t>
      </w:r>
    </w:p>
    <w:p w:rsidR="00AE4D5A" w:rsidRDefault="00AE4D5A" w:rsidP="008E5E01">
      <w:pPr>
        <w:pStyle w:val="BodyText"/>
      </w:pPr>
      <w:r>
        <w:lastRenderedPageBreak/>
        <w:t>TasRail, a Tasmanian Government</w:t>
      </w:r>
      <w:r>
        <w:noBreakHyphen/>
        <w:t xml:space="preserve">owned corporation, is now responsible for all aspects of the rail system — track, terminals and rolling stock. This follows a period of private ownership and operation of above rail assets from 1997 to 2009. </w:t>
      </w:r>
    </w:p>
    <w:p w:rsidR="00AE4D5A" w:rsidRDefault="00AE4D5A" w:rsidP="008E5E01">
      <w:pPr>
        <w:pStyle w:val="FigureTitle"/>
      </w:pPr>
      <w:r>
        <w:rPr>
          <w:b w:val="0"/>
        </w:rPr>
        <w:t xml:space="preserve">Figure </w:t>
      </w:r>
      <w:bookmarkStart w:id="11" w:name="OLE_LINK2"/>
      <w:r>
        <w:rPr>
          <w:b w:val="0"/>
        </w:rPr>
        <w:t>5.</w:t>
      </w:r>
      <w:r>
        <w:rPr>
          <w:b w:val="0"/>
          <w:noProof/>
        </w:rPr>
        <w:t>4</w:t>
      </w:r>
      <w:bookmarkEnd w:id="11"/>
      <w:r>
        <w:tab/>
        <w:t>Tasmanian rail network</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AE4D5A" w:rsidTr="008E5E01">
        <w:tc>
          <w:tcPr>
            <w:tcW w:w="8777" w:type="dxa"/>
          </w:tcPr>
          <w:p w:rsidR="00AE4D5A" w:rsidRDefault="00AE4D5A" w:rsidP="008E5E01">
            <w:pPr>
              <w:pStyle w:val="Figure"/>
            </w:pPr>
            <w:r>
              <w:rPr>
                <w:noProof/>
              </w:rPr>
              <w:drawing>
                <wp:inline distT="0" distB="0" distL="0" distR="0" wp14:anchorId="6462813F" wp14:editId="32054D31">
                  <wp:extent cx="3981450" cy="4381500"/>
                  <wp:effectExtent l="0" t="0" r="0" b="0"/>
                  <wp:docPr id="86" name="Picture 86" descr="Figure 5.4 Tasmanian rail network.&#10;Shows a map of the Tasmanian rail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mcdonald\AppData\Local\Microsoft\Windows\Temporary Internet Files\Content.Outlook\CQLRTA1I\map-and-legend.pn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981450" cy="4381500"/>
                          </a:xfrm>
                          <a:prstGeom prst="rect">
                            <a:avLst/>
                          </a:prstGeom>
                          <a:noFill/>
                          <a:ln>
                            <a:noFill/>
                          </a:ln>
                        </pic:spPr>
                      </pic:pic>
                    </a:graphicData>
                  </a:graphic>
                </wp:inline>
              </w:drawing>
            </w:r>
          </w:p>
        </w:tc>
      </w:tr>
    </w:tbl>
    <w:p w:rsidR="00AE4D5A" w:rsidRDefault="00AE4D5A" w:rsidP="008E5E01">
      <w:pPr>
        <w:pStyle w:val="Source"/>
      </w:pPr>
      <w:r>
        <w:rPr>
          <w:i/>
        </w:rPr>
        <w:t>Source</w:t>
      </w:r>
      <w:r w:rsidRPr="00167F06">
        <w:t xml:space="preserve">: </w:t>
      </w:r>
      <w:r>
        <w:t xml:space="preserve">TasRail </w:t>
      </w:r>
      <w:r w:rsidRPr="00FA147A">
        <w:rPr>
          <w:rFonts w:cs="Arial"/>
        </w:rPr>
        <w:t>(2013)</w:t>
      </w:r>
      <w:r>
        <w:t>.</w:t>
      </w:r>
    </w:p>
    <w:p w:rsidR="00AE4D5A" w:rsidRDefault="00AE4D5A" w:rsidP="008E5E01">
      <w:pPr>
        <w:pStyle w:val="Heading3"/>
      </w:pPr>
      <w:r>
        <w:t>Issues facing Tasmanian rail</w:t>
      </w:r>
    </w:p>
    <w:p w:rsidR="00AE4D5A" w:rsidRDefault="00AE4D5A" w:rsidP="008E5E01">
      <w:pPr>
        <w:pStyle w:val="BodyText"/>
      </w:pPr>
      <w:r>
        <w:t xml:space="preserve">The issues facing Tasmanian railways have been well documented, including by Juturna </w:t>
      </w:r>
      <w:r w:rsidRPr="004E3383">
        <w:t>(2013)</w:t>
      </w:r>
      <w:r>
        <w:t xml:space="preserve">, Infrastructure Australia </w:t>
      </w:r>
      <w:r w:rsidRPr="004E3383">
        <w:t>(2012b)</w:t>
      </w:r>
      <w:r>
        <w:t xml:space="preserve"> and Engineers Australia </w:t>
      </w:r>
      <w:r w:rsidRPr="004E3383">
        <w:t>(2010)</w:t>
      </w:r>
      <w:r>
        <w:t>. As a business enterprise, it has been constrained by small volumes and short distances. The network itself has been hampered by low volumes, an absence of commercial success and resulting poor track condition and aged rolling stock, which have further limited the attractiveness of rail for moving freight. As TasRail submitted, it:</w:t>
      </w:r>
    </w:p>
    <w:p w:rsidR="00AE4D5A" w:rsidRDefault="00AE4D5A" w:rsidP="008E5E01">
      <w:pPr>
        <w:pStyle w:val="Quote"/>
      </w:pPr>
      <w:r>
        <w:t>… inherited a business characterised by many decades of capital under</w:t>
      </w:r>
      <w:r>
        <w:noBreakHyphen/>
        <w:t xml:space="preserve">investment. This had critically constrained the ability of rail to contribute to the business </w:t>
      </w:r>
      <w:r>
        <w:lastRenderedPageBreak/>
        <w:t>development of the State and led to increased volumes of freight being transferred to the road network. (sub. 22, p. 2)</w:t>
      </w:r>
    </w:p>
    <w:p w:rsidR="00AE4D5A" w:rsidRDefault="00AE4D5A" w:rsidP="008E5E01">
      <w:pPr>
        <w:pStyle w:val="BodyText"/>
      </w:pPr>
      <w:r>
        <w:t>In its 2010 assessment, Engineers Australia rated the Tasmanian rail network as an ‘F’, finding that the infrastructure was:</w:t>
      </w:r>
    </w:p>
    <w:p w:rsidR="00AE4D5A" w:rsidRDefault="00AE4D5A" w:rsidP="008E5E01">
      <w:pPr>
        <w:pStyle w:val="Quote"/>
      </w:pPr>
      <w:r>
        <w:t xml:space="preserve">… inadequate for current and future purposes, and that the magnitude of the works required to provide any reasonable utility from this infrastructure is enormous. </w:t>
      </w:r>
      <w:r w:rsidRPr="004E3383">
        <w:rPr>
          <w:szCs w:val="24"/>
        </w:rPr>
        <w:t>(Engineers Australia 2010, p. 25)</w:t>
      </w:r>
    </w:p>
    <w:p w:rsidR="00AE4D5A" w:rsidRDefault="00AE4D5A" w:rsidP="008E5E01">
      <w:pPr>
        <w:pStyle w:val="BodyText"/>
      </w:pPr>
      <w:r>
        <w:t xml:space="preserve">TasRail is in the process of undertaking substantial capital upgrades. The Australian Government, through its </w:t>
      </w:r>
      <w:r w:rsidRPr="005F1AA1">
        <w:rPr>
          <w:i/>
        </w:rPr>
        <w:t>Nation Building</w:t>
      </w:r>
      <w:r>
        <w:t xml:space="preserve"> funding program from 2008</w:t>
      </w:r>
      <w:r>
        <w:noBreakHyphen/>
        <w:t>09 to 2013</w:t>
      </w:r>
      <w:r>
        <w:noBreakHyphen/>
        <w:t>14, has contributed $210.5 million for track upgrades. In addition, the Tasmanian Government has committed capital funding of $137.2 million over seven years to 2015</w:t>
      </w:r>
      <w:r>
        <w:noBreakHyphen/>
        <w:t xml:space="preserve">16. The capital upgrades have mainly comprised track renewal, particularly the replacement of sleepers and bridge works. Rolling stock is also being upgraded, with 17 new locomotives and 191 wagons being rolled out in late 2013 and 2014. Other capital works include a new train control system and refurbishing of the bulk minerals </w:t>
      </w:r>
      <w:proofErr w:type="spellStart"/>
      <w:r>
        <w:t>shiploader</w:t>
      </w:r>
      <w:proofErr w:type="spellEnd"/>
      <w:r>
        <w:t xml:space="preserve"> at Burnie </w:t>
      </w:r>
      <w:r w:rsidRPr="004E3383">
        <w:rPr>
          <w:szCs w:val="24"/>
        </w:rPr>
        <w:t>(</w:t>
      </w:r>
      <w:proofErr w:type="spellStart"/>
      <w:r w:rsidRPr="004E3383">
        <w:rPr>
          <w:szCs w:val="24"/>
        </w:rPr>
        <w:t>TasRail</w:t>
      </w:r>
      <w:proofErr w:type="spellEnd"/>
      <w:r w:rsidRPr="004E3383">
        <w:rPr>
          <w:szCs w:val="24"/>
        </w:rPr>
        <w:t> 2013)</w:t>
      </w:r>
      <w:r>
        <w:t>.</w:t>
      </w:r>
    </w:p>
    <w:p w:rsidR="00AE4D5A" w:rsidRDefault="00AE4D5A" w:rsidP="008E5E01">
      <w:pPr>
        <w:pStyle w:val="BodyText"/>
      </w:pPr>
      <w:r>
        <w:t xml:space="preserve">There are also plans for further capital upgrades. Under the </w:t>
      </w:r>
      <w:r w:rsidRPr="005F1AA1">
        <w:rPr>
          <w:i/>
        </w:rPr>
        <w:t>Nation Building 2</w:t>
      </w:r>
      <w:r>
        <w:t xml:space="preserve"> program</w:t>
      </w:r>
      <w:r w:rsidRPr="004A2769">
        <w:rPr>
          <w:rStyle w:val="FootnoteReference"/>
        </w:rPr>
        <w:footnoteReference w:id="23"/>
      </w:r>
      <w:r>
        <w:t>, the Australian Government announced funding of $119.6 million over five years from 2014</w:t>
      </w:r>
      <w:r>
        <w:noBreakHyphen/>
        <w:t>15 to 2018</w:t>
      </w:r>
      <w:r>
        <w:noBreakHyphen/>
        <w:t>19, conditional on a matching level of funding being contributed by the Tasmanian Government (TasRail, sub. 22).</w:t>
      </w:r>
    </w:p>
    <w:p w:rsidR="00AE4D5A" w:rsidRDefault="00AE4D5A" w:rsidP="008E5E01">
      <w:pPr>
        <w:pStyle w:val="BodyText"/>
      </w:pPr>
      <w:r>
        <w:t>There is some evidence that these capital upgrades are attracting additional business for TasRail. The Department of Infrastructure and Regional Development submitted:</w:t>
      </w:r>
    </w:p>
    <w:p w:rsidR="00AE4D5A" w:rsidRDefault="00AE4D5A" w:rsidP="008E5E01">
      <w:pPr>
        <w:pStyle w:val="Quote"/>
      </w:pPr>
      <w:r>
        <w:t xml:space="preserve">There is a clear correlation between the improvements in rail efficiency and demand in the market. As a result of the recent investment in rail upgrades, new contracts have been entered into with Venture Minerals and coal mining company </w:t>
      </w:r>
      <w:proofErr w:type="spellStart"/>
      <w:r>
        <w:t>Hardrock</w:t>
      </w:r>
      <w:proofErr w:type="spellEnd"/>
      <w:r>
        <w:t xml:space="preserve">. TasRail has secured an extended service agreement with </w:t>
      </w:r>
      <w:proofErr w:type="spellStart"/>
      <w:r>
        <w:t>MMG</w:t>
      </w:r>
      <w:proofErr w:type="spellEnd"/>
      <w:r>
        <w:t xml:space="preserve"> for haulage of mineral concentrates between </w:t>
      </w:r>
      <w:proofErr w:type="spellStart"/>
      <w:r>
        <w:t>Rosebury</w:t>
      </w:r>
      <w:proofErr w:type="spellEnd"/>
      <w:r>
        <w:t xml:space="preserve"> and Burnie; and have also reached agreement with Forestry Tasmania for transportation of log freight between Brighton and Bell Bay. These contracts indicate the growing confidence in rail due to the infrastructure upgrades. (sub. 42, p. 19)</w:t>
      </w:r>
    </w:p>
    <w:p w:rsidR="00AE4D5A" w:rsidRPr="00B52FDC" w:rsidRDefault="00AE4D5A" w:rsidP="008E5E01">
      <w:pPr>
        <w:pStyle w:val="BodyText"/>
      </w:pPr>
      <w:r>
        <w:t xml:space="preserve">Further, TasRail submitted that its contract with Venture Minerals ‘will increase </w:t>
      </w:r>
      <w:proofErr w:type="spellStart"/>
      <w:r>
        <w:t>TasRail’s</w:t>
      </w:r>
      <w:proofErr w:type="spellEnd"/>
      <w:r>
        <w:t xml:space="preserve"> annual tonnage by approximately 35%’ (sub. 22, p. 3).</w:t>
      </w:r>
    </w:p>
    <w:p w:rsidR="00AE4D5A" w:rsidRDefault="00AE4D5A" w:rsidP="008E5E01">
      <w:pPr>
        <w:pStyle w:val="BodyText"/>
      </w:pPr>
      <w:r>
        <w:t xml:space="preserve">A key question remains to be addressed — whether the expected growth in freight volumes was sufficient to warrant this additional investment. While the Tasmanian </w:t>
      </w:r>
      <w:r>
        <w:lastRenderedPageBreak/>
        <w:t xml:space="preserve">Government considers that keeping the future rail system option open is critical for supporting the development of key industries in Tasmania (such as mining), it is not clear to what extent this option has been assessed against alternatives. </w:t>
      </w:r>
    </w:p>
    <w:p w:rsidR="00AE4D5A" w:rsidRDefault="00AE4D5A" w:rsidP="008E5E01">
      <w:pPr>
        <w:pStyle w:val="BodyText"/>
      </w:pPr>
      <w:r>
        <w:t>As a general rule, there is limited substitutability between road and rail because the two modes are generally best suited to different types of freight tasks. Rail’s strength lies in the movement of large quantities of non</w:t>
      </w:r>
      <w:r>
        <w:noBreakHyphen/>
        <w:t xml:space="preserve">time sensitive freight over relatively long distances between a limited number of fixed points. Conversely, trucks move smaller loads, but can do so more quickly and between almost any locations. </w:t>
      </w:r>
    </w:p>
    <w:p w:rsidR="00AE4D5A" w:rsidRDefault="00AE4D5A" w:rsidP="008E5E01">
      <w:pPr>
        <w:pStyle w:val="BodyText"/>
      </w:pPr>
      <w:r>
        <w:t>However, in Tasmania there is a higher degree of substitutability between road and rail because of the relatively short distances involved. In its submission, TasRail noted that the rail freight network in Tasmania is duplicated by the road network:</w:t>
      </w:r>
    </w:p>
    <w:p w:rsidR="00AE4D5A" w:rsidRDefault="00AE4D5A" w:rsidP="008E5E01">
      <w:pPr>
        <w:pStyle w:val="Quote"/>
      </w:pPr>
      <w:r>
        <w:t xml:space="preserve">… rail has no unique markets or geographic advantage and faces very strong competition from road transport. (sub. 22, p. 4) </w:t>
      </w:r>
    </w:p>
    <w:p w:rsidR="00AE4D5A" w:rsidRPr="00D470EA" w:rsidRDefault="00AE4D5A" w:rsidP="008E5E01">
      <w:pPr>
        <w:pStyle w:val="BodyText"/>
      </w:pPr>
      <w:r>
        <w:t xml:space="preserve">Given the availability of road as a viable alternative option, the long term viability of rail in Tasmania needs to be carefully assessed from a long term, Tasmanian economywide perspective. This is particularly pertinent in the context of </w:t>
      </w:r>
      <w:proofErr w:type="spellStart"/>
      <w:r>
        <w:t>TasRail’s</w:t>
      </w:r>
      <w:proofErr w:type="spellEnd"/>
      <w:r>
        <w:t xml:space="preserve"> financial performance coupled with the State’s fiscal constraints (reflecting Tasmania’s demographic and economic profile).</w:t>
      </w:r>
    </w:p>
    <w:p w:rsidR="00AE4D5A" w:rsidRDefault="00AE4D5A" w:rsidP="008E5E01">
      <w:pPr>
        <w:pStyle w:val="BodyText"/>
      </w:pPr>
      <w:r>
        <w:t>TasRail is not achieving a sustainable rate of return on its operations. In 2012</w:t>
      </w:r>
      <w:r>
        <w:noBreakHyphen/>
        <w:t xml:space="preserve">13, its total loss for the year was about $47 million (compared with $37 million in the previous year). While this includes a $45 million impairment expense associated with accounting treatment related to Australian Government funding of capital upgrades, total revenue also includes an operating subsidy from the Tasmanian Government of around $16 million. Actual revenue from freight services (about $33 million) was less than variable costs (including wages, maintenance, fuel and administration) </w:t>
      </w:r>
      <w:r w:rsidRPr="004E3383">
        <w:rPr>
          <w:szCs w:val="24"/>
        </w:rPr>
        <w:t>(TasRail 2013)</w:t>
      </w:r>
      <w:r>
        <w:t xml:space="preserve">. To improve its commercial sustainability, TasRail needs to increase its revenues and/or reduce costs. </w:t>
      </w:r>
    </w:p>
    <w:p w:rsidR="00AE4D5A" w:rsidRDefault="00AE4D5A" w:rsidP="008E5E01">
      <w:pPr>
        <w:pStyle w:val="BodyText"/>
      </w:pPr>
      <w:r>
        <w:t>To the extent that capital improvements to the network increase the speed and capacity of rail travel, and there is efficient terminal infrastructure for transferring cargo to and from ships and trucks, there may be greater uptake of rail freight. TasRail has submitted that its freight task and revenue is forecast to grow significantly:</w:t>
      </w:r>
    </w:p>
    <w:p w:rsidR="00AE4D5A" w:rsidRDefault="00AE4D5A" w:rsidP="008E5E01">
      <w:pPr>
        <w:pStyle w:val="Quote"/>
      </w:pPr>
      <w:r>
        <w:t xml:space="preserve">Revenue, total tonnes and </w:t>
      </w:r>
      <w:proofErr w:type="spellStart"/>
      <w:r>
        <w:t>NTKs</w:t>
      </w:r>
      <w:proofErr w:type="spellEnd"/>
      <w:r>
        <w:t xml:space="preserve"> [net tonne kilometres] are about to increase considerably as TasRail grows intermodal volumes and begins haulage for a new major mining development. On this basis, TasRail share of the total freight market increases by around 70% over the 2011/12 figure by 2015/16. (sub. </w:t>
      </w:r>
      <w:proofErr w:type="spellStart"/>
      <w:r>
        <w:t>DR74</w:t>
      </w:r>
      <w:proofErr w:type="spellEnd"/>
      <w:r>
        <w:t>, p. 2)</w:t>
      </w:r>
    </w:p>
    <w:p w:rsidR="00AE4D5A" w:rsidRDefault="00AE4D5A" w:rsidP="008E5E01">
      <w:pPr>
        <w:pStyle w:val="BodyText"/>
      </w:pPr>
      <w:r>
        <w:lastRenderedPageBreak/>
        <w:t>Conversely, TasRail (sub. </w:t>
      </w:r>
      <w:proofErr w:type="spellStart"/>
      <w:r>
        <w:t>DR74</w:t>
      </w:r>
      <w:proofErr w:type="spellEnd"/>
      <w:r>
        <w:t>) does not see any immediate scope to lift freight rates. In part, this is because many of their customers are on long</w:t>
      </w:r>
      <w:r>
        <w:noBreakHyphen/>
        <w:t>term contracts, but it also reflects the strong competition that rail faces from road. TasRail submitted that if rail charges were lifted to achieve full cost recovery, it:</w:t>
      </w:r>
    </w:p>
    <w:p w:rsidR="00AE4D5A" w:rsidRDefault="00AE4D5A" w:rsidP="008E5E01">
      <w:pPr>
        <w:pStyle w:val="Quote"/>
      </w:pPr>
      <w:r>
        <w:t xml:space="preserve">… would lead to a decline in </w:t>
      </w:r>
      <w:proofErr w:type="spellStart"/>
      <w:r>
        <w:t>TasRail’s</w:t>
      </w:r>
      <w:proofErr w:type="spellEnd"/>
      <w:r>
        <w:t xml:space="preserve"> revenue, profitability and commercial viability in the long term. (sub. </w:t>
      </w:r>
      <w:proofErr w:type="spellStart"/>
      <w:r>
        <w:t>DR74</w:t>
      </w:r>
      <w:proofErr w:type="spellEnd"/>
      <w:r>
        <w:t>, p. 7)</w:t>
      </w:r>
    </w:p>
    <w:p w:rsidR="00AE4D5A" w:rsidRDefault="00AE4D5A">
      <w:pPr>
        <w:pStyle w:val="BodyText"/>
      </w:pPr>
      <w:r>
        <w:t>Highlighting the fundamental issue facing the Tasmanian rail network — limited customers and strong competition from a largely duplicative road network — TasRail went on to submit that:</w:t>
      </w:r>
    </w:p>
    <w:p w:rsidR="00AE4D5A" w:rsidRPr="000A081E" w:rsidRDefault="00AE4D5A" w:rsidP="008E5E01">
      <w:pPr>
        <w:pStyle w:val="Quote"/>
      </w:pPr>
      <w:r>
        <w:t>TasRail is currently the only user of the rail network and does not generate sufficient access fees to fully fund track maintenance and renewal. (sub. </w:t>
      </w:r>
      <w:proofErr w:type="spellStart"/>
      <w:r>
        <w:t>DR74</w:t>
      </w:r>
      <w:proofErr w:type="spellEnd"/>
      <w:r>
        <w:t>, p. 7)</w:t>
      </w:r>
    </w:p>
    <w:p w:rsidR="00AE4D5A" w:rsidRDefault="00AE4D5A" w:rsidP="008E5E01">
      <w:pPr>
        <w:pStyle w:val="BodyText"/>
      </w:pPr>
      <w:r>
        <w:t>Alternatively, network rationalisation could provide an opportunity to reduce costs while maintaining the more profitable freight volumes. In its October 2013 interim report, the FLCT made the finding on the Tasmanian rail network that rail investment should be prioritised to:</w:t>
      </w:r>
    </w:p>
    <w:p w:rsidR="00AE4D5A" w:rsidRDefault="00AE4D5A" w:rsidP="008E5E01">
      <w:pPr>
        <w:pStyle w:val="Quote"/>
      </w:pPr>
      <w:r>
        <w:t>a. Implementing Nation Building 2 outcomes which focus on the Burnie</w:t>
      </w:r>
      <w:r>
        <w:rPr>
          <w:rFonts w:ascii="Cambria Math" w:hAnsi="Cambria Math" w:cs="Cambria Math"/>
        </w:rPr>
        <w:t>‐</w:t>
      </w:r>
      <w:r>
        <w:t>Devonport to Hobart primary freight corridor, a link in the National Freight Network; and</w:t>
      </w:r>
    </w:p>
    <w:p w:rsidR="00AE4D5A" w:rsidRDefault="00AE4D5A" w:rsidP="008E5E01">
      <w:pPr>
        <w:pStyle w:val="Quote"/>
      </w:pPr>
      <w:r>
        <w:t>b. Maintain and enhance other lines based on their relative potential to operate on a full cost recovery basis within a 10</w:t>
      </w:r>
      <w:r>
        <w:rPr>
          <w:rFonts w:ascii="Cambria Math" w:hAnsi="Cambria Math" w:cs="Cambria Math"/>
        </w:rPr>
        <w:t>‐</w:t>
      </w:r>
      <w:r>
        <w:t xml:space="preserve">year timeframe. </w:t>
      </w:r>
      <w:r w:rsidRPr="004E3383">
        <w:rPr>
          <w:szCs w:val="24"/>
        </w:rPr>
        <w:t>(FLCT 2013b, p. 2)</w:t>
      </w:r>
    </w:p>
    <w:p w:rsidR="00AE4D5A" w:rsidRDefault="00AE4D5A" w:rsidP="008E5E01">
      <w:pPr>
        <w:pStyle w:val="BodyText"/>
      </w:pPr>
      <w:r>
        <w:t xml:space="preserve">Similarly, Juturna </w:t>
      </w:r>
      <w:r w:rsidRPr="004E3383">
        <w:t>(2013)</w:t>
      </w:r>
      <w:r>
        <w:t>, in its final report for the FLCT, highlighted that network rationalisation had not yet occurred. It also stated that this was difficult because there had not yet been a rationalisation of ports, making it challenging to prioritise rail investment strategies.</w:t>
      </w:r>
    </w:p>
    <w:p w:rsidR="00AE4D5A" w:rsidRDefault="00AE4D5A" w:rsidP="008E5E01">
      <w:pPr>
        <w:pStyle w:val="BodyText"/>
      </w:pPr>
      <w:r>
        <w:t>One particular issue with rail services is that they are dependent on relatively few customers, and so face concentrated and therefore elevated commercial risk of customer withdrawal leading to underutilised or stranded assets. For example, Infrastructure Australia cites the case where:</w:t>
      </w:r>
    </w:p>
    <w:p w:rsidR="00AE4D5A" w:rsidRDefault="00AE4D5A" w:rsidP="008E5E01">
      <w:pPr>
        <w:pStyle w:val="Quote"/>
      </w:pPr>
      <w:r>
        <w:t xml:space="preserve">… not long after TasRail opened its service to Bell Bay, customers Norske Skog and </w:t>
      </w:r>
      <w:proofErr w:type="spellStart"/>
      <w:r>
        <w:t>Nyrstar</w:t>
      </w:r>
      <w:proofErr w:type="spellEnd"/>
      <w:r>
        <w:t xml:space="preserve"> transferred their operations from Bell Bay to Burnie. </w:t>
      </w:r>
      <w:r w:rsidRPr="004E3383">
        <w:rPr>
          <w:szCs w:val="24"/>
        </w:rPr>
        <w:t>(Infrastructure Australia 2012b, p. 20)</w:t>
      </w:r>
    </w:p>
    <w:p w:rsidR="00AE4D5A" w:rsidRDefault="00AE4D5A" w:rsidP="008E5E01">
      <w:pPr>
        <w:pStyle w:val="BodyText"/>
      </w:pPr>
      <w:r>
        <w:t>This shift was in response to changes caused by the withdrawal of shipping services at Bell Bay, rather than a commercial, standalone customer decision per se, but it nevertheless illustrates the risks associated with geographically fixed assets in a dispersed logistics system.</w:t>
      </w:r>
    </w:p>
    <w:p w:rsidR="00AE4D5A" w:rsidRDefault="00AE4D5A" w:rsidP="008E5E01">
      <w:pPr>
        <w:pStyle w:val="BodyText"/>
      </w:pPr>
      <w:r>
        <w:t>However, TasRail has submitted (sub </w:t>
      </w:r>
      <w:proofErr w:type="spellStart"/>
      <w:r>
        <w:t>DR74</w:t>
      </w:r>
      <w:proofErr w:type="spellEnd"/>
      <w:r>
        <w:t>) that it considers that there is little scope to rationalise parts of the network, arguing that:</w:t>
      </w:r>
    </w:p>
    <w:p w:rsidR="00AE4D5A" w:rsidRDefault="00AE4D5A" w:rsidP="008E5E01">
      <w:pPr>
        <w:pStyle w:val="ListBullet"/>
      </w:pPr>
      <w:r>
        <w:lastRenderedPageBreak/>
        <w:t>rationalising ‘branch lines would not avoid significant ongoing maintenance expense for TasRail’ (p. 4)</w:t>
      </w:r>
    </w:p>
    <w:p w:rsidR="00AE4D5A" w:rsidRDefault="00AE4D5A" w:rsidP="008E5E01">
      <w:pPr>
        <w:pStyle w:val="ListBullet"/>
      </w:pPr>
      <w:r>
        <w:t>there are existing contracted customers utilising the three operational branch lines</w:t>
      </w:r>
    </w:p>
    <w:p w:rsidR="00AE4D5A" w:rsidRDefault="00AE4D5A" w:rsidP="008E5E01">
      <w:pPr>
        <w:pStyle w:val="ListBullet"/>
      </w:pPr>
      <w:r>
        <w:t>it assigns a high option value to future use of the branch lines</w:t>
      </w:r>
    </w:p>
    <w:p w:rsidR="00AE4D5A" w:rsidRPr="00590998" w:rsidRDefault="00AE4D5A" w:rsidP="008E5E01">
      <w:pPr>
        <w:pStyle w:val="ListBullet"/>
      </w:pPr>
      <w:r>
        <w:t>a long</w:t>
      </w:r>
      <w:r>
        <w:noBreakHyphen/>
        <w:t>term port strategy is yet to be finalised.</w:t>
      </w:r>
    </w:p>
    <w:p w:rsidR="00AE4D5A" w:rsidRDefault="00AE4D5A" w:rsidP="008E5E01">
      <w:pPr>
        <w:pStyle w:val="BodyText"/>
      </w:pPr>
      <w:r>
        <w:t>In its final report, the FLCT made the following recommendation about the Tasmanian rail network:</w:t>
      </w:r>
    </w:p>
    <w:p w:rsidR="00AE4D5A" w:rsidRDefault="00AE4D5A" w:rsidP="008E5E01">
      <w:pPr>
        <w:pStyle w:val="Quote"/>
      </w:pPr>
      <w:r>
        <w:t xml:space="preserve">The role of rail in the Tasmanian transport system should be clearly articulated by Government and aim to – </w:t>
      </w:r>
    </w:p>
    <w:p w:rsidR="00AE4D5A" w:rsidRDefault="00AE4D5A" w:rsidP="00AE4D5A">
      <w:pPr>
        <w:pStyle w:val="Quote"/>
        <w:numPr>
          <w:ilvl w:val="1"/>
          <w:numId w:val="21"/>
        </w:numPr>
      </w:pPr>
      <w:r>
        <w:t>Ensure that above rail operations operate on a commercial basis within five years, where revenue from freight is sufficient to cover operating costs and to provide for future investment in above rail assets.</w:t>
      </w:r>
    </w:p>
    <w:p w:rsidR="00AE4D5A" w:rsidRDefault="00AE4D5A" w:rsidP="00AE4D5A">
      <w:pPr>
        <w:pStyle w:val="Quote"/>
        <w:numPr>
          <w:ilvl w:val="1"/>
          <w:numId w:val="21"/>
        </w:numPr>
      </w:pPr>
      <w:r>
        <w:t>Ensure that public investment in below rail assets is based on defined network standards linked to freight demand.</w:t>
      </w:r>
    </w:p>
    <w:p w:rsidR="00AE4D5A" w:rsidRDefault="00AE4D5A" w:rsidP="00AE4D5A">
      <w:pPr>
        <w:pStyle w:val="Quote"/>
        <w:numPr>
          <w:ilvl w:val="1"/>
          <w:numId w:val="21"/>
        </w:numPr>
      </w:pPr>
      <w:r>
        <w:t>Be consistent with a long</w:t>
      </w:r>
      <w:r>
        <w:noBreakHyphen/>
        <w:t>term port strategy and consider the long</w:t>
      </w:r>
      <w:r>
        <w:noBreakHyphen/>
        <w:t xml:space="preserve">run adequacy of rail access to ports. </w:t>
      </w:r>
      <w:r w:rsidRPr="00A45CB2">
        <w:rPr>
          <w:szCs w:val="24"/>
        </w:rPr>
        <w:t>(FLCT 2013a, p. 4)</w:t>
      </w:r>
    </w:p>
    <w:p w:rsidR="00AE4D5A" w:rsidRDefault="00AE4D5A" w:rsidP="008E5E01">
      <w:pPr>
        <w:pStyle w:val="BodyText"/>
      </w:pPr>
      <w:r>
        <w:t>The Tasmanian Government generally supported this recommendation, subject to more detailed consideration in its development of a Tasmanian freight strategy.</w:t>
      </w:r>
    </w:p>
    <w:p w:rsidR="00AE4D5A" w:rsidRDefault="00AE4D5A" w:rsidP="008E5E01">
      <w:pPr>
        <w:pStyle w:val="BodyText"/>
      </w:pPr>
      <w:r>
        <w:t>For rail to be a viable long</w:t>
      </w:r>
      <w:r>
        <w:noBreakHyphen/>
        <w:t>term freight option in Tasmania it needs to operate on a full cost recovery basis, except to the extent that there are social benefits from railway activities that genuinely justify public subsidies. In the case of rail in Tasmania, there are no passenger services, so any spill</w:t>
      </w:r>
      <w:r>
        <w:noBreakHyphen/>
        <w:t>over benefits from rail are derived from a reduction in road freight movements. Potential benefits could include reduced congestion, less pollution, and safety benefits, in terms of fewer road accidents. TasRail has submitted — through a consultancy report it commissioned in response to the draft report — that these spill</w:t>
      </w:r>
      <w:r>
        <w:noBreakHyphen/>
        <w:t>over benefits are estimated to exceed the annual Tasmanian Government contribution from 2014</w:t>
      </w:r>
      <w:r>
        <w:noBreakHyphen/>
        <w:t>15 onwards (sub. </w:t>
      </w:r>
      <w:proofErr w:type="spellStart"/>
      <w:r>
        <w:t>DR74</w:t>
      </w:r>
      <w:proofErr w:type="spellEnd"/>
      <w:r>
        <w:t xml:space="preserve">, appendix 5). The Tasmanian Government has previously indicated, as part of its </w:t>
      </w:r>
      <w:r w:rsidRPr="00CF7ACE">
        <w:rPr>
          <w:i/>
        </w:rPr>
        <w:t>Tasmanian Infrastructure Strategy</w:t>
      </w:r>
      <w:r w:rsidRPr="00CF7ACE">
        <w:t>,</w:t>
      </w:r>
      <w:r>
        <w:t xml:space="preserve"> that it would consider the options for privatising above rail assets in the future. However, in its post</w:t>
      </w:r>
      <w:r>
        <w:noBreakHyphen/>
        <w:t>draft submission it has stated that:</w:t>
      </w:r>
    </w:p>
    <w:p w:rsidR="00AE4D5A" w:rsidRDefault="00AE4D5A" w:rsidP="008E5E01">
      <w:pPr>
        <w:pStyle w:val="Quote"/>
      </w:pPr>
      <w:r>
        <w:t>It is the Tasmanian Government’s clear position that none of its freight or freight</w:t>
      </w:r>
      <w:r>
        <w:noBreakHyphen/>
        <w:t>related assets are up for sale. (sub. </w:t>
      </w:r>
      <w:proofErr w:type="spellStart"/>
      <w:r>
        <w:t>DR85</w:t>
      </w:r>
      <w:proofErr w:type="spellEnd"/>
      <w:r>
        <w:t xml:space="preserve">, p. 14) </w:t>
      </w:r>
    </w:p>
    <w:p w:rsidR="00AE4D5A" w:rsidRDefault="00AE4D5A" w:rsidP="008E5E01">
      <w:pPr>
        <w:pStyle w:val="BodyText"/>
      </w:pPr>
      <w:r>
        <w:t>There is some private contribution to customer</w:t>
      </w:r>
      <w:r>
        <w:noBreakHyphen/>
        <w:t>required infrastructure. In addition to Toll’s investing in the Brighton Transport Hub, TasRail notes another example where it has:</w:t>
      </w:r>
    </w:p>
    <w:p w:rsidR="00AE4D5A" w:rsidRDefault="00AE4D5A" w:rsidP="008E5E01">
      <w:pPr>
        <w:pStyle w:val="Quote"/>
      </w:pPr>
      <w:r>
        <w:lastRenderedPageBreak/>
        <w:t>… recently entered into a contract with a mining company to invest capital directly into the rail corridor, which will result in a boost to the network capacity and loading infrastructure for that business. (sub. </w:t>
      </w:r>
      <w:proofErr w:type="spellStart"/>
      <w:r>
        <w:t>DR74</w:t>
      </w:r>
      <w:proofErr w:type="spellEnd"/>
      <w:r>
        <w:t>, p. 9)</w:t>
      </w:r>
    </w:p>
    <w:p w:rsidR="00AE4D5A" w:rsidRDefault="00AE4D5A">
      <w:pPr>
        <w:pStyle w:val="BodyText"/>
      </w:pPr>
      <w:r>
        <w:t>There is also an open access regime, so there is some potential for above rail competition. TasRail submitted that:</w:t>
      </w:r>
    </w:p>
    <w:p w:rsidR="00AE4D5A" w:rsidRPr="00010729" w:rsidRDefault="00AE4D5A" w:rsidP="008E5E01">
      <w:pPr>
        <w:pStyle w:val="Quote"/>
      </w:pPr>
      <w:r>
        <w:t>With new large volume miners (in a Tasmanian context) commencing operations, TasRail considers the likelihood of another operator entering the network increasing … (sub. </w:t>
      </w:r>
      <w:proofErr w:type="spellStart"/>
      <w:r>
        <w:t>DR74</w:t>
      </w:r>
      <w:proofErr w:type="spellEnd"/>
      <w:r>
        <w:t>, p. 9)</w:t>
      </w:r>
    </w:p>
    <w:p w:rsidR="00AE4D5A" w:rsidRDefault="00AE4D5A" w:rsidP="008E5E01">
      <w:pPr>
        <w:pStyle w:val="BodyText"/>
      </w:pPr>
      <w:r>
        <w:t>The FLCT, in its final report, has recommended, more generally, that the government consider ways to increase the scope for private investment in Tasmanian transport infrastructure. These avenues should be thoroughly explored, but the 1997 to 2009 experience of private ownership suggests that with the exception of customer specific investment this might only be possible on some risk sharing basis. The Commission notes that in other jurisdictions, private</w:t>
      </w:r>
      <w:r>
        <w:noBreakHyphen/>
        <w:t xml:space="preserve">owned port operators have at times facilitated the involvement of private investment (by business users) in freight critical rail investment. </w:t>
      </w:r>
    </w:p>
    <w:p w:rsidR="00AE4D5A" w:rsidRDefault="00AE4D5A" w:rsidP="008E5E01">
      <w:pPr>
        <w:pStyle w:val="BodyText"/>
      </w:pPr>
      <w:r>
        <w:t>The utilisation of Tasmanian rail will have to increase to improve its commercial performance. While the recent capital upgrades should make rail more attractive to freight users, it is not clear whether these are justified on the basis of the potential growth in freight volumes and the forgone benefits from alternative investments in other Tasmanian infrastructure. Future investment decisions should be made in the context of an overarching strategy for freight infrastructure and on a relative cost</w:t>
      </w:r>
      <w:r>
        <w:noBreakHyphen/>
        <w:t xml:space="preserve">benefit analysis basis. In the long run, it seems likely that a State with a small tax base will have to confront the costs associated with largely duplicated road and rail networks and determine whether multiple networks provide the most efficient transport system for Tasmania. </w:t>
      </w:r>
    </w:p>
    <w:p w:rsidR="00AE4D5A" w:rsidRDefault="00AE4D5A" w:rsidP="008E5E01">
      <w:pPr>
        <w:pStyle w:val="Heading2"/>
      </w:pPr>
      <w:r>
        <w:t>5.</w:t>
      </w:r>
      <w:r>
        <w:rPr>
          <w:noProof/>
        </w:rPr>
        <w:t>4</w:t>
      </w:r>
      <w:r>
        <w:tab/>
        <w:t>An integrated Tasmanian freight strategy</w:t>
      </w:r>
    </w:p>
    <w:p w:rsidR="00AE4D5A" w:rsidRDefault="00AE4D5A" w:rsidP="008E5E01">
      <w:pPr>
        <w:pStyle w:val="BodyText"/>
      </w:pPr>
      <w:r>
        <w:t>Discussions with stakeholders and submissions to this inquiry have highlighted the need for a specific long term strategy or ‘vision’ to guide the development of freight infrastructure in Tasmania. For instance, Regional Development Australia – Tasmania (</w:t>
      </w:r>
      <w:proofErr w:type="spellStart"/>
      <w:r>
        <w:t>RDAT</w:t>
      </w:r>
      <w:proofErr w:type="spellEnd"/>
      <w:r>
        <w:t>) suggested examining the need to:</w:t>
      </w:r>
    </w:p>
    <w:p w:rsidR="00AE4D5A" w:rsidRDefault="00AE4D5A" w:rsidP="008E5E01">
      <w:pPr>
        <w:pStyle w:val="Quote"/>
      </w:pPr>
      <w:r>
        <w:t>Develop a long term freight strategy for Tasmania that is supported by all key stakeholders which considers the longer term needs for Port infrastructure and Road and Rail networks … (sub. 17, p. 2)</w:t>
      </w:r>
    </w:p>
    <w:p w:rsidR="00AE4D5A" w:rsidRDefault="00AE4D5A" w:rsidP="008E5E01">
      <w:pPr>
        <w:pStyle w:val="BodyText"/>
      </w:pPr>
      <w:r>
        <w:t>In a similar vein, the Cradle Coast Authority put forward the case for:</w:t>
      </w:r>
    </w:p>
    <w:p w:rsidR="00AE4D5A" w:rsidRDefault="00AE4D5A" w:rsidP="008E5E01">
      <w:pPr>
        <w:pStyle w:val="Quote"/>
      </w:pPr>
      <w:r>
        <w:lastRenderedPageBreak/>
        <w:t>A long term logistics plan for Tasmania, covering Bass Strait and international shipping and the port, road and rail systems that support them, including road and rail corridors linking Burnie to the West Coast and Smithton, and a long term shipping solution for King Island … (sub. 20, p. 1)</w:t>
      </w:r>
    </w:p>
    <w:p w:rsidR="00AE4D5A" w:rsidRDefault="00AE4D5A" w:rsidP="008E5E01">
      <w:pPr>
        <w:pStyle w:val="BodyText"/>
      </w:pPr>
      <w:r>
        <w:t>And Engineers Australia submitted that State governments need to:</w:t>
      </w:r>
    </w:p>
    <w:p w:rsidR="00AE4D5A" w:rsidRDefault="00AE4D5A" w:rsidP="008E5E01">
      <w:pPr>
        <w:pStyle w:val="QuoteBullet"/>
      </w:pPr>
      <w:r>
        <w:t>Develop long</w:t>
      </w:r>
      <w:r>
        <w:noBreakHyphen/>
        <w:t>term infrastructure visions and plans that accommodate projected economic growth and population increases.</w:t>
      </w:r>
    </w:p>
    <w:p w:rsidR="00AE4D5A" w:rsidRPr="006D7892" w:rsidRDefault="00AE4D5A" w:rsidP="008E5E01">
      <w:pPr>
        <w:pStyle w:val="QuoteBullet"/>
      </w:pPr>
      <w:r>
        <w:t>Establish independent planning infrastructure advisory groups to provide advice on infrastructure priorities and provide infrastructure planning and funding advice. (sub. 36, p. 5)</w:t>
      </w:r>
    </w:p>
    <w:p w:rsidR="00AE4D5A" w:rsidRDefault="00AE4D5A" w:rsidP="008E5E01">
      <w:pPr>
        <w:pStyle w:val="BodyText"/>
      </w:pPr>
      <w:r>
        <w:t>The terms of reference establishing the FLCT stated that its primary purpose was to provide expert advice and guide the completion of a long term freight strategy. In its December 2013 final report, it recommended that:</w:t>
      </w:r>
    </w:p>
    <w:p w:rsidR="00AE4D5A" w:rsidRDefault="00AE4D5A" w:rsidP="00AE4D5A">
      <w:pPr>
        <w:pStyle w:val="Quote"/>
        <w:numPr>
          <w:ilvl w:val="0"/>
          <w:numId w:val="22"/>
        </w:numPr>
      </w:pPr>
      <w:r>
        <w:t xml:space="preserve">The Tasmanian Government should complete a Tasmanian Freight Strategy by 30 June 2014. </w:t>
      </w:r>
    </w:p>
    <w:p w:rsidR="00AE4D5A" w:rsidRDefault="00AE4D5A" w:rsidP="00AE4D5A">
      <w:pPr>
        <w:pStyle w:val="Quote"/>
        <w:numPr>
          <w:ilvl w:val="0"/>
          <w:numId w:val="22"/>
        </w:numPr>
      </w:pPr>
      <w:r>
        <w:t xml:space="preserve">The Tasmanian Government should adopt the </w:t>
      </w:r>
      <w:proofErr w:type="spellStart"/>
      <w:r>
        <w:t>FLCT’s</w:t>
      </w:r>
      <w:proofErr w:type="spellEnd"/>
      <w:r>
        <w:t xml:space="preserve"> objective for the Tasmanian freight system as the objective for the Tasmanian Freight Strategy.</w:t>
      </w:r>
    </w:p>
    <w:p w:rsidR="00AE4D5A" w:rsidRDefault="00AE4D5A" w:rsidP="00AE4D5A">
      <w:pPr>
        <w:pStyle w:val="Quote"/>
        <w:numPr>
          <w:ilvl w:val="0"/>
          <w:numId w:val="22"/>
        </w:numPr>
      </w:pPr>
      <w:r>
        <w:t>The Tasmanian Government should establish an ongoing high level, public</w:t>
      </w:r>
      <w:r>
        <w:noBreakHyphen/>
        <w:t xml:space="preserve">private freight advisory group. </w:t>
      </w:r>
      <w:r w:rsidRPr="00A45CB2">
        <w:rPr>
          <w:szCs w:val="24"/>
        </w:rPr>
        <w:t>(FLCT 2013a, p. 4)</w:t>
      </w:r>
    </w:p>
    <w:p w:rsidR="00AE4D5A" w:rsidRPr="00555EDC" w:rsidRDefault="00AE4D5A" w:rsidP="008E5E01">
      <w:pPr>
        <w:pStyle w:val="BodyText"/>
      </w:pPr>
      <w:r>
        <w:t>In finalising the strategy, the FLCT recommended that the Tasmanian Government should ensure that the strategy:</w:t>
      </w:r>
    </w:p>
    <w:p w:rsidR="00AE4D5A" w:rsidRDefault="00AE4D5A" w:rsidP="008E5E01">
      <w:pPr>
        <w:pStyle w:val="QuoteBullet"/>
      </w:pPr>
      <w:r>
        <w:t>Incorporates the objective for the Tasmanian Freight System;</w:t>
      </w:r>
    </w:p>
    <w:p w:rsidR="00AE4D5A" w:rsidRDefault="00AE4D5A" w:rsidP="008E5E01">
      <w:pPr>
        <w:pStyle w:val="QuoteBullet"/>
      </w:pPr>
      <w:r>
        <w:t>Is based on the outputs, particularly this final advisory report;</w:t>
      </w:r>
    </w:p>
    <w:p w:rsidR="00AE4D5A" w:rsidRDefault="00AE4D5A" w:rsidP="008E5E01">
      <w:pPr>
        <w:pStyle w:val="QuoteBullet"/>
      </w:pPr>
      <w:r>
        <w:t>Is based on long</w:t>
      </w:r>
      <w:r>
        <w:noBreakHyphen/>
        <w:t>term freight analysis;</w:t>
      </w:r>
    </w:p>
    <w:p w:rsidR="00AE4D5A" w:rsidRDefault="00AE4D5A" w:rsidP="008E5E01">
      <w:pPr>
        <w:pStyle w:val="QuoteBullet"/>
      </w:pPr>
      <w:r>
        <w:t>Directly involves industry participants from the freight market;</w:t>
      </w:r>
    </w:p>
    <w:p w:rsidR="00AE4D5A" w:rsidRDefault="00AE4D5A" w:rsidP="008E5E01">
      <w:pPr>
        <w:pStyle w:val="QuoteBullet"/>
      </w:pPr>
      <w:r>
        <w:t>Identifies key freight corridors and intermodal points for priority investment;</w:t>
      </w:r>
    </w:p>
    <w:p w:rsidR="00AE4D5A" w:rsidRDefault="00AE4D5A" w:rsidP="008E5E01">
      <w:pPr>
        <w:pStyle w:val="QuoteBullet"/>
      </w:pPr>
      <w:r>
        <w:t>Addresses the issue of duplicated port, road and rail infrastructure;</w:t>
      </w:r>
    </w:p>
    <w:p w:rsidR="00AE4D5A" w:rsidRDefault="00AE4D5A" w:rsidP="008E5E01">
      <w:pPr>
        <w:pStyle w:val="QuoteBullet"/>
      </w:pPr>
      <w:r>
        <w:t>Clearly articulates the role of, and target standards for, individual modes within the freight system;</w:t>
      </w:r>
    </w:p>
    <w:p w:rsidR="00AE4D5A" w:rsidRDefault="00AE4D5A" w:rsidP="008E5E01">
      <w:pPr>
        <w:pStyle w:val="QuoteBullet"/>
      </w:pPr>
      <w:r>
        <w:t>Those roles and targets should be reflected in the strategies of all government owned infrastructure providers and other key stakeholders;</w:t>
      </w:r>
    </w:p>
    <w:p w:rsidR="00AE4D5A" w:rsidRDefault="00AE4D5A" w:rsidP="008E5E01">
      <w:pPr>
        <w:pStyle w:val="QuoteBullet"/>
      </w:pPr>
      <w:r>
        <w:t>Proactively anticipates freight system issues by linking planning to current transport model data; and</w:t>
      </w:r>
    </w:p>
    <w:p w:rsidR="00AE4D5A" w:rsidRDefault="00AE4D5A" w:rsidP="008E5E01">
      <w:pPr>
        <w:pStyle w:val="QuoteBullet"/>
      </w:pPr>
      <w:r>
        <w:t xml:space="preserve">Is regularly updated. </w:t>
      </w:r>
      <w:r w:rsidRPr="00A45CB2">
        <w:rPr>
          <w:szCs w:val="24"/>
        </w:rPr>
        <w:t>(FLCT 2013a, p. 41)</w:t>
      </w:r>
    </w:p>
    <w:p w:rsidR="00AE4D5A" w:rsidRDefault="00AE4D5A" w:rsidP="008E5E01">
      <w:pPr>
        <w:pStyle w:val="BodyText"/>
      </w:pPr>
      <w:r>
        <w:t xml:space="preserve">Allied to the development of a long term strategy for freight infrastructure, potential benefits from better coordination in the freight logistics chain have also been raised. </w:t>
      </w:r>
      <w:r>
        <w:lastRenderedPageBreak/>
        <w:t>For example, in Aurecon’s August 2013 report to the FLCT, one of the recommendations was that:</w:t>
      </w:r>
    </w:p>
    <w:p w:rsidR="00AE4D5A" w:rsidRDefault="00AE4D5A" w:rsidP="008E5E01">
      <w:pPr>
        <w:pStyle w:val="Quote"/>
      </w:pPr>
      <w:r>
        <w:t xml:space="preserve">Consideration should be given to the state wide planning of freight movements. Better planning offers the opportunity to reduce the carriage of empties on ships, reduce empty backhauls for trucks, intelligently route freight to rail, eliminate the stranding of freight and reduce the number of vehicles on roads. </w:t>
      </w:r>
      <w:r w:rsidR="007C1471" w:rsidRPr="007C1471">
        <w:rPr>
          <w:szCs w:val="24"/>
        </w:rPr>
        <w:t>(Aurecon 2013a, p. 8)</w:t>
      </w:r>
    </w:p>
    <w:p w:rsidR="00AE4D5A" w:rsidRDefault="00AE4D5A" w:rsidP="008E5E01">
      <w:pPr>
        <w:pStyle w:val="BodyText"/>
      </w:pPr>
      <w:r>
        <w:t>Similarly, Infrastructure Australia suggested that:</w:t>
      </w:r>
    </w:p>
    <w:p w:rsidR="00AE4D5A" w:rsidRDefault="00AE4D5A" w:rsidP="008E5E01">
      <w:pPr>
        <w:pStyle w:val="Quote"/>
      </w:pPr>
      <w:r>
        <w:t xml:space="preserve">… consideration be given to the creation of a freight logistics coordination team with an industry leadership group similar to the Hunter Valley Coal Chain logistics team. </w:t>
      </w:r>
      <w:r w:rsidRPr="00A45CB2">
        <w:rPr>
          <w:szCs w:val="24"/>
        </w:rPr>
        <w:t>(Infrastructure Australia 2012b, p. 2)</w:t>
      </w:r>
    </w:p>
    <w:p w:rsidR="00AE4D5A" w:rsidRDefault="00AE4D5A" w:rsidP="008E5E01">
      <w:pPr>
        <w:pStyle w:val="BodyText"/>
      </w:pPr>
      <w:r>
        <w:t>In this regard, in its final report, the FLCT also recommended that the Tasmanian Government should test the viability of a market</w:t>
      </w:r>
      <w:r>
        <w:noBreakHyphen/>
        <w:t>based online trading portal to facilitate trade of freight capacity, investigate opportunities to promote industry collaboration, and that funding should be provided for an expert advisory panel to assist small to medium freight users to optimise their supply chains and reduce costs. The FLCT also recommended the development of a publically accessible freight model that:</w:t>
      </w:r>
    </w:p>
    <w:p w:rsidR="00AE4D5A" w:rsidRDefault="00AE4D5A" w:rsidP="008E5E01">
      <w:pPr>
        <w:pStyle w:val="QuoteBullet"/>
      </w:pPr>
      <w:r>
        <w:t>Provides data and information on freight supply and demand, including empty container movements.</w:t>
      </w:r>
    </w:p>
    <w:p w:rsidR="00AE4D5A" w:rsidRDefault="00AE4D5A" w:rsidP="008E5E01">
      <w:pPr>
        <w:pStyle w:val="QuoteBullet"/>
      </w:pPr>
      <w:r>
        <w:t>Allows users to alter key assumptions (for example sector growth rates) to test possible service offerings and demand aggregation opportunities.</w:t>
      </w:r>
    </w:p>
    <w:p w:rsidR="00AE4D5A" w:rsidRDefault="00AE4D5A" w:rsidP="008E5E01">
      <w:pPr>
        <w:pStyle w:val="QuoteBullet"/>
      </w:pPr>
      <w:r>
        <w:t xml:space="preserve">Transparently reports proposed major capital expenditure and maintenance costs across road, rail, port and shipping providers. </w:t>
      </w:r>
      <w:r w:rsidRPr="00A45CB2">
        <w:rPr>
          <w:szCs w:val="24"/>
        </w:rPr>
        <w:t>(FLCT 2013a, p. 34)</w:t>
      </w:r>
    </w:p>
    <w:p w:rsidR="00AE4D5A" w:rsidRDefault="00AE4D5A" w:rsidP="008E5E01">
      <w:pPr>
        <w:pStyle w:val="BodyText"/>
      </w:pPr>
      <w:r>
        <w:t>A strategic and coordinated approach to Tasmania’s freight future has the potential to reduce the costs of doing business in Tasmania, and thereby make a contribution to the State’s economic development. In particular, this could lead to more efficient infrastructure investments that take into account a whole</w:t>
      </w:r>
      <w:r>
        <w:noBreakHyphen/>
        <w:t>of</w:t>
      </w:r>
      <w:r>
        <w:noBreakHyphen/>
        <w:t>Tasmania perspective. This could, in turn, lead to more efficient Tasmanian freight operations, including, for example, through faster freight journey times from better coordination between transport modes.</w:t>
      </w:r>
    </w:p>
    <w:p w:rsidR="00AE4D5A" w:rsidRDefault="00AE4D5A" w:rsidP="008E5E01">
      <w:pPr>
        <w:pStyle w:val="BodyText"/>
      </w:pPr>
      <w:r>
        <w:t>A more integrated and transparent approach to freight movements may also be beneficial in terms of addressing the flow of empty containers in the Tasmanian freight system. Repositioning containers is a substantial part of the freight task and imposes significant costs. Cost saving opportunities could be realised through the coordinated sharing of information that may assist in reducing the flow of empty containers. The Commission understands that this issue has proved intractable on many trade routes, including Tasmania.</w:t>
      </w:r>
    </w:p>
    <w:p w:rsidR="00AE4D5A" w:rsidRDefault="00AE4D5A" w:rsidP="008E5E01">
      <w:pPr>
        <w:pStyle w:val="BodyText"/>
      </w:pPr>
      <w:r>
        <w:lastRenderedPageBreak/>
        <w:t xml:space="preserve">Improving freight </w:t>
      </w:r>
      <w:r w:rsidRPr="005940A4">
        <w:rPr>
          <w:i/>
        </w:rPr>
        <w:t>coordination</w:t>
      </w:r>
      <w:r>
        <w:t xml:space="preserve"> is primarily a matter for freight businesses, noting that the Tasmanian Government owns and operates commercial freight businesses. The role for government should typically be long term planning of infrastructure provision to facilitate improved efficiency in Tasmanian freight services.</w:t>
      </w:r>
    </w:p>
    <w:p w:rsidR="00AE4D5A" w:rsidRDefault="00AE4D5A" w:rsidP="008E5E01">
      <w:pPr>
        <w:pStyle w:val="BodyText"/>
      </w:pPr>
      <w:r>
        <w:t xml:space="preserve">In its response to the </w:t>
      </w:r>
      <w:proofErr w:type="spellStart"/>
      <w:r>
        <w:t>FLCT’s</w:t>
      </w:r>
      <w:proofErr w:type="spellEnd"/>
      <w:r>
        <w:t xml:space="preserve"> report, the Tasmanian Government has committed to developing a Tasmanian Freight Strategy, with work having already commenced. The Tasmanian Government has submitted that the strategy will deal with issues including:</w:t>
      </w:r>
    </w:p>
    <w:p w:rsidR="00AE4D5A" w:rsidRDefault="00AE4D5A" w:rsidP="008E5E01">
      <w:pPr>
        <w:pStyle w:val="QuoteBullet"/>
      </w:pPr>
      <w:r>
        <w:t>Consideration of a long</w:t>
      </w:r>
      <w:r>
        <w:noBreakHyphen/>
        <w:t>term ports strategy that clarifies the future roles and functions of each of Tasmania’s northern ports, taking into account their relationship with key road and rail links and specific freight needs;</w:t>
      </w:r>
    </w:p>
    <w:p w:rsidR="00AE4D5A" w:rsidRDefault="00AE4D5A" w:rsidP="008E5E01">
      <w:pPr>
        <w:pStyle w:val="QuoteBullet"/>
      </w:pPr>
      <w:r>
        <w:t>The ongoing strategic prioritisation of road infrastructure investment around a high standard, principal freight corridor and the development of a high</w:t>
      </w:r>
      <w:r>
        <w:noBreakHyphen/>
        <w:t>productivity vehicle access policy;</w:t>
      </w:r>
    </w:p>
    <w:p w:rsidR="00AE4D5A" w:rsidRDefault="00AE4D5A" w:rsidP="008E5E01">
      <w:pPr>
        <w:pStyle w:val="QuoteBullet"/>
      </w:pPr>
      <w:r>
        <w:t>The need for greater clarity on the role of rail in the context of Tasmania’s contestable freight task; and</w:t>
      </w:r>
    </w:p>
    <w:p w:rsidR="00AE4D5A" w:rsidRDefault="00AE4D5A" w:rsidP="008E5E01">
      <w:pPr>
        <w:pStyle w:val="QuoteBullet"/>
      </w:pPr>
      <w:r>
        <w:t>A clear plan to better focus infrastructure investment on the optimal modal mix across both road and rail to meet Tasmania’s future freight needs. (sub. 43, p. 7)</w:t>
      </w:r>
    </w:p>
    <w:p w:rsidR="00AE4D5A" w:rsidRDefault="00AE4D5A" w:rsidP="008E5E01">
      <w:pPr>
        <w:pStyle w:val="BodyText"/>
      </w:pPr>
      <w:r>
        <w:t>The lack of an integrated freight strategy across all components of the supply chain increases the risk of inefficient decision making in relation to road and rail corridors, their connectivity to ports and duplicated infrastructure. In this context, the Commission supports the development of a long term integrated freight strategy for Tasmania which addresses the fundamental issues of productivity and effective capital allocation. A jurisdiction with a small tax base is unlikely to be able to maintain a full and duplicated array of transport assets.</w:t>
      </w:r>
      <w:r w:rsidRPr="00F41CC0">
        <w:t xml:space="preserve"> </w:t>
      </w:r>
      <w:r>
        <w:t xml:space="preserve">The development of such a strategy will help to ensure that developments in freight infrastructure are supportive of Tasmania’s long term economic growth prospects and cognisant of the fiscal position of the Tasmanian Government, now and in the future. </w:t>
      </w:r>
    </w:p>
    <w:p w:rsidR="00AE4D5A" w:rsidRDefault="00AE4D5A" w:rsidP="008E5E01">
      <w:pPr>
        <w:pStyle w:val="BodyText"/>
      </w:pPr>
      <w:r>
        <w:t xml:space="preserve">While governments should play a key role in developing a long term integrated plan for the State and the Tasmanian Government is currently undertaking such a process, it should be transparent, evidence based and include wide consultations with industry, all levels of government and the community at large, and provide opportunities for private sector investment and operations. </w:t>
      </w:r>
    </w:p>
    <w:p w:rsidR="00AE4D5A" w:rsidRDefault="00AE4D5A" w:rsidP="008E5E01">
      <w:pPr>
        <w:pStyle w:val="BodyText"/>
      </w:pPr>
      <w:r>
        <w:t>The Tasmanian Government has submitted that the strategy currently under development is a ‘state policy and will not be developed at the specific direction of the Australian Government’ (sub. </w:t>
      </w:r>
      <w:proofErr w:type="spellStart"/>
      <w:r>
        <w:t>DR85</w:t>
      </w:r>
      <w:proofErr w:type="spellEnd"/>
      <w:r>
        <w:t xml:space="preserve">, p. 4). However, and importantly, the Australian Government provides significant funding for Tasmanian infrastructure and ultimately determines the prioritisation and direction of those Australian </w:t>
      </w:r>
      <w:r>
        <w:lastRenderedPageBreak/>
        <w:t>Government funds. Ideally, the strategy should form part of the assessment processes by the Australian Government and Infrastructure Australia for the allocation of funds to Tasmanian transport infrastructure. But if this is to be the case, then it seems appropriate that the Australian Government should be consulted in the formulation of that strategy.</w:t>
      </w:r>
    </w:p>
    <w:p w:rsidR="00AE4D5A" w:rsidRDefault="00AE4D5A" w:rsidP="008E5E01">
      <w:pPr>
        <w:pStyle w:val="RecTitle"/>
      </w:pPr>
      <w:r>
        <w:t>Recommendation 18</w:t>
      </w:r>
    </w:p>
    <w:p w:rsidR="00AE4D5A" w:rsidRPr="00B316DD" w:rsidRDefault="00AE4D5A" w:rsidP="008E5E01">
      <w:pPr>
        <w:pStyle w:val="Rec"/>
      </w:pPr>
      <w:r w:rsidRPr="00B316DD">
        <w:t>The Commission endorses the need for a comprehensive, long term integrated freight strategy for Tasmania</w:t>
      </w:r>
      <w:r>
        <w:t xml:space="preserve"> to be developed by the Tasmanian Government</w:t>
      </w:r>
      <w:r w:rsidRPr="00B316DD">
        <w:t xml:space="preserve">. As the Australian Government will retain a role in funding Tasmanian infrastructure investments, it is appropriate that it (including through Infrastructure Australia) </w:t>
      </w:r>
      <w:r>
        <w:t xml:space="preserve">be consulted </w:t>
      </w:r>
      <w:r w:rsidRPr="00B316DD">
        <w:t xml:space="preserve">in developing that strategy. </w:t>
      </w:r>
    </w:p>
    <w:p w:rsidR="00AE4D5A" w:rsidRPr="00B316DD" w:rsidRDefault="00AE4D5A" w:rsidP="008E5E01">
      <w:pPr>
        <w:pStyle w:val="Rec"/>
      </w:pPr>
      <w:r w:rsidRPr="00B316DD">
        <w:t>In developing the strategy, there should be broad consultation between industry, all levels of government, and the community more generally. A benefit</w:t>
      </w:r>
      <w:r w:rsidRPr="00B316DD">
        <w:noBreakHyphen/>
        <w:t xml:space="preserve">cost framework should be applied that identifies the most efficient use of investment capital and </w:t>
      </w:r>
      <w:r>
        <w:t>that</w:t>
      </w:r>
      <w:r w:rsidRPr="00B316DD">
        <w:t xml:space="preserve"> clearly identifies the net benefits or trade</w:t>
      </w:r>
      <w:r w:rsidRPr="00B316DD">
        <w:noBreakHyphen/>
        <w:t>offs arising from community service initiatives or region</w:t>
      </w:r>
      <w:r w:rsidRPr="00B316DD">
        <w:noBreakHyphen/>
        <w:t>specific development objectives. As a matter of urgency, the strategy should:</w:t>
      </w:r>
    </w:p>
    <w:p w:rsidR="00AE4D5A" w:rsidRPr="00B316DD" w:rsidRDefault="00AE4D5A" w:rsidP="008E5E01">
      <w:pPr>
        <w:pStyle w:val="RecBullet"/>
      </w:pPr>
      <w:r w:rsidRPr="00B316DD">
        <w:t>identify Tasmania’s likely future freight infrastructure requirements across all modes — sea, road, rail and air</w:t>
      </w:r>
    </w:p>
    <w:p w:rsidR="00AE4D5A" w:rsidRDefault="00AE4D5A" w:rsidP="008E5E01">
      <w:pPr>
        <w:pStyle w:val="RecBullet"/>
      </w:pPr>
      <w:r w:rsidRPr="00B316DD">
        <w:t>address port developments, including specialisation or rationalisation of existing infrastructure</w:t>
      </w:r>
      <w:r>
        <w:t xml:space="preserve"> and, informed by the Tasmanian Government’s consideration and resolution of the issues in recommendations 16 and 17</w:t>
      </w:r>
    </w:p>
    <w:p w:rsidR="00AE4D5A" w:rsidRPr="00B316DD" w:rsidRDefault="00AE4D5A" w:rsidP="008E5E01">
      <w:pPr>
        <w:pStyle w:val="RecBullet"/>
      </w:pPr>
      <w:r w:rsidRPr="00B316DD">
        <w:t>address the long term role of rail in Tasmania given the high degree of substitutability with road transport</w:t>
      </w:r>
    </w:p>
    <w:p w:rsidR="00AE4D5A" w:rsidRPr="00B316DD" w:rsidRDefault="00AE4D5A" w:rsidP="008E5E01">
      <w:pPr>
        <w:pStyle w:val="RecBullet"/>
      </w:pPr>
      <w:r w:rsidRPr="00B316DD">
        <w:t>en</w:t>
      </w:r>
      <w:r>
        <w:t xml:space="preserve">sure that the objectives of </w:t>
      </w:r>
      <w:r w:rsidRPr="00B316DD">
        <w:t xml:space="preserve">government business enterprises for ports, </w:t>
      </w:r>
      <w:r>
        <w:t>shipping</w:t>
      </w:r>
      <w:r w:rsidRPr="00B316DD">
        <w:t xml:space="preserve"> and rail are consistent with commercial sustainability.</w:t>
      </w:r>
    </w:p>
    <w:p w:rsidR="00AE4D5A" w:rsidRDefault="00AE4D5A" w:rsidP="00120072">
      <w:pPr>
        <w:pStyle w:val="BodyText"/>
      </w:pPr>
    </w:p>
    <w:p w:rsidR="00AE4D5A" w:rsidRDefault="00AE4D5A" w:rsidP="00120072">
      <w:pPr>
        <w:pStyle w:val="BodyText"/>
      </w:pPr>
    </w:p>
    <w:p w:rsidR="00AE4D5A" w:rsidRDefault="00AE4D5A" w:rsidP="00AE4D5A">
      <w:pPr>
        <w:sectPr w:rsidR="00AE4D5A" w:rsidSect="00AE4D5A">
          <w:headerReference w:type="even" r:id="rId91"/>
          <w:headerReference w:type="default" r:id="rId92"/>
          <w:footerReference w:type="even" r:id="rId93"/>
          <w:footerReference w:type="default" r:id="rId94"/>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Chapter"/>
        <w:ind w:left="907" w:hanging="907"/>
      </w:pPr>
      <w:r>
        <w:lastRenderedPageBreak/>
        <w:t>6</w:t>
      </w:r>
      <w:r>
        <w:tab/>
        <w:t>An economic development approach</w:t>
      </w:r>
    </w:p>
    <w:p w:rsidR="00AE4D5A" w:rsidRPr="00DD4C46" w:rsidRDefault="00AE4D5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t>Key points</w:t>
            </w:r>
          </w:p>
        </w:tc>
      </w:tr>
      <w:tr w:rsidR="00AE4D5A" w:rsidTr="008E5E01">
        <w:trPr>
          <w:cantSplit/>
        </w:trPr>
        <w:tc>
          <w:tcPr>
            <w:tcW w:w="8771" w:type="dxa"/>
            <w:tcBorders>
              <w:top w:val="nil"/>
              <w:left w:val="single" w:sz="6" w:space="0" w:color="auto"/>
              <w:bottom w:val="single" w:sz="4" w:space="0" w:color="auto"/>
              <w:right w:val="single" w:sz="6" w:space="0" w:color="auto"/>
            </w:tcBorders>
          </w:tcPr>
          <w:p w:rsidR="00AE4D5A" w:rsidRDefault="00AE4D5A" w:rsidP="008E5E01">
            <w:pPr>
              <w:pStyle w:val="BoxListBullet"/>
            </w:pPr>
            <w:r>
              <w:t>The Tasmanian Freight Equalisation Scheme (TFES) has been in operation since the mid</w:t>
            </w:r>
            <w:r>
              <w:noBreakHyphen/>
              <w:t>1970s with ongoing and strong support from both Tasmanian</w:t>
            </w:r>
            <w:r>
              <w:noBreakHyphen/>
              <w:t xml:space="preserve">based businesses that receive assistance and the Tasmanian Government. </w:t>
            </w:r>
          </w:p>
          <w:p w:rsidR="00AE4D5A" w:rsidRDefault="00AE4D5A" w:rsidP="008E5E01">
            <w:pPr>
              <w:pStyle w:val="BoxListBullet"/>
            </w:pPr>
            <w:r>
              <w:t xml:space="preserve">Tasmania continues to underperform relative to mainland states on many important economic and social indicators, and this gap has widened over time despite the equalisation schemes. </w:t>
            </w:r>
          </w:p>
          <w:p w:rsidR="00AE4D5A" w:rsidRDefault="00AE4D5A" w:rsidP="008E5E01">
            <w:pPr>
              <w:pStyle w:val="BoxListBullet"/>
            </w:pPr>
            <w:r>
              <w:t>Greater emphasis should be given to policies and programs that directly target the underlying causes of economic and social disadvantage in Tasmania.</w:t>
            </w:r>
          </w:p>
          <w:p w:rsidR="00AE4D5A" w:rsidRDefault="00AE4D5A" w:rsidP="008E5E01">
            <w:pPr>
              <w:pStyle w:val="BoxListBullet"/>
            </w:pPr>
            <w:r>
              <w:t>The fundamental goal of the Australian and Tasmanian Governments should be to ensure that policy and regulatory settings lead to a more flexible, competitive and resilient state economy.</w:t>
            </w:r>
          </w:p>
          <w:p w:rsidR="00AE4D5A" w:rsidRDefault="00AE4D5A" w:rsidP="008E5E01">
            <w:pPr>
              <w:pStyle w:val="BoxListBullet"/>
            </w:pPr>
            <w:r>
              <w:t xml:space="preserve">All levels of government should work towards making Tasmania </w:t>
            </w:r>
            <w:r w:rsidRPr="009C54B5">
              <w:t xml:space="preserve">more attractive to </w:t>
            </w:r>
            <w:r>
              <w:t>private sector investment by:</w:t>
            </w:r>
          </w:p>
          <w:p w:rsidR="00AE4D5A" w:rsidRDefault="00AE4D5A" w:rsidP="008E5E01">
            <w:pPr>
              <w:pStyle w:val="BoxListBullet2"/>
              <w:numPr>
                <w:ilvl w:val="0"/>
                <w:numId w:val="2"/>
              </w:numPr>
            </w:pPr>
            <w:r w:rsidRPr="000E25B5">
              <w:t>improving employment outcomes through skilling and training</w:t>
            </w:r>
          </w:p>
          <w:p w:rsidR="00AE4D5A" w:rsidRDefault="00AE4D5A" w:rsidP="008E5E01">
            <w:pPr>
              <w:pStyle w:val="BoxListBullet2"/>
              <w:numPr>
                <w:ilvl w:val="0"/>
                <w:numId w:val="2"/>
              </w:numPr>
            </w:pPr>
            <w:r w:rsidRPr="0013745E">
              <w:t>creating an environment for more private sector involvement in infrastructure provision and operation</w:t>
            </w:r>
          </w:p>
          <w:p w:rsidR="00AE4D5A" w:rsidRDefault="00AE4D5A" w:rsidP="008E5E01">
            <w:pPr>
              <w:pStyle w:val="BoxListBullet2"/>
              <w:numPr>
                <w:ilvl w:val="0"/>
                <w:numId w:val="2"/>
              </w:numPr>
            </w:pPr>
            <w:r w:rsidRPr="0013745E">
              <w:t xml:space="preserve">improving coherence in the provision of infrastructure </w:t>
            </w:r>
          </w:p>
          <w:p w:rsidR="00AE4D5A" w:rsidRDefault="00AE4D5A" w:rsidP="008E5E01">
            <w:pPr>
              <w:pStyle w:val="BoxListBullet2"/>
              <w:numPr>
                <w:ilvl w:val="0"/>
                <w:numId w:val="2"/>
              </w:numPr>
            </w:pPr>
            <w:r w:rsidRPr="0013745E">
              <w:t>creating a regulatory environment that reduces the cost of doing business in Tasmania</w:t>
            </w:r>
            <w:r>
              <w:t>.</w:t>
            </w:r>
          </w:p>
          <w:p w:rsidR="00AE4D5A" w:rsidRDefault="00AE4D5A" w:rsidP="008E5E01">
            <w:pPr>
              <w:pStyle w:val="BoxListBullet"/>
            </w:pPr>
            <w:r>
              <w:t xml:space="preserve">A stocktake of existing economic development policies, programs, projects and bodies should be undertaken, with the results used to refine and develop a single integrated economic development strategy for Tasmania. The recently formed </w:t>
            </w:r>
            <w:r w:rsidRPr="006D2D44">
              <w:rPr>
                <w:i/>
              </w:rPr>
              <w:t xml:space="preserve">Joint </w:t>
            </w:r>
            <w:r>
              <w:rPr>
                <w:i/>
              </w:rPr>
              <w:t>Commonwealth</w:t>
            </w:r>
            <w:r w:rsidRPr="006D2D44">
              <w:rPr>
                <w:i/>
              </w:rPr>
              <w:t xml:space="preserve"> and Tasmanian Economic Council</w:t>
            </w:r>
            <w:r>
              <w:t xml:space="preserve"> is well placed to initiate this work.</w:t>
            </w:r>
          </w:p>
          <w:p w:rsidR="00AE4D5A" w:rsidRDefault="00AE4D5A" w:rsidP="008E5E01">
            <w:pPr>
              <w:pStyle w:val="BoxListBullet"/>
              <w:numPr>
                <w:ilvl w:val="0"/>
                <w:numId w:val="0"/>
              </w:numPr>
              <w:tabs>
                <w:tab w:val="left" w:pos="7743"/>
              </w:tabs>
              <w:ind w:left="284"/>
            </w:pPr>
            <w:r>
              <w:tab/>
            </w:r>
          </w:p>
        </w:tc>
      </w:tr>
      <w:tr w:rsidR="00AE4D5A" w:rsidRPr="000863A5" w:rsidTr="008E5E01">
        <w:tc>
          <w:tcPr>
            <w:tcW w:w="8771" w:type="dxa"/>
            <w:tcBorders>
              <w:top w:val="single" w:sz="4" w:space="0" w:color="auto"/>
              <w:left w:val="nil"/>
              <w:bottom w:val="nil"/>
              <w:right w:val="nil"/>
            </w:tcBorders>
          </w:tcPr>
          <w:p w:rsidR="00AE4D5A" w:rsidRPr="00DD4C46" w:rsidRDefault="00AE4D5A" w:rsidP="008E5E01">
            <w:pPr>
              <w:pStyle w:val="BoxSpaceBelow"/>
            </w:pPr>
          </w:p>
        </w:tc>
      </w:tr>
    </w:tbl>
    <w:p w:rsidR="00AE4D5A" w:rsidRDefault="00AE4D5A" w:rsidP="008E5E01">
      <w:pPr>
        <w:pStyle w:val="BodyText"/>
      </w:pPr>
      <w:r w:rsidRPr="00674C04">
        <w:t>The TFES has been in operation since the mid</w:t>
      </w:r>
      <w:r>
        <w:noBreakHyphen/>
        <w:t>1970s</w:t>
      </w:r>
      <w:r w:rsidRPr="00674C04">
        <w:t xml:space="preserve"> </w:t>
      </w:r>
      <w:r>
        <w:t>and has enjoyed ongoing and</w:t>
      </w:r>
      <w:r w:rsidRPr="00674C04">
        <w:t xml:space="preserve"> strong support from both businesses that receive assistance and the Tasmanian Government. </w:t>
      </w:r>
      <w:r>
        <w:t>Moreover, t</w:t>
      </w:r>
      <w:r w:rsidRPr="00674C04">
        <w:t xml:space="preserve">here is a strong reluctance within Tasmania to make any changes to the TFES </w:t>
      </w:r>
      <w:r>
        <w:t>(or the</w:t>
      </w:r>
      <w:r w:rsidRPr="00674C04">
        <w:t xml:space="preserve"> B</w:t>
      </w:r>
      <w:r>
        <w:t xml:space="preserve">ass </w:t>
      </w:r>
      <w:r w:rsidRPr="00674C04">
        <w:t>S</w:t>
      </w:r>
      <w:r>
        <w:t xml:space="preserve">trait </w:t>
      </w:r>
      <w:r w:rsidRPr="00674C04">
        <w:t>P</w:t>
      </w:r>
      <w:r>
        <w:t xml:space="preserve">assenger </w:t>
      </w:r>
      <w:r w:rsidRPr="00674C04">
        <w:t>V</w:t>
      </w:r>
      <w:r>
        <w:t xml:space="preserve">ehicle </w:t>
      </w:r>
      <w:r w:rsidRPr="00674C04">
        <w:t>E</w:t>
      </w:r>
      <w:r>
        <w:t xml:space="preserve">qualisation </w:t>
      </w:r>
      <w:r w:rsidRPr="00674C04">
        <w:t>S</w:t>
      </w:r>
      <w:r>
        <w:t>cheme — BSPVES)</w:t>
      </w:r>
      <w:r w:rsidRPr="00674C04">
        <w:t xml:space="preserve"> that might reduce the aggregate level of assistance payable. This is </w:t>
      </w:r>
      <w:r>
        <w:t>premised on the assertion</w:t>
      </w:r>
      <w:r w:rsidRPr="00674C04">
        <w:t xml:space="preserve"> that the economic consequences to both individual businesses and the state economy as a whole would be dire.</w:t>
      </w:r>
    </w:p>
    <w:p w:rsidR="00AE4D5A" w:rsidRDefault="00AE4D5A" w:rsidP="008E5E01">
      <w:pPr>
        <w:pStyle w:val="BodyText"/>
      </w:pPr>
      <w:r>
        <w:lastRenderedPageBreak/>
        <w:t xml:space="preserve">In their submission to this inquiry, the Tasmanian Government stated that: </w:t>
      </w:r>
    </w:p>
    <w:p w:rsidR="00AE4D5A" w:rsidRDefault="00AE4D5A" w:rsidP="008E5E01">
      <w:pPr>
        <w:pStyle w:val="Quote"/>
      </w:pPr>
      <w:r w:rsidRPr="005E0F20">
        <w:t>There is no doubt that the abolition of, or a significant reduction in assistance under, these schemes would be extremely damaging to the Tasmanian economy, particularly at this time.</w:t>
      </w:r>
      <w:r>
        <w:t xml:space="preserve"> (sub. 43, p. 4)</w:t>
      </w:r>
    </w:p>
    <w:p w:rsidR="00AE4D5A" w:rsidRPr="006E3A7E" w:rsidRDefault="00AE4D5A" w:rsidP="008E5E01">
      <w:pPr>
        <w:pStyle w:val="BodyText"/>
      </w:pPr>
      <w:r>
        <w:t xml:space="preserve">And that: </w:t>
      </w:r>
    </w:p>
    <w:p w:rsidR="00AE4D5A" w:rsidRDefault="00AE4D5A" w:rsidP="008E5E01">
      <w:pPr>
        <w:pStyle w:val="Quote"/>
      </w:pPr>
      <w:r w:rsidRPr="008D3011">
        <w:t xml:space="preserve">The Tasmanian Government’s overriding concern is that this </w:t>
      </w:r>
      <w:r>
        <w:t>i</w:t>
      </w:r>
      <w:r w:rsidRPr="008D3011">
        <w:t>nquiry supports the growth of the Tasmanian economy, with the potential to lessen overall the dependence on Australian Government funding in the long term. This objective needs to be kept in mind in examining the current TFES, BSPVES and TWFS arrangements. A strategic and long</w:t>
      </w:r>
      <w:r>
        <w:noBreakHyphen/>
      </w:r>
      <w:r w:rsidRPr="008D3011">
        <w:t>term view is required.</w:t>
      </w:r>
      <w:r>
        <w:t xml:space="preserve"> (sub. 43, p. 16)</w:t>
      </w:r>
    </w:p>
    <w:p w:rsidR="00AE4D5A" w:rsidRPr="00A9164A" w:rsidRDefault="00AE4D5A" w:rsidP="008E5E01">
      <w:pPr>
        <w:pStyle w:val="BodyText"/>
      </w:pPr>
      <w:r>
        <w:t>Many businesses also made submissions to this inquiry stressing the importance of TFES payments to their ongoing profitability, albeit with limited and non</w:t>
      </w:r>
      <w:r>
        <w:noBreakHyphen/>
        <w:t>definitive evidence, with some indicating that their future operation in Tasmania would be compromised by any reduction in the level of assistance provided under the scheme.</w:t>
      </w:r>
    </w:p>
    <w:p w:rsidR="00AE4D5A" w:rsidRDefault="00AE4D5A" w:rsidP="008E5E01">
      <w:pPr>
        <w:pStyle w:val="BodyText"/>
      </w:pPr>
      <w:r>
        <w:t>The Department of Infrastructure and Regional Development also expressed a wider view of the role of the equalisation schemes in supporting broader Tasmanian economic activity:</w:t>
      </w:r>
    </w:p>
    <w:p w:rsidR="00AE4D5A" w:rsidRPr="001E0E27" w:rsidRDefault="00AE4D5A" w:rsidP="008E5E01">
      <w:pPr>
        <w:pStyle w:val="Quote"/>
      </w:pPr>
      <w:r>
        <w:t xml:space="preserve">… </w:t>
      </w:r>
      <w:r w:rsidRPr="001E0E27">
        <w:t>through their actions, successive governments have accepted the rationale for TFES support has effectively expanded beyond a simple equalisation of transport costs to the provision of assistance that recognises Tasmania’s need for economic support</w:t>
      </w:r>
      <w:r>
        <w:t xml:space="preserve"> … (sub. 42, p. 26)</w:t>
      </w:r>
    </w:p>
    <w:p w:rsidR="00AE4D5A" w:rsidRPr="00674C04" w:rsidRDefault="00AE4D5A" w:rsidP="008E5E01">
      <w:pPr>
        <w:pStyle w:val="BodyText"/>
      </w:pPr>
      <w:r>
        <w:t>However,</w:t>
      </w:r>
      <w:r w:rsidRPr="00674C04">
        <w:t xml:space="preserve"> </w:t>
      </w:r>
      <w:r>
        <w:t xml:space="preserve">as noted in chapter 2, </w:t>
      </w:r>
      <w:r w:rsidRPr="00674C04">
        <w:t xml:space="preserve">Tasmania continues to underperform </w:t>
      </w:r>
      <w:r>
        <w:t xml:space="preserve">relative to </w:t>
      </w:r>
      <w:r w:rsidRPr="00674C04">
        <w:t>mainland states on</w:t>
      </w:r>
      <w:r>
        <w:t xml:space="preserve"> many</w:t>
      </w:r>
      <w:r w:rsidRPr="00674C04">
        <w:t xml:space="preserve"> important economic and social indicators</w:t>
      </w:r>
      <w:r>
        <w:t>. This is despite the existence of the long standing and popular freight and passenger vehicle equalisation schemes.</w:t>
      </w:r>
      <w:r w:rsidRPr="00674C04">
        <w:t xml:space="preserve"> </w:t>
      </w:r>
      <w:r>
        <w:t>G</w:t>
      </w:r>
      <w:r w:rsidRPr="00410B28">
        <w:t xml:space="preserve">reater emphasis should </w:t>
      </w:r>
      <w:r>
        <w:t xml:space="preserve">therefore </w:t>
      </w:r>
      <w:r w:rsidRPr="00410B28">
        <w:t xml:space="preserve">be </w:t>
      </w:r>
      <w:r>
        <w:t>given to</w:t>
      </w:r>
      <w:r w:rsidRPr="00410B28">
        <w:t xml:space="preserve"> policies and programs that directly target the underlying causes of economic and social disadvantage in the state</w:t>
      </w:r>
      <w:r>
        <w:t>.</w:t>
      </w:r>
    </w:p>
    <w:p w:rsidR="00AE4D5A" w:rsidRDefault="00AE4D5A" w:rsidP="008E5E01">
      <w:pPr>
        <w:pStyle w:val="Heading2"/>
      </w:pPr>
      <w:r>
        <w:t>6.</w:t>
      </w:r>
      <w:r>
        <w:rPr>
          <w:noProof/>
        </w:rPr>
        <w:t>1</w:t>
      </w:r>
      <w:r>
        <w:tab/>
        <w:t>Policies to improve economic and social development</w:t>
      </w:r>
    </w:p>
    <w:p w:rsidR="00AE4D5A" w:rsidRDefault="00AE4D5A" w:rsidP="008E5E01">
      <w:pPr>
        <w:pStyle w:val="BodyText"/>
      </w:pPr>
      <w:r>
        <w:t xml:space="preserve">As articulated in its draft report on geographic labour mobility, the Commission sees merit in policies that encourage people to move in response to changing economic conditions </w:t>
      </w:r>
      <w:r w:rsidRPr="00D8420D">
        <w:rPr>
          <w:szCs w:val="24"/>
        </w:rPr>
        <w:t>(PC 2013a)</w:t>
      </w:r>
      <w:r>
        <w:t xml:space="preserve">. However, where governments seek to sustain population in a particular region, approaches that are designed to make the region concerned more attractive to business generally — such as improving selected infrastructure, upgrading labour force skills, removing inefficient taxes and </w:t>
      </w:r>
      <w:r>
        <w:lastRenderedPageBreak/>
        <w:t>improving administrative efficiency — are preferable to sponsoring selected firms or encouraging businesses to locate (or remain) there through subsidies. Importantly, such a policy approach should be aligned with an overarching strategy that is consistent with a realistic assessment of the region’s comparative advantages.</w:t>
      </w:r>
    </w:p>
    <w:p w:rsidR="00AE4D5A" w:rsidRDefault="00AE4D5A" w:rsidP="008E5E01">
      <w:pPr>
        <w:pStyle w:val="BodyText"/>
      </w:pPr>
      <w:r>
        <w:t>In light of this, the Commission considers that the Australian Government should consider policy and other reforms that have national and Tasmanian benefits (such as coastal shipping reform) and those that directly enhance the competitiveness and productivity of the Tasmanian economy.</w:t>
      </w:r>
    </w:p>
    <w:p w:rsidR="00AE4D5A" w:rsidRDefault="00AE4D5A" w:rsidP="008E5E01">
      <w:pPr>
        <w:pStyle w:val="BodyText"/>
      </w:pPr>
      <w:r>
        <w:t>Where governments nevertheless pursue direct expenditure</w:t>
      </w:r>
      <w:r>
        <w:noBreakHyphen/>
        <w:t>based programs, the costs and benefits of a range of options should be assessed. For example, funding of the existing equalisation schemes could require more than $2 billion in net present value terms over the next 15 years. Some of this funding could be redirected to policies and programs that target areas of weakness in the Tasmanian economy</w:t>
      </w:r>
      <w:r w:rsidRPr="00BD34F3">
        <w:t xml:space="preserve"> </w:t>
      </w:r>
      <w:r>
        <w:t>in more direct and cost</w:t>
      </w:r>
      <w:r>
        <w:noBreakHyphen/>
        <w:t>effective ways, and thereby generate greater net benefits to the state as a whole.</w:t>
      </w:r>
    </w:p>
    <w:p w:rsidR="00AE4D5A" w:rsidRDefault="00AE4D5A" w:rsidP="008E5E01">
      <w:pPr>
        <w:pStyle w:val="Heading3"/>
      </w:pPr>
      <w:r>
        <w:t>Core elements of successful economic development strategies</w:t>
      </w:r>
    </w:p>
    <w:p w:rsidR="00AE4D5A" w:rsidRDefault="00AE4D5A" w:rsidP="008E5E01">
      <w:pPr>
        <w:pStyle w:val="BodyText"/>
      </w:pPr>
      <w:r>
        <w:t>The Commission considers that successful economic development strategies require the active involvement of all levels of government in a number of key areas, including:</w:t>
      </w:r>
    </w:p>
    <w:p w:rsidR="00AE4D5A" w:rsidRPr="009B010C" w:rsidRDefault="00AE4D5A" w:rsidP="008E5E01">
      <w:pPr>
        <w:pStyle w:val="ListBullet"/>
      </w:pPr>
      <w:r w:rsidRPr="009B010C">
        <w:t xml:space="preserve">improving </w:t>
      </w:r>
      <w:r>
        <w:t xml:space="preserve">employment </w:t>
      </w:r>
      <w:r w:rsidRPr="009B010C">
        <w:t>outcomes through skilling and training</w:t>
      </w:r>
    </w:p>
    <w:p w:rsidR="00AE4D5A" w:rsidRDefault="00AE4D5A" w:rsidP="008E5E01">
      <w:pPr>
        <w:pStyle w:val="ListBullet"/>
      </w:pPr>
      <w:r>
        <w:t>creating an environment for more private sector involvement in infrastructure provision and operation</w:t>
      </w:r>
    </w:p>
    <w:p w:rsidR="00AE4D5A" w:rsidRDefault="00AE4D5A" w:rsidP="008E5E01">
      <w:pPr>
        <w:pStyle w:val="ListBullet"/>
      </w:pPr>
      <w:r>
        <w:t>improving coherence in the provision of infrastructure</w:t>
      </w:r>
    </w:p>
    <w:p w:rsidR="00AE4D5A" w:rsidRDefault="00AE4D5A" w:rsidP="008E5E01">
      <w:pPr>
        <w:pStyle w:val="ListBullet"/>
      </w:pPr>
      <w:r>
        <w:t>creating a regulatory environment that reduces the cost of doing business.</w:t>
      </w:r>
    </w:p>
    <w:p w:rsidR="00AE4D5A" w:rsidRPr="00756C3B" w:rsidRDefault="00AE4D5A" w:rsidP="008E5E01">
      <w:pPr>
        <w:pStyle w:val="Heading4"/>
      </w:pPr>
      <w:r>
        <w:t>I</w:t>
      </w:r>
      <w:r w:rsidRPr="00756C3B">
        <w:t>mproving outcomes through skilling and training</w:t>
      </w:r>
    </w:p>
    <w:p w:rsidR="00AE4D5A" w:rsidRDefault="00AE4D5A" w:rsidP="008E5E01">
      <w:pPr>
        <w:pStyle w:val="BodyText"/>
      </w:pPr>
      <w:r>
        <w:t xml:space="preserve">The Commission notes that employment and labour market issues are a particular concern for Tasmania. A recent Commission draft report into labour mobility found low levels of labour mobility in Tasmania, unemployment levels that are consistently higher than the national average, and lower than average educational attainment </w:t>
      </w:r>
      <w:r w:rsidRPr="000322EE">
        <w:rPr>
          <w:szCs w:val="24"/>
        </w:rPr>
        <w:t>(PC 2013a)</w:t>
      </w:r>
      <w:r>
        <w:t xml:space="preserve">. High wages, combined with low skill levels, were also identified as a possible cause of persistently high unemployment levels in Tasmania </w:t>
      </w:r>
      <w:r w:rsidRPr="000322EE">
        <w:rPr>
          <w:szCs w:val="24"/>
        </w:rPr>
        <w:t>(PC 2013a)</w:t>
      </w:r>
      <w:r>
        <w:t xml:space="preserve">. </w:t>
      </w:r>
    </w:p>
    <w:p w:rsidR="00AE4D5A" w:rsidRDefault="00AE4D5A" w:rsidP="008E5E01">
      <w:pPr>
        <w:pStyle w:val="BodyText"/>
      </w:pPr>
      <w:r>
        <w:lastRenderedPageBreak/>
        <w:t xml:space="preserve">Improved education and training programs can improve the skills base of workers, and help to increase employment opportunities. More generally, policies that reduce barriers to employment and remove impediments to greater labour mobility are particularly important for geographically remote economies. </w:t>
      </w:r>
    </w:p>
    <w:p w:rsidR="00AE4D5A" w:rsidRDefault="00AE4D5A" w:rsidP="008E5E01">
      <w:pPr>
        <w:pStyle w:val="BodyText"/>
        <w:rPr>
          <w:i/>
        </w:rPr>
      </w:pPr>
      <w:r w:rsidRPr="00942DA4">
        <w:t xml:space="preserve">The Australian Government has foreshadowed an inquiry into the Fair Work Act and Australian labour markets. </w:t>
      </w:r>
      <w:r>
        <w:t>During t</w:t>
      </w:r>
      <w:r w:rsidRPr="00942DA4">
        <w:t xml:space="preserve">his inquiry </w:t>
      </w:r>
      <w:r>
        <w:t xml:space="preserve">the Commission </w:t>
      </w:r>
      <w:r w:rsidRPr="00942DA4">
        <w:t xml:space="preserve">has seen indications that </w:t>
      </w:r>
      <w:r>
        <w:t xml:space="preserve">there are </w:t>
      </w:r>
      <w:r w:rsidRPr="00942DA4">
        <w:t xml:space="preserve">regional factors </w:t>
      </w:r>
      <w:r>
        <w:t xml:space="preserve">that </w:t>
      </w:r>
      <w:r w:rsidRPr="00942DA4">
        <w:t xml:space="preserve">should be examined in </w:t>
      </w:r>
      <w:r>
        <w:t>the Australian labour market</w:t>
      </w:r>
      <w:r w:rsidRPr="00942DA4">
        <w:t xml:space="preserve"> inquiry.</w:t>
      </w:r>
    </w:p>
    <w:p w:rsidR="00AE4D5A" w:rsidRPr="00756C3B" w:rsidRDefault="00AE4D5A" w:rsidP="008E5E01">
      <w:pPr>
        <w:pStyle w:val="Heading4"/>
      </w:pPr>
      <w:r>
        <w:t>C</w:t>
      </w:r>
      <w:r w:rsidRPr="00756C3B">
        <w:t>reating an environment for more private sector involvement in infrastructure provision</w:t>
      </w:r>
    </w:p>
    <w:p w:rsidR="00AE4D5A" w:rsidRDefault="00AE4D5A" w:rsidP="008E5E01">
      <w:pPr>
        <w:pStyle w:val="BodyText"/>
      </w:pPr>
      <w:r>
        <w:t xml:space="preserve">Like many remote regions of Australia, the need for efficient movement of people and goods into and out of Tasmania is important to the competitiveness of the local economy and its future growth path. </w:t>
      </w:r>
    </w:p>
    <w:p w:rsidR="00AE4D5A" w:rsidRDefault="00AE4D5A" w:rsidP="008E5E01">
      <w:pPr>
        <w:pStyle w:val="BodyText"/>
      </w:pPr>
      <w:r>
        <w:t>Ensuring that transport markets are effective and efficient is a high priority, and governments should reduce regulatory barriers and increase competition wherever this is feasible.</w:t>
      </w:r>
    </w:p>
    <w:p w:rsidR="00AE4D5A" w:rsidRDefault="00AE4D5A" w:rsidP="008E5E01">
      <w:pPr>
        <w:pStyle w:val="BodyText"/>
      </w:pPr>
      <w:r>
        <w:t>Launceston Airport (sub. 25) has argued that the TFES itself, by subsidising the cost of sea freight, is acting as a barrier to greater private investment in air freight capacity and improved air services, including in relation to air connections to King Island and the Furneaux Group of islands. A similar argument was made by Hobart Airport:</w:t>
      </w:r>
    </w:p>
    <w:p w:rsidR="00AE4D5A" w:rsidRPr="000B5A97" w:rsidRDefault="00AE4D5A" w:rsidP="008E5E01">
      <w:pPr>
        <w:pStyle w:val="Quote"/>
      </w:pPr>
      <w:r>
        <w:t>Hobart Airport is prepared to invest in growing the Airport’s freight handling infrastructure to service Southern Tasmania’s freight sector, improving access to markets and driving positive economic outcomes for Tasmania. However, the current freight subsidy arrangements inhibit private investment in this area. (sub. 46, p. 2)</w:t>
      </w:r>
    </w:p>
    <w:p w:rsidR="00AE4D5A" w:rsidRDefault="00AE4D5A" w:rsidP="008E5E01">
      <w:pPr>
        <w:pStyle w:val="BodyText"/>
      </w:pPr>
      <w:r>
        <w:t>Greater private sector involvement in Tasmania’s shipping and land freight systems should also be considered. As JBS Australia Pty Limited (a meat processing firm) stated:</w:t>
      </w:r>
    </w:p>
    <w:p w:rsidR="00AE4D5A" w:rsidRDefault="00AE4D5A" w:rsidP="008E5E01">
      <w:pPr>
        <w:pStyle w:val="Quote"/>
      </w:pPr>
      <w:r>
        <w:t>We also see scope for greater investment in infrastructure by the private sector in Tasmania as seen in other mainland states. (sub. 49, p. 2)</w:t>
      </w:r>
    </w:p>
    <w:p w:rsidR="00AE4D5A" w:rsidRDefault="00AE4D5A" w:rsidP="008E5E01">
      <w:pPr>
        <w:pStyle w:val="BodyText"/>
      </w:pPr>
      <w:r>
        <w:t>Greater private sector ownership and/or control of freight infrastructure, particularly port and shipping infrastructure, should be considered as part of the longer term economic development of Tasmania. State government ownership and operation of a commercial shipping business (TT</w:t>
      </w:r>
      <w:r>
        <w:noBreakHyphen/>
        <w:t xml:space="preserve">Line) and Tasmanian ports should be subject to periodic and transparent review. </w:t>
      </w:r>
    </w:p>
    <w:p w:rsidR="00AE4D5A" w:rsidRDefault="00AE4D5A" w:rsidP="008E5E01">
      <w:pPr>
        <w:pStyle w:val="BodyText"/>
      </w:pPr>
      <w:r>
        <w:lastRenderedPageBreak/>
        <w:t>As noted in chapter 4, there is evidence that restrictions on coastal shipping have led to higher shipping costs between Tasmania and the mainland than would otherwise be the case, and also ultimately impact on the viability of international direct shipping services to Tasmania. The Australian Government’s foreshadowed review of coastal shipping regulation should be expedited and examine the impact of the current regulations on shipping competition and costs, and identify scope for reforms that might increase competition and lower shipping costs, including for Tasmanian businesses.</w:t>
      </w:r>
    </w:p>
    <w:p w:rsidR="00AE4D5A" w:rsidRDefault="00AE4D5A" w:rsidP="008E5E01">
      <w:pPr>
        <w:pStyle w:val="Heading4"/>
      </w:pPr>
      <w:r>
        <w:t>Improving coherence in the provision of infrastructure</w:t>
      </w:r>
    </w:p>
    <w:p w:rsidR="00AE4D5A" w:rsidRDefault="00AE4D5A" w:rsidP="008E5E01">
      <w:pPr>
        <w:pStyle w:val="BodyText"/>
      </w:pPr>
      <w:r>
        <w:t xml:space="preserve">The availability and pricing of infrastructure can exert substantial influence on the location decisions of industries and households. In particular, some types of developments may be hindered by inadequate provision of infrastructure, while other regions may experience problems with excess capacity. </w:t>
      </w:r>
    </w:p>
    <w:p w:rsidR="00AE4D5A" w:rsidRDefault="00AE4D5A" w:rsidP="008E5E01">
      <w:pPr>
        <w:pStyle w:val="BodyText"/>
      </w:pPr>
      <w:r w:rsidRPr="00720A03">
        <w:t>This inquiry has not found strong evidence of a major deficiency in the quantity of physical transport infrastructure</w:t>
      </w:r>
      <w:r>
        <w:t xml:space="preserve"> in Tasmania</w:t>
      </w:r>
      <w:r w:rsidRPr="00720A03">
        <w:t>, but it has found evidence that there is a need for better longer</w:t>
      </w:r>
      <w:r>
        <w:noBreakHyphen/>
      </w:r>
      <w:r w:rsidRPr="00720A03">
        <w:t xml:space="preserve">term planning </w:t>
      </w:r>
      <w:r>
        <w:t xml:space="preserve">and prioritisation </w:t>
      </w:r>
      <w:r w:rsidRPr="00720A03">
        <w:t>of infrastructure funding decisions</w:t>
      </w:r>
      <w:r>
        <w:t xml:space="preserve"> and more effective use of capital (as discussed in chapter 5)</w:t>
      </w:r>
      <w:r w:rsidRPr="00720A03">
        <w:t xml:space="preserve">. </w:t>
      </w:r>
      <w:r>
        <w:t>Future fiscal pressures and sustainable policy responses will require greater attention to relative returns in allocating scarce capital, and heightens the need for those decisions to be informed by benefit cost analyses.</w:t>
      </w:r>
    </w:p>
    <w:p w:rsidR="00AE4D5A" w:rsidRPr="00720A03" w:rsidRDefault="00AE4D5A" w:rsidP="008E5E01">
      <w:pPr>
        <w:pStyle w:val="BodyText"/>
      </w:pPr>
      <w:r>
        <w:t>An integrated freight transport strategy should be one component of the broader economic development strategy for the state as a whole. The Australian Government should also ensure that funding it provides for Tasmanian transport infrastructure is consistent with the goals and objectives of a freight strategy that meaningfully addresses the concerns outlined in this report (including in relation to requisite analysis and prioritisation), and evident in the commentary on improving Tasmania’s economic performance.</w:t>
      </w:r>
    </w:p>
    <w:p w:rsidR="00AE4D5A" w:rsidRDefault="00AE4D5A" w:rsidP="008E5E01">
      <w:pPr>
        <w:pStyle w:val="Heading4"/>
      </w:pPr>
      <w:r>
        <w:t>Creating a regulatory environment that reduces the cost of doing business</w:t>
      </w:r>
    </w:p>
    <w:p w:rsidR="00AE4D5A" w:rsidRDefault="00AE4D5A" w:rsidP="008E5E01">
      <w:pPr>
        <w:pStyle w:val="BodyText"/>
      </w:pPr>
      <w:r>
        <w:t xml:space="preserve">The limited role of the private sector in Tasmania may indicate unusually large barriers to new investment in the state. To the extent this is caused by unnecessary or unnecessarily burdensome regulation, economic growth is compromised. </w:t>
      </w:r>
    </w:p>
    <w:p w:rsidR="00AE4D5A" w:rsidRDefault="00AE4D5A" w:rsidP="008E5E01">
      <w:pPr>
        <w:pStyle w:val="BodyText"/>
      </w:pPr>
      <w:r>
        <w:t xml:space="preserve">A recent Commission report into major project development assessment processes found that processes in Tasmania could be improved, but that the state approached leading practice in some aspects </w:t>
      </w:r>
      <w:r w:rsidRPr="000322EE">
        <w:rPr>
          <w:szCs w:val="24"/>
        </w:rPr>
        <w:t>(PC 2013b)</w:t>
      </w:r>
      <w:r>
        <w:t xml:space="preserve">. Good practices in Tasmania include </w:t>
      </w:r>
      <w:r>
        <w:lastRenderedPageBreak/>
        <w:t>the use of an independent regulatory assessment agency — the Tasmanian Planning Commission — to conduct integrated assessments of projects of state significance.</w:t>
      </w:r>
    </w:p>
    <w:p w:rsidR="00AE4D5A" w:rsidRDefault="00AE4D5A" w:rsidP="008E5E01">
      <w:pPr>
        <w:pStyle w:val="BodyText"/>
      </w:pPr>
      <w:r>
        <w:t>In contrast, a study by the Australian Innovation Research Centre (</w:t>
      </w:r>
      <w:proofErr w:type="spellStart"/>
      <w:r>
        <w:t>AIRC</w:t>
      </w:r>
      <w:proofErr w:type="spellEnd"/>
      <w:r>
        <w:t xml:space="preserve">) into ways to diversify the Tasmanian economy found that environmental regulations and approval processes for new projects were, ‘uncertain, risky, expensive and lengthy’ </w:t>
      </w:r>
      <w:r w:rsidRPr="00C0177D">
        <w:rPr>
          <w:szCs w:val="24"/>
        </w:rPr>
        <w:t>(</w:t>
      </w:r>
      <w:proofErr w:type="spellStart"/>
      <w:r w:rsidRPr="00C0177D">
        <w:rPr>
          <w:szCs w:val="24"/>
        </w:rPr>
        <w:t>AIRC</w:t>
      </w:r>
      <w:proofErr w:type="spellEnd"/>
      <w:r w:rsidRPr="00C0177D">
        <w:rPr>
          <w:szCs w:val="24"/>
        </w:rPr>
        <w:t> 2012, p. 10)</w:t>
      </w:r>
      <w:r>
        <w:t xml:space="preserve">. Moreover, the authors found that approvals processes were, ‘overseen by government agencies whose task is to ensure regulatory enforcement with a mandate not to take into account economic concerns’ </w:t>
      </w:r>
      <w:r w:rsidRPr="00C0177D">
        <w:rPr>
          <w:szCs w:val="24"/>
        </w:rPr>
        <w:t>(</w:t>
      </w:r>
      <w:proofErr w:type="spellStart"/>
      <w:r w:rsidRPr="00C0177D">
        <w:rPr>
          <w:szCs w:val="24"/>
        </w:rPr>
        <w:t>AIRC</w:t>
      </w:r>
      <w:proofErr w:type="spellEnd"/>
      <w:r w:rsidRPr="00C0177D">
        <w:rPr>
          <w:szCs w:val="24"/>
        </w:rPr>
        <w:t> 2012, p. 10)</w:t>
      </w:r>
      <w:r>
        <w:t>.</w:t>
      </w:r>
    </w:p>
    <w:p w:rsidR="00AE4D5A" w:rsidRDefault="00AE4D5A" w:rsidP="008E5E01">
      <w:pPr>
        <w:pStyle w:val="BodyText"/>
      </w:pPr>
      <w:r>
        <w:t>A commitment to reduce or remove unnecessary regulatory barriers to greater private sector business investment in Tasmania should be a central objective of the state’s economic development strategy. Of particular concern are barriers associated with changing land use (for example, limits on minimum sub</w:t>
      </w:r>
      <w:r>
        <w:noBreakHyphen/>
        <w:t xml:space="preserve">division sizes in rural areas, and constraints on previously cleared land that hinder conversion back to farming) that may be adversely affecting new investment in potential growth industries for Tasmania, including dairy farming, viticulture and horticulture. </w:t>
      </w:r>
    </w:p>
    <w:p w:rsidR="00AE4D5A" w:rsidRDefault="00AE4D5A" w:rsidP="008E5E01">
      <w:pPr>
        <w:pStyle w:val="Heading4"/>
      </w:pPr>
      <w:r>
        <w:t>A greater willingness to change</w:t>
      </w:r>
    </w:p>
    <w:p w:rsidR="00AE4D5A" w:rsidRDefault="00AE4D5A" w:rsidP="008E5E01">
      <w:pPr>
        <w:pStyle w:val="BodyText"/>
      </w:pPr>
      <w:r>
        <w:t xml:space="preserve">The Commission received several submissions and heard evidence during public hearings of business concern of an entrenched reticence to undertake meaningful structural reform in Tasmania. A submission to this inquiry from </w:t>
      </w:r>
      <w:proofErr w:type="spellStart"/>
      <w:r>
        <w:t>Nekon</w:t>
      </w:r>
      <w:proofErr w:type="spellEnd"/>
      <w:r>
        <w:t xml:space="preserve"> Pty Ltd questioned the willingness of the state and local governments in Tasmania to tackle the state’s fundamental problems, or to embrace change and take risks (sub. </w:t>
      </w:r>
      <w:proofErr w:type="spellStart"/>
      <w:r>
        <w:t>DR69</w:t>
      </w:r>
      <w:proofErr w:type="spellEnd"/>
      <w:r>
        <w:t>). Concerns were also raised in this submission about the reluctance to amalgamate local councils in Tasmania, despite strong evidence of the net benefits:</w:t>
      </w:r>
    </w:p>
    <w:p w:rsidR="00AE4D5A" w:rsidRDefault="00AE4D5A" w:rsidP="008E5E01">
      <w:pPr>
        <w:pStyle w:val="Quote"/>
      </w:pPr>
      <w:r w:rsidRPr="006B6670">
        <w:t>A recent example of this is a study commissioned by the Southern Tasmanian Councils Authority (</w:t>
      </w:r>
      <w:proofErr w:type="spellStart"/>
      <w:r w:rsidRPr="006B6670">
        <w:t>STCA</w:t>
      </w:r>
      <w:proofErr w:type="spellEnd"/>
      <w:r>
        <w:t>,</w:t>
      </w:r>
      <w:r w:rsidRPr="006B6670">
        <w:t xml:space="preserve"> which represents all twelve councils in the South of the State) in 201</w:t>
      </w:r>
      <w:r>
        <w:t xml:space="preserve">1. … </w:t>
      </w:r>
      <w:r w:rsidRPr="006C4B22">
        <w:t>This expert panel received 213 submissions of which 83% supported amalgamation of councils in some form. Only 9.8% did not support amalgamation. It went on to make thirteen recommendations to restructure local government in Southern Tasmania</w:t>
      </w:r>
      <w:r>
        <w:t xml:space="preserve"> … </w:t>
      </w:r>
      <w:r w:rsidRPr="006C4B22">
        <w:t>However, what has been remarkable is the substantive recommendations for structural reform have been disregarded.</w:t>
      </w:r>
      <w:r>
        <w:t xml:space="preserve"> (sub. </w:t>
      </w:r>
      <w:proofErr w:type="spellStart"/>
      <w:r>
        <w:t>DR69</w:t>
      </w:r>
      <w:proofErr w:type="spellEnd"/>
      <w:r>
        <w:t xml:space="preserve">, p. 2) </w:t>
      </w:r>
    </w:p>
    <w:p w:rsidR="00AE4D5A" w:rsidRDefault="00AE4D5A" w:rsidP="008E5E01">
      <w:pPr>
        <w:pStyle w:val="BodyText"/>
      </w:pPr>
      <w:r>
        <w:t xml:space="preserve">The Commission also heard concerns during public hearings for this inquiry on the pervasive involvement of the State Government in the Tasmanian economy. For example, Tasmanian businessman, </w:t>
      </w:r>
      <w:r w:rsidR="00F17CCE">
        <w:t>J</w:t>
      </w:r>
      <w:r>
        <w:t>ohn Barker, questioned the extent of government ownership and involvement in the state’s economy, and the extent of government apparatus in the state more generally:</w:t>
      </w:r>
    </w:p>
    <w:p w:rsidR="00AE4D5A" w:rsidRDefault="00AE4D5A" w:rsidP="008E5E01">
      <w:pPr>
        <w:pStyle w:val="Quote"/>
      </w:pPr>
      <w:r>
        <w:rPr>
          <w:snapToGrid w:val="0"/>
          <w:lang w:eastAsia="en-US"/>
        </w:rPr>
        <w:t xml:space="preserve">Why is it that Tasmanian ports, Tasmania rail and even one of the three Tasmanian shipping operators is Tasmanian Government owned? Why do we have in a small </w:t>
      </w:r>
      <w:r>
        <w:rPr>
          <w:snapToGrid w:val="0"/>
          <w:lang w:eastAsia="en-US"/>
        </w:rPr>
        <w:lastRenderedPageBreak/>
        <w:t>population such as Tasmania 11 departmental secretaries, multiple deputy secretaries, four levels of senior executive service in the public sector, those four levels ranging, valued conservatively, from 120 to 234 thousand? For example, why is it that water and sewerage infrastructure and services is owned by local government with dividends derived from and profitably returned to local government? Why do we have 29 councils? Why do we have 33 road entities and 33 planning authorities for a population of 510,000 people? Why do we have 11 state government departments and 83 state government agencies in Tasmania?</w:t>
      </w:r>
      <w:r>
        <w:t xml:space="preserve"> (trans., p. 303)</w:t>
      </w:r>
    </w:p>
    <w:p w:rsidR="00AE4D5A" w:rsidRDefault="00AE4D5A" w:rsidP="008E5E01">
      <w:pPr>
        <w:pStyle w:val="BodyText"/>
      </w:pPr>
      <w:r>
        <w:t xml:space="preserve">In relation to the broader economic challenges facing Tasmania, </w:t>
      </w:r>
      <w:proofErr w:type="spellStart"/>
      <w:r>
        <w:t>Nekon</w:t>
      </w:r>
      <w:proofErr w:type="spellEnd"/>
      <w:r>
        <w:t xml:space="preserve"> Pty Ltd director Robert Rockefeller said that Tasmania requires ‘tough love’, and that local, state and federal governments are wasteful and encourage a welfare mentality in the state that is resistant to change. He noted that overcoming these problems will require greater willingness to reform by all levels of government, including the Australian Government: </w:t>
      </w:r>
    </w:p>
    <w:p w:rsidR="00AE4D5A" w:rsidRDefault="00AE4D5A" w:rsidP="008E5E01">
      <w:pPr>
        <w:pStyle w:val="Quote"/>
      </w:pPr>
      <w:r>
        <w:t>That</w:t>
      </w:r>
      <w:r w:rsidRPr="001E0E27">
        <w:t>’</w:t>
      </w:r>
      <w:r>
        <w:t>s where the federal government can actually reduce (business) cost structures, and … the cost structures of … local government, … in superannuation, … in water and sewerage charges, whether it</w:t>
      </w:r>
      <w:r w:rsidRPr="001E0E27">
        <w:t>’</w:t>
      </w:r>
      <w:r>
        <w:t>s in relation to planning schemes, whether it</w:t>
      </w:r>
      <w:r w:rsidRPr="001E0E27">
        <w:t>’</w:t>
      </w:r>
      <w:r>
        <w:t xml:space="preserve">s in relation to a whole range of red tape. (trans., p. 243) </w:t>
      </w:r>
    </w:p>
    <w:p w:rsidR="00AE4D5A" w:rsidRPr="000B5A97" w:rsidRDefault="00AE4D5A" w:rsidP="008E5E01">
      <w:pPr>
        <w:pStyle w:val="BodyText"/>
      </w:pPr>
      <w:r>
        <w:t xml:space="preserve">In general, a stronger focus on the merit, if any, of government involvement in commercial or potentially commercial enterprises, administrative efficiency (delivering efficient public services that make a lesser call on taxes and charges to fund them) and an approach to governance that maximises the scope for private sector investment and expansion through competitive tax regimes (local, state and national), should also be high priorities for the Australian and Tasmanian Governments. </w:t>
      </w:r>
    </w:p>
    <w:p w:rsidR="00AE4D5A" w:rsidRPr="009C4FAC" w:rsidRDefault="00AE4D5A" w:rsidP="008E5E01">
      <w:pPr>
        <w:pStyle w:val="Heading3"/>
      </w:pPr>
      <w:r w:rsidRPr="009C4FAC">
        <w:t xml:space="preserve">King </w:t>
      </w:r>
      <w:r>
        <w:t xml:space="preserve">Island </w:t>
      </w:r>
      <w:r w:rsidRPr="009C4FAC">
        <w:t xml:space="preserve">and </w:t>
      </w:r>
      <w:r>
        <w:t>the Furneaux Group of islands</w:t>
      </w:r>
    </w:p>
    <w:p w:rsidR="00AE4D5A" w:rsidRDefault="00AE4D5A" w:rsidP="008E5E01">
      <w:pPr>
        <w:pStyle w:val="BodyText"/>
      </w:pPr>
      <w:r>
        <w:t>By virtue of their size, sparse population density and remoteness, the specific economic geography of the Bass Strait islands has been raised in submissions and the subject of evidence through public hearings. Their economic sustainability is critically dependent on access to larger processing and end</w:t>
      </w:r>
      <w:r>
        <w:noBreakHyphen/>
        <w:t>product markets. In the area of transport logistics, they are clearly more vulnerable relative to the main island due to smaller volumes, high seasonality and very limited choice in transport services.</w:t>
      </w:r>
    </w:p>
    <w:p w:rsidR="00AE4D5A" w:rsidRDefault="00AE4D5A" w:rsidP="008E5E01">
      <w:pPr>
        <w:pStyle w:val="BodyText"/>
      </w:pPr>
      <w:r>
        <w:t>For example, King Island Shipping Group gave evidence to this inquiry that residents of King Island recently used a tender process to procure shipping services, but found:</w:t>
      </w:r>
    </w:p>
    <w:p w:rsidR="00AE4D5A" w:rsidRDefault="00AE4D5A" w:rsidP="008E5E01">
      <w:pPr>
        <w:pStyle w:val="Quote"/>
      </w:pPr>
      <w:r>
        <w:lastRenderedPageBreak/>
        <w:t xml:space="preserve">the </w:t>
      </w:r>
      <w:r w:rsidRPr="00D07837">
        <w:t>market response was less than adequate in terms of what our demand was</w:t>
      </w:r>
      <w:r>
        <w:t xml:space="preserve">, and we could not … </w:t>
      </w:r>
      <w:r w:rsidRPr="00D07837">
        <w:t>generate any solutions out of that market tender</w:t>
      </w:r>
      <w:r>
        <w:t>,</w:t>
      </w:r>
      <w:r w:rsidRPr="00D07837">
        <w:t xml:space="preserve"> and as such the current situation with the King Island freight task still remains a challenging position in terms of trying to find alternative solutions to competition.</w:t>
      </w:r>
      <w:r>
        <w:t xml:space="preserve"> (trans., p. 413) </w:t>
      </w:r>
    </w:p>
    <w:p w:rsidR="00AE4D5A" w:rsidRDefault="00AE4D5A" w:rsidP="008E5E01">
      <w:pPr>
        <w:pStyle w:val="BodyText"/>
      </w:pPr>
      <w:r>
        <w:t>Moreover, this remains a major concern to producers on the island, as getting product to market is:</w:t>
      </w:r>
    </w:p>
    <w:p w:rsidR="00AE4D5A" w:rsidRDefault="00AE4D5A" w:rsidP="008E5E01">
      <w:pPr>
        <w:pStyle w:val="Quote"/>
      </w:pPr>
      <w:r w:rsidRPr="00090170">
        <w:t xml:space="preserve">the single most significant hurdle that we face in terms of cost pressure. </w:t>
      </w:r>
      <w:r>
        <w:t>(trans., p. 414)</w:t>
      </w:r>
      <w:r w:rsidRPr="00090170">
        <w:t xml:space="preserve"> </w:t>
      </w:r>
    </w:p>
    <w:p w:rsidR="00AE4D5A" w:rsidRDefault="00AE4D5A" w:rsidP="008E5E01">
      <w:pPr>
        <w:pStyle w:val="BodyText"/>
      </w:pPr>
      <w:r>
        <w:t xml:space="preserve">The isolation of </w:t>
      </w:r>
      <w:r w:rsidRPr="0059620F">
        <w:t xml:space="preserve">King Island and the Furneaux Group of islands </w:t>
      </w:r>
      <w:r>
        <w:t xml:space="preserve">also causes problems on the cost and feasibility of inputs, including with respect to securing workers. </w:t>
      </w:r>
      <w:r w:rsidRPr="00382F38">
        <w:t>Geoff Cossar from GA Cossar and Co Pty Ltd</w:t>
      </w:r>
      <w:r>
        <w:t xml:space="preserve"> gave evidence to this inquiry that:</w:t>
      </w:r>
    </w:p>
    <w:p w:rsidR="00AE4D5A" w:rsidRDefault="00AE4D5A" w:rsidP="008E5E01">
      <w:pPr>
        <w:pStyle w:val="Quote"/>
      </w:pPr>
      <w:r w:rsidRPr="00A36BA7">
        <w:t xml:space="preserve">Just attracting staff to </w:t>
      </w:r>
      <w:r>
        <w:t>(Flinders)</w:t>
      </w:r>
      <w:r w:rsidRPr="00A36BA7">
        <w:t xml:space="preserve"> island is onerous.</w:t>
      </w:r>
      <w:r>
        <w:t xml:space="preserve"> </w:t>
      </w:r>
      <w:r w:rsidRPr="00A36BA7">
        <w:t>The cost of living on the island is high. The profitability is low, so even to attract someone at a basic wage level, it</w:t>
      </w:r>
      <w:r>
        <w:t>’</w:t>
      </w:r>
      <w:r w:rsidRPr="00A36BA7">
        <w:t>s very, very difficult.</w:t>
      </w:r>
      <w:r>
        <w:t xml:space="preserve"> (trans., p. 280) </w:t>
      </w:r>
    </w:p>
    <w:p w:rsidR="00AE4D5A" w:rsidRDefault="00AE4D5A" w:rsidP="008E5E01">
      <w:pPr>
        <w:pStyle w:val="BodyText"/>
      </w:pPr>
      <w:r>
        <w:t>On the other hand, the islands’ remoteness provides niche market appeal as reflected in their brand image — which provides a platform for high</w:t>
      </w:r>
      <w:r>
        <w:noBreakHyphen/>
        <w:t>value low</w:t>
      </w:r>
      <w:r>
        <w:noBreakHyphen/>
        <w:t>volume products in agriculture, and to a lesser extent, tourism.</w:t>
      </w:r>
    </w:p>
    <w:p w:rsidR="00AE4D5A" w:rsidRDefault="00AE4D5A" w:rsidP="008E5E01">
      <w:pPr>
        <w:pStyle w:val="BodyText"/>
      </w:pPr>
      <w:r>
        <w:t xml:space="preserve">The economic viability of the communities on these islands is largely a matter for the Tasmanian Government, within the broader context of market drivers. For example, the partnership agreement between the Tasmanian Government and the King Island Council directly address these concerns. </w:t>
      </w:r>
    </w:p>
    <w:p w:rsidR="00AE4D5A" w:rsidRDefault="00AE4D5A" w:rsidP="008E5E01">
      <w:pPr>
        <w:pStyle w:val="BodyText"/>
      </w:pPr>
      <w:r>
        <w:t>Nevertheless, the Australian Government supports residents of King Island</w:t>
      </w:r>
      <w:r w:rsidRPr="0022441A">
        <w:rPr>
          <w:szCs w:val="24"/>
        </w:rPr>
        <w:t xml:space="preserve"> </w:t>
      </w:r>
      <w:r w:rsidRPr="0022441A">
        <w:t>and the Furneaux Group</w:t>
      </w:r>
      <w:r>
        <w:t xml:space="preserve"> of islands</w:t>
      </w:r>
      <w:r w:rsidRPr="0022441A">
        <w:t xml:space="preserve"> </w:t>
      </w:r>
      <w:r>
        <w:t>through a variety of ongoing and one</w:t>
      </w:r>
      <w:r>
        <w:noBreakHyphen/>
        <w:t xml:space="preserve">off initiatives. The former include eligibility for remote zone tax offsets, a remote area allowance payable to recipients of income support, pension and </w:t>
      </w:r>
      <w:proofErr w:type="spellStart"/>
      <w:r>
        <w:t>Abstudy</w:t>
      </w:r>
      <w:proofErr w:type="spellEnd"/>
      <w:r>
        <w:t>, and support for parents under the assistance for isolated children scheme. Current one</w:t>
      </w:r>
      <w:r>
        <w:noBreakHyphen/>
        <w:t xml:space="preserve">off initiatives include support for the development of a world leading power supply system for King Island, and funding for airstrip upgrades on Flinders Island and Cape Barren Island. </w:t>
      </w:r>
    </w:p>
    <w:p w:rsidR="00AE4D5A" w:rsidRDefault="00AE4D5A" w:rsidP="008E5E01">
      <w:pPr>
        <w:pStyle w:val="BodyText"/>
      </w:pPr>
      <w:r>
        <w:t>To the extent possible, policies and programs designed to support economic development on the islands (such as partnership agreements between the state government and island councils and the Australian Government initiatives mentioned above) should ideally be consistent with, or form part of, the broader economic development strategy for Tasmania as a whole.</w:t>
      </w:r>
    </w:p>
    <w:p w:rsidR="00AE4D5A" w:rsidRDefault="00AE4D5A" w:rsidP="008E5E01">
      <w:pPr>
        <w:pStyle w:val="Heading2"/>
      </w:pPr>
      <w:r>
        <w:lastRenderedPageBreak/>
        <w:t>6.</w:t>
      </w:r>
      <w:r>
        <w:rPr>
          <w:noProof/>
        </w:rPr>
        <w:t>2</w:t>
      </w:r>
      <w:r>
        <w:tab/>
        <w:t>Meshing with existing plans and programs</w:t>
      </w:r>
    </w:p>
    <w:p w:rsidR="00AE4D5A" w:rsidRDefault="00AE4D5A" w:rsidP="008E5E01">
      <w:pPr>
        <w:pStyle w:val="BodyText"/>
      </w:pPr>
      <w:r>
        <w:t>There is an existing array of economic and regional development plans and strategies for Tasmania. Examples include high</w:t>
      </w:r>
      <w:r>
        <w:noBreakHyphen/>
        <w:t xml:space="preserve">level programs and policies such as the Australian Government’s </w:t>
      </w:r>
      <w:r w:rsidRPr="00E90547">
        <w:rPr>
          <w:i/>
        </w:rPr>
        <w:t>Economic Growth Plan for Tasmania</w:t>
      </w:r>
      <w:r>
        <w:t xml:space="preserve">, and the Tasmanian Government’s </w:t>
      </w:r>
      <w:r w:rsidRPr="000B1DD0">
        <w:rPr>
          <w:i/>
        </w:rPr>
        <w:t>Economic Development Plan</w:t>
      </w:r>
      <w:r>
        <w:t>.</w:t>
      </w:r>
      <w:r w:rsidRPr="007E3DF7">
        <w:rPr>
          <w:rStyle w:val="FootnoteReference"/>
        </w:rPr>
        <w:footnoteReference w:id="24"/>
      </w:r>
      <w:r>
        <w:t xml:space="preserve"> </w:t>
      </w:r>
    </w:p>
    <w:p w:rsidR="00AE4D5A" w:rsidRPr="00F544C1" w:rsidRDefault="00AE4D5A" w:rsidP="008E5E01">
      <w:pPr>
        <w:pStyle w:val="BodyText"/>
      </w:pPr>
      <w:r>
        <w:t xml:space="preserve">Other Australian Government initiatives that are specific to (or largely focused on) Tasmania include </w:t>
      </w:r>
      <w:r w:rsidRPr="000B1DD0">
        <w:rPr>
          <w:i/>
        </w:rPr>
        <w:t>Regional Development Tasmania</w:t>
      </w:r>
      <w:r>
        <w:t xml:space="preserve">, the </w:t>
      </w:r>
      <w:r w:rsidRPr="000B1DD0">
        <w:rPr>
          <w:i/>
        </w:rPr>
        <w:t>Forest Industry Structural Adjustment Package</w:t>
      </w:r>
      <w:r w:rsidRPr="00F544C1">
        <w:t>, and the recently announced</w:t>
      </w:r>
      <w:r w:rsidRPr="00F544C1">
        <w:rPr>
          <w:rFonts w:ascii="Calibri" w:hAnsi="Calibri" w:cs="Calibri"/>
          <w:color w:val="000000"/>
          <w:sz w:val="23"/>
          <w:szCs w:val="23"/>
        </w:rPr>
        <w:t xml:space="preserve"> </w:t>
      </w:r>
      <w:r w:rsidRPr="00F544C1">
        <w:rPr>
          <w:i/>
        </w:rPr>
        <w:t>Tasmanian Jobs and Growth Plan</w:t>
      </w:r>
      <w:r w:rsidRPr="00F544C1">
        <w:t xml:space="preserve">. </w:t>
      </w:r>
    </w:p>
    <w:p w:rsidR="00AE4D5A" w:rsidRDefault="00AE4D5A" w:rsidP="008E5E01">
      <w:pPr>
        <w:pStyle w:val="BodyText"/>
      </w:pPr>
      <w:r>
        <w:t>More generally, a range of initiatives have been developed and funded by all levels of government over time, covering different geographical areas, industries and activities. However it is not clear from this inquiry that these initiatives are collectively coherent and optimal for Tasmania as a whole. In particular, are they consistent and complementary in their design and outcomes?</w:t>
      </w:r>
    </w:p>
    <w:p w:rsidR="00AE4D5A" w:rsidRDefault="00AE4D5A" w:rsidP="008E5E01">
      <w:pPr>
        <w:pStyle w:val="BodyText"/>
      </w:pPr>
      <w:r>
        <w:t>In the limited time available to this inquiry, it appears that many of these programs are individually aimed at limiting (or responding to) some aspect of disadvantage. They do not appear to be informed by any meaningful questioning of the retention of Tasmanian economy wide structures and processes that have failed to deliver improved outcomes for Tasmania over long periods.</w:t>
      </w:r>
    </w:p>
    <w:p w:rsidR="00AE4D5A" w:rsidRDefault="00AE4D5A" w:rsidP="008E5E01">
      <w:pPr>
        <w:pStyle w:val="BodyText"/>
      </w:pPr>
      <w:r>
        <w:t>The Commission considers that an important first step in improving the existing approach to economic development in Tasmania is to conduct a stocktake of existing initiatives (policies, programs, development bodies and agencies, plans and strategies) to clarify their nature, intent, timing, coverage, areas of potential or actual duplication and any fundamental gaps. An initial and good starting point is the collection of policies and programs identified by the Australian Innovation Research Centre (</w:t>
      </w:r>
      <w:proofErr w:type="spellStart"/>
      <w:r>
        <w:t>AIRC</w:t>
      </w:r>
      <w:proofErr w:type="spellEnd"/>
      <w:r>
        <w:t>) in its report to the Department of Infrastructure and Regional Development on ways to diversify the Tasmanian economy.</w:t>
      </w:r>
    </w:p>
    <w:p w:rsidR="00AE4D5A" w:rsidRDefault="00AE4D5A" w:rsidP="008E5E01">
      <w:pPr>
        <w:pStyle w:val="BodyText"/>
        <w:rPr>
          <w:snapToGrid w:val="0"/>
          <w:lang w:eastAsia="en-US"/>
        </w:rPr>
      </w:pPr>
      <w:r>
        <w:t xml:space="preserve">During public hearings for this inquiry, Tasmanian businessman John Barker said that he </w:t>
      </w:r>
      <w:r>
        <w:rPr>
          <w:snapToGrid w:val="0"/>
          <w:lang w:eastAsia="en-US"/>
        </w:rPr>
        <w:t>considered the need for a stocktake of economic development policies and programs in the state to be critical, and added:</w:t>
      </w:r>
    </w:p>
    <w:p w:rsidR="00AE4D5A" w:rsidRDefault="00AE4D5A" w:rsidP="008E5E01">
      <w:pPr>
        <w:pStyle w:val="Quote"/>
      </w:pPr>
      <w:r>
        <w:rPr>
          <w:snapToGrid w:val="0"/>
          <w:lang w:eastAsia="en-US"/>
        </w:rPr>
        <w:t>I would urge the Government, the Australian Government, to initiate that review as soon as they can. I note the draft recommendation emphasises initiatives established by all levels of government. It should be extended to take a broader view, I believe. (trans., p. 303)</w:t>
      </w:r>
    </w:p>
    <w:p w:rsidR="00AE4D5A" w:rsidRPr="00721F9F" w:rsidRDefault="00AE4D5A" w:rsidP="008E5E01">
      <w:pPr>
        <w:pStyle w:val="BodyText"/>
      </w:pPr>
      <w:r w:rsidRPr="00721F9F">
        <w:lastRenderedPageBreak/>
        <w:t xml:space="preserve">The </w:t>
      </w:r>
      <w:r>
        <w:t>Australian</w:t>
      </w:r>
      <w:r w:rsidRPr="00721F9F">
        <w:t xml:space="preserve"> and Tasmanian Governments should jointly undertake the stocktake </w:t>
      </w:r>
      <w:r>
        <w:t xml:space="preserve">of existing initiatives </w:t>
      </w:r>
      <w:r w:rsidRPr="00721F9F">
        <w:t xml:space="preserve">with a view to having a publicly available </w:t>
      </w:r>
      <w:r>
        <w:t xml:space="preserve">report by the end of 2015. The results should </w:t>
      </w:r>
      <w:r w:rsidRPr="00721F9F">
        <w:t xml:space="preserve">be used by the </w:t>
      </w:r>
      <w:r>
        <w:t>Australian</w:t>
      </w:r>
      <w:r w:rsidRPr="00721F9F">
        <w:t xml:space="preserve"> and Tasmanian </w:t>
      </w:r>
      <w:r>
        <w:t>Governments to inform a single, fundamental and comprehensive policy strategy to enhance the</w:t>
      </w:r>
      <w:r w:rsidRPr="00721F9F">
        <w:t xml:space="preserve"> economic development </w:t>
      </w:r>
      <w:r>
        <w:t xml:space="preserve">of Tasmania, </w:t>
      </w:r>
      <w:r w:rsidRPr="00721F9F">
        <w:t>and ensure related policies and programs generate the greatest net benefit to the state as a whole.</w:t>
      </w:r>
    </w:p>
    <w:p w:rsidR="00AE4D5A" w:rsidRDefault="00AE4D5A" w:rsidP="008E5E01">
      <w:pPr>
        <w:pStyle w:val="BodyText"/>
      </w:pPr>
      <w:r>
        <w:t xml:space="preserve">The Commission notes that a new body — the Joint Commonwealth and Tasmanian Economic Council — has recently been established under the Australian Government’s </w:t>
      </w:r>
      <w:r w:rsidRPr="00E90547">
        <w:rPr>
          <w:i/>
        </w:rPr>
        <w:t>Economic Growth Plan for Tasmania</w:t>
      </w:r>
      <w:r>
        <w:rPr>
          <w:i/>
        </w:rPr>
        <w:t xml:space="preserve">. </w:t>
      </w:r>
      <w:r>
        <w:t xml:space="preserve">This body will consider competitive reforms to enhance Tasmania’s long term economic growth prospects. The council is well placed to initiate the proposed policy and program stocktake as part of its initial work program. </w:t>
      </w:r>
    </w:p>
    <w:p w:rsidR="00AE4D5A" w:rsidRDefault="00AE4D5A" w:rsidP="008E5E01">
      <w:pPr>
        <w:pStyle w:val="Heading2"/>
      </w:pPr>
      <w:r>
        <w:t>6.</w:t>
      </w:r>
      <w:r>
        <w:rPr>
          <w:noProof/>
        </w:rPr>
        <w:t>3</w:t>
      </w:r>
      <w:r>
        <w:tab/>
        <w:t>Review and evaluation</w:t>
      </w:r>
    </w:p>
    <w:p w:rsidR="00AE4D5A" w:rsidRDefault="00AE4D5A" w:rsidP="008E5E01">
      <w:pPr>
        <w:pStyle w:val="BodyText"/>
      </w:pPr>
      <w:r>
        <w:t xml:space="preserve">A policy dilemma for the Australian Government is that if assistance made available under a program or economic development strategy does not improve the underlying competitiveness (and therefore attractiveness to investors) of Tasmania, or facilitate the mobility of its inhabitants, there will inevitably be pressures from recipients for the assistance to become permanent. This would not only be likely to reduce the productiveness of the Tasmanian economy more generally, but also involve substantial transfers from the wider Australian community. </w:t>
      </w:r>
    </w:p>
    <w:p w:rsidR="00AE4D5A" w:rsidRDefault="00AE4D5A" w:rsidP="008E5E01">
      <w:pPr>
        <w:pStyle w:val="BodyText"/>
      </w:pPr>
      <w:r>
        <w:t>For this reason, the Commission considers that the commitment of Australian Government funds to broader economic development objectives in Tasmania should be subject to periodic review, with the assessments conducted by an appropriate independent body. Such reviews would complement the need for periodic reviews of the transport support schemes.</w:t>
      </w:r>
    </w:p>
    <w:p w:rsidR="00AE4D5A" w:rsidRDefault="00AE4D5A" w:rsidP="008E5E01">
      <w:pPr>
        <w:pStyle w:val="BodyText"/>
      </w:pPr>
      <w:r>
        <w:t>A key to the success of these reviews will be a commitment by governments (at all levels) to collect data and other evidence. Where the data needed to properly evaluate existing programs are not currently available, processes should be put in place to collect them as soon as practicable. In regard to future policies and programs for Tasmania (including those funded by the Australian Government), processes to collect the required data should be embedded at the program design stage, rather than after programs are implemented.</w:t>
      </w:r>
    </w:p>
    <w:p w:rsidR="00AE4D5A" w:rsidRDefault="00AE4D5A" w:rsidP="008E5E01">
      <w:pPr>
        <w:pStyle w:val="BodyText"/>
      </w:pPr>
    </w:p>
    <w:p w:rsidR="00AE4D5A" w:rsidRDefault="00AE4D5A" w:rsidP="008E5E01">
      <w:pPr>
        <w:pStyle w:val="RecTitle"/>
      </w:pPr>
      <w:r>
        <w:lastRenderedPageBreak/>
        <w:t>Draft recommendation 19</w:t>
      </w:r>
    </w:p>
    <w:p w:rsidR="00AE4D5A" w:rsidRPr="00B316DD" w:rsidRDefault="00AE4D5A" w:rsidP="008E5E01">
      <w:pPr>
        <w:pStyle w:val="Rec"/>
      </w:pPr>
      <w:r w:rsidRPr="00B316DD">
        <w:t xml:space="preserve">The Joint Commonwealth and Tasmanian Economic Council </w:t>
      </w:r>
      <w:r>
        <w:t>should initiate</w:t>
      </w:r>
      <w:r w:rsidRPr="00B316DD">
        <w:t xml:space="preserve"> a stocktake of existing </w:t>
      </w:r>
      <w:r>
        <w:t>programs specific to</w:t>
      </w:r>
      <w:r w:rsidRPr="00B316DD">
        <w:t xml:space="preserve"> Tasmania as part of its </w:t>
      </w:r>
      <w:r>
        <w:t>initial</w:t>
      </w:r>
      <w:r w:rsidRPr="00B316DD">
        <w:t xml:space="preserve"> work program. The </w:t>
      </w:r>
      <w:r>
        <w:t>stocktake</w:t>
      </w:r>
      <w:r w:rsidRPr="00B316DD">
        <w:t xml:space="preserve"> should:</w:t>
      </w:r>
    </w:p>
    <w:p w:rsidR="00AE4D5A" w:rsidRPr="00B316DD" w:rsidRDefault="00AE4D5A" w:rsidP="008E5E01">
      <w:pPr>
        <w:pStyle w:val="RecBullet"/>
      </w:pPr>
      <w:r w:rsidRPr="00B316DD">
        <w:t>cover initiatives established by all levels of government</w:t>
      </w:r>
    </w:p>
    <w:p w:rsidR="00AE4D5A" w:rsidRPr="00B316DD" w:rsidRDefault="00AE4D5A" w:rsidP="008E5E01">
      <w:pPr>
        <w:pStyle w:val="RecBullet"/>
      </w:pPr>
      <w:r w:rsidRPr="00B316DD">
        <w:t>clarify their nature, intent, timing, scope, governance arrangements and any areas of duplication</w:t>
      </w:r>
    </w:p>
    <w:p w:rsidR="00AE4D5A" w:rsidRPr="00B316DD" w:rsidRDefault="00AE4D5A" w:rsidP="008E5E01">
      <w:pPr>
        <w:pStyle w:val="RecBullet"/>
      </w:pPr>
      <w:r w:rsidRPr="00B316DD">
        <w:t>assess whether the suite of initiatives represents a coordinated, consistent, targeted, and efficient approach to Tasmania’s economic development</w:t>
      </w:r>
    </w:p>
    <w:p w:rsidR="00AE4D5A" w:rsidRPr="00B316DD" w:rsidRDefault="00AE4D5A" w:rsidP="008E5E01">
      <w:pPr>
        <w:pStyle w:val="RecBullet"/>
      </w:pPr>
      <w:r w:rsidRPr="00B316DD">
        <w:t xml:space="preserve">include the release of a public report </w:t>
      </w:r>
      <w:r>
        <w:t xml:space="preserve">in </w:t>
      </w:r>
      <w:r w:rsidRPr="00B316DD">
        <w:t>2015.</w:t>
      </w:r>
    </w:p>
    <w:p w:rsidR="00AE4D5A" w:rsidRDefault="00AE4D5A" w:rsidP="008E5E01">
      <w:pPr>
        <w:pStyle w:val="Rec"/>
      </w:pPr>
      <w:r w:rsidRPr="00B316DD">
        <w:t>The results of the stocktake should contribute to</w:t>
      </w:r>
      <w:r>
        <w:t>,</w:t>
      </w:r>
      <w:r w:rsidRPr="00B316DD">
        <w:t xml:space="preserve"> and inform the development of</w:t>
      </w:r>
      <w:r>
        <w:t>,</w:t>
      </w:r>
      <w:r w:rsidRPr="00B316DD">
        <w:t xml:space="preserve"> an integrated economic development strategy for Tasmania.</w:t>
      </w:r>
    </w:p>
    <w:p w:rsidR="00AE4D5A" w:rsidRDefault="00AE4D5A" w:rsidP="008E5E01">
      <w:pPr>
        <w:pStyle w:val="RecTitle"/>
      </w:pPr>
      <w:r>
        <w:t>Draft recommendation 20</w:t>
      </w:r>
    </w:p>
    <w:p w:rsidR="00AE4D5A" w:rsidRDefault="00AE4D5A" w:rsidP="008E5E01">
      <w:pPr>
        <w:pStyle w:val="Rec"/>
      </w:pPr>
      <w:r w:rsidRPr="00B316DD">
        <w:t>The Australian Government should review and evaluate its programs for Tasmania after a reasonable length of time. Such reviews should be transparent, be conducted by an appropriate independent body and should comprise an ex</w:t>
      </w:r>
      <w:r w:rsidRPr="00B316DD">
        <w:noBreakHyphen/>
        <w:t>post assessment of the aggregate benefits and costs of the strategy to date and an assessment of the benefits and costs of any continued Australian Government financial contribution to these programs.</w:t>
      </w:r>
    </w:p>
    <w:p w:rsidR="00AE4D5A" w:rsidRDefault="00AE4D5A" w:rsidP="00AE4D5A">
      <w:pPr>
        <w:sectPr w:rsidR="00AE4D5A" w:rsidSect="00AE4D5A">
          <w:headerReference w:type="even" r:id="rId95"/>
          <w:headerReference w:type="default" r:id="rId96"/>
          <w:footerReference w:type="even" r:id="rId97"/>
          <w:footerReference w:type="default" r:id="rId98"/>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Chapter"/>
        <w:ind w:left="907" w:hanging="907"/>
      </w:pPr>
      <w:r>
        <w:lastRenderedPageBreak/>
        <w:t>A</w:t>
      </w:r>
      <w:r>
        <w:tab/>
        <w:t>Conduct of the inquiry</w:t>
      </w:r>
    </w:p>
    <w:p w:rsidR="00AE4D5A" w:rsidRDefault="00AE4D5A" w:rsidP="008E5E01">
      <w:pPr>
        <w:pStyle w:val="BodyText"/>
      </w:pPr>
      <w:r>
        <w:t>The Commission received the terms of reference for this inquiry on 29 November 2013. Notices were placed in the media and on the Commission’s website inviting public participation. Information about the inquiry was also circulated to parties identified as likely to have an interest.</w:t>
      </w:r>
    </w:p>
    <w:p w:rsidR="00AE4D5A" w:rsidRDefault="00AE4D5A" w:rsidP="008E5E01">
      <w:pPr>
        <w:pStyle w:val="BodyText"/>
      </w:pPr>
      <w:r>
        <w:t>The Commission initially hosted two roundtables in Tasmania to discuss key issues and to assist inquiry participants in preparing their submissions. The Commission also separately held informal consultations with relevant regulatory bodies, government agencies and companies.</w:t>
      </w:r>
    </w:p>
    <w:p w:rsidR="00AE4D5A" w:rsidRDefault="00AE4D5A" w:rsidP="008E5E01">
      <w:pPr>
        <w:pStyle w:val="BodyText"/>
      </w:pPr>
      <w:r>
        <w:t>Details of the organisations that were consulted are included in table </w:t>
      </w:r>
      <w:proofErr w:type="spellStart"/>
      <w:r>
        <w:t>A.2</w:t>
      </w:r>
      <w:proofErr w:type="spellEnd"/>
      <w:r>
        <w:t>.</w:t>
      </w:r>
    </w:p>
    <w:p w:rsidR="00AE4D5A" w:rsidRDefault="0006460E" w:rsidP="008E5E01">
      <w:pPr>
        <w:pStyle w:val="BodyText"/>
      </w:pPr>
      <w:r>
        <w:t>64</w:t>
      </w:r>
      <w:r w:rsidR="00AE4D5A" w:rsidRPr="00B96338">
        <w:rPr>
          <w:szCs w:val="26"/>
        </w:rPr>
        <w:t xml:space="preserve"> submissions</w:t>
      </w:r>
      <w:r w:rsidR="00AE4D5A" w:rsidRPr="00B96338">
        <w:t xml:space="preserve"> were received prior to publication of th</w:t>
      </w:r>
      <w:r w:rsidR="00AE4D5A">
        <w:t>e</w:t>
      </w:r>
      <w:r w:rsidR="00AE4D5A" w:rsidRPr="00B96338">
        <w:t xml:space="preserve"> </w:t>
      </w:r>
      <w:r w:rsidR="00AE4D5A">
        <w:t xml:space="preserve">draft </w:t>
      </w:r>
      <w:r w:rsidR="00AE4D5A" w:rsidRPr="00B96338">
        <w:t>report</w:t>
      </w:r>
      <w:r w:rsidR="00AE4D5A">
        <w:t xml:space="preserve"> on 24</w:t>
      </w:r>
      <w:r w:rsidR="00265EBE">
        <w:t> </w:t>
      </w:r>
      <w:r w:rsidR="00AE4D5A">
        <w:t>January</w:t>
      </w:r>
      <w:r w:rsidR="00265EBE">
        <w:t> </w:t>
      </w:r>
      <w:r w:rsidR="00AE4D5A">
        <w:t>2014</w:t>
      </w:r>
      <w:r w:rsidR="00AE4D5A" w:rsidRPr="00B96338">
        <w:t xml:space="preserve">. </w:t>
      </w:r>
      <w:r w:rsidR="00AE4D5A">
        <w:t xml:space="preserve">A further </w:t>
      </w:r>
      <w:r w:rsidR="00265EBE">
        <w:t>49</w:t>
      </w:r>
      <w:r w:rsidR="00AE4D5A">
        <w:t xml:space="preserve"> submissions were received in response to the draft report and are denoted in table </w:t>
      </w:r>
      <w:proofErr w:type="spellStart"/>
      <w:r w:rsidR="00AE4D5A">
        <w:t>A.1</w:t>
      </w:r>
      <w:proofErr w:type="spellEnd"/>
      <w:r w:rsidR="00AE4D5A">
        <w:t xml:space="preserve"> with a prefix ‘DR’. </w:t>
      </w:r>
    </w:p>
    <w:p w:rsidR="00AE4D5A" w:rsidRDefault="00AE4D5A" w:rsidP="008E5E01">
      <w:pPr>
        <w:pStyle w:val="BodyText"/>
      </w:pPr>
      <w:r>
        <w:t xml:space="preserve">Public hearings were held to discuss the draft report in Melbourne, Hobart, Launceston and Canberra in early February 2014. A list of participants at the public hearings is provided in table </w:t>
      </w:r>
      <w:proofErr w:type="spellStart"/>
      <w:r>
        <w:t>A.3</w:t>
      </w:r>
      <w:proofErr w:type="spellEnd"/>
      <w:r>
        <w:t>.</w:t>
      </w:r>
    </w:p>
    <w:p w:rsidR="00AE4D5A" w:rsidRDefault="00AE4D5A" w:rsidP="008E5E01">
      <w:pPr>
        <w:pStyle w:val="BodyText"/>
      </w:pPr>
      <w:r w:rsidRPr="00B96338">
        <w:t xml:space="preserve">The Commission </w:t>
      </w:r>
      <w:r>
        <w:t>would like to thank all those who have contributed to the inquiry.</w:t>
      </w:r>
    </w:p>
    <w:p w:rsidR="00AE4D5A" w:rsidRDefault="00AE4D5A" w:rsidP="008E5E01">
      <w:pPr>
        <w:rPr>
          <w:szCs w:val="20"/>
        </w:rPr>
      </w:pPr>
      <w:r>
        <w:br w:type="page"/>
      </w:r>
    </w:p>
    <w:p w:rsidR="00AE4D5A" w:rsidRDefault="00AE4D5A" w:rsidP="008E5E01">
      <w:pPr>
        <w:pStyle w:val="TableTitle"/>
      </w:pPr>
      <w:r>
        <w:rPr>
          <w:b w:val="0"/>
        </w:rPr>
        <w:lastRenderedPageBreak/>
        <w:t xml:space="preserve">Table </w:t>
      </w:r>
      <w:proofErr w:type="spellStart"/>
      <w:r>
        <w:rPr>
          <w:b w:val="0"/>
        </w:rPr>
        <w:t>A.</w:t>
      </w:r>
      <w:r>
        <w:rPr>
          <w:b w:val="0"/>
          <w:noProof/>
        </w:rPr>
        <w:t>1</w:t>
      </w:r>
      <w:proofErr w:type="spellEnd"/>
      <w:r>
        <w:tab/>
        <w:t>Submissions received</w:t>
      </w:r>
    </w:p>
    <w:tbl>
      <w:tblPr>
        <w:tblW w:w="5000" w:type="pct"/>
        <w:tblCellMar>
          <w:left w:w="0" w:type="dxa"/>
          <w:right w:w="0" w:type="dxa"/>
        </w:tblCellMar>
        <w:tblLook w:val="0000" w:firstRow="0" w:lastRow="0" w:firstColumn="0" w:lastColumn="0" w:noHBand="0" w:noVBand="0"/>
      </w:tblPr>
      <w:tblGrid>
        <w:gridCol w:w="6664"/>
        <w:gridCol w:w="2125"/>
      </w:tblGrid>
      <w:tr w:rsidR="00AE4D5A" w:rsidTr="008E5E01">
        <w:tc>
          <w:tcPr>
            <w:tcW w:w="3791" w:type="pct"/>
            <w:tcBorders>
              <w:top w:val="single" w:sz="6" w:space="0" w:color="auto"/>
              <w:bottom w:val="single" w:sz="6" w:space="0" w:color="auto"/>
            </w:tcBorders>
            <w:shd w:val="clear" w:color="auto" w:fill="auto"/>
          </w:tcPr>
          <w:p w:rsidR="00AE4D5A" w:rsidRDefault="00AE4D5A" w:rsidP="008E5E01">
            <w:pPr>
              <w:pStyle w:val="TableColumnHeading"/>
              <w:ind w:right="0"/>
              <w:jc w:val="left"/>
            </w:pPr>
            <w:r>
              <w:t>Participant</w:t>
            </w:r>
          </w:p>
        </w:tc>
        <w:tc>
          <w:tcPr>
            <w:tcW w:w="1209" w:type="pct"/>
            <w:tcBorders>
              <w:top w:val="single" w:sz="6" w:space="0" w:color="auto"/>
              <w:bottom w:val="single" w:sz="6" w:space="0" w:color="auto"/>
            </w:tcBorders>
            <w:shd w:val="clear" w:color="auto" w:fill="auto"/>
          </w:tcPr>
          <w:p w:rsidR="00AE4D5A" w:rsidRDefault="00AE4D5A" w:rsidP="008E5E01">
            <w:pPr>
              <w:pStyle w:val="TableColumnHeading"/>
              <w:ind w:right="28"/>
            </w:pPr>
            <w:r>
              <w:t>Submission No</w:t>
            </w:r>
          </w:p>
        </w:tc>
      </w:tr>
      <w:tr w:rsidR="00AE4D5A" w:rsidTr="008E5E01">
        <w:tc>
          <w:tcPr>
            <w:tcW w:w="3791" w:type="pct"/>
          </w:tcPr>
          <w:p w:rsidR="00AE4D5A" w:rsidRDefault="00AE4D5A" w:rsidP="008E5E01">
            <w:pPr>
              <w:pStyle w:val="TableBodyText"/>
              <w:spacing w:before="40"/>
              <w:ind w:right="0"/>
              <w:jc w:val="left"/>
            </w:pPr>
            <w:r>
              <w:t>ANL Container Line Pty Ltd</w:t>
            </w:r>
          </w:p>
        </w:tc>
        <w:tc>
          <w:tcPr>
            <w:tcW w:w="1209" w:type="pct"/>
          </w:tcPr>
          <w:p w:rsidR="00AE4D5A" w:rsidRDefault="00AE4D5A" w:rsidP="008E5E01">
            <w:pPr>
              <w:pStyle w:val="TableBodyText"/>
              <w:spacing w:before="40"/>
              <w:ind w:right="28"/>
            </w:pPr>
            <w:r>
              <w:t>33</w:t>
            </w:r>
          </w:p>
        </w:tc>
      </w:tr>
      <w:tr w:rsidR="00AE4D5A" w:rsidTr="008E5E01">
        <w:tc>
          <w:tcPr>
            <w:tcW w:w="3791" w:type="pct"/>
          </w:tcPr>
          <w:p w:rsidR="00AE4D5A" w:rsidRDefault="00AE4D5A" w:rsidP="008E5E01">
            <w:pPr>
              <w:pStyle w:val="TableBodyText"/>
              <w:ind w:right="0"/>
              <w:jc w:val="left"/>
            </w:pPr>
            <w:r>
              <w:t>Australian Aluminium Council</w:t>
            </w:r>
          </w:p>
        </w:tc>
        <w:tc>
          <w:tcPr>
            <w:tcW w:w="1209" w:type="pct"/>
          </w:tcPr>
          <w:p w:rsidR="00AE4D5A" w:rsidRDefault="00AE4D5A" w:rsidP="008E5E01">
            <w:pPr>
              <w:pStyle w:val="TableBodyText"/>
              <w:ind w:right="28"/>
            </w:pPr>
            <w:r>
              <w:t>10</w:t>
            </w:r>
          </w:p>
        </w:tc>
      </w:tr>
      <w:tr w:rsidR="00AE4D5A" w:rsidTr="008E5E01">
        <w:tc>
          <w:tcPr>
            <w:tcW w:w="3791" w:type="pct"/>
          </w:tcPr>
          <w:p w:rsidR="00AE4D5A" w:rsidRDefault="00AE4D5A" w:rsidP="008E5E01">
            <w:pPr>
              <w:pStyle w:val="TableBodyText"/>
              <w:ind w:right="0"/>
              <w:jc w:val="left"/>
            </w:pPr>
            <w:r>
              <w:t>Australian Caravan Club Limited</w:t>
            </w:r>
          </w:p>
        </w:tc>
        <w:tc>
          <w:tcPr>
            <w:tcW w:w="1209" w:type="pct"/>
          </w:tcPr>
          <w:p w:rsidR="00AE4D5A" w:rsidRDefault="00AE4D5A" w:rsidP="008E5E01">
            <w:pPr>
              <w:pStyle w:val="TableBodyText"/>
              <w:ind w:right="28"/>
            </w:pPr>
            <w:proofErr w:type="spellStart"/>
            <w:r>
              <w:t>DR92</w:t>
            </w:r>
            <w:proofErr w:type="spellEnd"/>
          </w:p>
        </w:tc>
      </w:tr>
      <w:tr w:rsidR="00AE4D5A" w:rsidTr="008E5E01">
        <w:tc>
          <w:tcPr>
            <w:tcW w:w="3791" w:type="pct"/>
          </w:tcPr>
          <w:p w:rsidR="00AE4D5A" w:rsidRDefault="00AE4D5A" w:rsidP="008E5E01">
            <w:pPr>
              <w:pStyle w:val="TableBodyText"/>
              <w:ind w:right="0"/>
              <w:jc w:val="left"/>
            </w:pPr>
            <w:r>
              <w:t>Australian Competition and Consumer Commission</w:t>
            </w:r>
          </w:p>
        </w:tc>
        <w:tc>
          <w:tcPr>
            <w:tcW w:w="1209" w:type="pct"/>
          </w:tcPr>
          <w:p w:rsidR="00AE4D5A" w:rsidRDefault="00AE4D5A" w:rsidP="008E5E01">
            <w:pPr>
              <w:pStyle w:val="TableBodyText"/>
              <w:ind w:right="28"/>
            </w:pPr>
            <w:r>
              <w:t>28</w:t>
            </w:r>
          </w:p>
        </w:tc>
      </w:tr>
      <w:tr w:rsidR="00AE4D5A" w:rsidTr="008E5E01">
        <w:tc>
          <w:tcPr>
            <w:tcW w:w="3791" w:type="pct"/>
          </w:tcPr>
          <w:p w:rsidR="00AE4D5A" w:rsidRDefault="00AE4D5A" w:rsidP="008E5E01">
            <w:pPr>
              <w:pStyle w:val="TableBodyText"/>
              <w:ind w:right="0"/>
              <w:jc w:val="left"/>
            </w:pPr>
            <w:r>
              <w:t>Australian Industry Group</w:t>
            </w:r>
          </w:p>
        </w:tc>
        <w:tc>
          <w:tcPr>
            <w:tcW w:w="1209" w:type="pct"/>
          </w:tcPr>
          <w:p w:rsidR="00AE4D5A" w:rsidRDefault="00AE4D5A" w:rsidP="008E5E01">
            <w:pPr>
              <w:pStyle w:val="TableBodyText"/>
              <w:ind w:right="28"/>
            </w:pPr>
            <w:proofErr w:type="spellStart"/>
            <w:r>
              <w:t>DR94</w:t>
            </w:r>
            <w:proofErr w:type="spellEnd"/>
          </w:p>
        </w:tc>
      </w:tr>
      <w:tr w:rsidR="00AE4D5A" w:rsidTr="008E5E01">
        <w:tc>
          <w:tcPr>
            <w:tcW w:w="3791" w:type="pct"/>
          </w:tcPr>
          <w:p w:rsidR="00AE4D5A" w:rsidRDefault="00AE4D5A" w:rsidP="008E5E01">
            <w:pPr>
              <w:pStyle w:val="TableBodyText"/>
              <w:ind w:right="0"/>
              <w:jc w:val="left"/>
            </w:pPr>
            <w:r>
              <w:t>Australian Pacific Touring</w:t>
            </w:r>
          </w:p>
        </w:tc>
        <w:tc>
          <w:tcPr>
            <w:tcW w:w="1209" w:type="pct"/>
          </w:tcPr>
          <w:p w:rsidR="00AE4D5A" w:rsidRDefault="00AE4D5A" w:rsidP="008E5E01">
            <w:pPr>
              <w:pStyle w:val="TableBodyText"/>
              <w:ind w:right="28"/>
            </w:pPr>
            <w:r>
              <w:t>11</w:t>
            </w:r>
          </w:p>
        </w:tc>
      </w:tr>
      <w:tr w:rsidR="00AE4D5A" w:rsidTr="008E5E01">
        <w:tc>
          <w:tcPr>
            <w:tcW w:w="3791" w:type="pct"/>
          </w:tcPr>
          <w:p w:rsidR="00AE4D5A" w:rsidRDefault="00AE4D5A" w:rsidP="008E5E01">
            <w:pPr>
              <w:pStyle w:val="TableBodyText"/>
              <w:ind w:right="0"/>
              <w:jc w:val="left"/>
            </w:pPr>
            <w:r>
              <w:t>Australian Shipowners Association</w:t>
            </w:r>
          </w:p>
        </w:tc>
        <w:tc>
          <w:tcPr>
            <w:tcW w:w="1209" w:type="pct"/>
          </w:tcPr>
          <w:p w:rsidR="00AE4D5A" w:rsidRDefault="00AE4D5A" w:rsidP="008E5E01">
            <w:pPr>
              <w:pStyle w:val="TableBodyText"/>
              <w:ind w:right="28"/>
            </w:pPr>
            <w:r>
              <w:t xml:space="preserve">29, </w:t>
            </w:r>
            <w:proofErr w:type="spellStart"/>
            <w:r>
              <w:t>DR87</w:t>
            </w:r>
            <w:proofErr w:type="spellEnd"/>
          </w:p>
        </w:tc>
      </w:tr>
      <w:tr w:rsidR="00AE4D5A" w:rsidTr="008E5E01">
        <w:tc>
          <w:tcPr>
            <w:tcW w:w="3791" w:type="pct"/>
          </w:tcPr>
          <w:p w:rsidR="00AE4D5A" w:rsidRDefault="00AE4D5A" w:rsidP="0006460E">
            <w:pPr>
              <w:pStyle w:val="TableBodyText"/>
              <w:ind w:right="0"/>
              <w:jc w:val="left"/>
            </w:pPr>
            <w:r>
              <w:t>Austrade</w:t>
            </w:r>
          </w:p>
        </w:tc>
        <w:tc>
          <w:tcPr>
            <w:tcW w:w="1209" w:type="pct"/>
          </w:tcPr>
          <w:p w:rsidR="00AE4D5A" w:rsidRDefault="00AE4D5A" w:rsidP="008E5E01">
            <w:pPr>
              <w:pStyle w:val="TableBodyText"/>
              <w:ind w:right="28"/>
            </w:pPr>
            <w:r>
              <w:t xml:space="preserve">41, </w:t>
            </w:r>
            <w:proofErr w:type="spellStart"/>
            <w:r>
              <w:t>DR108</w:t>
            </w:r>
            <w:proofErr w:type="spellEnd"/>
          </w:p>
        </w:tc>
      </w:tr>
      <w:tr w:rsidR="00AE4D5A" w:rsidTr="008E5E01">
        <w:tc>
          <w:tcPr>
            <w:tcW w:w="3791" w:type="pct"/>
          </w:tcPr>
          <w:p w:rsidR="00AE4D5A" w:rsidRDefault="00AE4D5A" w:rsidP="008E5E01">
            <w:pPr>
              <w:pStyle w:val="TableBodyText"/>
              <w:ind w:right="0"/>
              <w:jc w:val="left"/>
            </w:pPr>
            <w:r>
              <w:t>Bell Bay Aluminium</w:t>
            </w:r>
          </w:p>
        </w:tc>
        <w:tc>
          <w:tcPr>
            <w:tcW w:w="1209" w:type="pct"/>
          </w:tcPr>
          <w:p w:rsidR="00AE4D5A" w:rsidRDefault="00AE4D5A" w:rsidP="008E5E01">
            <w:pPr>
              <w:pStyle w:val="TableBodyText"/>
              <w:ind w:right="28"/>
            </w:pPr>
            <w:r>
              <w:t xml:space="preserve">12, </w:t>
            </w:r>
            <w:proofErr w:type="spellStart"/>
            <w:r>
              <w:t>DR77</w:t>
            </w:r>
            <w:proofErr w:type="spellEnd"/>
          </w:p>
        </w:tc>
      </w:tr>
      <w:tr w:rsidR="00AE4D5A" w:rsidTr="008E5E01">
        <w:tc>
          <w:tcPr>
            <w:tcW w:w="3791" w:type="pct"/>
          </w:tcPr>
          <w:p w:rsidR="00AE4D5A" w:rsidRDefault="00AE4D5A" w:rsidP="008E5E01">
            <w:pPr>
              <w:pStyle w:val="TableBodyText"/>
              <w:ind w:right="0"/>
              <w:jc w:val="left"/>
            </w:pPr>
            <w:r>
              <w:t>Boating Industry Association of Victoria</w:t>
            </w:r>
          </w:p>
        </w:tc>
        <w:tc>
          <w:tcPr>
            <w:tcW w:w="1209" w:type="pct"/>
          </w:tcPr>
          <w:p w:rsidR="00AE4D5A" w:rsidRDefault="00AE4D5A" w:rsidP="008E5E01">
            <w:pPr>
              <w:pStyle w:val="TableBodyText"/>
              <w:ind w:right="28"/>
            </w:pPr>
            <w:r>
              <w:t>13</w:t>
            </w:r>
          </w:p>
        </w:tc>
      </w:tr>
      <w:tr w:rsidR="00AE4D5A" w:rsidTr="008E5E01">
        <w:tc>
          <w:tcPr>
            <w:tcW w:w="3791" w:type="pct"/>
          </w:tcPr>
          <w:p w:rsidR="00AE4D5A" w:rsidRDefault="00AE4D5A" w:rsidP="008E5E01">
            <w:pPr>
              <w:pStyle w:val="TableBodyText"/>
              <w:ind w:right="0"/>
              <w:jc w:val="left"/>
            </w:pPr>
            <w:r>
              <w:t>Brohier, Peter</w:t>
            </w:r>
          </w:p>
        </w:tc>
        <w:tc>
          <w:tcPr>
            <w:tcW w:w="1209" w:type="pct"/>
          </w:tcPr>
          <w:p w:rsidR="00AE4D5A" w:rsidRDefault="00AE4D5A" w:rsidP="008E5E01">
            <w:pPr>
              <w:pStyle w:val="TableBodyText"/>
              <w:ind w:right="28"/>
            </w:pPr>
            <w:r>
              <w:t xml:space="preserve">59, </w:t>
            </w:r>
            <w:proofErr w:type="spellStart"/>
            <w:r>
              <w:t>DR111</w:t>
            </w:r>
            <w:proofErr w:type="spellEnd"/>
            <w:r>
              <w:t xml:space="preserve">  </w:t>
            </w:r>
          </w:p>
        </w:tc>
      </w:tr>
      <w:tr w:rsidR="00AE4D5A" w:rsidTr="008E5E01">
        <w:tc>
          <w:tcPr>
            <w:tcW w:w="3791" w:type="pct"/>
          </w:tcPr>
          <w:p w:rsidR="00AE4D5A" w:rsidRDefault="00AE4D5A" w:rsidP="008E5E01">
            <w:pPr>
              <w:pStyle w:val="TableBodyText"/>
              <w:ind w:right="0"/>
              <w:jc w:val="left"/>
            </w:pPr>
            <w:r>
              <w:t>Business Council of Australia</w:t>
            </w:r>
          </w:p>
        </w:tc>
        <w:tc>
          <w:tcPr>
            <w:tcW w:w="1209" w:type="pct"/>
          </w:tcPr>
          <w:p w:rsidR="00AE4D5A" w:rsidRDefault="00AE4D5A" w:rsidP="008E5E01">
            <w:pPr>
              <w:pStyle w:val="TableBodyText"/>
              <w:ind w:right="28"/>
            </w:pPr>
            <w:r>
              <w:t>47</w:t>
            </w:r>
          </w:p>
        </w:tc>
      </w:tr>
      <w:tr w:rsidR="00AE4D5A" w:rsidTr="008E5E01">
        <w:tc>
          <w:tcPr>
            <w:tcW w:w="3791" w:type="pct"/>
          </w:tcPr>
          <w:p w:rsidR="00AE4D5A" w:rsidRDefault="00AE4D5A" w:rsidP="008E5E01">
            <w:pPr>
              <w:pStyle w:val="TableBodyText"/>
              <w:ind w:right="0"/>
              <w:jc w:val="left"/>
            </w:pPr>
            <w:r>
              <w:t>Burnie Chamber of Commerce and Industry</w:t>
            </w:r>
          </w:p>
        </w:tc>
        <w:tc>
          <w:tcPr>
            <w:tcW w:w="1209" w:type="pct"/>
          </w:tcPr>
          <w:p w:rsidR="00AE4D5A" w:rsidRDefault="00AE4D5A" w:rsidP="008E5E01">
            <w:pPr>
              <w:pStyle w:val="TableBodyText"/>
              <w:ind w:right="28"/>
            </w:pPr>
            <w:r>
              <w:t>57</w:t>
            </w:r>
          </w:p>
        </w:tc>
      </w:tr>
      <w:tr w:rsidR="00AE4D5A" w:rsidTr="008E5E01">
        <w:tc>
          <w:tcPr>
            <w:tcW w:w="3791" w:type="pct"/>
          </w:tcPr>
          <w:p w:rsidR="00AE4D5A" w:rsidRDefault="00AE4D5A" w:rsidP="008E5E01">
            <w:pPr>
              <w:pStyle w:val="TableBodyText"/>
              <w:ind w:right="0"/>
              <w:jc w:val="left"/>
            </w:pPr>
            <w:r>
              <w:t>Campervan and Motorhome Club of Australia</w:t>
            </w:r>
          </w:p>
        </w:tc>
        <w:tc>
          <w:tcPr>
            <w:tcW w:w="1209" w:type="pct"/>
          </w:tcPr>
          <w:p w:rsidR="00AE4D5A" w:rsidRDefault="00AE4D5A" w:rsidP="008E5E01">
            <w:pPr>
              <w:pStyle w:val="TableBodyText"/>
              <w:ind w:right="28"/>
            </w:pPr>
            <w:proofErr w:type="spellStart"/>
            <w:r>
              <w:t>DR91</w:t>
            </w:r>
            <w:proofErr w:type="spellEnd"/>
          </w:p>
        </w:tc>
      </w:tr>
      <w:tr w:rsidR="00AE4D5A" w:rsidTr="008E5E01">
        <w:tc>
          <w:tcPr>
            <w:tcW w:w="3791" w:type="pct"/>
          </w:tcPr>
          <w:p w:rsidR="00AE4D5A" w:rsidRDefault="00AE4D5A" w:rsidP="008E5E01">
            <w:pPr>
              <w:pStyle w:val="TableBodyText"/>
              <w:ind w:right="0"/>
              <w:jc w:val="left"/>
            </w:pPr>
            <w:r>
              <w:t>Caravan Industry Australia Tasmania</w:t>
            </w:r>
          </w:p>
        </w:tc>
        <w:tc>
          <w:tcPr>
            <w:tcW w:w="1209" w:type="pct"/>
          </w:tcPr>
          <w:p w:rsidR="00AE4D5A" w:rsidRDefault="00AE4D5A" w:rsidP="008E5E01">
            <w:pPr>
              <w:pStyle w:val="TableBodyText"/>
              <w:ind w:right="28"/>
            </w:pPr>
            <w:r>
              <w:t>63</w:t>
            </w:r>
          </w:p>
        </w:tc>
      </w:tr>
      <w:tr w:rsidR="00AE4D5A" w:rsidTr="008E5E01">
        <w:tc>
          <w:tcPr>
            <w:tcW w:w="3791" w:type="pct"/>
          </w:tcPr>
          <w:p w:rsidR="00AE4D5A" w:rsidRDefault="00AE4D5A" w:rsidP="008E5E01">
            <w:pPr>
              <w:pStyle w:val="TableBodyText"/>
              <w:ind w:right="0"/>
              <w:jc w:val="left"/>
            </w:pPr>
            <w:r>
              <w:t>Caravan, RV and Accommodation Industry of Australia</w:t>
            </w:r>
          </w:p>
        </w:tc>
        <w:tc>
          <w:tcPr>
            <w:tcW w:w="1209" w:type="pct"/>
          </w:tcPr>
          <w:p w:rsidR="00AE4D5A" w:rsidRDefault="00AE4D5A" w:rsidP="008E5E01">
            <w:pPr>
              <w:pStyle w:val="TableBodyText"/>
              <w:ind w:right="28"/>
            </w:pPr>
            <w:proofErr w:type="spellStart"/>
            <w:r>
              <w:t>DR76</w:t>
            </w:r>
            <w:proofErr w:type="spellEnd"/>
          </w:p>
        </w:tc>
      </w:tr>
      <w:tr w:rsidR="00AE4D5A" w:rsidTr="008E5E01">
        <w:tc>
          <w:tcPr>
            <w:tcW w:w="3791" w:type="pct"/>
          </w:tcPr>
          <w:p w:rsidR="00AE4D5A" w:rsidRDefault="00AE4D5A" w:rsidP="008E5E01">
            <w:pPr>
              <w:pStyle w:val="TableBodyText"/>
              <w:ind w:right="0"/>
              <w:jc w:val="left"/>
            </w:pPr>
            <w:r>
              <w:t>Cement Industry Federation</w:t>
            </w:r>
          </w:p>
        </w:tc>
        <w:tc>
          <w:tcPr>
            <w:tcW w:w="1209" w:type="pct"/>
          </w:tcPr>
          <w:p w:rsidR="00AE4D5A" w:rsidRDefault="00AE4D5A" w:rsidP="008E5E01">
            <w:pPr>
              <w:pStyle w:val="TableBodyText"/>
              <w:ind w:right="28"/>
            </w:pPr>
            <w:proofErr w:type="spellStart"/>
            <w:r>
              <w:t>DR83</w:t>
            </w:r>
            <w:proofErr w:type="spellEnd"/>
          </w:p>
        </w:tc>
      </w:tr>
      <w:tr w:rsidR="00AE4D5A" w:rsidTr="008E5E01">
        <w:tc>
          <w:tcPr>
            <w:tcW w:w="3791" w:type="pct"/>
          </w:tcPr>
          <w:p w:rsidR="00AE4D5A" w:rsidRDefault="00AE4D5A" w:rsidP="008E5E01">
            <w:pPr>
              <w:pStyle w:val="TableBodyText"/>
              <w:ind w:right="0"/>
              <w:jc w:val="left"/>
            </w:pPr>
            <w:r>
              <w:t>Coles Supermarkets Australia Pty Ltd</w:t>
            </w:r>
          </w:p>
        </w:tc>
        <w:tc>
          <w:tcPr>
            <w:tcW w:w="1209" w:type="pct"/>
          </w:tcPr>
          <w:p w:rsidR="00AE4D5A" w:rsidRDefault="00AE4D5A" w:rsidP="008E5E01">
            <w:pPr>
              <w:pStyle w:val="TableBodyText"/>
              <w:ind w:right="28"/>
            </w:pPr>
            <w:proofErr w:type="spellStart"/>
            <w:r>
              <w:t>DR80</w:t>
            </w:r>
            <w:proofErr w:type="spellEnd"/>
          </w:p>
        </w:tc>
      </w:tr>
      <w:tr w:rsidR="00AE4D5A" w:rsidTr="008E5E01">
        <w:tc>
          <w:tcPr>
            <w:tcW w:w="3791" w:type="pct"/>
          </w:tcPr>
          <w:p w:rsidR="00AE4D5A" w:rsidRDefault="00AE4D5A" w:rsidP="008E5E01">
            <w:pPr>
              <w:pStyle w:val="TableBodyText"/>
              <w:ind w:right="0"/>
              <w:jc w:val="left"/>
            </w:pPr>
            <w:r>
              <w:t>Cooper, Cherie Joy</w:t>
            </w:r>
          </w:p>
        </w:tc>
        <w:tc>
          <w:tcPr>
            <w:tcW w:w="1209" w:type="pct"/>
          </w:tcPr>
          <w:p w:rsidR="00AE4D5A" w:rsidRDefault="00AE4D5A" w:rsidP="008E5E01">
            <w:pPr>
              <w:pStyle w:val="TableBodyText"/>
              <w:ind w:right="28"/>
            </w:pPr>
            <w:r>
              <w:t>58</w:t>
            </w:r>
          </w:p>
        </w:tc>
      </w:tr>
      <w:tr w:rsidR="00AE4D5A" w:rsidTr="008E5E01">
        <w:tc>
          <w:tcPr>
            <w:tcW w:w="3791" w:type="pct"/>
          </w:tcPr>
          <w:p w:rsidR="00AE4D5A" w:rsidRDefault="00AE4D5A" w:rsidP="008E5E01">
            <w:pPr>
              <w:pStyle w:val="TableBodyText"/>
              <w:ind w:right="0"/>
              <w:jc w:val="left"/>
            </w:pPr>
            <w:r>
              <w:t>Cooper, Patricia</w:t>
            </w:r>
          </w:p>
        </w:tc>
        <w:tc>
          <w:tcPr>
            <w:tcW w:w="1209" w:type="pct"/>
          </w:tcPr>
          <w:p w:rsidR="00AE4D5A" w:rsidRDefault="00AE4D5A" w:rsidP="008E5E01">
            <w:pPr>
              <w:pStyle w:val="TableBodyText"/>
              <w:ind w:right="28"/>
            </w:pPr>
            <w:r>
              <w:t>60</w:t>
            </w:r>
          </w:p>
        </w:tc>
      </w:tr>
      <w:tr w:rsidR="00AE4D5A" w:rsidTr="008E5E01">
        <w:tc>
          <w:tcPr>
            <w:tcW w:w="3791" w:type="pct"/>
          </w:tcPr>
          <w:p w:rsidR="00AE4D5A" w:rsidRDefault="00AE4D5A" w:rsidP="008E5E01">
            <w:pPr>
              <w:pStyle w:val="TableBodyText"/>
              <w:ind w:right="0"/>
              <w:jc w:val="left"/>
            </w:pPr>
            <w:r>
              <w:t>Corporate Financial Consulting Pty Ltd</w:t>
            </w:r>
          </w:p>
        </w:tc>
        <w:tc>
          <w:tcPr>
            <w:tcW w:w="1209" w:type="pct"/>
          </w:tcPr>
          <w:p w:rsidR="00AE4D5A" w:rsidRDefault="00AE4D5A" w:rsidP="008E5E01">
            <w:pPr>
              <w:pStyle w:val="TableBodyText"/>
              <w:ind w:right="28"/>
            </w:pPr>
            <w:r>
              <w:t>6</w:t>
            </w:r>
          </w:p>
        </w:tc>
      </w:tr>
      <w:tr w:rsidR="00AE4D5A" w:rsidTr="008E5E01">
        <w:tc>
          <w:tcPr>
            <w:tcW w:w="3791" w:type="pct"/>
          </w:tcPr>
          <w:p w:rsidR="00AE4D5A" w:rsidRDefault="00AE4D5A" w:rsidP="008E5E01">
            <w:pPr>
              <w:pStyle w:val="TableBodyText"/>
              <w:ind w:right="0"/>
              <w:jc w:val="left"/>
            </w:pPr>
            <w:r>
              <w:t>Cradle Coast Authority</w:t>
            </w:r>
          </w:p>
        </w:tc>
        <w:tc>
          <w:tcPr>
            <w:tcW w:w="1209" w:type="pct"/>
          </w:tcPr>
          <w:p w:rsidR="00AE4D5A" w:rsidRDefault="00AE4D5A" w:rsidP="008E5E01">
            <w:pPr>
              <w:pStyle w:val="TableBodyText"/>
              <w:ind w:right="28"/>
            </w:pPr>
            <w:r>
              <w:t>20</w:t>
            </w:r>
          </w:p>
        </w:tc>
      </w:tr>
      <w:tr w:rsidR="00AE4D5A" w:rsidTr="008E5E01">
        <w:tc>
          <w:tcPr>
            <w:tcW w:w="3791" w:type="pct"/>
          </w:tcPr>
          <w:p w:rsidR="00AE4D5A" w:rsidRDefault="00AE4D5A" w:rsidP="008E5E01">
            <w:pPr>
              <w:pStyle w:val="TableBodyText"/>
              <w:ind w:right="0"/>
              <w:jc w:val="left"/>
            </w:pPr>
            <w:r>
              <w:t xml:space="preserve">Cripps </w:t>
            </w:r>
            <w:proofErr w:type="spellStart"/>
            <w:r>
              <w:t>Nubake</w:t>
            </w:r>
            <w:proofErr w:type="spellEnd"/>
            <w:r>
              <w:t xml:space="preserve"> Pty Ltd</w:t>
            </w:r>
          </w:p>
        </w:tc>
        <w:tc>
          <w:tcPr>
            <w:tcW w:w="1209" w:type="pct"/>
          </w:tcPr>
          <w:p w:rsidR="00AE4D5A" w:rsidRDefault="00AE4D5A" w:rsidP="008E5E01">
            <w:pPr>
              <w:pStyle w:val="TableBodyText"/>
              <w:ind w:right="28"/>
            </w:pPr>
            <w:proofErr w:type="spellStart"/>
            <w:r>
              <w:t>DR99</w:t>
            </w:r>
            <w:proofErr w:type="spellEnd"/>
          </w:p>
        </w:tc>
      </w:tr>
      <w:tr w:rsidR="00AE4D5A" w:rsidTr="008E5E01">
        <w:tc>
          <w:tcPr>
            <w:tcW w:w="3791" w:type="pct"/>
          </w:tcPr>
          <w:p w:rsidR="00AE4D5A" w:rsidRDefault="00AE4D5A" w:rsidP="008E5E01">
            <w:pPr>
              <w:pStyle w:val="TableBodyText"/>
              <w:ind w:right="0"/>
              <w:jc w:val="left"/>
            </w:pPr>
            <w:r>
              <w:t>Cruise Down Under</w:t>
            </w:r>
          </w:p>
        </w:tc>
        <w:tc>
          <w:tcPr>
            <w:tcW w:w="1209" w:type="pct"/>
          </w:tcPr>
          <w:p w:rsidR="00AE4D5A" w:rsidRDefault="00AE4D5A" w:rsidP="008E5E01">
            <w:pPr>
              <w:pStyle w:val="TableBodyText"/>
              <w:ind w:right="28"/>
            </w:pPr>
            <w:proofErr w:type="spellStart"/>
            <w:r>
              <w:t>DR72</w:t>
            </w:r>
            <w:proofErr w:type="spellEnd"/>
          </w:p>
        </w:tc>
      </w:tr>
      <w:tr w:rsidR="00AE4D5A" w:rsidTr="008E5E01">
        <w:tc>
          <w:tcPr>
            <w:tcW w:w="3791" w:type="pct"/>
            <w:shd w:val="clear" w:color="auto" w:fill="auto"/>
          </w:tcPr>
          <w:p w:rsidR="00AE4D5A" w:rsidRDefault="00AE4D5A" w:rsidP="008E5E01">
            <w:pPr>
              <w:pStyle w:val="TableBodyText"/>
              <w:ind w:right="0"/>
              <w:jc w:val="left"/>
            </w:pPr>
            <w:r>
              <w:t>Cuthbertson Bros Pty Ltd</w:t>
            </w:r>
          </w:p>
        </w:tc>
        <w:tc>
          <w:tcPr>
            <w:tcW w:w="1209" w:type="pct"/>
            <w:shd w:val="clear" w:color="auto" w:fill="auto"/>
          </w:tcPr>
          <w:p w:rsidR="00AE4D5A" w:rsidRDefault="00AE4D5A" w:rsidP="008E5E01">
            <w:pPr>
              <w:pStyle w:val="TableBodyText"/>
              <w:ind w:right="28"/>
            </w:pPr>
            <w:r>
              <w:t xml:space="preserve">3, </w:t>
            </w:r>
            <w:proofErr w:type="spellStart"/>
            <w:r>
              <w:t>DR104</w:t>
            </w:r>
            <w:proofErr w:type="spellEnd"/>
          </w:p>
        </w:tc>
      </w:tr>
      <w:tr w:rsidR="00AE4D5A" w:rsidTr="008E5E01">
        <w:tc>
          <w:tcPr>
            <w:tcW w:w="3791" w:type="pct"/>
            <w:shd w:val="clear" w:color="auto" w:fill="auto"/>
          </w:tcPr>
          <w:p w:rsidR="00AE4D5A" w:rsidRDefault="00AE4D5A" w:rsidP="008E5E01">
            <w:pPr>
              <w:pStyle w:val="TableBodyText"/>
              <w:ind w:right="0"/>
              <w:jc w:val="left"/>
            </w:pPr>
            <w:r>
              <w:t>Dent, Lindsay</w:t>
            </w:r>
          </w:p>
        </w:tc>
        <w:tc>
          <w:tcPr>
            <w:tcW w:w="1209" w:type="pct"/>
            <w:shd w:val="clear" w:color="auto" w:fill="auto"/>
          </w:tcPr>
          <w:p w:rsidR="00AE4D5A" w:rsidRDefault="00AE4D5A" w:rsidP="008E5E01">
            <w:pPr>
              <w:pStyle w:val="TableBodyText"/>
              <w:ind w:right="28"/>
            </w:pPr>
            <w:proofErr w:type="spellStart"/>
            <w:r>
              <w:t>DR86</w:t>
            </w:r>
            <w:proofErr w:type="spellEnd"/>
          </w:p>
        </w:tc>
      </w:tr>
      <w:tr w:rsidR="00AE4D5A" w:rsidTr="008E5E01">
        <w:tc>
          <w:tcPr>
            <w:tcW w:w="3791" w:type="pct"/>
            <w:shd w:val="clear" w:color="auto" w:fill="auto"/>
          </w:tcPr>
          <w:p w:rsidR="00AE4D5A" w:rsidRDefault="00AE4D5A" w:rsidP="008E5E01">
            <w:pPr>
              <w:pStyle w:val="TableBodyText"/>
              <w:ind w:right="0"/>
              <w:jc w:val="left"/>
            </w:pPr>
            <w:r>
              <w:t>Department of Infrastructure and Regional Development</w:t>
            </w:r>
          </w:p>
        </w:tc>
        <w:tc>
          <w:tcPr>
            <w:tcW w:w="1209" w:type="pct"/>
            <w:shd w:val="clear" w:color="auto" w:fill="auto"/>
          </w:tcPr>
          <w:p w:rsidR="00AE4D5A" w:rsidRDefault="00AE4D5A" w:rsidP="008E5E01">
            <w:pPr>
              <w:pStyle w:val="TableBodyText"/>
              <w:ind w:right="28"/>
            </w:pPr>
            <w:r>
              <w:t xml:space="preserve">42, </w:t>
            </w:r>
            <w:proofErr w:type="spellStart"/>
            <w:r>
              <w:t>DR107</w:t>
            </w:r>
            <w:proofErr w:type="spellEnd"/>
          </w:p>
        </w:tc>
      </w:tr>
      <w:tr w:rsidR="00AE4D5A" w:rsidTr="008E5E01">
        <w:tc>
          <w:tcPr>
            <w:tcW w:w="3791" w:type="pct"/>
            <w:shd w:val="clear" w:color="auto" w:fill="auto"/>
          </w:tcPr>
          <w:p w:rsidR="00AE4D5A" w:rsidRDefault="00AE4D5A" w:rsidP="008E5E01">
            <w:pPr>
              <w:pStyle w:val="TableBodyText"/>
              <w:ind w:right="0"/>
              <w:jc w:val="left"/>
            </w:pPr>
            <w:r>
              <w:t>Engineers Australia</w:t>
            </w:r>
          </w:p>
        </w:tc>
        <w:tc>
          <w:tcPr>
            <w:tcW w:w="1209" w:type="pct"/>
            <w:shd w:val="clear" w:color="auto" w:fill="auto"/>
          </w:tcPr>
          <w:p w:rsidR="00AE4D5A" w:rsidRDefault="00AE4D5A" w:rsidP="008E5E01">
            <w:pPr>
              <w:pStyle w:val="TableBodyText"/>
              <w:ind w:right="28"/>
            </w:pPr>
            <w:r>
              <w:t>36</w:t>
            </w:r>
          </w:p>
        </w:tc>
      </w:tr>
      <w:tr w:rsidR="00AE4D5A" w:rsidTr="008E5E01">
        <w:tc>
          <w:tcPr>
            <w:tcW w:w="3791" w:type="pct"/>
            <w:shd w:val="clear" w:color="auto" w:fill="auto"/>
          </w:tcPr>
          <w:p w:rsidR="00AE4D5A" w:rsidRDefault="00AE4D5A" w:rsidP="008E5E01">
            <w:pPr>
              <w:pStyle w:val="TableBodyText"/>
              <w:ind w:right="0"/>
              <w:jc w:val="left"/>
            </w:pPr>
            <w:r>
              <w:t>Flinders Council</w:t>
            </w:r>
          </w:p>
        </w:tc>
        <w:tc>
          <w:tcPr>
            <w:tcW w:w="1209" w:type="pct"/>
            <w:shd w:val="clear" w:color="auto" w:fill="auto"/>
          </w:tcPr>
          <w:p w:rsidR="00AE4D5A" w:rsidRDefault="00AE4D5A" w:rsidP="008E5E01">
            <w:pPr>
              <w:pStyle w:val="TableBodyText"/>
              <w:ind w:right="28"/>
            </w:pPr>
            <w:r>
              <w:t xml:space="preserve">23, </w:t>
            </w:r>
            <w:proofErr w:type="spellStart"/>
            <w:r>
              <w:t>DR90</w:t>
            </w:r>
            <w:proofErr w:type="spellEnd"/>
          </w:p>
        </w:tc>
      </w:tr>
      <w:tr w:rsidR="00AE4D5A" w:rsidTr="008E5E01">
        <w:tc>
          <w:tcPr>
            <w:tcW w:w="3791" w:type="pct"/>
            <w:shd w:val="clear" w:color="auto" w:fill="auto"/>
          </w:tcPr>
          <w:p w:rsidR="00AE4D5A" w:rsidRDefault="00AE4D5A" w:rsidP="008E5E01">
            <w:pPr>
              <w:pStyle w:val="TableBodyText"/>
              <w:ind w:right="0"/>
              <w:jc w:val="left"/>
            </w:pPr>
            <w:r>
              <w:t>Forestry Tasmania</w:t>
            </w:r>
          </w:p>
        </w:tc>
        <w:tc>
          <w:tcPr>
            <w:tcW w:w="1209" w:type="pct"/>
            <w:shd w:val="clear" w:color="auto" w:fill="auto"/>
          </w:tcPr>
          <w:p w:rsidR="00AE4D5A" w:rsidRDefault="00AE4D5A" w:rsidP="008E5E01">
            <w:pPr>
              <w:pStyle w:val="TableBodyText"/>
              <w:ind w:right="28"/>
            </w:pPr>
            <w:r>
              <w:t>37</w:t>
            </w:r>
          </w:p>
        </w:tc>
      </w:tr>
      <w:tr w:rsidR="00AE4D5A" w:rsidTr="008E5E01">
        <w:tc>
          <w:tcPr>
            <w:tcW w:w="3791" w:type="pct"/>
            <w:shd w:val="clear" w:color="auto" w:fill="auto"/>
          </w:tcPr>
          <w:p w:rsidR="00AE4D5A" w:rsidRDefault="00AE4D5A" w:rsidP="008E5E01">
            <w:pPr>
              <w:pStyle w:val="TableBodyText"/>
              <w:ind w:right="0"/>
              <w:jc w:val="left"/>
            </w:pPr>
            <w:r>
              <w:t>GA Cossar and Co Pty Ltd</w:t>
            </w:r>
          </w:p>
        </w:tc>
        <w:tc>
          <w:tcPr>
            <w:tcW w:w="1209" w:type="pct"/>
            <w:shd w:val="clear" w:color="auto" w:fill="auto"/>
          </w:tcPr>
          <w:p w:rsidR="00AE4D5A" w:rsidRDefault="00AE4D5A" w:rsidP="008E5E01">
            <w:pPr>
              <w:pStyle w:val="TableBodyText"/>
              <w:ind w:right="28"/>
            </w:pPr>
            <w:r>
              <w:t xml:space="preserve">7, </w:t>
            </w:r>
            <w:proofErr w:type="spellStart"/>
            <w:r>
              <w:t>DR82</w:t>
            </w:r>
            <w:proofErr w:type="spellEnd"/>
          </w:p>
        </w:tc>
      </w:tr>
      <w:tr w:rsidR="00AE4D5A" w:rsidTr="008E5E01">
        <w:tc>
          <w:tcPr>
            <w:tcW w:w="3791" w:type="pct"/>
            <w:shd w:val="clear" w:color="auto" w:fill="auto"/>
          </w:tcPr>
          <w:p w:rsidR="00AE4D5A" w:rsidRDefault="00AE4D5A" w:rsidP="008E5E01">
            <w:pPr>
              <w:pStyle w:val="TableBodyText"/>
              <w:ind w:right="0"/>
              <w:jc w:val="left"/>
            </w:pPr>
            <w:proofErr w:type="spellStart"/>
            <w:r>
              <w:t>Greenham</w:t>
            </w:r>
            <w:proofErr w:type="spellEnd"/>
            <w:r>
              <w:t xml:space="preserve"> Tasmania</w:t>
            </w:r>
            <w:r w:rsidR="0006460E">
              <w:t xml:space="preserve"> Pty Ltd</w:t>
            </w:r>
          </w:p>
        </w:tc>
        <w:tc>
          <w:tcPr>
            <w:tcW w:w="1209" w:type="pct"/>
            <w:shd w:val="clear" w:color="auto" w:fill="auto"/>
          </w:tcPr>
          <w:p w:rsidR="00AE4D5A" w:rsidRDefault="00AE4D5A" w:rsidP="008E5E01">
            <w:pPr>
              <w:pStyle w:val="TableBodyText"/>
              <w:ind w:right="28"/>
            </w:pPr>
            <w:proofErr w:type="spellStart"/>
            <w:r>
              <w:t>DR73</w:t>
            </w:r>
            <w:proofErr w:type="spellEnd"/>
          </w:p>
        </w:tc>
      </w:tr>
      <w:tr w:rsidR="00AE4D5A" w:rsidTr="008E5E01">
        <w:tc>
          <w:tcPr>
            <w:tcW w:w="3791" w:type="pct"/>
            <w:shd w:val="clear" w:color="auto" w:fill="auto"/>
          </w:tcPr>
          <w:p w:rsidR="00AE4D5A" w:rsidRDefault="00AE4D5A" w:rsidP="008E5E01">
            <w:pPr>
              <w:pStyle w:val="TableBodyText"/>
              <w:ind w:right="0"/>
              <w:jc w:val="left"/>
            </w:pPr>
            <w:r>
              <w:t>Harvest Moon</w:t>
            </w:r>
          </w:p>
        </w:tc>
        <w:tc>
          <w:tcPr>
            <w:tcW w:w="1209" w:type="pct"/>
            <w:shd w:val="clear" w:color="auto" w:fill="auto"/>
          </w:tcPr>
          <w:p w:rsidR="00AE4D5A" w:rsidRDefault="00AE4D5A" w:rsidP="008E5E01">
            <w:pPr>
              <w:pStyle w:val="TableBodyText"/>
              <w:ind w:right="28"/>
            </w:pPr>
            <w:r>
              <w:t>21</w:t>
            </w:r>
          </w:p>
        </w:tc>
      </w:tr>
      <w:tr w:rsidR="00AE4D5A" w:rsidTr="008E5E01">
        <w:tc>
          <w:tcPr>
            <w:tcW w:w="3791" w:type="pct"/>
            <w:shd w:val="clear" w:color="auto" w:fill="auto"/>
          </w:tcPr>
          <w:p w:rsidR="00AE4D5A" w:rsidRDefault="00AE4D5A" w:rsidP="008E5E01">
            <w:pPr>
              <w:pStyle w:val="TableBodyText"/>
              <w:ind w:right="0"/>
              <w:jc w:val="left"/>
            </w:pPr>
            <w:proofErr w:type="spellStart"/>
            <w:r>
              <w:t>Haywards</w:t>
            </w:r>
            <w:proofErr w:type="spellEnd"/>
            <w:r>
              <w:t xml:space="preserve"> Steel</w:t>
            </w:r>
          </w:p>
        </w:tc>
        <w:tc>
          <w:tcPr>
            <w:tcW w:w="1209" w:type="pct"/>
            <w:shd w:val="clear" w:color="auto" w:fill="auto"/>
          </w:tcPr>
          <w:p w:rsidR="00AE4D5A" w:rsidRDefault="00AE4D5A" w:rsidP="008E5E01">
            <w:pPr>
              <w:pStyle w:val="TableBodyText"/>
              <w:ind w:right="28"/>
            </w:pPr>
            <w:proofErr w:type="spellStart"/>
            <w:r>
              <w:t>DR95</w:t>
            </w:r>
            <w:proofErr w:type="spellEnd"/>
          </w:p>
        </w:tc>
      </w:tr>
      <w:tr w:rsidR="00AE4D5A" w:rsidTr="008E5E01">
        <w:tc>
          <w:tcPr>
            <w:tcW w:w="3791" w:type="pct"/>
            <w:shd w:val="clear" w:color="auto" w:fill="auto"/>
          </w:tcPr>
          <w:p w:rsidR="00AE4D5A" w:rsidRDefault="00AE4D5A" w:rsidP="008E5E01">
            <w:pPr>
              <w:pStyle w:val="TableBodyText"/>
              <w:ind w:right="0"/>
              <w:jc w:val="left"/>
            </w:pPr>
            <w:r>
              <w:t>Hobart Airport</w:t>
            </w:r>
          </w:p>
        </w:tc>
        <w:tc>
          <w:tcPr>
            <w:tcW w:w="1209" w:type="pct"/>
            <w:shd w:val="clear" w:color="auto" w:fill="auto"/>
          </w:tcPr>
          <w:p w:rsidR="00AE4D5A" w:rsidRDefault="00AE4D5A" w:rsidP="008E5E01">
            <w:pPr>
              <w:pStyle w:val="TableBodyText"/>
              <w:ind w:right="28"/>
            </w:pPr>
            <w:r>
              <w:t>46</w:t>
            </w:r>
          </w:p>
        </w:tc>
      </w:tr>
      <w:tr w:rsidR="00AE4D5A" w:rsidTr="008E5E01">
        <w:tc>
          <w:tcPr>
            <w:tcW w:w="3791" w:type="pct"/>
            <w:shd w:val="clear" w:color="auto" w:fill="auto"/>
          </w:tcPr>
          <w:p w:rsidR="00AE4D5A" w:rsidRDefault="00AE4D5A" w:rsidP="008E5E01">
            <w:pPr>
              <w:pStyle w:val="TableBodyText"/>
              <w:ind w:right="0"/>
              <w:jc w:val="left"/>
            </w:pPr>
            <w:r>
              <w:t>Institute of Public Affairs</w:t>
            </w:r>
          </w:p>
        </w:tc>
        <w:tc>
          <w:tcPr>
            <w:tcW w:w="1209" w:type="pct"/>
            <w:shd w:val="clear" w:color="auto" w:fill="auto"/>
          </w:tcPr>
          <w:p w:rsidR="00AE4D5A" w:rsidRDefault="00AE4D5A" w:rsidP="008E5E01">
            <w:pPr>
              <w:pStyle w:val="TableBodyText"/>
              <w:ind w:right="28"/>
            </w:pPr>
            <w:proofErr w:type="spellStart"/>
            <w:r>
              <w:t>DR65</w:t>
            </w:r>
            <w:proofErr w:type="spellEnd"/>
          </w:p>
        </w:tc>
      </w:tr>
      <w:tr w:rsidR="00AE4D5A" w:rsidTr="008E5E01">
        <w:tc>
          <w:tcPr>
            <w:tcW w:w="3791" w:type="pct"/>
            <w:shd w:val="clear" w:color="auto" w:fill="auto"/>
          </w:tcPr>
          <w:p w:rsidR="00AE4D5A" w:rsidRDefault="00AE4D5A" w:rsidP="008E5E01">
            <w:pPr>
              <w:pStyle w:val="TableBodyText"/>
              <w:ind w:right="0"/>
              <w:jc w:val="left"/>
            </w:pPr>
            <w:r>
              <w:t>JBS Australia Pty Ltd</w:t>
            </w:r>
          </w:p>
        </w:tc>
        <w:tc>
          <w:tcPr>
            <w:tcW w:w="1209" w:type="pct"/>
            <w:shd w:val="clear" w:color="auto" w:fill="auto"/>
          </w:tcPr>
          <w:p w:rsidR="00AE4D5A" w:rsidRDefault="00AE4D5A" w:rsidP="008E5E01">
            <w:pPr>
              <w:pStyle w:val="TableBodyText"/>
              <w:ind w:right="28"/>
            </w:pPr>
            <w:r>
              <w:t>49</w:t>
            </w:r>
          </w:p>
        </w:tc>
      </w:tr>
      <w:tr w:rsidR="00AE4D5A" w:rsidTr="008E5E01">
        <w:tc>
          <w:tcPr>
            <w:tcW w:w="3791" w:type="pct"/>
            <w:shd w:val="clear" w:color="auto" w:fill="auto"/>
          </w:tcPr>
          <w:p w:rsidR="00AE4D5A" w:rsidRDefault="00AE4D5A" w:rsidP="008E5E01">
            <w:pPr>
              <w:pStyle w:val="TableBodyText"/>
              <w:ind w:right="0"/>
              <w:jc w:val="left"/>
            </w:pPr>
            <w:r>
              <w:t>John Barker and Associates</w:t>
            </w:r>
          </w:p>
        </w:tc>
        <w:tc>
          <w:tcPr>
            <w:tcW w:w="1209" w:type="pct"/>
            <w:shd w:val="clear" w:color="auto" w:fill="auto"/>
          </w:tcPr>
          <w:p w:rsidR="00AE4D5A" w:rsidRDefault="00AE4D5A" w:rsidP="008E5E01">
            <w:pPr>
              <w:pStyle w:val="TableBodyText"/>
              <w:ind w:right="28"/>
            </w:pPr>
            <w:r>
              <w:t>44</w:t>
            </w:r>
          </w:p>
        </w:tc>
      </w:tr>
      <w:tr w:rsidR="00AE4D5A" w:rsidTr="008E5E01">
        <w:tc>
          <w:tcPr>
            <w:tcW w:w="3791" w:type="pct"/>
            <w:shd w:val="clear" w:color="auto" w:fill="auto"/>
          </w:tcPr>
          <w:p w:rsidR="00AE4D5A" w:rsidRDefault="00AE4D5A" w:rsidP="008E5E01">
            <w:pPr>
              <w:pStyle w:val="TableBodyText"/>
              <w:ind w:right="0"/>
              <w:jc w:val="left"/>
            </w:pPr>
            <w:r>
              <w:t>Kelp Industries Pty Ltd</w:t>
            </w:r>
          </w:p>
        </w:tc>
        <w:tc>
          <w:tcPr>
            <w:tcW w:w="1209" w:type="pct"/>
            <w:shd w:val="clear" w:color="auto" w:fill="auto"/>
          </w:tcPr>
          <w:p w:rsidR="00AE4D5A" w:rsidRDefault="00AE4D5A" w:rsidP="008E5E01">
            <w:pPr>
              <w:pStyle w:val="TableBodyText"/>
              <w:ind w:right="28"/>
            </w:pPr>
            <w:r>
              <w:t>4</w:t>
            </w:r>
          </w:p>
        </w:tc>
      </w:tr>
      <w:tr w:rsidR="00AE4D5A" w:rsidTr="008E5E01">
        <w:tc>
          <w:tcPr>
            <w:tcW w:w="3791" w:type="pct"/>
            <w:shd w:val="clear" w:color="auto" w:fill="auto"/>
          </w:tcPr>
          <w:p w:rsidR="00AE4D5A" w:rsidRDefault="00AE4D5A" w:rsidP="008E5E01">
            <w:pPr>
              <w:pStyle w:val="TableBodyText"/>
              <w:ind w:right="0"/>
              <w:jc w:val="left"/>
            </w:pPr>
            <w:r>
              <w:t>King Island Beef Producers Group</w:t>
            </w:r>
          </w:p>
        </w:tc>
        <w:tc>
          <w:tcPr>
            <w:tcW w:w="1209" w:type="pct"/>
            <w:shd w:val="clear" w:color="auto" w:fill="auto"/>
          </w:tcPr>
          <w:p w:rsidR="00AE4D5A" w:rsidRDefault="00AE4D5A" w:rsidP="008E5E01">
            <w:pPr>
              <w:pStyle w:val="TableBodyText"/>
              <w:ind w:right="28"/>
            </w:pPr>
            <w:r>
              <w:t>15</w:t>
            </w:r>
          </w:p>
        </w:tc>
      </w:tr>
      <w:tr w:rsidR="00AE4D5A" w:rsidTr="008E5E01">
        <w:tc>
          <w:tcPr>
            <w:tcW w:w="3791" w:type="pct"/>
            <w:shd w:val="clear" w:color="auto" w:fill="auto"/>
          </w:tcPr>
          <w:p w:rsidR="00AE4D5A" w:rsidRDefault="00AE4D5A" w:rsidP="008E5E01">
            <w:pPr>
              <w:pStyle w:val="TableBodyText"/>
              <w:ind w:right="0"/>
              <w:jc w:val="left"/>
            </w:pPr>
            <w:r>
              <w:t>King Island Shipping Group</w:t>
            </w:r>
          </w:p>
        </w:tc>
        <w:tc>
          <w:tcPr>
            <w:tcW w:w="1209" w:type="pct"/>
            <w:shd w:val="clear" w:color="auto" w:fill="auto"/>
          </w:tcPr>
          <w:p w:rsidR="00AE4D5A" w:rsidRDefault="00AE4D5A" w:rsidP="008E5E01">
            <w:pPr>
              <w:pStyle w:val="TableBodyText"/>
              <w:ind w:right="28"/>
            </w:pPr>
            <w:r>
              <w:t>19</w:t>
            </w:r>
          </w:p>
        </w:tc>
      </w:tr>
      <w:tr w:rsidR="00AE4D5A" w:rsidTr="008E5E01">
        <w:tc>
          <w:tcPr>
            <w:tcW w:w="3791" w:type="pct"/>
            <w:shd w:val="clear" w:color="auto" w:fill="auto"/>
          </w:tcPr>
          <w:p w:rsidR="00AE4D5A" w:rsidRDefault="00AE4D5A" w:rsidP="008E5E01">
            <w:pPr>
              <w:pStyle w:val="TableBodyText"/>
              <w:ind w:right="0"/>
              <w:jc w:val="left"/>
            </w:pPr>
            <w:r>
              <w:t>Launceston Airport</w:t>
            </w:r>
          </w:p>
        </w:tc>
        <w:tc>
          <w:tcPr>
            <w:tcW w:w="1209" w:type="pct"/>
            <w:shd w:val="clear" w:color="auto" w:fill="auto"/>
          </w:tcPr>
          <w:p w:rsidR="00AE4D5A" w:rsidRDefault="00AE4D5A" w:rsidP="008E5E01">
            <w:pPr>
              <w:pStyle w:val="TableBodyText"/>
              <w:ind w:right="28"/>
            </w:pPr>
            <w:r>
              <w:t>25</w:t>
            </w:r>
          </w:p>
        </w:tc>
      </w:tr>
      <w:tr w:rsidR="00AE4D5A" w:rsidTr="008E5E01">
        <w:tc>
          <w:tcPr>
            <w:tcW w:w="3791" w:type="pct"/>
            <w:shd w:val="clear" w:color="auto" w:fill="auto"/>
          </w:tcPr>
          <w:p w:rsidR="00AE4D5A" w:rsidRDefault="00AE4D5A" w:rsidP="008E5E01">
            <w:pPr>
              <w:pStyle w:val="TableBodyText"/>
              <w:ind w:right="0"/>
              <w:jc w:val="left"/>
            </w:pPr>
            <w:r>
              <w:t>Launceston Chamber of Commerce</w:t>
            </w:r>
          </w:p>
        </w:tc>
        <w:tc>
          <w:tcPr>
            <w:tcW w:w="1209" w:type="pct"/>
            <w:shd w:val="clear" w:color="auto" w:fill="auto"/>
          </w:tcPr>
          <w:p w:rsidR="00AE4D5A" w:rsidRDefault="00AE4D5A" w:rsidP="008E5E01">
            <w:pPr>
              <w:pStyle w:val="TableBodyText"/>
              <w:ind w:right="28"/>
            </w:pPr>
            <w:proofErr w:type="spellStart"/>
            <w:r>
              <w:t>DR70</w:t>
            </w:r>
            <w:proofErr w:type="spellEnd"/>
          </w:p>
        </w:tc>
      </w:tr>
      <w:tr w:rsidR="00AE4D5A" w:rsidTr="008E5E01">
        <w:tc>
          <w:tcPr>
            <w:tcW w:w="3791" w:type="pct"/>
            <w:tcBorders>
              <w:bottom w:val="single" w:sz="4" w:space="0" w:color="auto"/>
            </w:tcBorders>
            <w:shd w:val="clear" w:color="auto" w:fill="auto"/>
          </w:tcPr>
          <w:p w:rsidR="00AE4D5A" w:rsidRDefault="00AE4D5A" w:rsidP="008E5E01">
            <w:pPr>
              <w:pStyle w:val="TableBodyText"/>
              <w:ind w:right="0"/>
              <w:jc w:val="left"/>
            </w:pPr>
            <w:proofErr w:type="spellStart"/>
            <w:r>
              <w:t>Lindblad</w:t>
            </w:r>
            <w:proofErr w:type="spellEnd"/>
            <w:r>
              <w:t xml:space="preserve"> Expeditions</w:t>
            </w:r>
          </w:p>
        </w:tc>
        <w:tc>
          <w:tcPr>
            <w:tcW w:w="1209" w:type="pct"/>
            <w:tcBorders>
              <w:bottom w:val="single" w:sz="4" w:space="0" w:color="auto"/>
            </w:tcBorders>
            <w:shd w:val="clear" w:color="auto" w:fill="auto"/>
          </w:tcPr>
          <w:p w:rsidR="00AE4D5A" w:rsidRDefault="00AE4D5A" w:rsidP="008E5E01">
            <w:pPr>
              <w:pStyle w:val="TableBodyText"/>
              <w:ind w:right="28"/>
            </w:pPr>
            <w:r>
              <w:t>1</w:t>
            </w:r>
          </w:p>
        </w:tc>
      </w:tr>
    </w:tbl>
    <w:p w:rsidR="00AE4D5A" w:rsidRDefault="00AE4D5A" w:rsidP="008E5E01">
      <w:pPr>
        <w:pStyle w:val="Continued"/>
      </w:pPr>
      <w:r>
        <w:t>(Continued next page)</w:t>
      </w:r>
    </w:p>
    <w:p w:rsidR="00AE4D5A" w:rsidRPr="002B3A07" w:rsidRDefault="00AE4D5A" w:rsidP="008E5E01">
      <w:pPr>
        <w:pStyle w:val="TableTitle"/>
        <w:rPr>
          <w:b w:val="0"/>
          <w:sz w:val="18"/>
          <w:szCs w:val="18"/>
        </w:rPr>
      </w:pPr>
      <w:r>
        <w:rPr>
          <w:b w:val="0"/>
        </w:rPr>
        <w:lastRenderedPageBreak/>
        <w:t xml:space="preserve">Table </w:t>
      </w:r>
      <w:proofErr w:type="spellStart"/>
      <w:r w:rsidRPr="00D444B6">
        <w:rPr>
          <w:b w:val="0"/>
        </w:rPr>
        <w:t>A</w:t>
      </w:r>
      <w:r>
        <w:rPr>
          <w:b w:val="0"/>
        </w:rPr>
        <w:t>.</w:t>
      </w:r>
      <w:r w:rsidRPr="00D444B6">
        <w:rPr>
          <w:b w:val="0"/>
        </w:rPr>
        <w:t>1</w:t>
      </w:r>
      <w:proofErr w:type="spellEnd"/>
      <w:r>
        <w:rPr>
          <w:b w:val="0"/>
        </w:rPr>
        <w:tab/>
      </w:r>
      <w:r w:rsidRPr="00D444B6">
        <w:rPr>
          <w:b w:val="0"/>
        </w:rPr>
        <w:t xml:space="preserve"> </w:t>
      </w:r>
      <w:r w:rsidRPr="002B3A07">
        <w:rPr>
          <w:b w:val="0"/>
          <w:sz w:val="18"/>
          <w:szCs w:val="18"/>
        </w:rPr>
        <w:t>(continued)</w:t>
      </w:r>
    </w:p>
    <w:tbl>
      <w:tblPr>
        <w:tblW w:w="5000" w:type="pct"/>
        <w:tblCellMar>
          <w:left w:w="0" w:type="dxa"/>
          <w:right w:w="0" w:type="dxa"/>
        </w:tblCellMar>
        <w:tblLook w:val="0000" w:firstRow="0" w:lastRow="0" w:firstColumn="0" w:lastColumn="0" w:noHBand="0" w:noVBand="0"/>
      </w:tblPr>
      <w:tblGrid>
        <w:gridCol w:w="6096"/>
        <w:gridCol w:w="2693"/>
      </w:tblGrid>
      <w:tr w:rsidR="00AE4D5A" w:rsidTr="008E5E01">
        <w:tc>
          <w:tcPr>
            <w:tcW w:w="3468" w:type="pct"/>
            <w:tcBorders>
              <w:top w:val="single" w:sz="6" w:space="0" w:color="auto"/>
              <w:bottom w:val="single" w:sz="6" w:space="0" w:color="auto"/>
            </w:tcBorders>
            <w:shd w:val="clear" w:color="auto" w:fill="auto"/>
          </w:tcPr>
          <w:p w:rsidR="00AE4D5A" w:rsidRDefault="00AE4D5A" w:rsidP="008E5E01">
            <w:pPr>
              <w:pStyle w:val="TableColumnHeading"/>
              <w:ind w:right="0"/>
              <w:jc w:val="left"/>
            </w:pPr>
            <w:r>
              <w:t>Participant</w:t>
            </w:r>
          </w:p>
        </w:tc>
        <w:tc>
          <w:tcPr>
            <w:tcW w:w="1532" w:type="pct"/>
            <w:tcBorders>
              <w:top w:val="single" w:sz="6" w:space="0" w:color="auto"/>
              <w:bottom w:val="single" w:sz="6" w:space="0" w:color="auto"/>
            </w:tcBorders>
            <w:shd w:val="clear" w:color="auto" w:fill="auto"/>
          </w:tcPr>
          <w:p w:rsidR="00AE4D5A" w:rsidRDefault="00AE4D5A" w:rsidP="008E5E01">
            <w:pPr>
              <w:pStyle w:val="TableColumnHeading"/>
              <w:ind w:right="28"/>
            </w:pPr>
            <w:r>
              <w:t>Submission No</w:t>
            </w:r>
          </w:p>
        </w:tc>
      </w:tr>
      <w:tr w:rsidR="00AE4D5A" w:rsidTr="008E5E01">
        <w:tc>
          <w:tcPr>
            <w:tcW w:w="3468" w:type="pct"/>
            <w:shd w:val="clear" w:color="auto" w:fill="auto"/>
          </w:tcPr>
          <w:p w:rsidR="00AE4D5A" w:rsidRDefault="00AE4D5A" w:rsidP="008E5E01">
            <w:pPr>
              <w:pStyle w:val="TableBodyText"/>
              <w:spacing w:before="40"/>
              <w:ind w:right="0"/>
              <w:jc w:val="left"/>
            </w:pPr>
            <w:r>
              <w:t>Maritime Union of Australia</w:t>
            </w:r>
          </w:p>
        </w:tc>
        <w:tc>
          <w:tcPr>
            <w:tcW w:w="1532" w:type="pct"/>
            <w:shd w:val="clear" w:color="auto" w:fill="auto"/>
          </w:tcPr>
          <w:p w:rsidR="00AE4D5A" w:rsidRDefault="00AE4D5A" w:rsidP="008E5E01">
            <w:pPr>
              <w:pStyle w:val="TableBodyText"/>
              <w:spacing w:before="40"/>
              <w:ind w:right="28"/>
            </w:pPr>
            <w:r>
              <w:t xml:space="preserve">32, </w:t>
            </w:r>
            <w:proofErr w:type="spellStart"/>
            <w:r>
              <w:t>DR89</w:t>
            </w:r>
            <w:proofErr w:type="spellEnd"/>
          </w:p>
        </w:tc>
      </w:tr>
      <w:tr w:rsidR="00AE4D5A" w:rsidTr="008E5E01">
        <w:tc>
          <w:tcPr>
            <w:tcW w:w="3468" w:type="pct"/>
            <w:shd w:val="clear" w:color="auto" w:fill="auto"/>
          </w:tcPr>
          <w:p w:rsidR="00AE4D5A" w:rsidRDefault="00AE4D5A" w:rsidP="008E5E01">
            <w:pPr>
              <w:pStyle w:val="TableBodyText"/>
              <w:ind w:right="0"/>
              <w:jc w:val="left"/>
            </w:pPr>
            <w:r>
              <w:t>McDonald, Greg</w:t>
            </w:r>
          </w:p>
        </w:tc>
        <w:tc>
          <w:tcPr>
            <w:tcW w:w="1532" w:type="pct"/>
            <w:shd w:val="clear" w:color="auto" w:fill="auto"/>
          </w:tcPr>
          <w:p w:rsidR="00AE4D5A" w:rsidRDefault="00AE4D5A" w:rsidP="008E5E01">
            <w:pPr>
              <w:pStyle w:val="TableBodyText"/>
              <w:ind w:right="28"/>
            </w:pPr>
            <w:r>
              <w:t>5</w:t>
            </w:r>
          </w:p>
        </w:tc>
      </w:tr>
      <w:tr w:rsidR="00AE4D5A" w:rsidTr="008E5E01">
        <w:tc>
          <w:tcPr>
            <w:tcW w:w="3468" w:type="pct"/>
            <w:shd w:val="clear" w:color="auto" w:fill="auto"/>
          </w:tcPr>
          <w:p w:rsidR="00AE4D5A" w:rsidRDefault="00AE4D5A" w:rsidP="008E5E01">
            <w:pPr>
              <w:pStyle w:val="TableBodyText"/>
              <w:ind w:right="0"/>
              <w:jc w:val="left"/>
            </w:pPr>
            <w:r>
              <w:t>McNamara, Patrick</w:t>
            </w:r>
          </w:p>
        </w:tc>
        <w:tc>
          <w:tcPr>
            <w:tcW w:w="1532" w:type="pct"/>
            <w:shd w:val="clear" w:color="auto" w:fill="auto"/>
          </w:tcPr>
          <w:p w:rsidR="00AE4D5A" w:rsidRDefault="00AE4D5A" w:rsidP="008E5E01">
            <w:pPr>
              <w:pStyle w:val="TableBodyText"/>
              <w:ind w:right="28"/>
            </w:pPr>
            <w:proofErr w:type="spellStart"/>
            <w:r>
              <w:t>DR106</w:t>
            </w:r>
            <w:proofErr w:type="spellEnd"/>
          </w:p>
        </w:tc>
      </w:tr>
      <w:tr w:rsidR="00AE4D5A" w:rsidTr="008E5E01">
        <w:tc>
          <w:tcPr>
            <w:tcW w:w="3468" w:type="pct"/>
            <w:shd w:val="clear" w:color="auto" w:fill="auto"/>
          </w:tcPr>
          <w:p w:rsidR="00AE4D5A" w:rsidRDefault="00AE4D5A" w:rsidP="0006460E">
            <w:pPr>
              <w:pStyle w:val="TableBodyText"/>
              <w:ind w:right="0"/>
              <w:jc w:val="left"/>
            </w:pPr>
            <w:r>
              <w:t xml:space="preserve">Mondelez </w:t>
            </w:r>
            <w:r w:rsidR="0006460E">
              <w:t>Australia Pty Ltd</w:t>
            </w:r>
          </w:p>
        </w:tc>
        <w:tc>
          <w:tcPr>
            <w:tcW w:w="1532" w:type="pct"/>
            <w:shd w:val="clear" w:color="auto" w:fill="auto"/>
          </w:tcPr>
          <w:p w:rsidR="00AE4D5A" w:rsidRDefault="00AE4D5A" w:rsidP="008E5E01">
            <w:pPr>
              <w:pStyle w:val="TableBodyText"/>
              <w:ind w:right="28"/>
            </w:pPr>
            <w:r>
              <w:t>24, DR98</w:t>
            </w:r>
          </w:p>
        </w:tc>
      </w:tr>
      <w:tr w:rsidR="00AE4D5A" w:rsidTr="008E5E01">
        <w:tc>
          <w:tcPr>
            <w:tcW w:w="3468" w:type="pct"/>
            <w:shd w:val="clear" w:color="auto" w:fill="auto"/>
          </w:tcPr>
          <w:p w:rsidR="00AE4D5A" w:rsidRDefault="00AE4D5A" w:rsidP="008E5E01">
            <w:pPr>
              <w:pStyle w:val="TableBodyText"/>
              <w:ind w:right="0"/>
              <w:jc w:val="left"/>
            </w:pPr>
            <w:proofErr w:type="spellStart"/>
            <w:r>
              <w:t>na</w:t>
            </w:r>
            <w:proofErr w:type="spellEnd"/>
            <w:r>
              <w:t xml:space="preserve"> </w:t>
            </w:r>
            <w:proofErr w:type="spellStart"/>
            <w:r>
              <w:t>Champassak</w:t>
            </w:r>
            <w:proofErr w:type="spellEnd"/>
            <w:r>
              <w:t>, Phil</w:t>
            </w:r>
          </w:p>
        </w:tc>
        <w:tc>
          <w:tcPr>
            <w:tcW w:w="1532" w:type="pct"/>
            <w:shd w:val="clear" w:color="auto" w:fill="auto"/>
          </w:tcPr>
          <w:p w:rsidR="00AE4D5A" w:rsidRDefault="00AE4D5A" w:rsidP="008E5E01">
            <w:pPr>
              <w:pStyle w:val="TableBodyText"/>
              <w:ind w:right="28"/>
            </w:pPr>
            <w:r>
              <w:t>51</w:t>
            </w:r>
          </w:p>
        </w:tc>
      </w:tr>
      <w:tr w:rsidR="00AE4D5A" w:rsidTr="008E5E01">
        <w:tc>
          <w:tcPr>
            <w:tcW w:w="3468" w:type="pct"/>
            <w:shd w:val="clear" w:color="auto" w:fill="auto"/>
          </w:tcPr>
          <w:p w:rsidR="00AE4D5A" w:rsidRDefault="00AE4D5A" w:rsidP="008E5E01">
            <w:pPr>
              <w:pStyle w:val="TableBodyText"/>
              <w:ind w:right="0"/>
              <w:jc w:val="left"/>
            </w:pPr>
            <w:r>
              <w:t>Napier, Don</w:t>
            </w:r>
          </w:p>
        </w:tc>
        <w:tc>
          <w:tcPr>
            <w:tcW w:w="1532" w:type="pct"/>
            <w:shd w:val="clear" w:color="auto" w:fill="auto"/>
          </w:tcPr>
          <w:p w:rsidR="00AE4D5A" w:rsidRDefault="00AE4D5A" w:rsidP="008E5E01">
            <w:pPr>
              <w:pStyle w:val="TableBodyText"/>
              <w:ind w:right="28"/>
            </w:pPr>
            <w:r>
              <w:t xml:space="preserve">61, </w:t>
            </w:r>
            <w:proofErr w:type="spellStart"/>
            <w:r>
              <w:t>DR66</w:t>
            </w:r>
            <w:proofErr w:type="spellEnd"/>
          </w:p>
        </w:tc>
      </w:tr>
      <w:tr w:rsidR="00AE4D5A" w:rsidTr="008E5E01">
        <w:tc>
          <w:tcPr>
            <w:tcW w:w="3468" w:type="pct"/>
            <w:shd w:val="clear" w:color="auto" w:fill="auto"/>
          </w:tcPr>
          <w:p w:rsidR="00AE4D5A" w:rsidRDefault="00AE4D5A" w:rsidP="008E5E01">
            <w:pPr>
              <w:pStyle w:val="TableBodyText"/>
              <w:ind w:right="0"/>
              <w:jc w:val="left"/>
            </w:pPr>
            <w:r>
              <w:t>National Public Lobby</w:t>
            </w:r>
          </w:p>
        </w:tc>
        <w:tc>
          <w:tcPr>
            <w:tcW w:w="1532" w:type="pct"/>
            <w:shd w:val="clear" w:color="auto" w:fill="auto"/>
          </w:tcPr>
          <w:p w:rsidR="00AE4D5A" w:rsidRDefault="00AE4D5A" w:rsidP="008E5E01">
            <w:pPr>
              <w:pStyle w:val="TableBodyText"/>
              <w:ind w:right="28"/>
            </w:pPr>
            <w:r>
              <w:t xml:space="preserve">2, 52, </w:t>
            </w:r>
            <w:proofErr w:type="spellStart"/>
            <w:r>
              <w:t>DR113</w:t>
            </w:r>
            <w:proofErr w:type="spellEnd"/>
          </w:p>
        </w:tc>
      </w:tr>
      <w:tr w:rsidR="00AE4D5A" w:rsidTr="008E5E01">
        <w:tc>
          <w:tcPr>
            <w:tcW w:w="3468" w:type="pct"/>
            <w:shd w:val="clear" w:color="auto" w:fill="auto"/>
          </w:tcPr>
          <w:p w:rsidR="00AE4D5A" w:rsidRDefault="00AE4D5A" w:rsidP="008E5E01">
            <w:pPr>
              <w:pStyle w:val="TableBodyText"/>
              <w:ind w:right="0"/>
              <w:jc w:val="left"/>
            </w:pPr>
            <w:r>
              <w:t>National Sea Highway</w:t>
            </w:r>
          </w:p>
        </w:tc>
        <w:tc>
          <w:tcPr>
            <w:tcW w:w="1532" w:type="pct"/>
            <w:shd w:val="clear" w:color="auto" w:fill="auto"/>
          </w:tcPr>
          <w:p w:rsidR="00AE4D5A" w:rsidRDefault="00AE4D5A" w:rsidP="008E5E01">
            <w:pPr>
              <w:pStyle w:val="TableBodyText"/>
              <w:ind w:right="28"/>
            </w:pPr>
            <w:r>
              <w:t xml:space="preserve">54, </w:t>
            </w:r>
            <w:proofErr w:type="spellStart"/>
            <w:r>
              <w:t>DR102</w:t>
            </w:r>
            <w:proofErr w:type="spellEnd"/>
            <w:r>
              <w:t xml:space="preserve">, </w:t>
            </w:r>
            <w:proofErr w:type="spellStart"/>
            <w:r>
              <w:t>DR109</w:t>
            </w:r>
            <w:proofErr w:type="spellEnd"/>
            <w:r>
              <w:t xml:space="preserve">, </w:t>
            </w:r>
            <w:proofErr w:type="spellStart"/>
            <w:r>
              <w:t>DR112</w:t>
            </w:r>
            <w:proofErr w:type="spellEnd"/>
          </w:p>
        </w:tc>
      </w:tr>
      <w:tr w:rsidR="00AE4D5A" w:rsidTr="008E5E01">
        <w:tc>
          <w:tcPr>
            <w:tcW w:w="3468" w:type="pct"/>
            <w:shd w:val="clear" w:color="auto" w:fill="auto"/>
          </w:tcPr>
          <w:p w:rsidR="00AE4D5A" w:rsidRDefault="00AE4D5A" w:rsidP="008E5E01">
            <w:pPr>
              <w:pStyle w:val="TableBodyText"/>
              <w:ind w:right="0"/>
              <w:jc w:val="left"/>
            </w:pPr>
            <w:r>
              <w:t>National Sea Highway Coalition – Tasmanian Division</w:t>
            </w:r>
          </w:p>
        </w:tc>
        <w:tc>
          <w:tcPr>
            <w:tcW w:w="1532" w:type="pct"/>
            <w:shd w:val="clear" w:color="auto" w:fill="auto"/>
          </w:tcPr>
          <w:p w:rsidR="00AE4D5A" w:rsidRDefault="00AE4D5A" w:rsidP="008E5E01">
            <w:pPr>
              <w:pStyle w:val="TableBodyText"/>
              <w:ind w:right="28"/>
            </w:pPr>
            <w:r>
              <w:t>34</w:t>
            </w:r>
          </w:p>
        </w:tc>
      </w:tr>
      <w:tr w:rsidR="00AE4D5A" w:rsidTr="008E5E01">
        <w:tc>
          <w:tcPr>
            <w:tcW w:w="3468" w:type="pct"/>
            <w:shd w:val="clear" w:color="auto" w:fill="auto"/>
          </w:tcPr>
          <w:p w:rsidR="00AE4D5A" w:rsidRDefault="00AE4D5A" w:rsidP="008E5E01">
            <w:pPr>
              <w:pStyle w:val="TableBodyText"/>
              <w:ind w:right="0"/>
              <w:jc w:val="left"/>
            </w:pPr>
            <w:proofErr w:type="spellStart"/>
            <w:r>
              <w:t>Nekon</w:t>
            </w:r>
            <w:proofErr w:type="spellEnd"/>
            <w:r>
              <w:t xml:space="preserve"> Pty Ltd</w:t>
            </w:r>
          </w:p>
        </w:tc>
        <w:tc>
          <w:tcPr>
            <w:tcW w:w="1532" w:type="pct"/>
            <w:shd w:val="clear" w:color="auto" w:fill="auto"/>
          </w:tcPr>
          <w:p w:rsidR="00AE4D5A" w:rsidRDefault="00AE4D5A" w:rsidP="008E5E01">
            <w:pPr>
              <w:pStyle w:val="TableBodyText"/>
              <w:ind w:right="28"/>
            </w:pPr>
            <w:proofErr w:type="spellStart"/>
            <w:r>
              <w:t>DR69</w:t>
            </w:r>
            <w:proofErr w:type="spellEnd"/>
          </w:p>
        </w:tc>
      </w:tr>
      <w:tr w:rsidR="00AE4D5A" w:rsidTr="008E5E01">
        <w:tc>
          <w:tcPr>
            <w:tcW w:w="3468" w:type="pct"/>
            <w:shd w:val="clear" w:color="auto" w:fill="auto"/>
          </w:tcPr>
          <w:p w:rsidR="00AE4D5A" w:rsidRDefault="00AE4D5A" w:rsidP="008E5E01">
            <w:pPr>
              <w:pStyle w:val="TableBodyText"/>
              <w:ind w:right="0"/>
              <w:jc w:val="left"/>
            </w:pPr>
            <w:r>
              <w:t>Net Sea Freight – Tasmania Pty Ltd</w:t>
            </w:r>
          </w:p>
        </w:tc>
        <w:tc>
          <w:tcPr>
            <w:tcW w:w="1532" w:type="pct"/>
            <w:shd w:val="clear" w:color="auto" w:fill="auto"/>
          </w:tcPr>
          <w:p w:rsidR="00AE4D5A" w:rsidRDefault="00AE4D5A" w:rsidP="008E5E01">
            <w:pPr>
              <w:pStyle w:val="TableBodyText"/>
              <w:ind w:right="28"/>
            </w:pPr>
            <w:r>
              <w:t xml:space="preserve">26, </w:t>
            </w:r>
            <w:proofErr w:type="spellStart"/>
            <w:r>
              <w:t>DR75</w:t>
            </w:r>
            <w:proofErr w:type="spellEnd"/>
          </w:p>
        </w:tc>
      </w:tr>
      <w:tr w:rsidR="00AE4D5A" w:rsidTr="008E5E01">
        <w:tc>
          <w:tcPr>
            <w:tcW w:w="3468" w:type="pct"/>
            <w:shd w:val="clear" w:color="auto" w:fill="auto"/>
          </w:tcPr>
          <w:p w:rsidR="00AE4D5A" w:rsidRDefault="00AE4D5A" w:rsidP="008E5E01">
            <w:pPr>
              <w:pStyle w:val="TableBodyText"/>
              <w:ind w:right="0"/>
              <w:jc w:val="left"/>
            </w:pPr>
            <w:r>
              <w:t>Norske Skog Boyer Mill</w:t>
            </w:r>
          </w:p>
        </w:tc>
        <w:tc>
          <w:tcPr>
            <w:tcW w:w="1532" w:type="pct"/>
            <w:shd w:val="clear" w:color="auto" w:fill="auto"/>
          </w:tcPr>
          <w:p w:rsidR="00AE4D5A" w:rsidRDefault="00AE4D5A" w:rsidP="008E5E01">
            <w:pPr>
              <w:pStyle w:val="TableBodyText"/>
              <w:ind w:right="28"/>
            </w:pPr>
            <w:r>
              <w:t xml:space="preserve">39, </w:t>
            </w:r>
            <w:proofErr w:type="spellStart"/>
            <w:r>
              <w:t>DR67</w:t>
            </w:r>
            <w:proofErr w:type="spellEnd"/>
            <w:r>
              <w:t xml:space="preserve">, </w:t>
            </w:r>
            <w:proofErr w:type="spellStart"/>
            <w:r>
              <w:t>DR110</w:t>
            </w:r>
            <w:proofErr w:type="spellEnd"/>
          </w:p>
        </w:tc>
      </w:tr>
      <w:tr w:rsidR="00AE4D5A" w:rsidTr="008E5E01">
        <w:tc>
          <w:tcPr>
            <w:tcW w:w="3468" w:type="pct"/>
            <w:shd w:val="clear" w:color="auto" w:fill="auto"/>
          </w:tcPr>
          <w:p w:rsidR="00AE4D5A" w:rsidRDefault="00AE4D5A" w:rsidP="008E5E01">
            <w:pPr>
              <w:pStyle w:val="TableBodyText"/>
              <w:ind w:right="0"/>
              <w:jc w:val="left"/>
            </w:pPr>
            <w:r>
              <w:t>Northern Tasmania Development</w:t>
            </w:r>
          </w:p>
        </w:tc>
        <w:tc>
          <w:tcPr>
            <w:tcW w:w="1532" w:type="pct"/>
            <w:shd w:val="clear" w:color="auto" w:fill="auto"/>
          </w:tcPr>
          <w:p w:rsidR="00AE4D5A" w:rsidRDefault="00AE4D5A" w:rsidP="008E5E01">
            <w:pPr>
              <w:pStyle w:val="TableBodyText"/>
              <w:ind w:right="28"/>
            </w:pPr>
            <w:r>
              <w:t xml:space="preserve">27, </w:t>
            </w:r>
            <w:proofErr w:type="spellStart"/>
            <w:r>
              <w:t>DR93</w:t>
            </w:r>
            <w:proofErr w:type="spellEnd"/>
          </w:p>
        </w:tc>
      </w:tr>
      <w:tr w:rsidR="00AE4D5A" w:rsidTr="008E5E01">
        <w:tc>
          <w:tcPr>
            <w:tcW w:w="3468" w:type="pct"/>
            <w:shd w:val="clear" w:color="auto" w:fill="auto"/>
          </w:tcPr>
          <w:p w:rsidR="00AE4D5A" w:rsidRDefault="00AE4D5A" w:rsidP="008E5E01">
            <w:pPr>
              <w:pStyle w:val="TableBodyText"/>
              <w:ind w:right="0"/>
              <w:jc w:val="left"/>
            </w:pPr>
            <w:proofErr w:type="spellStart"/>
            <w:r>
              <w:t>Nyrstar</w:t>
            </w:r>
            <w:proofErr w:type="spellEnd"/>
          </w:p>
        </w:tc>
        <w:tc>
          <w:tcPr>
            <w:tcW w:w="1532" w:type="pct"/>
            <w:shd w:val="clear" w:color="auto" w:fill="auto"/>
          </w:tcPr>
          <w:p w:rsidR="00AE4D5A" w:rsidRDefault="00AE4D5A" w:rsidP="008E5E01">
            <w:pPr>
              <w:pStyle w:val="TableBodyText"/>
              <w:ind w:right="28"/>
            </w:pPr>
            <w:proofErr w:type="spellStart"/>
            <w:r>
              <w:t>DR105</w:t>
            </w:r>
            <w:proofErr w:type="spellEnd"/>
          </w:p>
        </w:tc>
      </w:tr>
      <w:tr w:rsidR="00AE4D5A" w:rsidTr="008E5E01">
        <w:tc>
          <w:tcPr>
            <w:tcW w:w="3468" w:type="pct"/>
            <w:shd w:val="clear" w:color="auto" w:fill="auto"/>
          </w:tcPr>
          <w:p w:rsidR="00AE4D5A" w:rsidRDefault="00AE4D5A" w:rsidP="008E5E01">
            <w:pPr>
              <w:pStyle w:val="TableBodyText"/>
              <w:ind w:right="0"/>
              <w:jc w:val="left"/>
            </w:pPr>
            <w:r>
              <w:t>Regional Development Australia – Tasmania</w:t>
            </w:r>
          </w:p>
        </w:tc>
        <w:tc>
          <w:tcPr>
            <w:tcW w:w="1532" w:type="pct"/>
            <w:shd w:val="clear" w:color="auto" w:fill="auto"/>
          </w:tcPr>
          <w:p w:rsidR="00AE4D5A" w:rsidRDefault="00AE4D5A" w:rsidP="008E5E01">
            <w:pPr>
              <w:pStyle w:val="TableBodyText"/>
              <w:ind w:right="28"/>
            </w:pPr>
            <w:r>
              <w:t>17</w:t>
            </w:r>
          </w:p>
        </w:tc>
      </w:tr>
      <w:tr w:rsidR="00AE4D5A" w:rsidTr="008E5E01">
        <w:tc>
          <w:tcPr>
            <w:tcW w:w="3468" w:type="pct"/>
            <w:shd w:val="clear" w:color="auto" w:fill="auto"/>
          </w:tcPr>
          <w:p w:rsidR="00AE4D5A" w:rsidRDefault="00AE4D5A" w:rsidP="008E5E01">
            <w:pPr>
              <w:pStyle w:val="TableBodyText"/>
              <w:ind w:right="0"/>
              <w:jc w:val="left"/>
            </w:pPr>
            <w:r>
              <w:t>SeaRoad Holdings Pty Ltd</w:t>
            </w:r>
          </w:p>
        </w:tc>
        <w:tc>
          <w:tcPr>
            <w:tcW w:w="1532" w:type="pct"/>
            <w:shd w:val="clear" w:color="auto" w:fill="auto"/>
          </w:tcPr>
          <w:p w:rsidR="00AE4D5A" w:rsidRDefault="00AE4D5A" w:rsidP="008E5E01">
            <w:pPr>
              <w:pStyle w:val="TableBodyText"/>
              <w:ind w:right="28"/>
            </w:pPr>
            <w:r>
              <w:t xml:space="preserve">35, </w:t>
            </w:r>
            <w:proofErr w:type="spellStart"/>
            <w:r>
              <w:t>DR81</w:t>
            </w:r>
            <w:proofErr w:type="spellEnd"/>
            <w:r>
              <w:t xml:space="preserve">, </w:t>
            </w:r>
            <w:proofErr w:type="spellStart"/>
            <w:r>
              <w:t>DR100</w:t>
            </w:r>
            <w:proofErr w:type="spellEnd"/>
          </w:p>
        </w:tc>
      </w:tr>
      <w:tr w:rsidR="00AE4D5A" w:rsidTr="008E5E01">
        <w:tc>
          <w:tcPr>
            <w:tcW w:w="3468" w:type="pct"/>
            <w:shd w:val="clear" w:color="auto" w:fill="auto"/>
          </w:tcPr>
          <w:p w:rsidR="00AE4D5A" w:rsidRDefault="00AE4D5A" w:rsidP="008E5E01">
            <w:pPr>
              <w:pStyle w:val="TableBodyText"/>
              <w:ind w:right="0"/>
              <w:jc w:val="left"/>
            </w:pPr>
            <w:r>
              <w:t>Shipping Australia Limited</w:t>
            </w:r>
          </w:p>
        </w:tc>
        <w:tc>
          <w:tcPr>
            <w:tcW w:w="1532" w:type="pct"/>
            <w:shd w:val="clear" w:color="auto" w:fill="auto"/>
          </w:tcPr>
          <w:p w:rsidR="00AE4D5A" w:rsidRDefault="00AE4D5A" w:rsidP="008E5E01">
            <w:pPr>
              <w:pStyle w:val="TableBodyText"/>
              <w:ind w:right="28"/>
            </w:pPr>
            <w:r>
              <w:t>53</w:t>
            </w:r>
          </w:p>
        </w:tc>
      </w:tr>
      <w:tr w:rsidR="00AE4D5A" w:rsidTr="008E5E01">
        <w:tc>
          <w:tcPr>
            <w:tcW w:w="3468" w:type="pct"/>
            <w:shd w:val="clear" w:color="auto" w:fill="auto"/>
          </w:tcPr>
          <w:p w:rsidR="00AE4D5A" w:rsidRDefault="00AE4D5A" w:rsidP="008E5E01">
            <w:pPr>
              <w:pStyle w:val="TableBodyText"/>
              <w:ind w:right="0"/>
              <w:jc w:val="left"/>
            </w:pPr>
            <w:r>
              <w:t>Simplot Australia</w:t>
            </w:r>
          </w:p>
        </w:tc>
        <w:tc>
          <w:tcPr>
            <w:tcW w:w="1532" w:type="pct"/>
            <w:shd w:val="clear" w:color="auto" w:fill="auto"/>
          </w:tcPr>
          <w:p w:rsidR="00AE4D5A" w:rsidRDefault="00AE4D5A" w:rsidP="008E5E01">
            <w:pPr>
              <w:pStyle w:val="TableBodyText"/>
              <w:ind w:right="28"/>
            </w:pPr>
            <w:r>
              <w:t xml:space="preserve">50, </w:t>
            </w:r>
            <w:proofErr w:type="spellStart"/>
            <w:r>
              <w:t>DR96</w:t>
            </w:r>
            <w:proofErr w:type="spellEnd"/>
          </w:p>
        </w:tc>
      </w:tr>
      <w:tr w:rsidR="00AE4D5A" w:rsidTr="008E5E01">
        <w:tc>
          <w:tcPr>
            <w:tcW w:w="3468" w:type="pct"/>
            <w:shd w:val="clear" w:color="auto" w:fill="auto"/>
          </w:tcPr>
          <w:p w:rsidR="00AE4D5A" w:rsidRDefault="00AE4D5A" w:rsidP="008E5E01">
            <w:pPr>
              <w:pStyle w:val="TableBodyText"/>
              <w:ind w:right="0"/>
              <w:jc w:val="left"/>
            </w:pPr>
            <w:r>
              <w:t>Tarlinton, Trish and John</w:t>
            </w:r>
          </w:p>
        </w:tc>
        <w:tc>
          <w:tcPr>
            <w:tcW w:w="1532" w:type="pct"/>
            <w:shd w:val="clear" w:color="auto" w:fill="auto"/>
          </w:tcPr>
          <w:p w:rsidR="00AE4D5A" w:rsidRDefault="00AE4D5A" w:rsidP="008E5E01">
            <w:pPr>
              <w:pStyle w:val="TableBodyText"/>
              <w:ind w:right="28"/>
            </w:pPr>
            <w:r>
              <w:t>56</w:t>
            </w:r>
          </w:p>
        </w:tc>
      </w:tr>
      <w:tr w:rsidR="00AE4D5A" w:rsidTr="008E5E01">
        <w:tc>
          <w:tcPr>
            <w:tcW w:w="3468" w:type="pct"/>
            <w:shd w:val="clear" w:color="auto" w:fill="auto"/>
          </w:tcPr>
          <w:p w:rsidR="00AE4D5A" w:rsidRDefault="00AE4D5A" w:rsidP="008E5E01">
            <w:pPr>
              <w:pStyle w:val="TableBodyText"/>
              <w:ind w:right="0"/>
              <w:jc w:val="left"/>
            </w:pPr>
            <w:r>
              <w:t>Tasmanian Exporters Group</w:t>
            </w:r>
          </w:p>
        </w:tc>
        <w:tc>
          <w:tcPr>
            <w:tcW w:w="1532" w:type="pct"/>
            <w:shd w:val="clear" w:color="auto" w:fill="auto"/>
          </w:tcPr>
          <w:p w:rsidR="00AE4D5A" w:rsidRDefault="00AE4D5A" w:rsidP="008E5E01">
            <w:pPr>
              <w:pStyle w:val="TableBodyText"/>
              <w:ind w:right="28"/>
            </w:pPr>
            <w:r>
              <w:t>14</w:t>
            </w:r>
          </w:p>
        </w:tc>
      </w:tr>
      <w:tr w:rsidR="00AE4D5A" w:rsidTr="008E5E01">
        <w:tc>
          <w:tcPr>
            <w:tcW w:w="3468" w:type="pct"/>
            <w:shd w:val="clear" w:color="auto" w:fill="auto"/>
          </w:tcPr>
          <w:p w:rsidR="00AE4D5A" w:rsidRDefault="00AE4D5A" w:rsidP="008E5E01">
            <w:pPr>
              <w:pStyle w:val="TableBodyText"/>
              <w:ind w:right="0"/>
              <w:jc w:val="left"/>
            </w:pPr>
            <w:r>
              <w:t>Tasmanian Farmers and Graziers Association</w:t>
            </w:r>
          </w:p>
        </w:tc>
        <w:tc>
          <w:tcPr>
            <w:tcW w:w="1532" w:type="pct"/>
            <w:shd w:val="clear" w:color="auto" w:fill="auto"/>
          </w:tcPr>
          <w:p w:rsidR="00AE4D5A" w:rsidRDefault="00AE4D5A" w:rsidP="008E5E01">
            <w:pPr>
              <w:pStyle w:val="TableBodyText"/>
              <w:ind w:right="28"/>
            </w:pPr>
            <w:r>
              <w:t xml:space="preserve">45, </w:t>
            </w:r>
            <w:proofErr w:type="spellStart"/>
            <w:r>
              <w:t>DR101</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Farmers and Graziers Association, King Island Branch</w:t>
            </w:r>
          </w:p>
        </w:tc>
        <w:tc>
          <w:tcPr>
            <w:tcW w:w="1532" w:type="pct"/>
            <w:shd w:val="clear" w:color="auto" w:fill="auto"/>
          </w:tcPr>
          <w:p w:rsidR="00AE4D5A" w:rsidRDefault="00AE4D5A" w:rsidP="008E5E01">
            <w:pPr>
              <w:pStyle w:val="TableBodyText"/>
              <w:ind w:right="28"/>
            </w:pPr>
            <w:r>
              <w:t xml:space="preserve">8, </w:t>
            </w:r>
            <w:proofErr w:type="spellStart"/>
            <w:r>
              <w:t>DR79</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Flour Mills Pty Ltd</w:t>
            </w:r>
          </w:p>
        </w:tc>
        <w:tc>
          <w:tcPr>
            <w:tcW w:w="1532" w:type="pct"/>
            <w:shd w:val="clear" w:color="auto" w:fill="auto"/>
          </w:tcPr>
          <w:p w:rsidR="00AE4D5A" w:rsidRDefault="00AE4D5A" w:rsidP="008E5E01">
            <w:pPr>
              <w:pStyle w:val="TableBodyText"/>
              <w:ind w:right="28"/>
            </w:pPr>
            <w:proofErr w:type="spellStart"/>
            <w:r>
              <w:t>DR71</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Government</w:t>
            </w:r>
          </w:p>
        </w:tc>
        <w:tc>
          <w:tcPr>
            <w:tcW w:w="1532" w:type="pct"/>
            <w:shd w:val="clear" w:color="auto" w:fill="auto"/>
          </w:tcPr>
          <w:p w:rsidR="00AE4D5A" w:rsidRDefault="00AE4D5A" w:rsidP="008E5E01">
            <w:pPr>
              <w:pStyle w:val="TableBodyText"/>
              <w:ind w:right="28"/>
            </w:pPr>
            <w:r>
              <w:t xml:space="preserve">43, </w:t>
            </w:r>
            <w:proofErr w:type="spellStart"/>
            <w:r>
              <w:t>DR85</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Liberals</w:t>
            </w:r>
          </w:p>
        </w:tc>
        <w:tc>
          <w:tcPr>
            <w:tcW w:w="1532" w:type="pct"/>
            <w:shd w:val="clear" w:color="auto" w:fill="auto"/>
          </w:tcPr>
          <w:p w:rsidR="00AE4D5A" w:rsidRDefault="00AE4D5A" w:rsidP="008E5E01">
            <w:pPr>
              <w:pStyle w:val="TableBodyText"/>
              <w:ind w:right="28"/>
            </w:pPr>
            <w:proofErr w:type="spellStart"/>
            <w:r>
              <w:t>DR68</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Ports Corporation</w:t>
            </w:r>
          </w:p>
        </w:tc>
        <w:tc>
          <w:tcPr>
            <w:tcW w:w="1532" w:type="pct"/>
            <w:shd w:val="clear" w:color="auto" w:fill="auto"/>
          </w:tcPr>
          <w:p w:rsidR="00AE4D5A" w:rsidRDefault="00AE4D5A" w:rsidP="008E5E01">
            <w:pPr>
              <w:pStyle w:val="TableBodyText"/>
              <w:ind w:right="28"/>
            </w:pPr>
            <w:r>
              <w:t xml:space="preserve">30, </w:t>
            </w:r>
            <w:proofErr w:type="spellStart"/>
            <w:r>
              <w:t>DR97</w:t>
            </w:r>
            <w:proofErr w:type="spellEnd"/>
          </w:p>
        </w:tc>
      </w:tr>
      <w:tr w:rsidR="00AE4D5A" w:rsidTr="008E5E01">
        <w:tc>
          <w:tcPr>
            <w:tcW w:w="3468" w:type="pct"/>
            <w:shd w:val="clear" w:color="auto" w:fill="auto"/>
          </w:tcPr>
          <w:p w:rsidR="00AE4D5A" w:rsidRDefault="00AE4D5A" w:rsidP="008E5E01">
            <w:pPr>
              <w:pStyle w:val="TableBodyText"/>
              <w:ind w:right="0"/>
              <w:jc w:val="left"/>
            </w:pPr>
            <w:r>
              <w:t>Tasmanian Railway Pty Ltd</w:t>
            </w:r>
          </w:p>
        </w:tc>
        <w:tc>
          <w:tcPr>
            <w:tcW w:w="1532" w:type="pct"/>
            <w:shd w:val="clear" w:color="auto" w:fill="auto"/>
          </w:tcPr>
          <w:p w:rsidR="00AE4D5A" w:rsidRDefault="00AE4D5A" w:rsidP="008E5E01">
            <w:pPr>
              <w:pStyle w:val="TableBodyText"/>
              <w:ind w:right="28"/>
            </w:pPr>
            <w:r>
              <w:t xml:space="preserve">22, </w:t>
            </w:r>
            <w:proofErr w:type="spellStart"/>
            <w:r>
              <w:t>DR74</w:t>
            </w:r>
            <w:proofErr w:type="spellEnd"/>
          </w:p>
        </w:tc>
      </w:tr>
      <w:tr w:rsidR="00AE4D5A" w:rsidTr="008E5E01">
        <w:tc>
          <w:tcPr>
            <w:tcW w:w="3468" w:type="pct"/>
            <w:shd w:val="clear" w:color="auto" w:fill="auto"/>
          </w:tcPr>
          <w:p w:rsidR="00AE4D5A" w:rsidRDefault="00AE4D5A" w:rsidP="008E5E01">
            <w:pPr>
              <w:pStyle w:val="TableBodyText"/>
              <w:ind w:right="0"/>
              <w:jc w:val="left"/>
            </w:pPr>
            <w:r>
              <w:t>Toll Group</w:t>
            </w:r>
          </w:p>
        </w:tc>
        <w:tc>
          <w:tcPr>
            <w:tcW w:w="1532" w:type="pct"/>
            <w:shd w:val="clear" w:color="auto" w:fill="auto"/>
          </w:tcPr>
          <w:p w:rsidR="00AE4D5A" w:rsidRDefault="00AE4D5A" w:rsidP="008E5E01">
            <w:pPr>
              <w:pStyle w:val="TableBodyText"/>
              <w:ind w:right="28"/>
            </w:pPr>
            <w:r>
              <w:t>55</w:t>
            </w:r>
          </w:p>
        </w:tc>
      </w:tr>
      <w:tr w:rsidR="00AE4D5A" w:rsidTr="008E5E01">
        <w:tc>
          <w:tcPr>
            <w:tcW w:w="3468" w:type="pct"/>
            <w:shd w:val="clear" w:color="auto" w:fill="auto"/>
          </w:tcPr>
          <w:p w:rsidR="00AE4D5A" w:rsidRDefault="00AE4D5A" w:rsidP="008E5E01">
            <w:pPr>
              <w:pStyle w:val="TableBodyText"/>
              <w:ind w:right="0"/>
              <w:jc w:val="left"/>
            </w:pPr>
            <w:r>
              <w:t>Tourism Industry Council Tasmania, Tourism and Transport Forum, and Cradle Coast Tourism Executive</w:t>
            </w:r>
          </w:p>
        </w:tc>
        <w:tc>
          <w:tcPr>
            <w:tcW w:w="1532" w:type="pct"/>
            <w:shd w:val="clear" w:color="auto" w:fill="auto"/>
          </w:tcPr>
          <w:p w:rsidR="00AE4D5A" w:rsidRDefault="00AE4D5A" w:rsidP="008E5E01">
            <w:pPr>
              <w:pStyle w:val="TableBodyText"/>
              <w:ind w:right="28"/>
            </w:pPr>
            <w:r>
              <w:t>48</w:t>
            </w:r>
          </w:p>
        </w:tc>
      </w:tr>
      <w:tr w:rsidR="00AE4D5A" w:rsidTr="008E5E01">
        <w:tc>
          <w:tcPr>
            <w:tcW w:w="3468" w:type="pct"/>
            <w:shd w:val="clear" w:color="auto" w:fill="auto"/>
          </w:tcPr>
          <w:p w:rsidR="00AE4D5A" w:rsidRDefault="00AE4D5A" w:rsidP="008E5E01">
            <w:pPr>
              <w:pStyle w:val="TableBodyText"/>
              <w:ind w:right="0"/>
              <w:jc w:val="left"/>
            </w:pPr>
            <w:r>
              <w:t>TT</w:t>
            </w:r>
            <w:r>
              <w:noBreakHyphen/>
              <w:t>Line Company Pty Ltd</w:t>
            </w:r>
          </w:p>
        </w:tc>
        <w:tc>
          <w:tcPr>
            <w:tcW w:w="1532" w:type="pct"/>
            <w:shd w:val="clear" w:color="auto" w:fill="auto"/>
          </w:tcPr>
          <w:p w:rsidR="00AE4D5A" w:rsidRDefault="00AE4D5A" w:rsidP="008E5E01">
            <w:pPr>
              <w:pStyle w:val="TableBodyText"/>
              <w:ind w:right="28"/>
            </w:pPr>
            <w:r>
              <w:t xml:space="preserve">9, </w:t>
            </w:r>
            <w:proofErr w:type="spellStart"/>
            <w:r>
              <w:t>DR84</w:t>
            </w:r>
            <w:proofErr w:type="spellEnd"/>
          </w:p>
        </w:tc>
      </w:tr>
      <w:tr w:rsidR="00AE4D5A" w:rsidTr="008E5E01">
        <w:tc>
          <w:tcPr>
            <w:tcW w:w="3468" w:type="pct"/>
            <w:shd w:val="clear" w:color="auto" w:fill="auto"/>
          </w:tcPr>
          <w:p w:rsidR="00AE4D5A" w:rsidRDefault="00AE4D5A" w:rsidP="008E5E01">
            <w:pPr>
              <w:pStyle w:val="TableBodyText"/>
              <w:ind w:right="0"/>
              <w:jc w:val="left"/>
            </w:pPr>
            <w:r>
              <w:t>Veolia Environmental Services</w:t>
            </w:r>
          </w:p>
        </w:tc>
        <w:tc>
          <w:tcPr>
            <w:tcW w:w="1532" w:type="pct"/>
            <w:shd w:val="clear" w:color="auto" w:fill="auto"/>
          </w:tcPr>
          <w:p w:rsidR="00AE4D5A" w:rsidRDefault="00AE4D5A" w:rsidP="008E5E01">
            <w:pPr>
              <w:pStyle w:val="TableBodyText"/>
              <w:ind w:right="28"/>
            </w:pPr>
            <w:r>
              <w:t>38, DR103</w:t>
            </w:r>
          </w:p>
        </w:tc>
      </w:tr>
      <w:tr w:rsidR="00AE4D5A" w:rsidTr="008E5E01">
        <w:tc>
          <w:tcPr>
            <w:tcW w:w="3468" w:type="pct"/>
            <w:shd w:val="clear" w:color="auto" w:fill="auto"/>
          </w:tcPr>
          <w:p w:rsidR="00AE4D5A" w:rsidRDefault="00AE4D5A" w:rsidP="008E5E01">
            <w:pPr>
              <w:pStyle w:val="TableBodyText"/>
              <w:ind w:right="0"/>
              <w:jc w:val="left"/>
            </w:pPr>
            <w:r>
              <w:t>Viewbanks Pty Ltd</w:t>
            </w:r>
          </w:p>
        </w:tc>
        <w:tc>
          <w:tcPr>
            <w:tcW w:w="1532" w:type="pct"/>
            <w:shd w:val="clear" w:color="auto" w:fill="auto"/>
          </w:tcPr>
          <w:p w:rsidR="00AE4D5A" w:rsidRDefault="00AE4D5A" w:rsidP="008E5E01">
            <w:pPr>
              <w:pStyle w:val="TableBodyText"/>
              <w:ind w:right="28"/>
            </w:pPr>
            <w:r>
              <w:t>16</w:t>
            </w:r>
          </w:p>
        </w:tc>
      </w:tr>
      <w:tr w:rsidR="00AE4D5A" w:rsidTr="008E5E01">
        <w:tc>
          <w:tcPr>
            <w:tcW w:w="3468" w:type="pct"/>
            <w:shd w:val="clear" w:color="auto" w:fill="auto"/>
          </w:tcPr>
          <w:p w:rsidR="00AE4D5A" w:rsidRDefault="00AE4D5A" w:rsidP="008E5E01">
            <w:pPr>
              <w:pStyle w:val="TableBodyText"/>
              <w:ind w:right="0"/>
              <w:jc w:val="left"/>
            </w:pPr>
            <w:proofErr w:type="spellStart"/>
            <w:r>
              <w:t>Vos</w:t>
            </w:r>
            <w:proofErr w:type="spellEnd"/>
            <w:r>
              <w:t xml:space="preserve"> Construction and Joinery Pty Ltd</w:t>
            </w:r>
          </w:p>
        </w:tc>
        <w:tc>
          <w:tcPr>
            <w:tcW w:w="1532" w:type="pct"/>
            <w:shd w:val="clear" w:color="auto" w:fill="auto"/>
          </w:tcPr>
          <w:p w:rsidR="00AE4D5A" w:rsidRDefault="00AE4D5A" w:rsidP="008E5E01">
            <w:pPr>
              <w:pStyle w:val="TableBodyText"/>
              <w:ind w:right="28"/>
            </w:pPr>
            <w:r>
              <w:t>62</w:t>
            </w:r>
          </w:p>
        </w:tc>
      </w:tr>
      <w:tr w:rsidR="00AE4D5A" w:rsidTr="008E5E01">
        <w:tc>
          <w:tcPr>
            <w:tcW w:w="3468" w:type="pct"/>
            <w:shd w:val="clear" w:color="auto" w:fill="auto"/>
          </w:tcPr>
          <w:p w:rsidR="00AE4D5A" w:rsidRDefault="00AE4D5A" w:rsidP="008E5E01">
            <w:pPr>
              <w:pStyle w:val="TableBodyText"/>
              <w:ind w:right="0"/>
              <w:jc w:val="left"/>
            </w:pPr>
            <w:r>
              <w:t>Webster Limited</w:t>
            </w:r>
          </w:p>
        </w:tc>
        <w:tc>
          <w:tcPr>
            <w:tcW w:w="1532" w:type="pct"/>
            <w:shd w:val="clear" w:color="auto" w:fill="auto"/>
          </w:tcPr>
          <w:p w:rsidR="00AE4D5A" w:rsidRDefault="00AE4D5A" w:rsidP="008E5E01">
            <w:pPr>
              <w:pStyle w:val="TableBodyText"/>
              <w:ind w:right="28"/>
            </w:pPr>
            <w:r>
              <w:t>40</w:t>
            </w:r>
          </w:p>
        </w:tc>
      </w:tr>
      <w:tr w:rsidR="00AE4D5A" w:rsidTr="008E5E01">
        <w:tc>
          <w:tcPr>
            <w:tcW w:w="3468" w:type="pct"/>
            <w:shd w:val="clear" w:color="auto" w:fill="auto"/>
          </w:tcPr>
          <w:p w:rsidR="00AE4D5A" w:rsidRDefault="00AE4D5A" w:rsidP="008E5E01">
            <w:pPr>
              <w:pStyle w:val="TableBodyText"/>
              <w:ind w:right="0"/>
              <w:jc w:val="left"/>
            </w:pPr>
            <w:r>
              <w:t>Wine Tasmania</w:t>
            </w:r>
          </w:p>
        </w:tc>
        <w:tc>
          <w:tcPr>
            <w:tcW w:w="1532" w:type="pct"/>
            <w:shd w:val="clear" w:color="auto" w:fill="auto"/>
          </w:tcPr>
          <w:p w:rsidR="00AE4D5A" w:rsidRDefault="00AE4D5A" w:rsidP="008E5E01">
            <w:pPr>
              <w:pStyle w:val="TableBodyText"/>
              <w:ind w:right="28"/>
            </w:pPr>
            <w:proofErr w:type="spellStart"/>
            <w:r>
              <w:t>DR78</w:t>
            </w:r>
            <w:proofErr w:type="spellEnd"/>
          </w:p>
        </w:tc>
      </w:tr>
      <w:tr w:rsidR="00AE4D5A" w:rsidTr="008E5E01">
        <w:tc>
          <w:tcPr>
            <w:tcW w:w="3468" w:type="pct"/>
            <w:shd w:val="clear" w:color="auto" w:fill="auto"/>
          </w:tcPr>
          <w:p w:rsidR="00AE4D5A" w:rsidRDefault="00AE4D5A" w:rsidP="008E5E01">
            <w:pPr>
              <w:pStyle w:val="TableBodyText"/>
              <w:ind w:right="0"/>
              <w:jc w:val="left"/>
            </w:pPr>
            <w:r>
              <w:t>Wise, Grant</w:t>
            </w:r>
          </w:p>
        </w:tc>
        <w:tc>
          <w:tcPr>
            <w:tcW w:w="1532" w:type="pct"/>
            <w:shd w:val="clear" w:color="auto" w:fill="auto"/>
          </w:tcPr>
          <w:p w:rsidR="00AE4D5A" w:rsidRDefault="00AE4D5A" w:rsidP="008E5E01">
            <w:pPr>
              <w:pStyle w:val="TableBodyText"/>
              <w:ind w:right="28"/>
            </w:pPr>
            <w:r>
              <w:t>18</w:t>
            </w:r>
          </w:p>
        </w:tc>
      </w:tr>
      <w:tr w:rsidR="00AE4D5A" w:rsidTr="008E5E01">
        <w:tc>
          <w:tcPr>
            <w:tcW w:w="3468" w:type="pct"/>
            <w:shd w:val="clear" w:color="auto" w:fill="auto"/>
          </w:tcPr>
          <w:p w:rsidR="00AE4D5A" w:rsidRDefault="00AE4D5A" w:rsidP="008E5E01">
            <w:pPr>
              <w:pStyle w:val="TableBodyText"/>
              <w:ind w:right="0"/>
              <w:jc w:val="left"/>
            </w:pPr>
            <w:r>
              <w:t>Wooden Boat Association of South Australia</w:t>
            </w:r>
          </w:p>
        </w:tc>
        <w:tc>
          <w:tcPr>
            <w:tcW w:w="1532" w:type="pct"/>
            <w:shd w:val="clear" w:color="auto" w:fill="auto"/>
          </w:tcPr>
          <w:p w:rsidR="00AE4D5A" w:rsidRDefault="00AE4D5A" w:rsidP="008E5E01">
            <w:pPr>
              <w:pStyle w:val="TableBodyText"/>
              <w:ind w:right="28"/>
            </w:pPr>
            <w:proofErr w:type="spellStart"/>
            <w:r>
              <w:t>DR88</w:t>
            </w:r>
            <w:proofErr w:type="spellEnd"/>
          </w:p>
        </w:tc>
      </w:tr>
      <w:tr w:rsidR="00AE4D5A" w:rsidTr="008E5E01">
        <w:tc>
          <w:tcPr>
            <w:tcW w:w="3468" w:type="pct"/>
            <w:shd w:val="clear" w:color="auto" w:fill="auto"/>
          </w:tcPr>
          <w:p w:rsidR="00AE4D5A" w:rsidRDefault="00AE4D5A" w:rsidP="008E5E01">
            <w:pPr>
              <w:pStyle w:val="TableBodyText"/>
              <w:ind w:right="0"/>
              <w:jc w:val="left"/>
            </w:pPr>
          </w:p>
        </w:tc>
        <w:tc>
          <w:tcPr>
            <w:tcW w:w="1532" w:type="pct"/>
            <w:shd w:val="clear" w:color="auto" w:fill="auto"/>
          </w:tcPr>
          <w:p w:rsidR="00AE4D5A" w:rsidRDefault="00AE4D5A" w:rsidP="008E5E01">
            <w:pPr>
              <w:pStyle w:val="TableBodyText"/>
              <w:ind w:right="28"/>
            </w:pPr>
          </w:p>
        </w:tc>
      </w:tr>
      <w:tr w:rsidR="00AE4D5A" w:rsidTr="008E5E01">
        <w:tc>
          <w:tcPr>
            <w:tcW w:w="3468" w:type="pct"/>
            <w:tcBorders>
              <w:bottom w:val="single" w:sz="4" w:space="0" w:color="auto"/>
            </w:tcBorders>
            <w:shd w:val="clear" w:color="auto" w:fill="auto"/>
          </w:tcPr>
          <w:p w:rsidR="00AE4D5A" w:rsidRDefault="00AE4D5A" w:rsidP="008E5E01">
            <w:pPr>
              <w:pStyle w:val="TableBodyText"/>
              <w:ind w:right="0"/>
              <w:jc w:val="left"/>
            </w:pPr>
            <w:r>
              <w:t>Confidential submissions</w:t>
            </w:r>
          </w:p>
        </w:tc>
        <w:tc>
          <w:tcPr>
            <w:tcW w:w="1532" w:type="pct"/>
            <w:tcBorders>
              <w:bottom w:val="single" w:sz="4" w:space="0" w:color="auto"/>
            </w:tcBorders>
            <w:shd w:val="clear" w:color="auto" w:fill="auto"/>
          </w:tcPr>
          <w:p w:rsidR="00AE4D5A" w:rsidRDefault="00AE4D5A" w:rsidP="008E5E01">
            <w:pPr>
              <w:pStyle w:val="TableBodyText"/>
              <w:ind w:right="28"/>
            </w:pPr>
            <w:r>
              <w:t xml:space="preserve">24, 31, 64, </w:t>
            </w:r>
            <w:proofErr w:type="spellStart"/>
            <w:r>
              <w:t>DR105</w:t>
            </w:r>
            <w:proofErr w:type="spellEnd"/>
          </w:p>
        </w:tc>
      </w:tr>
    </w:tbl>
    <w:p w:rsidR="00AE4D5A" w:rsidRDefault="00AE4D5A" w:rsidP="008E5E01">
      <w:pPr>
        <w:pStyle w:val="TableTitle"/>
        <w:spacing w:before="0" w:after="40"/>
      </w:pPr>
      <w:r>
        <w:br w:type="page"/>
      </w:r>
    </w:p>
    <w:p w:rsidR="00AE4D5A" w:rsidRDefault="00AE4D5A" w:rsidP="008E5E01">
      <w:pPr>
        <w:pStyle w:val="TableTitle"/>
      </w:pPr>
      <w:r>
        <w:rPr>
          <w:b w:val="0"/>
        </w:rPr>
        <w:lastRenderedPageBreak/>
        <w:t xml:space="preserve">Table </w:t>
      </w:r>
      <w:proofErr w:type="spellStart"/>
      <w:r>
        <w:rPr>
          <w:b w:val="0"/>
        </w:rPr>
        <w:t>A.</w:t>
      </w:r>
      <w:r>
        <w:rPr>
          <w:b w:val="0"/>
          <w:noProof/>
        </w:rPr>
        <w:t>2</w:t>
      </w:r>
      <w:proofErr w:type="spellEnd"/>
      <w:r>
        <w:tab/>
        <w:t>Meetings and roundtables</w:t>
      </w:r>
    </w:p>
    <w:tbl>
      <w:tblPr>
        <w:tblW w:w="5000" w:type="pct"/>
        <w:tblCellMar>
          <w:left w:w="0" w:type="dxa"/>
          <w:right w:w="0" w:type="dxa"/>
        </w:tblCellMar>
        <w:tblLook w:val="0000" w:firstRow="0" w:lastRow="0" w:firstColumn="0" w:lastColumn="0" w:noHBand="0" w:noVBand="0"/>
      </w:tblPr>
      <w:tblGrid>
        <w:gridCol w:w="8789"/>
      </w:tblGrid>
      <w:tr w:rsidR="00AE4D5A" w:rsidTr="008E5E01">
        <w:tc>
          <w:tcPr>
            <w:tcW w:w="5000" w:type="pct"/>
            <w:tcBorders>
              <w:top w:val="single" w:sz="6" w:space="0" w:color="auto"/>
              <w:bottom w:val="single" w:sz="6" w:space="0" w:color="auto"/>
            </w:tcBorders>
            <w:shd w:val="clear" w:color="auto" w:fill="auto"/>
          </w:tcPr>
          <w:p w:rsidR="00AE4D5A" w:rsidRDefault="00AE4D5A" w:rsidP="008E5E01">
            <w:pPr>
              <w:pStyle w:val="TableColumnHeading"/>
              <w:ind w:right="28"/>
              <w:jc w:val="left"/>
            </w:pPr>
            <w:r>
              <w:t>Participants</w:t>
            </w:r>
          </w:p>
        </w:tc>
      </w:tr>
      <w:tr w:rsidR="00AE4D5A" w:rsidTr="008E5E01">
        <w:tc>
          <w:tcPr>
            <w:tcW w:w="5000" w:type="pct"/>
            <w:tcBorders>
              <w:top w:val="single" w:sz="6" w:space="0" w:color="auto"/>
            </w:tcBorders>
          </w:tcPr>
          <w:p w:rsidR="00AE4D5A" w:rsidRPr="00922B95" w:rsidRDefault="00AE4D5A" w:rsidP="008E5E01">
            <w:pPr>
              <w:pStyle w:val="TableUnitsRow"/>
              <w:spacing w:after="0"/>
              <w:ind w:right="28"/>
              <w:jc w:val="left"/>
              <w:rPr>
                <w:b/>
              </w:rPr>
            </w:pPr>
            <w:r>
              <w:rPr>
                <w:b/>
              </w:rPr>
              <w:t>Tasmania</w:t>
            </w:r>
          </w:p>
        </w:tc>
      </w:tr>
      <w:tr w:rsidR="00AE4D5A" w:rsidTr="008E5E01">
        <w:tc>
          <w:tcPr>
            <w:tcW w:w="5000" w:type="pct"/>
          </w:tcPr>
          <w:p w:rsidR="00AE4D5A" w:rsidRDefault="00AE4D5A" w:rsidP="008E5E01">
            <w:pPr>
              <w:pStyle w:val="TableBodyText"/>
              <w:ind w:right="0"/>
              <w:jc w:val="left"/>
            </w:pPr>
            <w:r>
              <w:t>Bartholomew, Quinn and Associates</w:t>
            </w:r>
          </w:p>
        </w:tc>
      </w:tr>
      <w:tr w:rsidR="00AE4D5A" w:rsidTr="008E5E01">
        <w:tc>
          <w:tcPr>
            <w:tcW w:w="5000" w:type="pct"/>
            <w:shd w:val="clear" w:color="auto" w:fill="auto"/>
          </w:tcPr>
          <w:p w:rsidR="00AE4D5A" w:rsidRDefault="00AE4D5A" w:rsidP="008E5E01">
            <w:pPr>
              <w:pStyle w:val="TableBodyText"/>
              <w:ind w:right="0"/>
              <w:jc w:val="left"/>
            </w:pPr>
            <w:r w:rsidRPr="00D11B54">
              <w:t>Bell Bay Aluminium</w:t>
            </w:r>
          </w:p>
        </w:tc>
      </w:tr>
      <w:tr w:rsidR="00AE4D5A" w:rsidTr="008E5E01">
        <w:tc>
          <w:tcPr>
            <w:tcW w:w="5000" w:type="pct"/>
            <w:shd w:val="clear" w:color="auto" w:fill="auto"/>
          </w:tcPr>
          <w:p w:rsidR="00AE4D5A" w:rsidRDefault="00AE4D5A" w:rsidP="008E5E01">
            <w:pPr>
              <w:pStyle w:val="TableBodyText"/>
              <w:ind w:right="0"/>
              <w:jc w:val="left"/>
            </w:pPr>
            <w:r>
              <w:t>Cuthbertson Bros</w:t>
            </w:r>
            <w:r w:rsidR="00A52EE7">
              <w:t xml:space="preserve"> Pty Ltd</w:t>
            </w:r>
          </w:p>
        </w:tc>
      </w:tr>
      <w:tr w:rsidR="00AE4D5A" w:rsidTr="008E5E01">
        <w:tc>
          <w:tcPr>
            <w:tcW w:w="5000" w:type="pct"/>
            <w:shd w:val="clear" w:color="auto" w:fill="auto"/>
          </w:tcPr>
          <w:p w:rsidR="00AE4D5A" w:rsidRDefault="00AE4D5A" w:rsidP="008E5E01">
            <w:pPr>
              <w:pStyle w:val="TableBodyText"/>
              <w:ind w:right="0"/>
              <w:jc w:val="left"/>
            </w:pPr>
            <w:r>
              <w:t>Department of Economic Development, Tourism and the Arts (Tas)</w:t>
            </w:r>
          </w:p>
        </w:tc>
      </w:tr>
      <w:tr w:rsidR="00AE4D5A" w:rsidTr="008E5E01">
        <w:tc>
          <w:tcPr>
            <w:tcW w:w="5000" w:type="pct"/>
            <w:shd w:val="clear" w:color="auto" w:fill="auto"/>
          </w:tcPr>
          <w:p w:rsidR="00AE4D5A" w:rsidRDefault="00AE4D5A" w:rsidP="008E5E01">
            <w:pPr>
              <w:pStyle w:val="TableBodyText"/>
              <w:ind w:right="0"/>
              <w:jc w:val="left"/>
            </w:pPr>
            <w:r>
              <w:t>Department of Infrastructure, Energy and Resources (Tas)</w:t>
            </w:r>
          </w:p>
        </w:tc>
      </w:tr>
      <w:tr w:rsidR="00AE4D5A" w:rsidTr="008E5E01">
        <w:tc>
          <w:tcPr>
            <w:tcW w:w="5000" w:type="pct"/>
            <w:shd w:val="clear" w:color="auto" w:fill="auto"/>
          </w:tcPr>
          <w:p w:rsidR="00AE4D5A" w:rsidRDefault="00AE4D5A" w:rsidP="008E5E01">
            <w:pPr>
              <w:pStyle w:val="TableBodyText"/>
              <w:ind w:right="0"/>
              <w:jc w:val="left"/>
            </w:pPr>
            <w:r w:rsidRPr="00D11B54">
              <w:t>Flinders Island Council</w:t>
            </w:r>
          </w:p>
        </w:tc>
      </w:tr>
      <w:tr w:rsidR="00AE4D5A" w:rsidTr="008E5E01">
        <w:tc>
          <w:tcPr>
            <w:tcW w:w="5000" w:type="pct"/>
            <w:shd w:val="clear" w:color="auto" w:fill="auto"/>
          </w:tcPr>
          <w:p w:rsidR="00AE4D5A" w:rsidRDefault="00AE4D5A" w:rsidP="008E5E01">
            <w:pPr>
              <w:pStyle w:val="TableBodyText"/>
              <w:ind w:right="0"/>
              <w:jc w:val="left"/>
            </w:pPr>
            <w:r>
              <w:t>Forestry Tasmania</w:t>
            </w:r>
          </w:p>
        </w:tc>
      </w:tr>
      <w:tr w:rsidR="00AE4D5A" w:rsidTr="008E5E01">
        <w:tc>
          <w:tcPr>
            <w:tcW w:w="5000" w:type="pct"/>
            <w:shd w:val="clear" w:color="auto" w:fill="auto"/>
          </w:tcPr>
          <w:p w:rsidR="00AE4D5A" w:rsidRPr="008678C1" w:rsidRDefault="00AE4D5A" w:rsidP="008E5E01">
            <w:pPr>
              <w:pStyle w:val="TableBodyText"/>
              <w:ind w:right="0"/>
              <w:jc w:val="left"/>
            </w:pPr>
            <w:r>
              <w:t>Fresh Freight Tasmania</w:t>
            </w:r>
          </w:p>
        </w:tc>
      </w:tr>
      <w:tr w:rsidR="00AE4D5A" w:rsidTr="008E5E01">
        <w:tc>
          <w:tcPr>
            <w:tcW w:w="5000" w:type="pct"/>
            <w:shd w:val="clear" w:color="auto" w:fill="auto"/>
          </w:tcPr>
          <w:p w:rsidR="00AE4D5A" w:rsidRPr="00D11B54" w:rsidRDefault="00AE4D5A" w:rsidP="008E5E01">
            <w:pPr>
              <w:pStyle w:val="TableBodyText"/>
              <w:ind w:right="0"/>
              <w:jc w:val="left"/>
            </w:pPr>
            <w:r>
              <w:t>Harvest Moon</w:t>
            </w:r>
          </w:p>
        </w:tc>
      </w:tr>
      <w:tr w:rsidR="00AE4D5A" w:rsidTr="008E5E01">
        <w:tc>
          <w:tcPr>
            <w:tcW w:w="5000" w:type="pct"/>
            <w:shd w:val="clear" w:color="auto" w:fill="auto"/>
          </w:tcPr>
          <w:p w:rsidR="00AE4D5A" w:rsidRPr="008678C1" w:rsidRDefault="00AE4D5A" w:rsidP="008E5E01">
            <w:pPr>
              <w:pStyle w:val="TableBodyText"/>
              <w:ind w:right="0"/>
              <w:jc w:val="left"/>
            </w:pPr>
            <w:r w:rsidRPr="00D11B54">
              <w:t>King Island Council</w:t>
            </w:r>
          </w:p>
        </w:tc>
      </w:tr>
      <w:tr w:rsidR="00AE4D5A" w:rsidTr="008E5E01">
        <w:tc>
          <w:tcPr>
            <w:tcW w:w="5000" w:type="pct"/>
            <w:shd w:val="clear" w:color="auto" w:fill="auto"/>
          </w:tcPr>
          <w:p w:rsidR="00AE4D5A" w:rsidRPr="008678C1" w:rsidRDefault="00AE4D5A" w:rsidP="008E5E01">
            <w:pPr>
              <w:pStyle w:val="TableBodyText"/>
              <w:ind w:right="0"/>
              <w:jc w:val="left"/>
            </w:pPr>
            <w:r w:rsidRPr="00D11B54">
              <w:t>Killara Pastoral</w:t>
            </w:r>
          </w:p>
        </w:tc>
      </w:tr>
      <w:tr w:rsidR="00AE4D5A" w:rsidTr="008E5E01">
        <w:tc>
          <w:tcPr>
            <w:tcW w:w="5000" w:type="pct"/>
            <w:shd w:val="clear" w:color="auto" w:fill="auto"/>
          </w:tcPr>
          <w:p w:rsidR="00AE4D5A" w:rsidRPr="008678C1" w:rsidRDefault="00AE4D5A" w:rsidP="008E5E01">
            <w:pPr>
              <w:pStyle w:val="TableBodyText"/>
              <w:ind w:right="0"/>
              <w:jc w:val="left"/>
            </w:pPr>
            <w:r w:rsidRPr="00D11B54">
              <w:t>Lion</w:t>
            </w:r>
          </w:p>
        </w:tc>
      </w:tr>
      <w:tr w:rsidR="00AE4D5A" w:rsidTr="008E5E01">
        <w:tc>
          <w:tcPr>
            <w:tcW w:w="5000" w:type="pct"/>
            <w:shd w:val="clear" w:color="auto" w:fill="auto"/>
          </w:tcPr>
          <w:p w:rsidR="00AE4D5A" w:rsidRDefault="00AE4D5A" w:rsidP="008E5E01">
            <w:pPr>
              <w:pStyle w:val="TableBodyText"/>
              <w:ind w:right="0"/>
              <w:jc w:val="left"/>
            </w:pPr>
            <w:r>
              <w:t>Launceston City Council</w:t>
            </w:r>
          </w:p>
        </w:tc>
      </w:tr>
      <w:tr w:rsidR="00AE4D5A" w:rsidTr="008E5E01">
        <w:tc>
          <w:tcPr>
            <w:tcW w:w="5000" w:type="pct"/>
            <w:shd w:val="clear" w:color="auto" w:fill="auto"/>
          </w:tcPr>
          <w:p w:rsidR="00AE4D5A" w:rsidRPr="008678C1" w:rsidRDefault="00AE4D5A" w:rsidP="008E5E01">
            <w:pPr>
              <w:pStyle w:val="TableBodyText"/>
              <w:ind w:right="0"/>
              <w:jc w:val="left"/>
            </w:pPr>
            <w:proofErr w:type="spellStart"/>
            <w:r>
              <w:t>Markarna</w:t>
            </w:r>
            <w:proofErr w:type="spellEnd"/>
            <w:r>
              <w:t xml:space="preserve"> Grazing Company</w:t>
            </w:r>
          </w:p>
        </w:tc>
      </w:tr>
      <w:tr w:rsidR="00AE4D5A" w:rsidTr="008E5E01">
        <w:tc>
          <w:tcPr>
            <w:tcW w:w="5000" w:type="pct"/>
            <w:shd w:val="clear" w:color="auto" w:fill="auto"/>
          </w:tcPr>
          <w:p w:rsidR="00AE4D5A" w:rsidRPr="008678C1" w:rsidRDefault="00AE4D5A" w:rsidP="008E5E01">
            <w:pPr>
              <w:pStyle w:val="TableBodyText"/>
              <w:ind w:right="0"/>
              <w:jc w:val="left"/>
            </w:pPr>
            <w:r>
              <w:t>Mondelez Australia</w:t>
            </w:r>
            <w:r w:rsidR="00A52EE7">
              <w:t xml:space="preserve"> Pty Ltd</w:t>
            </w:r>
          </w:p>
        </w:tc>
      </w:tr>
      <w:tr w:rsidR="00AE4D5A" w:rsidTr="008E5E01">
        <w:tc>
          <w:tcPr>
            <w:tcW w:w="5000" w:type="pct"/>
            <w:shd w:val="clear" w:color="auto" w:fill="auto"/>
          </w:tcPr>
          <w:p w:rsidR="00AE4D5A" w:rsidRPr="008678C1" w:rsidRDefault="00AE4D5A" w:rsidP="008E5E01">
            <w:pPr>
              <w:pStyle w:val="TableBodyText"/>
              <w:ind w:right="0"/>
              <w:jc w:val="left"/>
            </w:pPr>
            <w:r w:rsidRPr="00D11B54">
              <w:t xml:space="preserve">Net Sea Freight </w:t>
            </w:r>
            <w:r w:rsidR="00A52EE7">
              <w:t>–</w:t>
            </w:r>
            <w:r>
              <w:t xml:space="preserve"> </w:t>
            </w:r>
            <w:r w:rsidRPr="00D11B54">
              <w:t>Tasmania</w:t>
            </w:r>
            <w:r w:rsidR="00A52EE7">
              <w:t xml:space="preserve"> Pty Ltd</w:t>
            </w:r>
          </w:p>
        </w:tc>
      </w:tr>
      <w:tr w:rsidR="00AE4D5A" w:rsidTr="008E5E01">
        <w:tc>
          <w:tcPr>
            <w:tcW w:w="5000" w:type="pct"/>
            <w:shd w:val="clear" w:color="auto" w:fill="auto"/>
          </w:tcPr>
          <w:p w:rsidR="00AE4D5A" w:rsidRDefault="00AE4D5A" w:rsidP="008E5E01">
            <w:pPr>
              <w:pStyle w:val="TableBodyText"/>
              <w:ind w:right="0"/>
              <w:jc w:val="left"/>
            </w:pPr>
            <w:r>
              <w:t>Norske Skog Boyer</w:t>
            </w:r>
            <w:r w:rsidR="00A52EE7">
              <w:t xml:space="preserve"> Mill</w:t>
            </w:r>
          </w:p>
        </w:tc>
      </w:tr>
      <w:tr w:rsidR="00AE4D5A" w:rsidTr="008E5E01">
        <w:tc>
          <w:tcPr>
            <w:tcW w:w="5000" w:type="pct"/>
            <w:shd w:val="clear" w:color="auto" w:fill="auto"/>
          </w:tcPr>
          <w:p w:rsidR="00AE4D5A" w:rsidRDefault="00AE4D5A" w:rsidP="008E5E01">
            <w:pPr>
              <w:pStyle w:val="TableBodyText"/>
              <w:ind w:right="0"/>
              <w:jc w:val="left"/>
            </w:pPr>
            <w:r w:rsidRPr="00D11B54">
              <w:t>Northern Tasmania Development</w:t>
            </w:r>
          </w:p>
        </w:tc>
      </w:tr>
      <w:tr w:rsidR="00AE4D5A" w:rsidTr="008E5E01">
        <w:tc>
          <w:tcPr>
            <w:tcW w:w="5000" w:type="pct"/>
            <w:shd w:val="clear" w:color="auto" w:fill="auto"/>
          </w:tcPr>
          <w:p w:rsidR="00AE4D5A" w:rsidRDefault="00A52EE7" w:rsidP="008E5E01">
            <w:pPr>
              <w:pStyle w:val="TableBodyText"/>
              <w:ind w:right="0"/>
              <w:jc w:val="left"/>
            </w:pPr>
            <w:proofErr w:type="spellStart"/>
            <w:r>
              <w:t>Nyrstar</w:t>
            </w:r>
            <w:proofErr w:type="spellEnd"/>
          </w:p>
        </w:tc>
      </w:tr>
      <w:tr w:rsidR="00AE4D5A" w:rsidTr="008E5E01">
        <w:tc>
          <w:tcPr>
            <w:tcW w:w="5000" w:type="pct"/>
            <w:shd w:val="clear" w:color="auto" w:fill="auto"/>
          </w:tcPr>
          <w:p w:rsidR="00AE4D5A" w:rsidRDefault="00AE4D5A" w:rsidP="008E5E01">
            <w:pPr>
              <w:pStyle w:val="TableBodyText"/>
              <w:ind w:right="0"/>
              <w:jc w:val="left"/>
            </w:pPr>
            <w:proofErr w:type="spellStart"/>
            <w:r>
              <w:t>Petuna</w:t>
            </w:r>
            <w:proofErr w:type="spellEnd"/>
            <w:r>
              <w:t xml:space="preserve"> Group</w:t>
            </w:r>
          </w:p>
        </w:tc>
      </w:tr>
      <w:tr w:rsidR="00AE4D5A" w:rsidTr="008E5E01">
        <w:tc>
          <w:tcPr>
            <w:tcW w:w="5000" w:type="pct"/>
            <w:shd w:val="clear" w:color="auto" w:fill="auto"/>
          </w:tcPr>
          <w:p w:rsidR="00AE4D5A" w:rsidRPr="008678C1" w:rsidRDefault="00AE4D5A" w:rsidP="008E5E01">
            <w:pPr>
              <w:pStyle w:val="TableBodyText"/>
              <w:ind w:right="0"/>
              <w:jc w:val="left"/>
            </w:pPr>
            <w:r w:rsidRPr="00D11B54">
              <w:t>R</w:t>
            </w:r>
            <w:r>
              <w:t xml:space="preserve">egional Development Australia </w:t>
            </w:r>
            <w:r>
              <w:noBreakHyphen/>
            </w:r>
            <w:r w:rsidRPr="00D11B54">
              <w:t xml:space="preserve"> Tasmania</w:t>
            </w:r>
          </w:p>
        </w:tc>
      </w:tr>
      <w:tr w:rsidR="00AE4D5A" w:rsidTr="008E5E01">
        <w:tc>
          <w:tcPr>
            <w:tcW w:w="5000" w:type="pct"/>
            <w:shd w:val="clear" w:color="auto" w:fill="auto"/>
          </w:tcPr>
          <w:p w:rsidR="00AE4D5A" w:rsidRDefault="00AE4D5A" w:rsidP="008E5E01">
            <w:pPr>
              <w:pStyle w:val="TableBodyText"/>
              <w:ind w:right="0"/>
              <w:jc w:val="left"/>
            </w:pPr>
            <w:r w:rsidRPr="00D11B54">
              <w:t>Simplot Australia</w:t>
            </w:r>
          </w:p>
        </w:tc>
      </w:tr>
      <w:tr w:rsidR="00AE4D5A" w:rsidTr="008E5E01">
        <w:tc>
          <w:tcPr>
            <w:tcW w:w="5000" w:type="pct"/>
            <w:shd w:val="clear" w:color="auto" w:fill="auto"/>
          </w:tcPr>
          <w:p w:rsidR="00AE4D5A" w:rsidRDefault="00AE4D5A" w:rsidP="008E5E01">
            <w:pPr>
              <w:pStyle w:val="TableBodyText"/>
              <w:ind w:right="0"/>
              <w:jc w:val="left"/>
            </w:pPr>
            <w:r>
              <w:t>TT</w:t>
            </w:r>
            <w:r>
              <w:noBreakHyphen/>
              <w:t xml:space="preserve">Line </w:t>
            </w:r>
            <w:r w:rsidR="00A52EE7">
              <w:t>Company Pty Ltd</w:t>
            </w:r>
          </w:p>
        </w:tc>
      </w:tr>
      <w:tr w:rsidR="00AE4D5A" w:rsidTr="008E5E01">
        <w:tc>
          <w:tcPr>
            <w:tcW w:w="5000" w:type="pct"/>
            <w:shd w:val="clear" w:color="auto" w:fill="auto"/>
          </w:tcPr>
          <w:p w:rsidR="00AE4D5A" w:rsidRPr="008678C1" w:rsidRDefault="00AE4D5A" w:rsidP="008E5E01">
            <w:pPr>
              <w:pStyle w:val="TableBodyText"/>
              <w:ind w:right="0"/>
              <w:jc w:val="left"/>
            </w:pPr>
            <w:r>
              <w:t>Tasmanian Chamber of Commerce and Industry</w:t>
            </w:r>
          </w:p>
        </w:tc>
      </w:tr>
      <w:tr w:rsidR="00AE4D5A" w:rsidTr="008E5E01">
        <w:tc>
          <w:tcPr>
            <w:tcW w:w="5000" w:type="pct"/>
            <w:shd w:val="clear" w:color="auto" w:fill="auto"/>
          </w:tcPr>
          <w:p w:rsidR="00AE4D5A" w:rsidRPr="008678C1" w:rsidRDefault="00AE4D5A" w:rsidP="008E5E01">
            <w:pPr>
              <w:pStyle w:val="TableBodyText"/>
              <w:ind w:right="0"/>
              <w:jc w:val="left"/>
            </w:pPr>
            <w:r>
              <w:t>Tasmanian Exporters Group</w:t>
            </w:r>
          </w:p>
        </w:tc>
      </w:tr>
      <w:tr w:rsidR="00AE4D5A" w:rsidTr="008E5E01">
        <w:tc>
          <w:tcPr>
            <w:tcW w:w="5000" w:type="pct"/>
            <w:shd w:val="clear" w:color="auto" w:fill="auto"/>
          </w:tcPr>
          <w:p w:rsidR="00AE4D5A" w:rsidRPr="008678C1" w:rsidRDefault="00AE4D5A" w:rsidP="008E5E01">
            <w:pPr>
              <w:pStyle w:val="TableBodyText"/>
              <w:ind w:right="0"/>
              <w:jc w:val="left"/>
            </w:pPr>
            <w:r>
              <w:t>Tasmanian Farmers and Graziers Association</w:t>
            </w:r>
          </w:p>
        </w:tc>
      </w:tr>
      <w:tr w:rsidR="00AE4D5A" w:rsidTr="008E5E01">
        <w:tc>
          <w:tcPr>
            <w:tcW w:w="5000" w:type="pct"/>
            <w:shd w:val="clear" w:color="auto" w:fill="auto"/>
          </w:tcPr>
          <w:p w:rsidR="00AE4D5A" w:rsidRPr="00076EFB" w:rsidRDefault="00AE4D5A" w:rsidP="008E5E01">
            <w:pPr>
              <w:pStyle w:val="TableBodyText"/>
              <w:ind w:right="0"/>
              <w:jc w:val="left"/>
            </w:pPr>
            <w:r>
              <w:t>Tasmanian Minerals Council</w:t>
            </w:r>
          </w:p>
        </w:tc>
      </w:tr>
      <w:tr w:rsidR="00AE4D5A" w:rsidTr="008E5E01">
        <w:tc>
          <w:tcPr>
            <w:tcW w:w="5000" w:type="pct"/>
            <w:shd w:val="clear" w:color="auto" w:fill="auto"/>
          </w:tcPr>
          <w:p w:rsidR="00AE4D5A" w:rsidRPr="00076EFB" w:rsidRDefault="00AE4D5A" w:rsidP="008E5E01">
            <w:pPr>
              <w:pStyle w:val="TableBodyText"/>
              <w:ind w:right="0"/>
              <w:jc w:val="left"/>
            </w:pPr>
            <w:r>
              <w:t>TasPorts</w:t>
            </w:r>
          </w:p>
        </w:tc>
      </w:tr>
      <w:tr w:rsidR="00AE4D5A" w:rsidTr="008E5E01">
        <w:tc>
          <w:tcPr>
            <w:tcW w:w="5000" w:type="pct"/>
            <w:shd w:val="clear" w:color="auto" w:fill="auto"/>
          </w:tcPr>
          <w:p w:rsidR="00AE4D5A" w:rsidRPr="00076EFB" w:rsidRDefault="00AE4D5A" w:rsidP="008E5E01">
            <w:pPr>
              <w:pStyle w:val="TableBodyText"/>
              <w:ind w:right="0"/>
              <w:jc w:val="left"/>
            </w:pPr>
            <w:r>
              <w:t>TasRail</w:t>
            </w:r>
          </w:p>
        </w:tc>
      </w:tr>
      <w:tr w:rsidR="00AE4D5A" w:rsidTr="008E5E01">
        <w:tc>
          <w:tcPr>
            <w:tcW w:w="5000" w:type="pct"/>
            <w:shd w:val="clear" w:color="auto" w:fill="auto"/>
          </w:tcPr>
          <w:p w:rsidR="00AE4D5A" w:rsidRDefault="00AE4D5A" w:rsidP="008E5E01">
            <w:pPr>
              <w:pStyle w:val="TableBodyText"/>
              <w:ind w:right="0"/>
              <w:jc w:val="left"/>
            </w:pPr>
            <w:r>
              <w:t>Tourism Tasmania</w:t>
            </w:r>
          </w:p>
        </w:tc>
      </w:tr>
      <w:tr w:rsidR="00AE4D5A" w:rsidTr="008E5E01">
        <w:tc>
          <w:tcPr>
            <w:tcW w:w="5000" w:type="pct"/>
            <w:shd w:val="clear" w:color="auto" w:fill="auto"/>
          </w:tcPr>
          <w:p w:rsidR="00AE4D5A" w:rsidRPr="00CF27BA" w:rsidRDefault="00AE4D5A" w:rsidP="008E5E01">
            <w:pPr>
              <w:pStyle w:val="TableBodyText"/>
              <w:ind w:right="0"/>
              <w:jc w:val="left"/>
            </w:pPr>
            <w:r>
              <w:t>Webster Limited</w:t>
            </w:r>
          </w:p>
        </w:tc>
      </w:tr>
      <w:tr w:rsidR="00AE4D5A" w:rsidTr="008E5E01">
        <w:tc>
          <w:tcPr>
            <w:tcW w:w="5000" w:type="pct"/>
            <w:shd w:val="clear" w:color="auto" w:fill="auto"/>
          </w:tcPr>
          <w:p w:rsidR="00AE4D5A" w:rsidRDefault="00AE4D5A" w:rsidP="008E5E01">
            <w:pPr>
              <w:pStyle w:val="TableBodyText"/>
              <w:spacing w:line="200" w:lineRule="exact"/>
              <w:ind w:right="0"/>
              <w:jc w:val="left"/>
            </w:pPr>
          </w:p>
        </w:tc>
      </w:tr>
      <w:tr w:rsidR="00AE4D5A" w:rsidRPr="00076EFB" w:rsidTr="008E5E01">
        <w:tc>
          <w:tcPr>
            <w:tcW w:w="5000" w:type="pct"/>
            <w:shd w:val="clear" w:color="auto" w:fill="auto"/>
          </w:tcPr>
          <w:p w:rsidR="00AE4D5A" w:rsidRPr="00922B95" w:rsidRDefault="00AE4D5A" w:rsidP="008E5E01">
            <w:pPr>
              <w:pStyle w:val="TableUnitsRow"/>
              <w:spacing w:after="0"/>
              <w:ind w:right="28"/>
              <w:jc w:val="left"/>
              <w:rPr>
                <w:b/>
              </w:rPr>
            </w:pPr>
            <w:r>
              <w:rPr>
                <w:b/>
              </w:rPr>
              <w:t>Victoria</w:t>
            </w:r>
          </w:p>
        </w:tc>
      </w:tr>
      <w:tr w:rsidR="00AE4D5A" w:rsidTr="008E5E01">
        <w:tc>
          <w:tcPr>
            <w:tcW w:w="5000" w:type="pct"/>
            <w:shd w:val="clear" w:color="auto" w:fill="auto"/>
          </w:tcPr>
          <w:p w:rsidR="00AE4D5A" w:rsidRPr="00076EFB" w:rsidRDefault="00AE4D5A" w:rsidP="008E5E01">
            <w:pPr>
              <w:pStyle w:val="TableBodyText"/>
              <w:ind w:right="0"/>
              <w:jc w:val="left"/>
            </w:pPr>
            <w:r>
              <w:t>Australian Shipowners Association</w:t>
            </w:r>
          </w:p>
        </w:tc>
      </w:tr>
      <w:tr w:rsidR="00AE4D5A" w:rsidTr="008E5E01">
        <w:tc>
          <w:tcPr>
            <w:tcW w:w="5000" w:type="pct"/>
            <w:shd w:val="clear" w:color="auto" w:fill="auto"/>
          </w:tcPr>
          <w:p w:rsidR="00AE4D5A" w:rsidRPr="00D11B54" w:rsidRDefault="00AE4D5A" w:rsidP="008E5E01">
            <w:pPr>
              <w:pStyle w:val="TableBodyText"/>
              <w:ind w:right="0"/>
              <w:jc w:val="left"/>
            </w:pPr>
            <w:r>
              <w:t>Department of Transport, Planning and Local Infrastructure (Vic)</w:t>
            </w:r>
          </w:p>
        </w:tc>
      </w:tr>
      <w:tr w:rsidR="00AE4D5A" w:rsidTr="008E5E01">
        <w:tc>
          <w:tcPr>
            <w:tcW w:w="5000" w:type="pct"/>
            <w:shd w:val="clear" w:color="auto" w:fill="auto"/>
          </w:tcPr>
          <w:p w:rsidR="00AE4D5A" w:rsidRDefault="00AE4D5A" w:rsidP="008E5E01">
            <w:pPr>
              <w:pStyle w:val="TableBodyText"/>
              <w:ind w:right="0"/>
              <w:jc w:val="left"/>
            </w:pPr>
            <w:r>
              <w:t>Juturna Infrastructure</w:t>
            </w:r>
          </w:p>
        </w:tc>
      </w:tr>
      <w:tr w:rsidR="00AE4D5A" w:rsidTr="008E5E01">
        <w:tc>
          <w:tcPr>
            <w:tcW w:w="5000" w:type="pct"/>
            <w:shd w:val="clear" w:color="auto" w:fill="auto"/>
          </w:tcPr>
          <w:p w:rsidR="00AE4D5A" w:rsidRPr="00D11B54" w:rsidRDefault="00AE4D5A" w:rsidP="008E5E01">
            <w:pPr>
              <w:pStyle w:val="TableBodyText"/>
              <w:ind w:right="0"/>
              <w:jc w:val="left"/>
            </w:pPr>
            <w:r>
              <w:t>Port of Melbourne Corporation</w:t>
            </w:r>
          </w:p>
        </w:tc>
      </w:tr>
      <w:tr w:rsidR="00AE4D5A" w:rsidTr="008E5E01">
        <w:tc>
          <w:tcPr>
            <w:tcW w:w="5000" w:type="pct"/>
            <w:shd w:val="clear" w:color="auto" w:fill="auto"/>
          </w:tcPr>
          <w:p w:rsidR="00AE4D5A" w:rsidRDefault="00AE4D5A" w:rsidP="008E5E01">
            <w:pPr>
              <w:pStyle w:val="TableBodyText"/>
              <w:ind w:right="0"/>
              <w:jc w:val="left"/>
            </w:pPr>
            <w:r>
              <w:t>SeaRoad Holdings</w:t>
            </w:r>
            <w:r w:rsidR="00A52EE7">
              <w:t xml:space="preserve"> Pty Ltd</w:t>
            </w:r>
          </w:p>
        </w:tc>
      </w:tr>
      <w:tr w:rsidR="00AE4D5A" w:rsidTr="008E5E01">
        <w:tc>
          <w:tcPr>
            <w:tcW w:w="5000" w:type="pct"/>
            <w:shd w:val="clear" w:color="auto" w:fill="auto"/>
          </w:tcPr>
          <w:p w:rsidR="00AE4D5A" w:rsidRPr="00D11B54" w:rsidRDefault="00AE4D5A" w:rsidP="008E5E01">
            <w:pPr>
              <w:pStyle w:val="TableBodyText"/>
              <w:ind w:right="0"/>
              <w:jc w:val="left"/>
            </w:pPr>
            <w:r>
              <w:t>Toll Group</w:t>
            </w:r>
          </w:p>
        </w:tc>
      </w:tr>
      <w:tr w:rsidR="00AE4D5A" w:rsidTr="008E5E01">
        <w:tc>
          <w:tcPr>
            <w:tcW w:w="5000" w:type="pct"/>
            <w:shd w:val="clear" w:color="auto" w:fill="auto"/>
          </w:tcPr>
          <w:p w:rsidR="00AE4D5A" w:rsidRDefault="00AE4D5A" w:rsidP="008E5E01">
            <w:pPr>
              <w:pStyle w:val="TableBodyText"/>
              <w:spacing w:line="200" w:lineRule="exact"/>
              <w:ind w:right="0"/>
              <w:jc w:val="left"/>
            </w:pPr>
          </w:p>
        </w:tc>
      </w:tr>
      <w:tr w:rsidR="00AE4D5A" w:rsidRPr="006302C6" w:rsidTr="008E5E01">
        <w:tc>
          <w:tcPr>
            <w:tcW w:w="5000" w:type="pct"/>
            <w:shd w:val="clear" w:color="auto" w:fill="auto"/>
          </w:tcPr>
          <w:p w:rsidR="00AE4D5A" w:rsidRPr="006302C6" w:rsidRDefault="00AE4D5A" w:rsidP="008E5E01">
            <w:pPr>
              <w:pStyle w:val="TableUnitsRow"/>
              <w:spacing w:after="0"/>
              <w:ind w:right="28"/>
              <w:jc w:val="left"/>
              <w:rPr>
                <w:b/>
              </w:rPr>
            </w:pPr>
            <w:r>
              <w:rPr>
                <w:b/>
              </w:rPr>
              <w:t>Other</w:t>
            </w:r>
          </w:p>
        </w:tc>
      </w:tr>
      <w:tr w:rsidR="00AE4D5A" w:rsidRPr="00076EFB" w:rsidTr="008E5E01">
        <w:tc>
          <w:tcPr>
            <w:tcW w:w="5000" w:type="pct"/>
            <w:shd w:val="clear" w:color="auto" w:fill="auto"/>
          </w:tcPr>
          <w:p w:rsidR="00AE4D5A" w:rsidRDefault="00AE4D5A" w:rsidP="008E5E01">
            <w:pPr>
              <w:pStyle w:val="TableBodyText"/>
              <w:ind w:right="0"/>
              <w:jc w:val="left"/>
            </w:pPr>
            <w:r>
              <w:t xml:space="preserve">Malaysia International Shipping Corporation </w:t>
            </w:r>
            <w:proofErr w:type="spellStart"/>
            <w:r>
              <w:t>Berhad</w:t>
            </w:r>
            <w:proofErr w:type="spellEnd"/>
          </w:p>
        </w:tc>
      </w:tr>
      <w:tr w:rsidR="00AE4D5A" w:rsidRPr="00076EFB" w:rsidTr="008E5E01">
        <w:tc>
          <w:tcPr>
            <w:tcW w:w="5000" w:type="pct"/>
            <w:tcBorders>
              <w:bottom w:val="single" w:sz="4" w:space="0" w:color="auto"/>
            </w:tcBorders>
            <w:shd w:val="clear" w:color="auto" w:fill="auto"/>
          </w:tcPr>
          <w:p w:rsidR="00AE4D5A" w:rsidRDefault="00AE4D5A" w:rsidP="008E5E01">
            <w:pPr>
              <w:pStyle w:val="TableBodyText"/>
              <w:ind w:right="0"/>
              <w:jc w:val="left"/>
            </w:pPr>
            <w:r>
              <w:t>Orient Overseas Container Line</w:t>
            </w:r>
          </w:p>
        </w:tc>
      </w:tr>
    </w:tbl>
    <w:p w:rsidR="00AE4D5A" w:rsidRDefault="00AE4D5A" w:rsidP="008E5E01">
      <w:pPr>
        <w:pStyle w:val="Continued"/>
      </w:pPr>
      <w:r>
        <w:t>(Continued next page)</w:t>
      </w:r>
    </w:p>
    <w:p w:rsidR="00AE4D5A" w:rsidRDefault="00AE4D5A" w:rsidP="008E5E01">
      <w:pPr>
        <w:pStyle w:val="TableTitle"/>
      </w:pPr>
      <w:r>
        <w:rPr>
          <w:b w:val="0"/>
        </w:rPr>
        <w:lastRenderedPageBreak/>
        <w:t xml:space="preserve">Table </w:t>
      </w:r>
      <w:proofErr w:type="spellStart"/>
      <w:r>
        <w:rPr>
          <w:b w:val="0"/>
        </w:rPr>
        <w:t>A.</w:t>
      </w:r>
      <w:r>
        <w:rPr>
          <w:b w:val="0"/>
          <w:noProof/>
        </w:rPr>
        <w:t>2</w:t>
      </w:r>
      <w:proofErr w:type="spellEnd"/>
      <w:r>
        <w:tab/>
      </w:r>
      <w:r w:rsidRPr="002B3A07">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AE4D5A" w:rsidTr="008E5E01">
        <w:tc>
          <w:tcPr>
            <w:tcW w:w="5000" w:type="pct"/>
            <w:tcBorders>
              <w:top w:val="single" w:sz="6" w:space="0" w:color="auto"/>
              <w:bottom w:val="single" w:sz="6" w:space="0" w:color="auto"/>
            </w:tcBorders>
            <w:shd w:val="clear" w:color="auto" w:fill="auto"/>
          </w:tcPr>
          <w:p w:rsidR="00AE4D5A" w:rsidRDefault="00AE4D5A" w:rsidP="008E5E01">
            <w:pPr>
              <w:pStyle w:val="TableColumnHeading"/>
              <w:ind w:right="28"/>
              <w:jc w:val="left"/>
            </w:pPr>
            <w:r>
              <w:t>Participants</w:t>
            </w:r>
          </w:p>
        </w:tc>
      </w:tr>
      <w:tr w:rsidR="00AE4D5A" w:rsidRPr="00076EFB" w:rsidTr="008E5E01">
        <w:tc>
          <w:tcPr>
            <w:tcW w:w="5000" w:type="pct"/>
            <w:shd w:val="clear" w:color="auto" w:fill="auto"/>
          </w:tcPr>
          <w:p w:rsidR="00AE4D5A" w:rsidRDefault="00AE4D5A" w:rsidP="008E5E01">
            <w:pPr>
              <w:pStyle w:val="TableBodyText"/>
              <w:ind w:right="0"/>
              <w:jc w:val="left"/>
            </w:pPr>
            <w:r>
              <w:t>Pacific International Lines</w:t>
            </w:r>
          </w:p>
        </w:tc>
      </w:tr>
      <w:tr w:rsidR="00AE4D5A" w:rsidRPr="00076EFB" w:rsidTr="008E5E01">
        <w:tc>
          <w:tcPr>
            <w:tcW w:w="5000" w:type="pct"/>
            <w:shd w:val="clear" w:color="auto" w:fill="auto"/>
          </w:tcPr>
          <w:p w:rsidR="00AE4D5A" w:rsidRDefault="00AE4D5A" w:rsidP="008E5E01">
            <w:pPr>
              <w:pStyle w:val="TableBodyText"/>
              <w:spacing w:line="200" w:lineRule="exact"/>
              <w:ind w:right="0"/>
              <w:jc w:val="left"/>
            </w:pPr>
            <w:r>
              <w:t>Swire Shipping</w:t>
            </w:r>
          </w:p>
        </w:tc>
      </w:tr>
      <w:tr w:rsidR="00AE4D5A" w:rsidRPr="00076EFB" w:rsidTr="008E5E01">
        <w:tc>
          <w:tcPr>
            <w:tcW w:w="5000" w:type="pct"/>
            <w:shd w:val="clear" w:color="auto" w:fill="auto"/>
          </w:tcPr>
          <w:p w:rsidR="00AE4D5A" w:rsidRDefault="00AE4D5A" w:rsidP="008E5E01">
            <w:pPr>
              <w:pStyle w:val="TableBodyText"/>
              <w:spacing w:line="200" w:lineRule="exact"/>
              <w:ind w:right="0"/>
              <w:jc w:val="left"/>
              <w:rPr>
                <w:b/>
              </w:rPr>
            </w:pPr>
            <w:r>
              <w:t>Thompson Clarke</w:t>
            </w:r>
          </w:p>
        </w:tc>
      </w:tr>
      <w:tr w:rsidR="00AE4D5A" w:rsidTr="008E5E01">
        <w:tc>
          <w:tcPr>
            <w:tcW w:w="5000" w:type="pct"/>
            <w:shd w:val="clear" w:color="auto" w:fill="auto"/>
          </w:tcPr>
          <w:p w:rsidR="00AE4D5A" w:rsidRDefault="00AE4D5A" w:rsidP="008E5E01">
            <w:pPr>
              <w:pStyle w:val="TableBodyText"/>
              <w:spacing w:line="200" w:lineRule="exact"/>
              <w:ind w:right="0"/>
              <w:jc w:val="left"/>
              <w:rPr>
                <w:b/>
              </w:rPr>
            </w:pPr>
          </w:p>
        </w:tc>
      </w:tr>
      <w:tr w:rsidR="00AE4D5A" w:rsidTr="008E5E01">
        <w:tc>
          <w:tcPr>
            <w:tcW w:w="5000" w:type="pct"/>
            <w:shd w:val="clear" w:color="auto" w:fill="auto"/>
          </w:tcPr>
          <w:p w:rsidR="00AE4D5A" w:rsidRPr="00922B95" w:rsidRDefault="00AE4D5A" w:rsidP="008E5E01">
            <w:pPr>
              <w:pStyle w:val="TableBodyText"/>
              <w:spacing w:line="200" w:lineRule="exact"/>
              <w:ind w:right="0"/>
              <w:jc w:val="left"/>
              <w:rPr>
                <w:b/>
              </w:rPr>
            </w:pPr>
            <w:r>
              <w:rPr>
                <w:b/>
              </w:rPr>
              <w:t>Australian Government</w:t>
            </w:r>
          </w:p>
        </w:tc>
      </w:tr>
      <w:tr w:rsidR="00AE4D5A" w:rsidTr="008E5E01">
        <w:tc>
          <w:tcPr>
            <w:tcW w:w="5000" w:type="pct"/>
            <w:shd w:val="clear" w:color="auto" w:fill="auto"/>
          </w:tcPr>
          <w:p w:rsidR="00AE4D5A" w:rsidRDefault="00AE4D5A" w:rsidP="008E5E01">
            <w:pPr>
              <w:pStyle w:val="TableBodyText"/>
              <w:ind w:right="0"/>
              <w:jc w:val="left"/>
            </w:pPr>
            <w:r>
              <w:t>Australian Competition and Consumer Commission</w:t>
            </w:r>
          </w:p>
        </w:tc>
      </w:tr>
      <w:tr w:rsidR="00AE4D5A" w:rsidTr="008E5E01">
        <w:tc>
          <w:tcPr>
            <w:tcW w:w="5000" w:type="pct"/>
            <w:shd w:val="clear" w:color="auto" w:fill="auto"/>
          </w:tcPr>
          <w:p w:rsidR="00AE4D5A" w:rsidRDefault="00AE4D5A" w:rsidP="008E5E01">
            <w:pPr>
              <w:pStyle w:val="TableBodyText"/>
              <w:ind w:right="0"/>
              <w:jc w:val="left"/>
            </w:pPr>
            <w:r>
              <w:t>Department of Human Services</w:t>
            </w:r>
          </w:p>
        </w:tc>
      </w:tr>
      <w:tr w:rsidR="00AE4D5A" w:rsidTr="008E5E01">
        <w:tc>
          <w:tcPr>
            <w:tcW w:w="5000" w:type="pct"/>
            <w:shd w:val="clear" w:color="auto" w:fill="auto"/>
          </w:tcPr>
          <w:p w:rsidR="00AE4D5A" w:rsidRDefault="00AE4D5A" w:rsidP="008E5E01">
            <w:pPr>
              <w:pStyle w:val="TableBodyText"/>
              <w:ind w:right="0"/>
              <w:jc w:val="left"/>
            </w:pPr>
            <w:r>
              <w:t>Department of Infrastructure and Regional Development</w:t>
            </w:r>
          </w:p>
        </w:tc>
      </w:tr>
      <w:tr w:rsidR="00AE4D5A" w:rsidTr="008E5E01">
        <w:tc>
          <w:tcPr>
            <w:tcW w:w="5000" w:type="pct"/>
            <w:shd w:val="clear" w:color="auto" w:fill="auto"/>
          </w:tcPr>
          <w:p w:rsidR="00AE4D5A" w:rsidRDefault="00AE4D5A" w:rsidP="008E5E01">
            <w:pPr>
              <w:pStyle w:val="TableBodyText"/>
              <w:ind w:right="0"/>
              <w:jc w:val="left"/>
            </w:pPr>
            <w:r>
              <w:t>Infrastructure Australia</w:t>
            </w:r>
          </w:p>
        </w:tc>
      </w:tr>
      <w:tr w:rsidR="00AE4D5A" w:rsidTr="008E5E01">
        <w:tc>
          <w:tcPr>
            <w:tcW w:w="5000" w:type="pct"/>
            <w:tcBorders>
              <w:bottom w:val="single" w:sz="4" w:space="0" w:color="auto"/>
            </w:tcBorders>
            <w:shd w:val="clear" w:color="auto" w:fill="auto"/>
          </w:tcPr>
          <w:p w:rsidR="00AE4D5A" w:rsidRDefault="00AE4D5A" w:rsidP="008E5E01">
            <w:pPr>
              <w:pStyle w:val="TableBodyText"/>
              <w:ind w:right="0"/>
              <w:jc w:val="left"/>
            </w:pPr>
            <w:r>
              <w:t>Joint Commonwealth and Tasmanian Economic Council</w:t>
            </w:r>
          </w:p>
        </w:tc>
      </w:tr>
    </w:tbl>
    <w:p w:rsidR="00AE4D5A" w:rsidRDefault="00AE4D5A" w:rsidP="008E5E01">
      <w:pPr>
        <w:pStyle w:val="BodyText"/>
      </w:pPr>
    </w:p>
    <w:p w:rsidR="00AE4D5A" w:rsidRDefault="00AE4D5A" w:rsidP="00120072">
      <w:pPr>
        <w:pStyle w:val="BodyText"/>
      </w:pPr>
    </w:p>
    <w:p w:rsidR="00AE4D5A" w:rsidRDefault="00AE4D5A" w:rsidP="00120072">
      <w:pPr>
        <w:pStyle w:val="BodyText"/>
      </w:pPr>
    </w:p>
    <w:p w:rsidR="00AE4D5A" w:rsidRDefault="00AE4D5A" w:rsidP="008E5E01">
      <w:pPr>
        <w:pStyle w:val="TableTitle"/>
      </w:pPr>
      <w:r>
        <w:rPr>
          <w:b w:val="0"/>
        </w:rPr>
        <w:lastRenderedPageBreak/>
        <w:t xml:space="preserve">Table </w:t>
      </w:r>
      <w:proofErr w:type="spellStart"/>
      <w:r>
        <w:rPr>
          <w:b w:val="0"/>
        </w:rPr>
        <w:t>A.</w:t>
      </w:r>
      <w:r>
        <w:rPr>
          <w:b w:val="0"/>
          <w:noProof/>
        </w:rPr>
        <w:t>3</w:t>
      </w:r>
      <w:proofErr w:type="spellEnd"/>
      <w:r>
        <w:tab/>
        <w:t>Public hearings</w:t>
      </w:r>
    </w:p>
    <w:tbl>
      <w:tblPr>
        <w:tblW w:w="5000" w:type="pct"/>
        <w:tblCellMar>
          <w:left w:w="0" w:type="dxa"/>
          <w:right w:w="0" w:type="dxa"/>
        </w:tblCellMar>
        <w:tblLook w:val="0000" w:firstRow="0" w:lastRow="0" w:firstColumn="0" w:lastColumn="0" w:noHBand="0" w:noVBand="0"/>
      </w:tblPr>
      <w:tblGrid>
        <w:gridCol w:w="6237"/>
        <w:gridCol w:w="2552"/>
      </w:tblGrid>
      <w:tr w:rsidR="00AE4D5A" w:rsidTr="008E5E01">
        <w:tc>
          <w:tcPr>
            <w:tcW w:w="3548" w:type="pct"/>
            <w:tcBorders>
              <w:top w:val="single" w:sz="6" w:space="0" w:color="auto"/>
              <w:bottom w:val="single" w:sz="6" w:space="0" w:color="auto"/>
            </w:tcBorders>
            <w:shd w:val="clear" w:color="auto" w:fill="auto"/>
          </w:tcPr>
          <w:p w:rsidR="00AE4D5A" w:rsidRDefault="00AE4D5A" w:rsidP="008E5E01">
            <w:pPr>
              <w:pStyle w:val="TableColumnHeading"/>
              <w:jc w:val="left"/>
            </w:pPr>
            <w:r>
              <w:t>Individual or organisation</w:t>
            </w:r>
          </w:p>
        </w:tc>
        <w:tc>
          <w:tcPr>
            <w:tcW w:w="1452" w:type="pct"/>
            <w:tcBorders>
              <w:top w:val="single" w:sz="6" w:space="0" w:color="auto"/>
              <w:bottom w:val="single" w:sz="6" w:space="0" w:color="auto"/>
            </w:tcBorders>
            <w:shd w:val="clear" w:color="auto" w:fill="auto"/>
          </w:tcPr>
          <w:p w:rsidR="00AE4D5A" w:rsidRDefault="00AE4D5A" w:rsidP="008E5E01">
            <w:pPr>
              <w:pStyle w:val="TableColumnHeading"/>
              <w:ind w:right="28"/>
            </w:pPr>
            <w:r>
              <w:t>Transcript page numbers</w:t>
            </w:r>
          </w:p>
        </w:tc>
      </w:tr>
      <w:tr w:rsidR="00AE4D5A" w:rsidTr="008E5E01">
        <w:tc>
          <w:tcPr>
            <w:tcW w:w="3548" w:type="pct"/>
            <w:tcBorders>
              <w:top w:val="single" w:sz="6" w:space="0" w:color="auto"/>
            </w:tcBorders>
          </w:tcPr>
          <w:p w:rsidR="00AE4D5A" w:rsidRPr="004642EA" w:rsidRDefault="00AE4D5A" w:rsidP="008E5E01">
            <w:pPr>
              <w:pStyle w:val="TableUnitsRow"/>
              <w:jc w:val="left"/>
              <w:rPr>
                <w:b/>
              </w:rPr>
            </w:pPr>
            <w:r>
              <w:rPr>
                <w:b/>
              </w:rPr>
              <w:t>Melbourne – 3 February 2014</w:t>
            </w:r>
          </w:p>
        </w:tc>
        <w:tc>
          <w:tcPr>
            <w:tcW w:w="1452" w:type="pct"/>
            <w:tcBorders>
              <w:top w:val="single" w:sz="6" w:space="0" w:color="auto"/>
            </w:tcBorders>
          </w:tcPr>
          <w:p w:rsidR="00AE4D5A" w:rsidRDefault="00AE4D5A" w:rsidP="008E5E01">
            <w:pPr>
              <w:pStyle w:val="TableUnitsRow"/>
              <w:ind w:right="28"/>
            </w:pPr>
          </w:p>
        </w:tc>
      </w:tr>
      <w:tr w:rsidR="00AE4D5A" w:rsidTr="008E5E01">
        <w:tc>
          <w:tcPr>
            <w:tcW w:w="3548" w:type="pct"/>
          </w:tcPr>
          <w:p w:rsidR="00AE4D5A" w:rsidRDefault="00AE4D5A" w:rsidP="008E5E01">
            <w:pPr>
              <w:pStyle w:val="TableBodyText"/>
              <w:jc w:val="left"/>
            </w:pPr>
            <w:r>
              <w:t>Australian Shipowners Association</w:t>
            </w:r>
          </w:p>
        </w:tc>
        <w:tc>
          <w:tcPr>
            <w:tcW w:w="1452" w:type="pct"/>
          </w:tcPr>
          <w:p w:rsidR="00AE4D5A" w:rsidRDefault="00AE4D5A" w:rsidP="00AA5FDA">
            <w:pPr>
              <w:pStyle w:val="TableBodyText"/>
              <w:ind w:right="28"/>
            </w:pPr>
            <w:r>
              <w:t>4</w:t>
            </w:r>
            <w:r w:rsidR="00AA5FDA">
              <w:t>–</w:t>
            </w:r>
            <w:r>
              <w:t>16</w:t>
            </w:r>
          </w:p>
        </w:tc>
      </w:tr>
      <w:tr w:rsidR="00AE4D5A" w:rsidTr="008E5E01">
        <w:tc>
          <w:tcPr>
            <w:tcW w:w="3548" w:type="pct"/>
            <w:shd w:val="clear" w:color="auto" w:fill="auto"/>
          </w:tcPr>
          <w:p w:rsidR="00AE4D5A" w:rsidRDefault="00AE4D5A" w:rsidP="008E5E01">
            <w:pPr>
              <w:pStyle w:val="TableBodyText"/>
              <w:jc w:val="left"/>
            </w:pPr>
            <w:r>
              <w:t>Institute of Public Affairs</w:t>
            </w:r>
          </w:p>
        </w:tc>
        <w:tc>
          <w:tcPr>
            <w:tcW w:w="1452" w:type="pct"/>
            <w:shd w:val="clear" w:color="auto" w:fill="auto"/>
          </w:tcPr>
          <w:p w:rsidR="00AE4D5A" w:rsidRDefault="00AE4D5A" w:rsidP="00AA5FDA">
            <w:pPr>
              <w:pStyle w:val="TableBodyText"/>
              <w:ind w:right="28"/>
            </w:pPr>
            <w:r>
              <w:t>17</w:t>
            </w:r>
            <w:r w:rsidR="00AA5FDA">
              <w:t>–</w:t>
            </w:r>
            <w:r>
              <w:t>24</w:t>
            </w:r>
          </w:p>
        </w:tc>
      </w:tr>
      <w:tr w:rsidR="00AE4D5A" w:rsidTr="008E5E01">
        <w:tc>
          <w:tcPr>
            <w:tcW w:w="3548" w:type="pct"/>
            <w:shd w:val="clear" w:color="auto" w:fill="auto"/>
          </w:tcPr>
          <w:p w:rsidR="00AE4D5A" w:rsidRDefault="00AE4D5A" w:rsidP="008E5E01">
            <w:pPr>
              <w:pStyle w:val="TableBodyText"/>
              <w:jc w:val="left"/>
            </w:pPr>
            <w:r>
              <w:t>Mondelez Australia Pty Ltd</w:t>
            </w:r>
          </w:p>
        </w:tc>
        <w:tc>
          <w:tcPr>
            <w:tcW w:w="1452" w:type="pct"/>
            <w:shd w:val="clear" w:color="auto" w:fill="auto"/>
          </w:tcPr>
          <w:p w:rsidR="00AE4D5A" w:rsidRDefault="00AE4D5A" w:rsidP="00AA5FDA">
            <w:pPr>
              <w:pStyle w:val="TableBodyText"/>
              <w:ind w:right="28"/>
            </w:pPr>
            <w:r>
              <w:t>25</w:t>
            </w:r>
            <w:r w:rsidR="00AA5FDA">
              <w:t>–</w:t>
            </w:r>
            <w:r>
              <w:t>40</w:t>
            </w:r>
          </w:p>
        </w:tc>
      </w:tr>
      <w:tr w:rsidR="00AE4D5A" w:rsidTr="008E5E01">
        <w:tc>
          <w:tcPr>
            <w:tcW w:w="3548" w:type="pct"/>
            <w:shd w:val="clear" w:color="auto" w:fill="auto"/>
          </w:tcPr>
          <w:p w:rsidR="00AE4D5A" w:rsidRDefault="00AE4D5A" w:rsidP="008E5E01">
            <w:pPr>
              <w:pStyle w:val="TableBodyText"/>
              <w:jc w:val="left"/>
            </w:pPr>
            <w:r>
              <w:t>Maritime Union of Australia</w:t>
            </w:r>
          </w:p>
        </w:tc>
        <w:tc>
          <w:tcPr>
            <w:tcW w:w="1452" w:type="pct"/>
            <w:shd w:val="clear" w:color="auto" w:fill="auto"/>
          </w:tcPr>
          <w:p w:rsidR="00AE4D5A" w:rsidRDefault="00AE4D5A" w:rsidP="00AA5FDA">
            <w:pPr>
              <w:pStyle w:val="TableBodyText"/>
              <w:ind w:right="28"/>
            </w:pPr>
            <w:r>
              <w:t>41</w:t>
            </w:r>
            <w:r w:rsidR="00AA5FDA">
              <w:t>–</w:t>
            </w:r>
            <w:r>
              <w:t>55</w:t>
            </w:r>
          </w:p>
        </w:tc>
      </w:tr>
      <w:tr w:rsidR="00AE4D5A" w:rsidTr="008E5E01">
        <w:tc>
          <w:tcPr>
            <w:tcW w:w="3548" w:type="pct"/>
            <w:shd w:val="clear" w:color="auto" w:fill="auto"/>
          </w:tcPr>
          <w:p w:rsidR="00AE4D5A" w:rsidRDefault="00AE4D5A" w:rsidP="008E5E01">
            <w:pPr>
              <w:pStyle w:val="TableBodyText"/>
              <w:jc w:val="left"/>
            </w:pPr>
          </w:p>
        </w:tc>
        <w:tc>
          <w:tcPr>
            <w:tcW w:w="1452" w:type="pct"/>
            <w:shd w:val="clear" w:color="auto" w:fill="auto"/>
          </w:tcPr>
          <w:p w:rsidR="00AE4D5A" w:rsidRDefault="00AE4D5A" w:rsidP="008E5E01">
            <w:pPr>
              <w:pStyle w:val="TableBodyText"/>
              <w:ind w:right="28"/>
            </w:pPr>
          </w:p>
        </w:tc>
      </w:tr>
      <w:tr w:rsidR="00AE4D5A" w:rsidTr="008E5E01">
        <w:tc>
          <w:tcPr>
            <w:tcW w:w="3548" w:type="pct"/>
            <w:shd w:val="clear" w:color="auto" w:fill="auto"/>
          </w:tcPr>
          <w:p w:rsidR="00AE4D5A" w:rsidRPr="004642EA" w:rsidRDefault="00AE4D5A" w:rsidP="008E5E01">
            <w:pPr>
              <w:pStyle w:val="TableBodyText"/>
              <w:jc w:val="left"/>
              <w:rPr>
                <w:b/>
              </w:rPr>
            </w:pPr>
            <w:r>
              <w:rPr>
                <w:b/>
              </w:rPr>
              <w:t>Hobart – 4 February 2014</w:t>
            </w:r>
          </w:p>
        </w:tc>
        <w:tc>
          <w:tcPr>
            <w:tcW w:w="1452" w:type="pct"/>
            <w:shd w:val="clear" w:color="auto" w:fill="auto"/>
          </w:tcPr>
          <w:p w:rsidR="00AE4D5A" w:rsidRDefault="00AE4D5A" w:rsidP="008E5E01">
            <w:pPr>
              <w:pStyle w:val="TableBodyText"/>
              <w:ind w:right="28"/>
            </w:pPr>
          </w:p>
        </w:tc>
      </w:tr>
      <w:tr w:rsidR="00AE4D5A" w:rsidTr="008E5E01">
        <w:tc>
          <w:tcPr>
            <w:tcW w:w="3548" w:type="pct"/>
            <w:shd w:val="clear" w:color="auto" w:fill="auto"/>
          </w:tcPr>
          <w:p w:rsidR="00AE4D5A" w:rsidRDefault="00AE4D5A" w:rsidP="008E5E01">
            <w:pPr>
              <w:pStyle w:val="TableBodyText"/>
              <w:jc w:val="left"/>
            </w:pPr>
            <w:r>
              <w:t xml:space="preserve">Norske Skog </w:t>
            </w:r>
            <w:r w:rsidR="00A52EE7">
              <w:t xml:space="preserve">Boyer Mill </w:t>
            </w:r>
            <w:r>
              <w:t>and Bartholomew Quinn and Associates</w:t>
            </w:r>
          </w:p>
        </w:tc>
        <w:tc>
          <w:tcPr>
            <w:tcW w:w="1452" w:type="pct"/>
            <w:shd w:val="clear" w:color="auto" w:fill="auto"/>
          </w:tcPr>
          <w:p w:rsidR="00AE4D5A" w:rsidRDefault="00AE4D5A" w:rsidP="00AA5FDA">
            <w:pPr>
              <w:pStyle w:val="TableBodyText"/>
              <w:ind w:right="28"/>
            </w:pPr>
            <w:r>
              <w:t>59</w:t>
            </w:r>
            <w:r w:rsidR="00AA5FDA">
              <w:t>–</w:t>
            </w:r>
            <w:r>
              <w:t>84</w:t>
            </w:r>
          </w:p>
        </w:tc>
      </w:tr>
      <w:tr w:rsidR="00AE4D5A" w:rsidRPr="00ED108D" w:rsidTr="008E5E01">
        <w:tc>
          <w:tcPr>
            <w:tcW w:w="3548" w:type="pct"/>
            <w:shd w:val="clear" w:color="auto" w:fill="auto"/>
          </w:tcPr>
          <w:p w:rsidR="00AE4D5A" w:rsidRPr="00ED108D" w:rsidRDefault="00AE4D5A" w:rsidP="008E5E01">
            <w:pPr>
              <w:pStyle w:val="TableBodyText"/>
              <w:jc w:val="left"/>
            </w:pPr>
            <w:r w:rsidRPr="00ED108D">
              <w:t>Tasmanian Bus and Coach Society</w:t>
            </w:r>
          </w:p>
        </w:tc>
        <w:tc>
          <w:tcPr>
            <w:tcW w:w="1452" w:type="pct"/>
            <w:shd w:val="clear" w:color="auto" w:fill="auto"/>
          </w:tcPr>
          <w:p w:rsidR="00AE4D5A" w:rsidRPr="00ED108D" w:rsidRDefault="00AE4D5A" w:rsidP="00AA5FDA">
            <w:pPr>
              <w:pStyle w:val="TableBodyText"/>
              <w:ind w:right="28"/>
            </w:pPr>
            <w:r w:rsidRPr="00ED108D">
              <w:t>85</w:t>
            </w:r>
            <w:r w:rsidR="00AA5FDA">
              <w:t>–</w:t>
            </w:r>
            <w:r w:rsidRPr="00ED108D">
              <w:t>89</w:t>
            </w:r>
          </w:p>
        </w:tc>
      </w:tr>
      <w:tr w:rsidR="00AE4D5A" w:rsidRPr="00ED108D" w:rsidTr="008E5E01">
        <w:tc>
          <w:tcPr>
            <w:tcW w:w="3548" w:type="pct"/>
            <w:shd w:val="clear" w:color="auto" w:fill="auto"/>
          </w:tcPr>
          <w:p w:rsidR="00AE4D5A" w:rsidRPr="00ED108D" w:rsidRDefault="00AE4D5A" w:rsidP="008E5E01">
            <w:pPr>
              <w:pStyle w:val="TableBodyText"/>
              <w:jc w:val="left"/>
            </w:pPr>
            <w:r w:rsidRPr="00ED108D">
              <w:t>Forestry Tasmania</w:t>
            </w:r>
          </w:p>
        </w:tc>
        <w:tc>
          <w:tcPr>
            <w:tcW w:w="1452" w:type="pct"/>
            <w:shd w:val="clear" w:color="auto" w:fill="auto"/>
          </w:tcPr>
          <w:p w:rsidR="00AE4D5A" w:rsidRPr="00ED108D" w:rsidRDefault="00AE4D5A" w:rsidP="00AA5FDA">
            <w:pPr>
              <w:pStyle w:val="TableBodyText"/>
              <w:ind w:right="28"/>
            </w:pPr>
            <w:r w:rsidRPr="00ED108D">
              <w:t>90</w:t>
            </w:r>
            <w:r w:rsidR="00AA5FDA">
              <w:t>–</w:t>
            </w:r>
            <w:r w:rsidRPr="00ED108D">
              <w:t>94</w:t>
            </w:r>
          </w:p>
        </w:tc>
      </w:tr>
      <w:tr w:rsidR="00AE4D5A" w:rsidRPr="00ED108D" w:rsidTr="008E5E01">
        <w:tc>
          <w:tcPr>
            <w:tcW w:w="3548" w:type="pct"/>
            <w:shd w:val="clear" w:color="auto" w:fill="auto"/>
          </w:tcPr>
          <w:p w:rsidR="00AE4D5A" w:rsidRPr="00ED108D" w:rsidRDefault="00AE4D5A" w:rsidP="008E5E01">
            <w:pPr>
              <w:pStyle w:val="TableBodyText"/>
              <w:jc w:val="left"/>
            </w:pPr>
            <w:r w:rsidRPr="00ED108D">
              <w:t>Tourism Industry Council Tasmania and Cradle Coast Authority</w:t>
            </w:r>
          </w:p>
        </w:tc>
        <w:tc>
          <w:tcPr>
            <w:tcW w:w="1452" w:type="pct"/>
            <w:shd w:val="clear" w:color="auto" w:fill="auto"/>
          </w:tcPr>
          <w:p w:rsidR="00AE4D5A" w:rsidRPr="00ED108D" w:rsidRDefault="00AE4D5A" w:rsidP="00AA5FDA">
            <w:pPr>
              <w:pStyle w:val="TableBodyText"/>
              <w:ind w:right="28"/>
            </w:pPr>
            <w:r w:rsidRPr="00ED108D">
              <w:t>95</w:t>
            </w:r>
            <w:r w:rsidR="00AA5FDA">
              <w:t>–</w:t>
            </w:r>
            <w:r w:rsidRPr="00ED108D">
              <w:t>110</w:t>
            </w:r>
          </w:p>
        </w:tc>
      </w:tr>
      <w:tr w:rsidR="00AE4D5A" w:rsidRPr="00ED108D" w:rsidTr="008E5E01">
        <w:tc>
          <w:tcPr>
            <w:tcW w:w="3548" w:type="pct"/>
            <w:shd w:val="clear" w:color="auto" w:fill="auto"/>
          </w:tcPr>
          <w:p w:rsidR="00AE4D5A" w:rsidRPr="00ED108D" w:rsidRDefault="00AE4D5A" w:rsidP="008E5E01">
            <w:pPr>
              <w:pStyle w:val="TableBodyText"/>
              <w:jc w:val="left"/>
            </w:pPr>
            <w:r w:rsidRPr="00ED108D">
              <w:t>Austrade</w:t>
            </w:r>
          </w:p>
        </w:tc>
        <w:tc>
          <w:tcPr>
            <w:tcW w:w="1452" w:type="pct"/>
            <w:shd w:val="clear" w:color="auto" w:fill="auto"/>
          </w:tcPr>
          <w:p w:rsidR="00AE4D5A" w:rsidRPr="00ED108D" w:rsidRDefault="00AE4D5A" w:rsidP="00AA5FDA">
            <w:pPr>
              <w:pStyle w:val="TableBodyText"/>
              <w:ind w:right="28"/>
            </w:pPr>
            <w:r w:rsidRPr="00ED108D">
              <w:t>111</w:t>
            </w:r>
            <w:r w:rsidR="00AA5FDA">
              <w:t>–</w:t>
            </w:r>
            <w:r w:rsidRPr="00ED108D">
              <w:t>121</w:t>
            </w:r>
          </w:p>
        </w:tc>
      </w:tr>
      <w:tr w:rsidR="00AE4D5A" w:rsidRPr="00ED108D" w:rsidTr="008E5E01">
        <w:tc>
          <w:tcPr>
            <w:tcW w:w="3548" w:type="pct"/>
            <w:shd w:val="clear" w:color="auto" w:fill="auto"/>
          </w:tcPr>
          <w:p w:rsidR="00AE4D5A" w:rsidRPr="00ED108D" w:rsidRDefault="00AE4D5A" w:rsidP="008E5E01">
            <w:pPr>
              <w:pStyle w:val="TableBodyText"/>
              <w:jc w:val="left"/>
            </w:pPr>
            <w:r w:rsidRPr="00ED108D">
              <w:t>Fresh Freight Tasmania</w:t>
            </w:r>
          </w:p>
        </w:tc>
        <w:tc>
          <w:tcPr>
            <w:tcW w:w="1452" w:type="pct"/>
            <w:shd w:val="clear" w:color="auto" w:fill="auto"/>
          </w:tcPr>
          <w:p w:rsidR="00AE4D5A" w:rsidRPr="00ED108D" w:rsidRDefault="00AE4D5A" w:rsidP="00AA5FDA">
            <w:pPr>
              <w:pStyle w:val="TableBodyText"/>
              <w:ind w:right="28"/>
            </w:pPr>
            <w:r w:rsidRPr="00ED108D">
              <w:t>122</w:t>
            </w:r>
            <w:r w:rsidR="00AA5FDA">
              <w:t>–</w:t>
            </w:r>
            <w:r w:rsidRPr="00ED108D">
              <w:t>132</w:t>
            </w:r>
          </w:p>
        </w:tc>
      </w:tr>
      <w:tr w:rsidR="00AE4D5A" w:rsidRPr="006302C6" w:rsidTr="008E5E01">
        <w:tc>
          <w:tcPr>
            <w:tcW w:w="3548" w:type="pct"/>
            <w:shd w:val="clear" w:color="auto" w:fill="auto"/>
          </w:tcPr>
          <w:p w:rsidR="00AE4D5A" w:rsidRPr="00ED108D" w:rsidRDefault="00AE4D5A" w:rsidP="008E5E01">
            <w:pPr>
              <w:pStyle w:val="TableBodyText"/>
              <w:jc w:val="left"/>
            </w:pPr>
            <w:r w:rsidRPr="00ED108D">
              <w:t>Tasmanian Exporters Group</w:t>
            </w:r>
          </w:p>
        </w:tc>
        <w:tc>
          <w:tcPr>
            <w:tcW w:w="1452" w:type="pct"/>
            <w:shd w:val="clear" w:color="auto" w:fill="auto"/>
          </w:tcPr>
          <w:p w:rsidR="00AE4D5A" w:rsidRPr="00ED108D" w:rsidRDefault="00AE4D5A" w:rsidP="00AA5FDA">
            <w:pPr>
              <w:pStyle w:val="TableBodyText"/>
              <w:ind w:right="28"/>
            </w:pPr>
            <w:r w:rsidRPr="00ED108D">
              <w:t>133</w:t>
            </w:r>
            <w:r w:rsidR="00AA5FDA">
              <w:t>–</w:t>
            </w:r>
            <w:r w:rsidRPr="00ED108D">
              <w:t>150</w:t>
            </w:r>
          </w:p>
        </w:tc>
      </w:tr>
      <w:tr w:rsidR="00AE4D5A" w:rsidRPr="006302C6" w:rsidTr="008E5E01">
        <w:tc>
          <w:tcPr>
            <w:tcW w:w="3548" w:type="pct"/>
            <w:shd w:val="clear" w:color="auto" w:fill="auto"/>
          </w:tcPr>
          <w:p w:rsidR="00AE4D5A" w:rsidRPr="006302C6" w:rsidRDefault="00AE4D5A" w:rsidP="008E5E01">
            <w:pPr>
              <w:pStyle w:val="TableBodyText"/>
              <w:jc w:val="left"/>
              <w:rPr>
                <w:highlight w:val="yellow"/>
              </w:rPr>
            </w:pPr>
          </w:p>
        </w:tc>
        <w:tc>
          <w:tcPr>
            <w:tcW w:w="1452" w:type="pct"/>
            <w:shd w:val="clear" w:color="auto" w:fill="auto"/>
          </w:tcPr>
          <w:p w:rsidR="00AE4D5A" w:rsidRPr="006302C6" w:rsidRDefault="00AE4D5A" w:rsidP="008E5E01">
            <w:pPr>
              <w:pStyle w:val="TableBodyText"/>
              <w:ind w:right="28"/>
              <w:rPr>
                <w:highlight w:val="yellow"/>
              </w:rPr>
            </w:pPr>
          </w:p>
        </w:tc>
      </w:tr>
      <w:tr w:rsidR="00AE4D5A" w:rsidRPr="000634DE" w:rsidTr="008E5E01">
        <w:tc>
          <w:tcPr>
            <w:tcW w:w="3548" w:type="pct"/>
            <w:shd w:val="clear" w:color="auto" w:fill="auto"/>
          </w:tcPr>
          <w:p w:rsidR="00AE4D5A" w:rsidRPr="000634DE" w:rsidRDefault="00AE4D5A" w:rsidP="008E5E01">
            <w:pPr>
              <w:pStyle w:val="TableBodyText"/>
              <w:jc w:val="left"/>
              <w:rPr>
                <w:b/>
              </w:rPr>
            </w:pPr>
            <w:r w:rsidRPr="000634DE">
              <w:rPr>
                <w:b/>
              </w:rPr>
              <w:t>Hobart – 5 February 2014</w:t>
            </w:r>
          </w:p>
        </w:tc>
        <w:tc>
          <w:tcPr>
            <w:tcW w:w="1452" w:type="pct"/>
            <w:shd w:val="clear" w:color="auto" w:fill="auto"/>
          </w:tcPr>
          <w:p w:rsidR="00AE4D5A" w:rsidRPr="000634DE" w:rsidRDefault="00AE4D5A" w:rsidP="008E5E01">
            <w:pPr>
              <w:pStyle w:val="TableBodyText"/>
              <w:ind w:right="28"/>
            </w:pP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Peter Brohier and John Jones</w:t>
            </w:r>
          </w:p>
        </w:tc>
        <w:tc>
          <w:tcPr>
            <w:tcW w:w="1452" w:type="pct"/>
            <w:shd w:val="clear" w:color="auto" w:fill="auto"/>
          </w:tcPr>
          <w:p w:rsidR="00AE4D5A" w:rsidRPr="000634DE" w:rsidRDefault="00AE4D5A" w:rsidP="00AA5FDA">
            <w:pPr>
              <w:pStyle w:val="TableBodyText"/>
              <w:ind w:right="28"/>
            </w:pPr>
            <w:r w:rsidRPr="000634DE">
              <w:t>153</w:t>
            </w:r>
            <w:r w:rsidR="00AA5FDA">
              <w:t>–</w:t>
            </w:r>
            <w:r w:rsidRPr="000634DE">
              <w:t>164</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John Livermore</w:t>
            </w:r>
          </w:p>
        </w:tc>
        <w:tc>
          <w:tcPr>
            <w:tcW w:w="1452" w:type="pct"/>
            <w:shd w:val="clear" w:color="auto" w:fill="auto"/>
          </w:tcPr>
          <w:p w:rsidR="00AE4D5A" w:rsidRPr="000634DE" w:rsidRDefault="00AE4D5A" w:rsidP="00AA5FDA">
            <w:pPr>
              <w:pStyle w:val="TableBodyText"/>
              <w:ind w:right="28"/>
            </w:pPr>
            <w:r w:rsidRPr="000634DE">
              <w:t>165</w:t>
            </w:r>
            <w:r w:rsidR="00AA5FDA">
              <w:t>–</w:t>
            </w:r>
            <w:r w:rsidRPr="000634DE">
              <w:t>173</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Richard John Burgess</w:t>
            </w:r>
          </w:p>
        </w:tc>
        <w:tc>
          <w:tcPr>
            <w:tcW w:w="1452" w:type="pct"/>
            <w:shd w:val="clear" w:color="auto" w:fill="auto"/>
          </w:tcPr>
          <w:p w:rsidR="00AE4D5A" w:rsidRPr="000634DE" w:rsidRDefault="00AE4D5A" w:rsidP="00AA5FDA">
            <w:pPr>
              <w:pStyle w:val="TableBodyText"/>
              <w:ind w:right="28"/>
            </w:pPr>
            <w:r w:rsidRPr="000634DE">
              <w:t>174</w:t>
            </w:r>
            <w:r w:rsidR="00AA5FDA">
              <w:t>–</w:t>
            </w:r>
            <w:r w:rsidRPr="000634DE">
              <w:t>186</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Winemaking Tasmania</w:t>
            </w:r>
          </w:p>
        </w:tc>
        <w:tc>
          <w:tcPr>
            <w:tcW w:w="1452" w:type="pct"/>
            <w:shd w:val="clear" w:color="auto" w:fill="auto"/>
          </w:tcPr>
          <w:p w:rsidR="00AE4D5A" w:rsidRPr="000634DE" w:rsidRDefault="00AE4D5A" w:rsidP="00AA5FDA">
            <w:pPr>
              <w:pStyle w:val="TableBodyText"/>
              <w:ind w:right="28"/>
            </w:pPr>
            <w:r w:rsidRPr="000634DE">
              <w:t>187</w:t>
            </w:r>
            <w:r w:rsidR="00AA5FDA">
              <w:t>–</w:t>
            </w:r>
            <w:r w:rsidRPr="000634DE">
              <w:t>195</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Houston’s Farm</w:t>
            </w:r>
          </w:p>
        </w:tc>
        <w:tc>
          <w:tcPr>
            <w:tcW w:w="1452" w:type="pct"/>
            <w:shd w:val="clear" w:color="auto" w:fill="auto"/>
          </w:tcPr>
          <w:p w:rsidR="00AE4D5A" w:rsidRPr="000634DE" w:rsidRDefault="00AE4D5A" w:rsidP="00AA5FDA">
            <w:pPr>
              <w:pStyle w:val="TableBodyText"/>
              <w:ind w:right="28"/>
            </w:pPr>
            <w:r w:rsidRPr="000634DE">
              <w:t>196</w:t>
            </w:r>
            <w:r w:rsidR="00AA5FDA">
              <w:t>–</w:t>
            </w:r>
            <w:r w:rsidRPr="000634DE">
              <w:t>207</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National Sea Highway Coalition Tasmania</w:t>
            </w:r>
          </w:p>
        </w:tc>
        <w:tc>
          <w:tcPr>
            <w:tcW w:w="1452" w:type="pct"/>
            <w:shd w:val="clear" w:color="auto" w:fill="auto"/>
          </w:tcPr>
          <w:p w:rsidR="00AE4D5A" w:rsidRPr="000634DE" w:rsidRDefault="00AE4D5A" w:rsidP="00AA5FDA">
            <w:pPr>
              <w:pStyle w:val="TableBodyText"/>
              <w:ind w:right="28"/>
            </w:pPr>
            <w:r w:rsidRPr="000634DE">
              <w:t>208</w:t>
            </w:r>
            <w:r w:rsidR="00AA5FDA">
              <w:t>–</w:t>
            </w:r>
            <w:r w:rsidRPr="000634DE">
              <w:t>217</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Campervan and Motorhome Club of Australia</w:t>
            </w:r>
          </w:p>
        </w:tc>
        <w:tc>
          <w:tcPr>
            <w:tcW w:w="1452" w:type="pct"/>
            <w:shd w:val="clear" w:color="auto" w:fill="auto"/>
          </w:tcPr>
          <w:p w:rsidR="00AE4D5A" w:rsidRPr="000634DE" w:rsidRDefault="00AE4D5A" w:rsidP="00AA5FDA">
            <w:pPr>
              <w:pStyle w:val="TableBodyText"/>
              <w:ind w:right="28"/>
            </w:pPr>
            <w:r w:rsidRPr="000634DE">
              <w:t>218</w:t>
            </w:r>
            <w:r w:rsidR="00AA5FDA">
              <w:t>–</w:t>
            </w:r>
            <w:r w:rsidRPr="000634DE">
              <w:t>222</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 xml:space="preserve">Andrew </w:t>
            </w:r>
            <w:proofErr w:type="spellStart"/>
            <w:r w:rsidRPr="000634DE">
              <w:t>Wilkie</w:t>
            </w:r>
            <w:proofErr w:type="spellEnd"/>
            <w:r w:rsidRPr="000634DE">
              <w:t xml:space="preserve"> MP</w:t>
            </w:r>
          </w:p>
        </w:tc>
        <w:tc>
          <w:tcPr>
            <w:tcW w:w="1452" w:type="pct"/>
            <w:shd w:val="clear" w:color="auto" w:fill="auto"/>
          </w:tcPr>
          <w:p w:rsidR="00AE4D5A" w:rsidRPr="000634DE" w:rsidRDefault="00AE4D5A" w:rsidP="00AA5FDA">
            <w:pPr>
              <w:pStyle w:val="TableBodyText"/>
              <w:ind w:right="28"/>
            </w:pPr>
            <w:r w:rsidRPr="000634DE">
              <w:t>223</w:t>
            </w:r>
            <w:r w:rsidR="00AA5FDA">
              <w:t>–</w:t>
            </w:r>
            <w:r w:rsidRPr="000634DE">
              <w:t>233</w:t>
            </w:r>
          </w:p>
        </w:tc>
      </w:tr>
      <w:tr w:rsidR="00AE4D5A" w:rsidRPr="000634DE" w:rsidTr="008E5E01">
        <w:tc>
          <w:tcPr>
            <w:tcW w:w="3548" w:type="pct"/>
            <w:shd w:val="clear" w:color="auto" w:fill="auto"/>
          </w:tcPr>
          <w:p w:rsidR="00AE4D5A" w:rsidRPr="000634DE" w:rsidRDefault="00AE4D5A" w:rsidP="008E5E01">
            <w:pPr>
              <w:pStyle w:val="TableBodyText"/>
              <w:jc w:val="left"/>
            </w:pPr>
            <w:proofErr w:type="spellStart"/>
            <w:r w:rsidRPr="000634DE">
              <w:t>Nekon</w:t>
            </w:r>
            <w:proofErr w:type="spellEnd"/>
            <w:r w:rsidRPr="000634DE">
              <w:t xml:space="preserve"> Pty Ltd</w:t>
            </w:r>
          </w:p>
        </w:tc>
        <w:tc>
          <w:tcPr>
            <w:tcW w:w="1452" w:type="pct"/>
            <w:shd w:val="clear" w:color="auto" w:fill="auto"/>
          </w:tcPr>
          <w:p w:rsidR="00AE4D5A" w:rsidRPr="000634DE" w:rsidRDefault="00AE4D5A" w:rsidP="00AA5FDA">
            <w:pPr>
              <w:pStyle w:val="TableBodyText"/>
              <w:ind w:right="28"/>
            </w:pPr>
            <w:r w:rsidRPr="000634DE">
              <w:t>234</w:t>
            </w:r>
            <w:r w:rsidR="00AA5FDA">
              <w:t>–</w:t>
            </w:r>
            <w:r w:rsidRPr="000634DE">
              <w:t>246</w:t>
            </w:r>
          </w:p>
        </w:tc>
      </w:tr>
      <w:tr w:rsidR="00AE4D5A" w:rsidRPr="000634DE" w:rsidTr="008E5E01">
        <w:tc>
          <w:tcPr>
            <w:tcW w:w="3548" w:type="pct"/>
            <w:shd w:val="clear" w:color="auto" w:fill="auto"/>
          </w:tcPr>
          <w:p w:rsidR="00AE4D5A" w:rsidRPr="000634DE" w:rsidRDefault="00AE4D5A" w:rsidP="008E5E01">
            <w:pPr>
              <w:pStyle w:val="TableBodyText"/>
              <w:jc w:val="left"/>
            </w:pPr>
          </w:p>
        </w:tc>
        <w:tc>
          <w:tcPr>
            <w:tcW w:w="1452" w:type="pct"/>
            <w:shd w:val="clear" w:color="auto" w:fill="auto"/>
          </w:tcPr>
          <w:p w:rsidR="00AE4D5A" w:rsidRPr="000634DE" w:rsidRDefault="00AE4D5A" w:rsidP="008E5E01">
            <w:pPr>
              <w:pStyle w:val="TableBodyText"/>
              <w:ind w:right="28"/>
            </w:pPr>
          </w:p>
        </w:tc>
      </w:tr>
      <w:tr w:rsidR="00AE4D5A" w:rsidRPr="000634DE" w:rsidTr="008E5E01">
        <w:tc>
          <w:tcPr>
            <w:tcW w:w="3548" w:type="pct"/>
            <w:shd w:val="clear" w:color="auto" w:fill="auto"/>
          </w:tcPr>
          <w:p w:rsidR="00AE4D5A" w:rsidRPr="000634DE" w:rsidRDefault="00AE4D5A" w:rsidP="008E5E01">
            <w:pPr>
              <w:pStyle w:val="TableBodyText"/>
              <w:jc w:val="left"/>
              <w:rPr>
                <w:b/>
              </w:rPr>
            </w:pPr>
            <w:r w:rsidRPr="000634DE">
              <w:rPr>
                <w:b/>
              </w:rPr>
              <w:t>Launceston – 6 February 2014</w:t>
            </w:r>
          </w:p>
        </w:tc>
        <w:tc>
          <w:tcPr>
            <w:tcW w:w="1452" w:type="pct"/>
            <w:shd w:val="clear" w:color="auto" w:fill="auto"/>
          </w:tcPr>
          <w:p w:rsidR="00AE4D5A" w:rsidRPr="000634DE" w:rsidRDefault="00AE4D5A" w:rsidP="008E5E01">
            <w:pPr>
              <w:pStyle w:val="TableBodyText"/>
              <w:ind w:right="28"/>
            </w:pP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Veolia Environmental Services</w:t>
            </w:r>
          </w:p>
        </w:tc>
        <w:tc>
          <w:tcPr>
            <w:tcW w:w="1452" w:type="pct"/>
            <w:shd w:val="clear" w:color="auto" w:fill="auto"/>
          </w:tcPr>
          <w:p w:rsidR="00AE4D5A" w:rsidRPr="000634DE" w:rsidRDefault="00AE4D5A" w:rsidP="00AA5FDA">
            <w:pPr>
              <w:pStyle w:val="TableBodyText"/>
              <w:ind w:right="28"/>
            </w:pPr>
            <w:r w:rsidRPr="000634DE">
              <w:t>249</w:t>
            </w:r>
            <w:r w:rsidR="00AA5FDA">
              <w:t>–</w:t>
            </w:r>
            <w:r w:rsidRPr="000634DE">
              <w:t>269</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Regional Development Australia Tasmania</w:t>
            </w:r>
          </w:p>
        </w:tc>
        <w:tc>
          <w:tcPr>
            <w:tcW w:w="1452" w:type="pct"/>
            <w:shd w:val="clear" w:color="auto" w:fill="auto"/>
          </w:tcPr>
          <w:p w:rsidR="00AE4D5A" w:rsidRPr="000634DE" w:rsidRDefault="00AE4D5A" w:rsidP="00AA5FDA">
            <w:pPr>
              <w:pStyle w:val="TableBodyText"/>
              <w:ind w:right="28"/>
            </w:pPr>
            <w:r w:rsidRPr="000634DE">
              <w:t>270</w:t>
            </w:r>
            <w:r w:rsidR="00AA5FDA">
              <w:t>–</w:t>
            </w:r>
            <w:r w:rsidRPr="000634DE">
              <w:t>278</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G A Cossar and Co Pty Ltd</w:t>
            </w:r>
          </w:p>
        </w:tc>
        <w:tc>
          <w:tcPr>
            <w:tcW w:w="1452" w:type="pct"/>
            <w:shd w:val="clear" w:color="auto" w:fill="auto"/>
          </w:tcPr>
          <w:p w:rsidR="00AE4D5A" w:rsidRPr="000634DE" w:rsidRDefault="00AE4D5A" w:rsidP="00AA5FDA">
            <w:pPr>
              <w:pStyle w:val="TableBodyText"/>
              <w:ind w:right="28"/>
            </w:pPr>
            <w:r w:rsidRPr="000634DE">
              <w:t>279</w:t>
            </w:r>
            <w:r w:rsidR="00AA5FDA">
              <w:t>–</w:t>
            </w:r>
            <w:r w:rsidRPr="000634DE">
              <w:t>285</w:t>
            </w:r>
          </w:p>
        </w:tc>
      </w:tr>
      <w:tr w:rsidR="00AE4D5A" w:rsidRPr="000634DE" w:rsidTr="008E5E01">
        <w:tc>
          <w:tcPr>
            <w:tcW w:w="3548" w:type="pct"/>
            <w:shd w:val="clear" w:color="auto" w:fill="auto"/>
          </w:tcPr>
          <w:p w:rsidR="00AE4D5A" w:rsidRPr="000634DE" w:rsidRDefault="00AE4D5A" w:rsidP="008E5E01">
            <w:pPr>
              <w:pStyle w:val="TableBodyText"/>
              <w:jc w:val="left"/>
            </w:pPr>
            <w:proofErr w:type="spellStart"/>
            <w:r w:rsidRPr="000634DE">
              <w:t>Cuthbertsons</w:t>
            </w:r>
            <w:proofErr w:type="spellEnd"/>
            <w:r w:rsidRPr="000634DE">
              <w:t xml:space="preserve"> Bros Pty Ltd</w:t>
            </w:r>
          </w:p>
        </w:tc>
        <w:tc>
          <w:tcPr>
            <w:tcW w:w="1452" w:type="pct"/>
            <w:shd w:val="clear" w:color="auto" w:fill="auto"/>
          </w:tcPr>
          <w:p w:rsidR="00AE4D5A" w:rsidRPr="000634DE" w:rsidRDefault="00AE4D5A" w:rsidP="00AA5FDA">
            <w:pPr>
              <w:pStyle w:val="TableBodyText"/>
              <w:ind w:right="28"/>
            </w:pPr>
            <w:r w:rsidRPr="000634DE">
              <w:t>286</w:t>
            </w:r>
            <w:r w:rsidR="00AA5FDA">
              <w:t>–</w:t>
            </w:r>
            <w:r w:rsidRPr="000634DE">
              <w:t>299</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John Barker and Associates</w:t>
            </w:r>
          </w:p>
        </w:tc>
        <w:tc>
          <w:tcPr>
            <w:tcW w:w="1452" w:type="pct"/>
            <w:shd w:val="clear" w:color="auto" w:fill="auto"/>
          </w:tcPr>
          <w:p w:rsidR="00AE4D5A" w:rsidRPr="000634DE" w:rsidRDefault="00AE4D5A" w:rsidP="00AA5FDA">
            <w:pPr>
              <w:pStyle w:val="TableBodyText"/>
              <w:ind w:right="28"/>
            </w:pPr>
            <w:r w:rsidRPr="000634DE">
              <w:t>300</w:t>
            </w:r>
            <w:r w:rsidR="00AA5FDA">
              <w:t>–</w:t>
            </w:r>
            <w:r w:rsidRPr="000634DE">
              <w:t>307</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National Sea Highway Coalition</w:t>
            </w:r>
          </w:p>
        </w:tc>
        <w:tc>
          <w:tcPr>
            <w:tcW w:w="1452" w:type="pct"/>
            <w:shd w:val="clear" w:color="auto" w:fill="auto"/>
          </w:tcPr>
          <w:p w:rsidR="00AE4D5A" w:rsidRPr="000634DE" w:rsidRDefault="00AE4D5A" w:rsidP="00AA5FDA">
            <w:pPr>
              <w:pStyle w:val="TableBodyText"/>
              <w:ind w:right="28"/>
            </w:pPr>
            <w:r w:rsidRPr="000634DE">
              <w:t>308</w:t>
            </w:r>
            <w:r w:rsidR="00AA5FDA">
              <w:t>–</w:t>
            </w:r>
            <w:r w:rsidRPr="000634DE">
              <w:t>318</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Bell Bay Aluminium</w:t>
            </w:r>
          </w:p>
        </w:tc>
        <w:tc>
          <w:tcPr>
            <w:tcW w:w="1452" w:type="pct"/>
            <w:shd w:val="clear" w:color="auto" w:fill="auto"/>
          </w:tcPr>
          <w:p w:rsidR="00AE4D5A" w:rsidRPr="000634DE" w:rsidRDefault="00AE4D5A" w:rsidP="00AA5FDA">
            <w:pPr>
              <w:pStyle w:val="TableBodyText"/>
              <w:ind w:right="28"/>
            </w:pPr>
            <w:r w:rsidRPr="000634DE">
              <w:t>319</w:t>
            </w:r>
            <w:r w:rsidR="00AA5FDA">
              <w:t>–</w:t>
            </w:r>
            <w:r w:rsidRPr="000634DE">
              <w:t>330</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Harvest Moon</w:t>
            </w:r>
          </w:p>
        </w:tc>
        <w:tc>
          <w:tcPr>
            <w:tcW w:w="1452" w:type="pct"/>
            <w:shd w:val="clear" w:color="auto" w:fill="auto"/>
          </w:tcPr>
          <w:p w:rsidR="00AE4D5A" w:rsidRPr="000634DE" w:rsidRDefault="00AE4D5A" w:rsidP="00AA5FDA">
            <w:pPr>
              <w:pStyle w:val="TableBodyText"/>
              <w:ind w:right="28"/>
            </w:pPr>
            <w:r w:rsidRPr="000634DE">
              <w:t>331</w:t>
            </w:r>
            <w:r w:rsidR="00AA5FDA">
              <w:t>–</w:t>
            </w:r>
            <w:r w:rsidRPr="000634DE">
              <w:t>343</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 xml:space="preserve">Net Sea Freight </w:t>
            </w:r>
            <w:r w:rsidR="00A05BC4">
              <w:t xml:space="preserve">– </w:t>
            </w:r>
            <w:r w:rsidRPr="000634DE">
              <w:t>Tasmania</w:t>
            </w:r>
            <w:r w:rsidR="00A05BC4">
              <w:t xml:space="preserve"> Pty Ltd</w:t>
            </w:r>
          </w:p>
        </w:tc>
        <w:tc>
          <w:tcPr>
            <w:tcW w:w="1452" w:type="pct"/>
            <w:shd w:val="clear" w:color="auto" w:fill="auto"/>
          </w:tcPr>
          <w:p w:rsidR="00AE4D5A" w:rsidRPr="000634DE" w:rsidRDefault="00AE4D5A" w:rsidP="00AA5FDA">
            <w:pPr>
              <w:pStyle w:val="TableBodyText"/>
              <w:ind w:right="28"/>
            </w:pPr>
            <w:r w:rsidRPr="000634DE">
              <w:t>344</w:t>
            </w:r>
            <w:r w:rsidR="00AA5FDA">
              <w:t>–</w:t>
            </w:r>
            <w:r w:rsidRPr="000634DE">
              <w:t>364</w:t>
            </w:r>
          </w:p>
        </w:tc>
      </w:tr>
      <w:tr w:rsidR="00AE4D5A" w:rsidRPr="000634DE" w:rsidTr="008E5E01">
        <w:tc>
          <w:tcPr>
            <w:tcW w:w="3548" w:type="pct"/>
            <w:shd w:val="clear" w:color="auto" w:fill="auto"/>
          </w:tcPr>
          <w:p w:rsidR="00AE4D5A" w:rsidRPr="000634DE" w:rsidRDefault="00AE4D5A" w:rsidP="008E5E01">
            <w:pPr>
              <w:pStyle w:val="TableBodyText"/>
              <w:jc w:val="left"/>
            </w:pPr>
            <w:r w:rsidRPr="000634DE">
              <w:t>Launceston Chamber of Commerce</w:t>
            </w:r>
          </w:p>
        </w:tc>
        <w:tc>
          <w:tcPr>
            <w:tcW w:w="1452" w:type="pct"/>
            <w:shd w:val="clear" w:color="auto" w:fill="auto"/>
          </w:tcPr>
          <w:p w:rsidR="00AE4D5A" w:rsidRPr="000634DE" w:rsidRDefault="00AE4D5A" w:rsidP="00AA5FDA">
            <w:pPr>
              <w:pStyle w:val="TableBodyText"/>
              <w:ind w:right="28"/>
            </w:pPr>
            <w:r w:rsidRPr="000634DE">
              <w:t>365</w:t>
            </w:r>
            <w:r w:rsidR="00AA5FDA">
              <w:t>–</w:t>
            </w:r>
            <w:r w:rsidRPr="000634DE">
              <w:t>371</w:t>
            </w:r>
          </w:p>
        </w:tc>
      </w:tr>
      <w:tr w:rsidR="00AE4D5A" w:rsidTr="008E5E01">
        <w:tc>
          <w:tcPr>
            <w:tcW w:w="3548" w:type="pct"/>
            <w:shd w:val="clear" w:color="auto" w:fill="auto"/>
          </w:tcPr>
          <w:p w:rsidR="00AE4D5A" w:rsidRPr="000634DE" w:rsidRDefault="00AE4D5A" w:rsidP="008E5E01">
            <w:pPr>
              <w:pStyle w:val="TableBodyText"/>
              <w:jc w:val="left"/>
            </w:pPr>
            <w:r w:rsidRPr="000634DE">
              <w:t>Agility Logistics</w:t>
            </w:r>
          </w:p>
        </w:tc>
        <w:tc>
          <w:tcPr>
            <w:tcW w:w="1452" w:type="pct"/>
            <w:shd w:val="clear" w:color="auto" w:fill="auto"/>
          </w:tcPr>
          <w:p w:rsidR="00AE4D5A" w:rsidRDefault="00AE4D5A" w:rsidP="00AA5FDA">
            <w:pPr>
              <w:pStyle w:val="TableBodyText"/>
              <w:ind w:right="28"/>
            </w:pPr>
            <w:r w:rsidRPr="000634DE">
              <w:t>372</w:t>
            </w:r>
            <w:r w:rsidR="00AA5FDA">
              <w:t>–</w:t>
            </w:r>
            <w:r w:rsidRPr="000634DE">
              <w:t>375</w:t>
            </w:r>
          </w:p>
        </w:tc>
      </w:tr>
      <w:tr w:rsidR="00AE4D5A" w:rsidTr="008E5E01">
        <w:tc>
          <w:tcPr>
            <w:tcW w:w="3548" w:type="pct"/>
            <w:tcBorders>
              <w:bottom w:val="single" w:sz="4" w:space="0" w:color="auto"/>
            </w:tcBorders>
            <w:shd w:val="clear" w:color="auto" w:fill="auto"/>
          </w:tcPr>
          <w:p w:rsidR="00AE4D5A" w:rsidRPr="006302C6" w:rsidRDefault="00AE4D5A" w:rsidP="008E5E01">
            <w:pPr>
              <w:pStyle w:val="TableBodyText"/>
              <w:jc w:val="left"/>
              <w:rPr>
                <w:highlight w:val="yellow"/>
              </w:rPr>
            </w:pPr>
          </w:p>
        </w:tc>
        <w:tc>
          <w:tcPr>
            <w:tcW w:w="1452" w:type="pct"/>
            <w:tcBorders>
              <w:bottom w:val="single" w:sz="4" w:space="0" w:color="auto"/>
            </w:tcBorders>
            <w:shd w:val="clear" w:color="auto" w:fill="auto"/>
          </w:tcPr>
          <w:p w:rsidR="00AE4D5A" w:rsidRPr="006302C6" w:rsidRDefault="00AE4D5A" w:rsidP="008E5E01">
            <w:pPr>
              <w:pStyle w:val="TableBodyText"/>
              <w:ind w:right="28"/>
              <w:rPr>
                <w:highlight w:val="yellow"/>
              </w:rPr>
            </w:pPr>
          </w:p>
        </w:tc>
      </w:tr>
    </w:tbl>
    <w:p w:rsidR="00AE4D5A" w:rsidRDefault="00AE4D5A" w:rsidP="008E5E01">
      <w:pPr>
        <w:pStyle w:val="Continued"/>
        <w:spacing w:before="40"/>
      </w:pPr>
      <w:r>
        <w:t>(Continued next page)</w:t>
      </w:r>
    </w:p>
    <w:p w:rsidR="00AE4D5A" w:rsidRDefault="00AE4D5A"/>
    <w:p w:rsidR="00AE4D5A" w:rsidRDefault="00AE4D5A" w:rsidP="008E5E01">
      <w:pPr>
        <w:pStyle w:val="TableTitle"/>
      </w:pPr>
      <w:r>
        <w:rPr>
          <w:b w:val="0"/>
        </w:rPr>
        <w:lastRenderedPageBreak/>
        <w:t xml:space="preserve">Table </w:t>
      </w:r>
      <w:proofErr w:type="spellStart"/>
      <w:r>
        <w:rPr>
          <w:b w:val="0"/>
        </w:rPr>
        <w:t>A.</w:t>
      </w:r>
      <w:r>
        <w:rPr>
          <w:b w:val="0"/>
          <w:noProof/>
        </w:rPr>
        <w:t>3</w:t>
      </w:r>
      <w:proofErr w:type="spellEnd"/>
      <w:r>
        <w:tab/>
      </w:r>
      <w:r w:rsidR="00AA5FDA" w:rsidRPr="00C62222">
        <w:rPr>
          <w:b w:val="0"/>
          <w:sz w:val="18"/>
          <w:szCs w:val="18"/>
        </w:rPr>
        <w:t>(</w:t>
      </w:r>
      <w:r w:rsidRPr="00B94AE8">
        <w:rPr>
          <w:b w:val="0"/>
          <w:sz w:val="18"/>
          <w:szCs w:val="18"/>
        </w:rPr>
        <w:t>continued</w:t>
      </w:r>
      <w:r w:rsidR="00AA5FDA">
        <w:rPr>
          <w:b w:val="0"/>
          <w:sz w:val="18"/>
          <w:szCs w:val="18"/>
        </w:rPr>
        <w:t>)</w:t>
      </w:r>
    </w:p>
    <w:tbl>
      <w:tblPr>
        <w:tblW w:w="5000" w:type="pct"/>
        <w:tblCellMar>
          <w:left w:w="0" w:type="dxa"/>
          <w:right w:w="0" w:type="dxa"/>
        </w:tblCellMar>
        <w:tblLook w:val="0000" w:firstRow="0" w:lastRow="0" w:firstColumn="0" w:lastColumn="0" w:noHBand="0" w:noVBand="0"/>
      </w:tblPr>
      <w:tblGrid>
        <w:gridCol w:w="6237"/>
        <w:gridCol w:w="2552"/>
      </w:tblGrid>
      <w:tr w:rsidR="00AE4D5A" w:rsidTr="008E5E01">
        <w:tc>
          <w:tcPr>
            <w:tcW w:w="3548" w:type="pct"/>
            <w:tcBorders>
              <w:top w:val="single" w:sz="6" w:space="0" w:color="auto"/>
              <w:bottom w:val="single" w:sz="6" w:space="0" w:color="auto"/>
            </w:tcBorders>
            <w:shd w:val="clear" w:color="auto" w:fill="auto"/>
          </w:tcPr>
          <w:p w:rsidR="00AE4D5A" w:rsidRDefault="00AE4D5A" w:rsidP="008E5E01">
            <w:pPr>
              <w:pStyle w:val="TableColumnHeading"/>
              <w:jc w:val="left"/>
            </w:pPr>
            <w:r>
              <w:t>Individual or organisation</w:t>
            </w:r>
          </w:p>
        </w:tc>
        <w:tc>
          <w:tcPr>
            <w:tcW w:w="1452" w:type="pct"/>
            <w:tcBorders>
              <w:top w:val="single" w:sz="6" w:space="0" w:color="auto"/>
              <w:bottom w:val="single" w:sz="6" w:space="0" w:color="auto"/>
            </w:tcBorders>
            <w:shd w:val="clear" w:color="auto" w:fill="auto"/>
          </w:tcPr>
          <w:p w:rsidR="00AE4D5A" w:rsidRDefault="00AE4D5A" w:rsidP="008E5E01">
            <w:pPr>
              <w:pStyle w:val="TableColumnHeading"/>
              <w:ind w:right="28"/>
            </w:pPr>
            <w:r>
              <w:t>Transcript page numbers</w:t>
            </w:r>
          </w:p>
        </w:tc>
      </w:tr>
      <w:tr w:rsidR="00AE4D5A" w:rsidTr="008E5E01">
        <w:tc>
          <w:tcPr>
            <w:tcW w:w="3548" w:type="pct"/>
            <w:tcBorders>
              <w:top w:val="single" w:sz="6" w:space="0" w:color="auto"/>
            </w:tcBorders>
          </w:tcPr>
          <w:p w:rsidR="00AE4D5A" w:rsidRPr="004642EA" w:rsidRDefault="00AE4D5A" w:rsidP="008E5E01">
            <w:pPr>
              <w:pStyle w:val="TableUnitsRow"/>
              <w:jc w:val="left"/>
              <w:rPr>
                <w:b/>
              </w:rPr>
            </w:pPr>
            <w:r>
              <w:rPr>
                <w:b/>
              </w:rPr>
              <w:t>Launceston – 7 February 2014</w:t>
            </w:r>
          </w:p>
        </w:tc>
        <w:tc>
          <w:tcPr>
            <w:tcW w:w="1452" w:type="pct"/>
            <w:tcBorders>
              <w:top w:val="single" w:sz="6" w:space="0" w:color="auto"/>
            </w:tcBorders>
          </w:tcPr>
          <w:p w:rsidR="00AE4D5A" w:rsidRDefault="00AE4D5A" w:rsidP="008E5E01">
            <w:pPr>
              <w:pStyle w:val="TableUnitsRow"/>
              <w:ind w:right="28"/>
            </w:pPr>
          </w:p>
        </w:tc>
      </w:tr>
      <w:tr w:rsidR="00AE4D5A" w:rsidTr="008E5E01">
        <w:tc>
          <w:tcPr>
            <w:tcW w:w="3548" w:type="pct"/>
          </w:tcPr>
          <w:p w:rsidR="00AE4D5A" w:rsidRDefault="00AE4D5A" w:rsidP="008E5E01">
            <w:pPr>
              <w:pStyle w:val="TableBodyText"/>
              <w:jc w:val="left"/>
            </w:pPr>
            <w:r>
              <w:t>Fruit Growers Tasmania</w:t>
            </w:r>
          </w:p>
        </w:tc>
        <w:tc>
          <w:tcPr>
            <w:tcW w:w="1452" w:type="pct"/>
          </w:tcPr>
          <w:p w:rsidR="00AE4D5A" w:rsidRDefault="00AE4D5A" w:rsidP="00AA5FDA">
            <w:pPr>
              <w:pStyle w:val="TableBodyText"/>
              <w:ind w:right="28"/>
            </w:pPr>
            <w:r>
              <w:t>379</w:t>
            </w:r>
            <w:r w:rsidR="00AA5FDA">
              <w:t>–</w:t>
            </w:r>
            <w:r>
              <w:t>389</w:t>
            </w:r>
          </w:p>
        </w:tc>
      </w:tr>
      <w:tr w:rsidR="00AE4D5A" w:rsidTr="008E5E01">
        <w:tc>
          <w:tcPr>
            <w:tcW w:w="3548" w:type="pct"/>
            <w:shd w:val="clear" w:color="auto" w:fill="auto"/>
          </w:tcPr>
          <w:p w:rsidR="00AE4D5A" w:rsidRDefault="00AE4D5A" w:rsidP="008E5E01">
            <w:pPr>
              <w:pStyle w:val="TableBodyText"/>
              <w:jc w:val="left"/>
            </w:pPr>
            <w:r>
              <w:t>Greg McDonald</w:t>
            </w:r>
          </w:p>
        </w:tc>
        <w:tc>
          <w:tcPr>
            <w:tcW w:w="1452" w:type="pct"/>
            <w:shd w:val="clear" w:color="auto" w:fill="auto"/>
          </w:tcPr>
          <w:p w:rsidR="00AE4D5A" w:rsidRDefault="00AE4D5A" w:rsidP="00AA5FDA">
            <w:pPr>
              <w:pStyle w:val="TableBodyText"/>
              <w:ind w:right="28"/>
            </w:pPr>
            <w:r>
              <w:t>390</w:t>
            </w:r>
            <w:r w:rsidR="00AA5FDA">
              <w:t>–</w:t>
            </w:r>
            <w:r>
              <w:t>398</w:t>
            </w:r>
          </w:p>
        </w:tc>
      </w:tr>
      <w:tr w:rsidR="00AE4D5A" w:rsidTr="008E5E01">
        <w:tc>
          <w:tcPr>
            <w:tcW w:w="3548" w:type="pct"/>
            <w:shd w:val="clear" w:color="auto" w:fill="auto"/>
          </w:tcPr>
          <w:p w:rsidR="00AE4D5A" w:rsidRDefault="00AE4D5A" w:rsidP="008E5E01">
            <w:pPr>
              <w:pStyle w:val="TableBodyText"/>
              <w:jc w:val="left"/>
            </w:pPr>
            <w:r>
              <w:t>Circular Head Dolomite</w:t>
            </w:r>
          </w:p>
        </w:tc>
        <w:tc>
          <w:tcPr>
            <w:tcW w:w="1452" w:type="pct"/>
            <w:shd w:val="clear" w:color="auto" w:fill="auto"/>
          </w:tcPr>
          <w:p w:rsidR="00AE4D5A" w:rsidRDefault="00AE4D5A" w:rsidP="00AA5FDA">
            <w:pPr>
              <w:pStyle w:val="TableBodyText"/>
              <w:ind w:right="28"/>
            </w:pPr>
            <w:r>
              <w:t>390</w:t>
            </w:r>
            <w:r w:rsidR="00AA5FDA">
              <w:t>–</w:t>
            </w:r>
            <w:r>
              <w:t>398</w:t>
            </w:r>
          </w:p>
        </w:tc>
      </w:tr>
      <w:tr w:rsidR="00AE4D5A" w:rsidTr="008E5E01">
        <w:tc>
          <w:tcPr>
            <w:tcW w:w="3548" w:type="pct"/>
            <w:shd w:val="clear" w:color="auto" w:fill="auto"/>
          </w:tcPr>
          <w:p w:rsidR="00AE4D5A" w:rsidRDefault="00AE4D5A" w:rsidP="008E5E01">
            <w:pPr>
              <w:pStyle w:val="TableBodyText"/>
              <w:jc w:val="left"/>
            </w:pPr>
            <w:r>
              <w:t>Susan Macdonald</w:t>
            </w:r>
          </w:p>
        </w:tc>
        <w:tc>
          <w:tcPr>
            <w:tcW w:w="1452" w:type="pct"/>
            <w:shd w:val="clear" w:color="auto" w:fill="auto"/>
          </w:tcPr>
          <w:p w:rsidR="00AE4D5A" w:rsidRDefault="00AE4D5A" w:rsidP="00AA5FDA">
            <w:pPr>
              <w:pStyle w:val="TableBodyText"/>
              <w:ind w:right="28"/>
            </w:pPr>
            <w:r>
              <w:t>399</w:t>
            </w:r>
            <w:r w:rsidR="00AA5FDA">
              <w:t>–</w:t>
            </w:r>
            <w:r>
              <w:t>403</w:t>
            </w:r>
          </w:p>
        </w:tc>
      </w:tr>
      <w:tr w:rsidR="00AE4D5A" w:rsidTr="008E5E01">
        <w:tc>
          <w:tcPr>
            <w:tcW w:w="3548" w:type="pct"/>
            <w:shd w:val="clear" w:color="auto" w:fill="auto"/>
          </w:tcPr>
          <w:p w:rsidR="00AE4D5A" w:rsidRDefault="00AE4D5A" w:rsidP="008E5E01">
            <w:pPr>
              <w:pStyle w:val="TableBodyText"/>
              <w:jc w:val="left"/>
            </w:pPr>
            <w:r>
              <w:t>Caravan</w:t>
            </w:r>
            <w:r w:rsidR="00A05BC4">
              <w:t>,</w:t>
            </w:r>
            <w:r>
              <w:t xml:space="preserve"> RV and Accommodation Industry of Australia</w:t>
            </w:r>
          </w:p>
        </w:tc>
        <w:tc>
          <w:tcPr>
            <w:tcW w:w="1452" w:type="pct"/>
            <w:shd w:val="clear" w:color="auto" w:fill="auto"/>
          </w:tcPr>
          <w:p w:rsidR="00AE4D5A" w:rsidRDefault="00AE4D5A" w:rsidP="00AA5FDA">
            <w:pPr>
              <w:pStyle w:val="TableBodyText"/>
              <w:ind w:right="28"/>
            </w:pPr>
            <w:r>
              <w:t>404</w:t>
            </w:r>
            <w:r w:rsidR="00AA5FDA">
              <w:t>–</w:t>
            </w:r>
            <w:r>
              <w:t>410</w:t>
            </w:r>
          </w:p>
        </w:tc>
      </w:tr>
      <w:tr w:rsidR="00AE4D5A" w:rsidTr="008E5E01">
        <w:tc>
          <w:tcPr>
            <w:tcW w:w="3548" w:type="pct"/>
            <w:shd w:val="clear" w:color="auto" w:fill="auto"/>
          </w:tcPr>
          <w:p w:rsidR="00AE4D5A" w:rsidRDefault="00AE4D5A" w:rsidP="008E5E01">
            <w:pPr>
              <w:pStyle w:val="TableBodyText"/>
              <w:jc w:val="left"/>
            </w:pPr>
            <w:r>
              <w:t>King Island Shipping Group</w:t>
            </w:r>
          </w:p>
        </w:tc>
        <w:tc>
          <w:tcPr>
            <w:tcW w:w="1452" w:type="pct"/>
            <w:shd w:val="clear" w:color="auto" w:fill="auto"/>
          </w:tcPr>
          <w:p w:rsidR="00AE4D5A" w:rsidRDefault="00AE4D5A" w:rsidP="00AA5FDA">
            <w:pPr>
              <w:pStyle w:val="TableBodyText"/>
              <w:ind w:right="28"/>
            </w:pPr>
            <w:r>
              <w:t>411</w:t>
            </w:r>
            <w:r w:rsidR="00AA5FDA">
              <w:t>–</w:t>
            </w:r>
            <w:r>
              <w:t>424</w:t>
            </w:r>
          </w:p>
        </w:tc>
      </w:tr>
      <w:tr w:rsidR="00AE4D5A" w:rsidTr="008E5E01">
        <w:tc>
          <w:tcPr>
            <w:tcW w:w="3548" w:type="pct"/>
            <w:shd w:val="clear" w:color="auto" w:fill="auto"/>
          </w:tcPr>
          <w:p w:rsidR="00AE4D5A" w:rsidRDefault="00AE4D5A" w:rsidP="008E5E01">
            <w:pPr>
              <w:pStyle w:val="TableBodyText"/>
              <w:jc w:val="left"/>
            </w:pPr>
            <w:r>
              <w:t>King Island Council</w:t>
            </w:r>
          </w:p>
        </w:tc>
        <w:tc>
          <w:tcPr>
            <w:tcW w:w="1452" w:type="pct"/>
            <w:shd w:val="clear" w:color="auto" w:fill="auto"/>
          </w:tcPr>
          <w:p w:rsidR="00AE4D5A" w:rsidRDefault="00AE4D5A" w:rsidP="00AA5FDA">
            <w:pPr>
              <w:pStyle w:val="TableBodyText"/>
              <w:ind w:right="28"/>
            </w:pPr>
            <w:r>
              <w:t>411</w:t>
            </w:r>
            <w:r w:rsidR="00AA5FDA">
              <w:t>–</w:t>
            </w:r>
            <w:r>
              <w:t>424</w:t>
            </w:r>
          </w:p>
        </w:tc>
      </w:tr>
      <w:tr w:rsidR="00AE4D5A" w:rsidTr="008E5E01">
        <w:tc>
          <w:tcPr>
            <w:tcW w:w="3548" w:type="pct"/>
            <w:shd w:val="clear" w:color="auto" w:fill="auto"/>
          </w:tcPr>
          <w:p w:rsidR="00AE4D5A" w:rsidRDefault="00AE4D5A" w:rsidP="008E5E01">
            <w:pPr>
              <w:pStyle w:val="TableBodyText"/>
              <w:jc w:val="left"/>
            </w:pPr>
            <w:r>
              <w:t>Palmer United Party</w:t>
            </w:r>
          </w:p>
        </w:tc>
        <w:tc>
          <w:tcPr>
            <w:tcW w:w="1452" w:type="pct"/>
            <w:shd w:val="clear" w:color="auto" w:fill="auto"/>
          </w:tcPr>
          <w:p w:rsidR="00AE4D5A" w:rsidRDefault="00AE4D5A" w:rsidP="00AA5FDA">
            <w:pPr>
              <w:pStyle w:val="TableBodyText"/>
              <w:ind w:right="28"/>
            </w:pPr>
            <w:r>
              <w:t>425</w:t>
            </w:r>
            <w:r w:rsidR="00AA5FDA">
              <w:t>–</w:t>
            </w:r>
            <w:r>
              <w:t>428</w:t>
            </w:r>
          </w:p>
        </w:tc>
      </w:tr>
      <w:tr w:rsidR="00AE4D5A" w:rsidTr="008E5E01">
        <w:tc>
          <w:tcPr>
            <w:tcW w:w="3548" w:type="pct"/>
            <w:shd w:val="clear" w:color="auto" w:fill="auto"/>
          </w:tcPr>
          <w:p w:rsidR="00AE4D5A" w:rsidRDefault="00AE4D5A" w:rsidP="008E5E01">
            <w:pPr>
              <w:pStyle w:val="TableBodyText"/>
              <w:jc w:val="left"/>
            </w:pPr>
            <w:r>
              <w:t>Government of Tasmania</w:t>
            </w:r>
          </w:p>
        </w:tc>
        <w:tc>
          <w:tcPr>
            <w:tcW w:w="1452" w:type="pct"/>
            <w:shd w:val="clear" w:color="auto" w:fill="auto"/>
          </w:tcPr>
          <w:p w:rsidR="00AE4D5A" w:rsidRDefault="00AE4D5A" w:rsidP="00AA5FDA">
            <w:pPr>
              <w:pStyle w:val="TableBodyText"/>
              <w:ind w:right="28"/>
            </w:pPr>
            <w:r>
              <w:t>429</w:t>
            </w:r>
            <w:r w:rsidR="00AA5FDA">
              <w:t>–</w:t>
            </w:r>
            <w:r>
              <w:t>456</w:t>
            </w:r>
          </w:p>
        </w:tc>
      </w:tr>
      <w:tr w:rsidR="00AE4D5A" w:rsidTr="008E5E01">
        <w:tc>
          <w:tcPr>
            <w:tcW w:w="3548" w:type="pct"/>
            <w:shd w:val="clear" w:color="auto" w:fill="auto"/>
          </w:tcPr>
          <w:p w:rsidR="00AE4D5A" w:rsidRDefault="00AE4D5A" w:rsidP="008E5E01">
            <w:pPr>
              <w:pStyle w:val="TableBodyText"/>
              <w:jc w:val="left"/>
            </w:pPr>
            <w:r>
              <w:t>Northern Tasmanian Development</w:t>
            </w:r>
          </w:p>
        </w:tc>
        <w:tc>
          <w:tcPr>
            <w:tcW w:w="1452" w:type="pct"/>
            <w:shd w:val="clear" w:color="auto" w:fill="auto"/>
          </w:tcPr>
          <w:p w:rsidR="00AE4D5A" w:rsidRDefault="00AE4D5A" w:rsidP="00AA5FDA">
            <w:pPr>
              <w:pStyle w:val="TableBodyText"/>
              <w:ind w:right="28"/>
            </w:pPr>
            <w:r>
              <w:t>457</w:t>
            </w:r>
            <w:r w:rsidR="00AA5FDA">
              <w:t>–</w:t>
            </w:r>
            <w:r>
              <w:t>463</w:t>
            </w:r>
          </w:p>
        </w:tc>
      </w:tr>
      <w:tr w:rsidR="00AE4D5A" w:rsidTr="008E5E01">
        <w:tc>
          <w:tcPr>
            <w:tcW w:w="3548" w:type="pct"/>
            <w:shd w:val="clear" w:color="auto" w:fill="auto"/>
          </w:tcPr>
          <w:p w:rsidR="00AE4D5A" w:rsidRDefault="00AE4D5A" w:rsidP="008E5E01">
            <w:pPr>
              <w:pStyle w:val="TableBodyText"/>
              <w:jc w:val="left"/>
            </w:pPr>
          </w:p>
        </w:tc>
        <w:tc>
          <w:tcPr>
            <w:tcW w:w="1452" w:type="pct"/>
            <w:shd w:val="clear" w:color="auto" w:fill="auto"/>
          </w:tcPr>
          <w:p w:rsidR="00AE4D5A" w:rsidRDefault="00AE4D5A" w:rsidP="008E5E01">
            <w:pPr>
              <w:pStyle w:val="TableBodyText"/>
              <w:ind w:right="28"/>
            </w:pPr>
          </w:p>
        </w:tc>
      </w:tr>
      <w:tr w:rsidR="00AE4D5A" w:rsidTr="008E5E01">
        <w:tc>
          <w:tcPr>
            <w:tcW w:w="3548" w:type="pct"/>
            <w:shd w:val="clear" w:color="auto" w:fill="auto"/>
          </w:tcPr>
          <w:p w:rsidR="00AE4D5A" w:rsidRDefault="00AE4D5A" w:rsidP="008E5E01">
            <w:pPr>
              <w:pStyle w:val="TableBodyText"/>
              <w:jc w:val="left"/>
            </w:pPr>
            <w:r>
              <w:rPr>
                <w:b/>
              </w:rPr>
              <w:t>Canberra – 10 February 2014</w:t>
            </w:r>
          </w:p>
        </w:tc>
        <w:tc>
          <w:tcPr>
            <w:tcW w:w="1452" w:type="pct"/>
            <w:shd w:val="clear" w:color="auto" w:fill="auto"/>
          </w:tcPr>
          <w:p w:rsidR="00AE4D5A" w:rsidRDefault="00AE4D5A" w:rsidP="008E5E01">
            <w:pPr>
              <w:pStyle w:val="TableBodyText"/>
              <w:ind w:right="28"/>
            </w:pPr>
          </w:p>
        </w:tc>
      </w:tr>
      <w:tr w:rsidR="00AE4D5A" w:rsidTr="008E5E01">
        <w:tc>
          <w:tcPr>
            <w:tcW w:w="3548" w:type="pct"/>
            <w:shd w:val="clear" w:color="auto" w:fill="auto"/>
          </w:tcPr>
          <w:p w:rsidR="00AE4D5A" w:rsidRDefault="00AE4D5A" w:rsidP="008E5E01">
            <w:pPr>
              <w:pStyle w:val="TableBodyText"/>
              <w:jc w:val="left"/>
            </w:pPr>
            <w:r>
              <w:t>Department of Infrastructure and Regional Development</w:t>
            </w:r>
          </w:p>
        </w:tc>
        <w:tc>
          <w:tcPr>
            <w:tcW w:w="1452" w:type="pct"/>
            <w:shd w:val="clear" w:color="auto" w:fill="auto"/>
          </w:tcPr>
          <w:p w:rsidR="00AE4D5A" w:rsidRDefault="00AE4D5A" w:rsidP="00AA5FDA">
            <w:pPr>
              <w:pStyle w:val="TableBodyText"/>
              <w:ind w:right="28"/>
            </w:pPr>
            <w:r>
              <w:t>467</w:t>
            </w:r>
            <w:r w:rsidR="00AA5FDA">
              <w:t>–</w:t>
            </w:r>
            <w:r>
              <w:t>510</w:t>
            </w:r>
          </w:p>
        </w:tc>
      </w:tr>
      <w:tr w:rsidR="00AE4D5A" w:rsidTr="008E5E01">
        <w:tc>
          <w:tcPr>
            <w:tcW w:w="3548" w:type="pct"/>
            <w:shd w:val="clear" w:color="auto" w:fill="auto"/>
          </w:tcPr>
          <w:p w:rsidR="00AE4D5A" w:rsidRDefault="00AE4D5A" w:rsidP="008E5E01">
            <w:pPr>
              <w:pStyle w:val="TableBodyText"/>
              <w:jc w:val="left"/>
            </w:pPr>
            <w:r>
              <w:t>Trish and John Tarlinton</w:t>
            </w:r>
          </w:p>
        </w:tc>
        <w:tc>
          <w:tcPr>
            <w:tcW w:w="1452" w:type="pct"/>
            <w:shd w:val="clear" w:color="auto" w:fill="auto"/>
          </w:tcPr>
          <w:p w:rsidR="00AE4D5A" w:rsidRDefault="00AE4D5A" w:rsidP="00AA5FDA">
            <w:pPr>
              <w:pStyle w:val="TableBodyText"/>
              <w:ind w:right="28"/>
            </w:pPr>
            <w:r>
              <w:t>511</w:t>
            </w:r>
            <w:r w:rsidR="00AA5FDA">
              <w:t>–</w:t>
            </w:r>
            <w:r>
              <w:t>518</w:t>
            </w:r>
          </w:p>
        </w:tc>
      </w:tr>
      <w:tr w:rsidR="00AE4D5A" w:rsidTr="008E5E01">
        <w:tc>
          <w:tcPr>
            <w:tcW w:w="3548" w:type="pct"/>
            <w:shd w:val="clear" w:color="auto" w:fill="auto"/>
          </w:tcPr>
          <w:p w:rsidR="00AE4D5A" w:rsidRDefault="00AE4D5A" w:rsidP="008E5E01">
            <w:pPr>
              <w:pStyle w:val="TableBodyText"/>
              <w:jc w:val="left"/>
            </w:pPr>
            <w:r>
              <w:t>JBS Australia Pty Ltd</w:t>
            </w:r>
          </w:p>
        </w:tc>
        <w:tc>
          <w:tcPr>
            <w:tcW w:w="1452" w:type="pct"/>
            <w:shd w:val="clear" w:color="auto" w:fill="auto"/>
          </w:tcPr>
          <w:p w:rsidR="00AE4D5A" w:rsidRDefault="00AE4D5A" w:rsidP="00AA5FDA">
            <w:pPr>
              <w:pStyle w:val="TableBodyText"/>
              <w:ind w:right="28"/>
            </w:pPr>
            <w:r>
              <w:t>519</w:t>
            </w:r>
            <w:r w:rsidR="00AA5FDA">
              <w:t>–</w:t>
            </w:r>
            <w:r>
              <w:t>536</w:t>
            </w:r>
          </w:p>
        </w:tc>
      </w:tr>
      <w:tr w:rsidR="00AE4D5A" w:rsidTr="008E5E01">
        <w:tc>
          <w:tcPr>
            <w:tcW w:w="3548" w:type="pct"/>
            <w:shd w:val="clear" w:color="auto" w:fill="auto"/>
          </w:tcPr>
          <w:p w:rsidR="00AE4D5A" w:rsidRDefault="00AE4D5A" w:rsidP="008E5E01">
            <w:pPr>
              <w:pStyle w:val="TableBodyText"/>
              <w:jc w:val="left"/>
            </w:pPr>
            <w:proofErr w:type="spellStart"/>
            <w:r>
              <w:t>Greenham</w:t>
            </w:r>
            <w:proofErr w:type="spellEnd"/>
            <w:r>
              <w:t xml:space="preserve"> Tasmania Pty Ltd</w:t>
            </w:r>
          </w:p>
        </w:tc>
        <w:tc>
          <w:tcPr>
            <w:tcW w:w="1452" w:type="pct"/>
            <w:shd w:val="clear" w:color="auto" w:fill="auto"/>
          </w:tcPr>
          <w:p w:rsidR="00AE4D5A" w:rsidRDefault="00AE4D5A" w:rsidP="00AA5FDA">
            <w:pPr>
              <w:pStyle w:val="TableBodyText"/>
              <w:ind w:right="28"/>
            </w:pPr>
            <w:r>
              <w:t>537</w:t>
            </w:r>
            <w:r w:rsidR="00AA5FDA">
              <w:t>–</w:t>
            </w:r>
            <w:r>
              <w:t>550</w:t>
            </w:r>
          </w:p>
        </w:tc>
      </w:tr>
      <w:tr w:rsidR="00AE4D5A" w:rsidTr="008E5E01">
        <w:tc>
          <w:tcPr>
            <w:tcW w:w="3548" w:type="pct"/>
            <w:tcBorders>
              <w:bottom w:val="single" w:sz="4" w:space="0" w:color="auto"/>
            </w:tcBorders>
            <w:shd w:val="clear" w:color="auto" w:fill="auto"/>
          </w:tcPr>
          <w:p w:rsidR="00AE4D5A" w:rsidRDefault="00AE4D5A" w:rsidP="008E5E01">
            <w:pPr>
              <w:pStyle w:val="TableBodyText"/>
              <w:jc w:val="left"/>
            </w:pPr>
          </w:p>
        </w:tc>
        <w:tc>
          <w:tcPr>
            <w:tcW w:w="1452" w:type="pct"/>
            <w:tcBorders>
              <w:bottom w:val="single" w:sz="4" w:space="0" w:color="auto"/>
            </w:tcBorders>
            <w:shd w:val="clear" w:color="auto" w:fill="auto"/>
          </w:tcPr>
          <w:p w:rsidR="00AE4D5A" w:rsidRDefault="00AE4D5A" w:rsidP="008E5E01">
            <w:pPr>
              <w:pStyle w:val="TableBodyText"/>
              <w:ind w:right="28"/>
            </w:pPr>
          </w:p>
        </w:tc>
      </w:tr>
    </w:tbl>
    <w:p w:rsidR="00AE4D5A" w:rsidRDefault="00AE4D5A"/>
    <w:p w:rsidR="00AE4D5A" w:rsidRDefault="00AE4D5A" w:rsidP="00120072">
      <w:pPr>
        <w:pStyle w:val="BodyText"/>
      </w:pPr>
    </w:p>
    <w:p w:rsidR="00AE4D5A" w:rsidRDefault="00AE4D5A" w:rsidP="00AE4D5A">
      <w:pPr>
        <w:sectPr w:rsidR="00AE4D5A" w:rsidSect="00AE4D5A">
          <w:headerReference w:type="even" r:id="rId99"/>
          <w:headerReference w:type="default" r:id="rId100"/>
          <w:footerReference w:type="even" r:id="rId101"/>
          <w:footerReference w:type="default" r:id="rId102"/>
          <w:type w:val="oddPage"/>
          <w:pgSz w:w="11907" w:h="16840" w:code="9"/>
          <w:pgMar w:top="1985" w:right="1304" w:bottom="1418" w:left="1814" w:header="1701" w:footer="567" w:gutter="0"/>
          <w:pgNumType w:chapSep="period"/>
          <w:cols w:space="720"/>
          <w:docGrid w:linePitch="354"/>
        </w:sectPr>
      </w:pPr>
    </w:p>
    <w:p w:rsidR="00AE4D5A" w:rsidRDefault="00AE4D5A" w:rsidP="008E5E01">
      <w:pPr>
        <w:pStyle w:val="Chapter"/>
        <w:ind w:left="907" w:hanging="907"/>
      </w:pPr>
      <w:r>
        <w:lastRenderedPageBreak/>
        <w:t>B</w:t>
      </w:r>
      <w:r>
        <w:tab/>
      </w:r>
      <w:r w:rsidRPr="00860774">
        <w:t xml:space="preserve">Recommendations of the </w:t>
      </w:r>
      <w:r>
        <w:t>PC 2006 inquiry into Tasmanian freight subsidy a</w:t>
      </w:r>
      <w:r w:rsidRPr="00860774">
        <w:t>rrangements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8E5E01">
            <w:pPr>
              <w:pStyle w:val="BoxTitle"/>
            </w:pPr>
            <w:r>
              <w:rPr>
                <w:b w:val="0"/>
              </w:rPr>
              <w:t xml:space="preserve">Box </w:t>
            </w:r>
            <w:proofErr w:type="spellStart"/>
            <w:r>
              <w:rPr>
                <w:b w:val="0"/>
              </w:rPr>
              <w:t>B.</w:t>
            </w:r>
            <w:r>
              <w:rPr>
                <w:b w:val="0"/>
                <w:noProof/>
              </w:rPr>
              <w:t>1</w:t>
            </w:r>
            <w:proofErr w:type="spellEnd"/>
            <w:r>
              <w:tab/>
              <w:t>The Commission’s 2006 inquiry recommendations</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Recommendation 1</w:t>
            </w:r>
          </w:p>
          <w:p w:rsidR="00AE4D5A" w:rsidRDefault="00AE4D5A" w:rsidP="008E5E01">
            <w:pPr>
              <w:pStyle w:val="Box"/>
            </w:pPr>
            <w:r>
              <w:t>The basis for claiming TFES payments should be restructured to minimise the adverse incentives that the current scheme generates.</w:t>
            </w:r>
          </w:p>
          <w:p w:rsidR="00AE4D5A" w:rsidRDefault="00AE4D5A" w:rsidP="008E5E01">
            <w:pPr>
              <w:pStyle w:val="Box"/>
            </w:pPr>
            <w:r>
              <w:t>Recommendation 2</w:t>
            </w:r>
          </w:p>
          <w:p w:rsidR="00AE4D5A" w:rsidRDefault="00AE4D5A" w:rsidP="008E5E01">
            <w:pPr>
              <w:pStyle w:val="Box"/>
            </w:pPr>
            <w:r>
              <w:t>Assistance under the TFES should only be payable on the basis of evidence of actual wharf</w:t>
            </w:r>
            <w:r>
              <w:noBreakHyphen/>
              <w:t>to</w:t>
            </w:r>
            <w:r>
              <w:noBreakHyphen/>
              <w:t>wharf costs:</w:t>
            </w:r>
          </w:p>
          <w:p w:rsidR="00AE4D5A" w:rsidRDefault="00AE4D5A" w:rsidP="008E5E01">
            <w:pPr>
              <w:pStyle w:val="BoxListBullet"/>
            </w:pPr>
            <w:proofErr w:type="spellStart"/>
            <w:r>
              <w:t>Centrelink</w:t>
            </w:r>
            <w:proofErr w:type="spellEnd"/>
            <w:r>
              <w:t xml:space="preserve"> should specify the documentary evidence that it will accept as proof of wharf</w:t>
            </w:r>
            <w:r>
              <w:noBreakHyphen/>
              <w:t>to</w:t>
            </w:r>
            <w:r>
              <w:noBreakHyphen/>
              <w:t>wharf costs. As far as practicable, this should be based on original carrier wharf</w:t>
            </w:r>
            <w:r>
              <w:noBreakHyphen/>
              <w:t>to</w:t>
            </w:r>
            <w:r>
              <w:noBreakHyphen/>
              <w:t>wharf invoices.</w:t>
            </w:r>
          </w:p>
          <w:p w:rsidR="00AE4D5A" w:rsidRDefault="00AE4D5A" w:rsidP="008E5E01">
            <w:pPr>
              <w:pStyle w:val="BoxListBullet"/>
            </w:pPr>
            <w:r>
              <w:t>Parameter adjustments of $230 per TEU for door</w:t>
            </w:r>
            <w:r>
              <w:noBreakHyphen/>
              <w:t>to</w:t>
            </w:r>
            <w:r>
              <w:noBreakHyphen/>
              <w:t>wharf and wharf</w:t>
            </w:r>
            <w:r>
              <w:noBreakHyphen/>
              <w:t>to</w:t>
            </w:r>
            <w:r>
              <w:noBreakHyphen/>
              <w:t>door costs would no longer apply. Other parameter adjustments would continue to be used.</w:t>
            </w:r>
          </w:p>
          <w:p w:rsidR="00AE4D5A" w:rsidRDefault="00AE4D5A" w:rsidP="008E5E01">
            <w:pPr>
              <w:pStyle w:val="Box"/>
            </w:pPr>
            <w:r>
              <w:t>Recommendation 3</w:t>
            </w:r>
          </w:p>
          <w:p w:rsidR="00AE4D5A" w:rsidRDefault="00AE4D5A" w:rsidP="008E5E01">
            <w:pPr>
              <w:pStyle w:val="Box"/>
            </w:pPr>
            <w:r>
              <w:t>The administration and auditing of the TFES should focus more intensively on the verification of wharf to wharf costs:</w:t>
            </w:r>
          </w:p>
          <w:p w:rsidR="00AE4D5A" w:rsidRDefault="00AE4D5A" w:rsidP="008E5E01">
            <w:pPr>
              <w:pStyle w:val="BoxListBullet"/>
            </w:pPr>
            <w:r>
              <w:t>The systems required to administer the scheme should be updated in the light of the more detailed evidence and data processing needed to verify wharf</w:t>
            </w:r>
            <w:r>
              <w:noBreakHyphen/>
              <w:t>to</w:t>
            </w:r>
            <w:r>
              <w:noBreakHyphen/>
              <w:t>wharf costs.</w:t>
            </w:r>
          </w:p>
          <w:p w:rsidR="00AE4D5A" w:rsidRDefault="00AE4D5A" w:rsidP="008E5E01">
            <w:pPr>
              <w:pStyle w:val="BoxListBullet"/>
            </w:pPr>
            <w:r>
              <w:t>There should be more comprehensive public reporting of information, including the annual payments to recipients.</w:t>
            </w:r>
          </w:p>
          <w:p w:rsidR="00AE4D5A" w:rsidRDefault="00AE4D5A" w:rsidP="008E5E01">
            <w:pPr>
              <w:pStyle w:val="Box"/>
            </w:pPr>
            <w:r>
              <w:t>Recommendation 4</w:t>
            </w:r>
          </w:p>
          <w:p w:rsidR="00AE4D5A" w:rsidRDefault="00AE4D5A" w:rsidP="008E5E01">
            <w:pPr>
              <w:pStyle w:val="Box"/>
            </w:pPr>
            <w:proofErr w:type="spellStart"/>
            <w:r>
              <w:t>DOTARS</w:t>
            </w:r>
            <w:proofErr w:type="spellEnd"/>
            <w:r>
              <w:t xml:space="preserve"> and the </w:t>
            </w:r>
            <w:proofErr w:type="spellStart"/>
            <w:r>
              <w:t>BTRE</w:t>
            </w:r>
            <w:proofErr w:type="spellEnd"/>
            <w:r>
              <w:t xml:space="preserve"> should revise the methodology for setting and updating the remaining parameters, and review them every three years. In particular, they should review how wharf</w:t>
            </w:r>
            <w:r>
              <w:noBreakHyphen/>
              <w:t>to</w:t>
            </w:r>
            <w:r>
              <w:noBreakHyphen/>
              <w:t>wharf costs should be defined. The results of parameter reviews should be published.</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A5FDA" w:rsidP="00AA5FDA">
      <w:pPr>
        <w:pStyle w:val="Continued"/>
      </w:pPr>
      <w:r>
        <w:t>(continued next page)</w:t>
      </w:r>
    </w:p>
    <w:p w:rsidR="00AA5FDA" w:rsidRDefault="00AA5FDA" w:rsidP="008E5E01">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AE4D5A" w:rsidTr="008E5E01">
        <w:tc>
          <w:tcPr>
            <w:tcW w:w="8771" w:type="dxa"/>
            <w:tcBorders>
              <w:top w:val="single" w:sz="6" w:space="0" w:color="auto"/>
              <w:bottom w:val="nil"/>
            </w:tcBorders>
          </w:tcPr>
          <w:p w:rsidR="00AE4D5A" w:rsidRDefault="00AE4D5A" w:rsidP="002F1BE1">
            <w:pPr>
              <w:pStyle w:val="BoxTitle"/>
            </w:pPr>
            <w:r>
              <w:rPr>
                <w:b w:val="0"/>
              </w:rPr>
              <w:t xml:space="preserve">Box </w:t>
            </w:r>
            <w:proofErr w:type="spellStart"/>
            <w:r>
              <w:rPr>
                <w:b w:val="0"/>
              </w:rPr>
              <w:t>B.1</w:t>
            </w:r>
            <w:proofErr w:type="spellEnd"/>
            <w:r>
              <w:rPr>
                <w:b w:val="0"/>
              </w:rPr>
              <w:t xml:space="preserve"> </w:t>
            </w:r>
            <w:r w:rsidR="009D4206" w:rsidRPr="002F1BE1">
              <w:rPr>
                <w:b w:val="0"/>
                <w:sz w:val="18"/>
                <w:szCs w:val="18"/>
              </w:rPr>
              <w:t>(</w:t>
            </w:r>
            <w:r w:rsidR="002F1BE1" w:rsidRPr="002F1BE1">
              <w:rPr>
                <w:b w:val="0"/>
                <w:sz w:val="18"/>
                <w:szCs w:val="18"/>
              </w:rPr>
              <w:t>continued</w:t>
            </w:r>
            <w:r w:rsidR="009D4206" w:rsidRPr="002F1BE1">
              <w:rPr>
                <w:b w:val="0"/>
                <w:sz w:val="18"/>
                <w:szCs w:val="18"/>
              </w:rPr>
              <w:t>)</w:t>
            </w:r>
            <w:r>
              <w:tab/>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8E5E01">
            <w:pPr>
              <w:pStyle w:val="Box"/>
            </w:pPr>
            <w:r>
              <w:t>Recommendation 5</w:t>
            </w:r>
          </w:p>
          <w:p w:rsidR="00AE4D5A" w:rsidRDefault="00AE4D5A" w:rsidP="008E5E01">
            <w:pPr>
              <w:pStyle w:val="Box"/>
            </w:pPr>
            <w:proofErr w:type="spellStart"/>
            <w:r>
              <w:t>DOTARS</w:t>
            </w:r>
            <w:proofErr w:type="spellEnd"/>
            <w:r>
              <w:t xml:space="preserve"> should monitor the operation of the revised scheme to investigate whether there is evidence of ongoing gaming and overcompensation of wharf</w:t>
            </w:r>
            <w:r>
              <w:noBreakHyphen/>
              <w:t>to</w:t>
            </w:r>
            <w:r>
              <w:noBreakHyphen/>
              <w:t>wharf costs. It should report to Government on this matter during 2009.</w:t>
            </w:r>
          </w:p>
          <w:p w:rsidR="00AE4D5A" w:rsidRDefault="00AE4D5A" w:rsidP="008E5E01">
            <w:pPr>
              <w:pStyle w:val="Box"/>
            </w:pPr>
            <w:r>
              <w:t>The report should also examine:</w:t>
            </w:r>
          </w:p>
          <w:p w:rsidR="00AE4D5A" w:rsidRDefault="00AE4D5A" w:rsidP="008E5E01">
            <w:pPr>
              <w:pStyle w:val="BoxListBullet"/>
            </w:pPr>
            <w:r>
              <w:t>the effectiveness of ad</w:t>
            </w:r>
            <w:r w:rsidR="009D4206">
              <w:t>ministration and audit controls</w:t>
            </w:r>
          </w:p>
          <w:p w:rsidR="00AE4D5A" w:rsidRDefault="00AE4D5A" w:rsidP="008E5E01">
            <w:pPr>
              <w:pStyle w:val="BoxListBullet"/>
            </w:pPr>
            <w:r>
              <w:t>the role of all actual and potential claimants who are not producers and shippers of go</w:t>
            </w:r>
            <w:r w:rsidR="009D4206">
              <w:t>ods assisted under the TFES</w:t>
            </w:r>
          </w:p>
          <w:p w:rsidR="00AE4D5A" w:rsidRDefault="00AE4D5A" w:rsidP="008E5E01">
            <w:pPr>
              <w:pStyle w:val="BoxListBullet"/>
            </w:pPr>
            <w:r>
              <w:t>any aspects of the Ministerial Directions judged to be causing difficulty at that time.</w:t>
            </w:r>
          </w:p>
          <w:p w:rsidR="00AE4D5A" w:rsidRDefault="00AE4D5A" w:rsidP="008E5E01">
            <w:pPr>
              <w:pStyle w:val="Box"/>
            </w:pPr>
            <w:r>
              <w:t>If the Government concludes that gaming and overcompensation of freight cost disadvantage remain significant issues, it should introduce a flat rate of assistance per TEU as per finding 7.1, to operate from 1 July 2010.</w:t>
            </w:r>
          </w:p>
          <w:p w:rsidR="00AE4D5A" w:rsidRDefault="00AE4D5A" w:rsidP="008E5E01">
            <w:pPr>
              <w:pStyle w:val="Box"/>
            </w:pPr>
            <w:r>
              <w:t>Recommendation 6</w:t>
            </w:r>
          </w:p>
          <w:p w:rsidR="00AE4D5A" w:rsidRDefault="00AE4D5A" w:rsidP="008E5E01">
            <w:pPr>
              <w:pStyle w:val="Box"/>
            </w:pPr>
            <w:r>
              <w:t>The TWFS should pay the same level of assistance per tonne to wheat shipped in containers and in bulk:</w:t>
            </w:r>
          </w:p>
          <w:p w:rsidR="00AE4D5A" w:rsidRDefault="00AE4D5A" w:rsidP="008E5E01">
            <w:pPr>
              <w:pStyle w:val="BoxListBullet"/>
            </w:pPr>
            <w:r>
              <w:t>Payments under the TWFS should not be capped.</w:t>
            </w:r>
          </w:p>
          <w:p w:rsidR="00AE4D5A" w:rsidRDefault="00AE4D5A" w:rsidP="008E5E01">
            <w:pPr>
              <w:pStyle w:val="BoxListBullet"/>
            </w:pPr>
            <w:r>
              <w:t>Wheat should no longer be eligible for assistance under the TFES.</w:t>
            </w:r>
          </w:p>
          <w:p w:rsidR="00AE4D5A" w:rsidRDefault="00AE4D5A" w:rsidP="008E5E01">
            <w:pPr>
              <w:pStyle w:val="Box"/>
            </w:pPr>
            <w:r>
              <w:t>The level of assistance should be based on the least cost method of shipping wheat across Bass Strait and a rail freight equivalent cost:</w:t>
            </w:r>
          </w:p>
          <w:p w:rsidR="00AE4D5A" w:rsidRDefault="00AE4D5A" w:rsidP="008E5E01">
            <w:pPr>
              <w:pStyle w:val="BoxListBullet"/>
            </w:pPr>
            <w:r>
              <w:t>Given the lack of recent data on these measures, the Bass Strait wharf</w:t>
            </w:r>
            <w:r>
              <w:noBreakHyphen/>
              <w:t>to</w:t>
            </w:r>
            <w:r>
              <w:noBreakHyphen/>
              <w:t>wharf container rate and the TFES road freight equivalent should be used in the interim. As such, for three years, the TWFS should pay assistance of $23.12 per tonne, or the shipper’s actual wharf</w:t>
            </w:r>
            <w:r>
              <w:noBreakHyphen/>
              <w:t>to</w:t>
            </w:r>
            <w:r>
              <w:noBreakHyphen/>
              <w:t>wharf cost, whichever is the lesser.</w:t>
            </w:r>
          </w:p>
          <w:p w:rsidR="00AE4D5A" w:rsidRDefault="00AE4D5A" w:rsidP="008E5E01">
            <w:pPr>
              <w:pStyle w:val="BoxListBullet"/>
            </w:pPr>
            <w:r>
              <w:t>In concert with the first three</w:t>
            </w:r>
            <w:r>
              <w:noBreakHyphen/>
              <w:t xml:space="preserve">year parameter and operational review of the </w:t>
            </w:r>
            <w:proofErr w:type="spellStart"/>
            <w:r>
              <w:t>TFES</w:t>
            </w:r>
            <w:proofErr w:type="spellEnd"/>
            <w:r>
              <w:t xml:space="preserve">, the </w:t>
            </w:r>
            <w:proofErr w:type="spellStart"/>
            <w:r>
              <w:t>BTRE</w:t>
            </w:r>
            <w:proofErr w:type="spellEnd"/>
            <w:r>
              <w:t xml:space="preserve"> should estimate the cost of bulk shipments of wheat and the rail freight equivalent, to update the rate of subsidy from that time.</w:t>
            </w:r>
          </w:p>
        </w:tc>
      </w:tr>
      <w:tr w:rsidR="00AE4D5A" w:rsidTr="008E5E01">
        <w:trPr>
          <w:cantSplit/>
        </w:trPr>
        <w:tc>
          <w:tcPr>
            <w:tcW w:w="8771" w:type="dxa"/>
            <w:tcBorders>
              <w:top w:val="nil"/>
              <w:left w:val="single" w:sz="6" w:space="0" w:color="auto"/>
              <w:bottom w:val="nil"/>
              <w:right w:val="single" w:sz="6" w:space="0" w:color="auto"/>
            </w:tcBorders>
          </w:tcPr>
          <w:p w:rsidR="00AE4D5A" w:rsidRDefault="00AE4D5A" w:rsidP="004D448A">
            <w:pPr>
              <w:pStyle w:val="BoxSource"/>
            </w:pPr>
            <w:r>
              <w:rPr>
                <w:i/>
              </w:rPr>
              <w:t>Source</w:t>
            </w:r>
            <w:r w:rsidRPr="003C4CBC">
              <w:t>:</w:t>
            </w:r>
            <w:r>
              <w:rPr>
                <w:i/>
              </w:rPr>
              <w:t xml:space="preserve"> </w:t>
            </w:r>
            <w:r>
              <w:rPr>
                <w:rFonts w:cs="Arial"/>
                <w:szCs w:val="24"/>
              </w:rPr>
              <w:t>(PC 2006</w:t>
            </w:r>
            <w:r w:rsidR="004D448A">
              <w:rPr>
                <w:rFonts w:cs="Arial"/>
                <w:szCs w:val="24"/>
              </w:rPr>
              <w:t>b</w:t>
            </w:r>
            <w:r w:rsidRPr="001171D1">
              <w:rPr>
                <w:rFonts w:cs="Arial"/>
                <w:szCs w:val="24"/>
              </w:rPr>
              <w:t>)</w:t>
            </w:r>
            <w:r>
              <w:rPr>
                <w:rFonts w:cs="Arial"/>
                <w:szCs w:val="24"/>
              </w:rPr>
              <w:t>.</w:t>
            </w:r>
          </w:p>
        </w:tc>
      </w:tr>
      <w:tr w:rsidR="00AE4D5A" w:rsidTr="008E5E01">
        <w:trPr>
          <w:cantSplit/>
        </w:trPr>
        <w:tc>
          <w:tcPr>
            <w:tcW w:w="8771" w:type="dxa"/>
            <w:tcBorders>
              <w:top w:val="nil"/>
              <w:left w:val="single" w:sz="6" w:space="0" w:color="auto"/>
              <w:bottom w:val="single" w:sz="6" w:space="0" w:color="auto"/>
              <w:right w:val="single" w:sz="6" w:space="0" w:color="auto"/>
            </w:tcBorders>
          </w:tcPr>
          <w:p w:rsidR="00AE4D5A" w:rsidRDefault="00AE4D5A" w:rsidP="008E5E01">
            <w:pPr>
              <w:pStyle w:val="Box"/>
              <w:spacing w:before="0" w:line="120" w:lineRule="exact"/>
            </w:pPr>
          </w:p>
        </w:tc>
      </w:tr>
      <w:tr w:rsidR="00AE4D5A" w:rsidRPr="000863A5" w:rsidTr="008E5E01">
        <w:tc>
          <w:tcPr>
            <w:tcW w:w="8771" w:type="dxa"/>
            <w:tcBorders>
              <w:top w:val="nil"/>
              <w:left w:val="nil"/>
              <w:bottom w:val="nil"/>
              <w:right w:val="nil"/>
            </w:tcBorders>
          </w:tcPr>
          <w:p w:rsidR="00AE4D5A" w:rsidRPr="00626D32" w:rsidRDefault="00AE4D5A" w:rsidP="008E5E01">
            <w:pPr>
              <w:pStyle w:val="BoxSpaceBelow"/>
            </w:pPr>
          </w:p>
        </w:tc>
      </w:tr>
    </w:tbl>
    <w:p w:rsidR="00AE4D5A" w:rsidRDefault="00AE4D5A" w:rsidP="00120072">
      <w:pPr>
        <w:pStyle w:val="BodyText"/>
      </w:pPr>
    </w:p>
    <w:p w:rsidR="00AE4D5A" w:rsidRDefault="00AE4D5A" w:rsidP="00AE4D5A">
      <w:pPr>
        <w:sectPr w:rsidR="00AE4D5A" w:rsidSect="00AE4D5A">
          <w:headerReference w:type="even" r:id="rId103"/>
          <w:headerReference w:type="default" r:id="rId104"/>
          <w:footerReference w:type="even" r:id="rId105"/>
          <w:footerReference w:type="default" r:id="rId106"/>
          <w:type w:val="oddPage"/>
          <w:pgSz w:w="11907" w:h="16840" w:code="9"/>
          <w:pgMar w:top="1985" w:right="1304" w:bottom="1418" w:left="1814" w:header="1701" w:footer="567" w:gutter="0"/>
          <w:pgNumType w:chapSep="period"/>
          <w:cols w:space="720"/>
          <w:docGrid w:linePitch="354"/>
        </w:sectPr>
      </w:pPr>
    </w:p>
    <w:p w:rsidR="00AE4D5A" w:rsidRDefault="00AE4D5A" w:rsidP="00AE4D5A">
      <w:pPr>
        <w:pStyle w:val="Heading1"/>
      </w:pPr>
      <w:r>
        <w:lastRenderedPageBreak/>
        <w:t>References</w:t>
      </w:r>
    </w:p>
    <w:p w:rsidR="00AE4D5A" w:rsidRPr="00AE4D5A" w:rsidRDefault="00AE4D5A" w:rsidP="0023538F">
      <w:pPr>
        <w:pStyle w:val="Reference"/>
      </w:pPr>
      <w:r w:rsidRPr="00AE4D5A">
        <w:t xml:space="preserve">ABS (Australian Bureau of Statistics) 2013a, </w:t>
      </w:r>
      <w:r w:rsidRPr="00AE4D5A">
        <w:rPr>
          <w:i/>
          <w:iCs/>
        </w:rPr>
        <w:t xml:space="preserve">Australian National Accounts: State Accounts, 2012-13, </w:t>
      </w:r>
      <w:r w:rsidRPr="000728D8">
        <w:rPr>
          <w:iCs/>
        </w:rPr>
        <w:t>Cat. No. 5220.0</w:t>
      </w:r>
      <w:r w:rsidRPr="00AE4D5A">
        <w:t xml:space="preserve">, </w:t>
      </w:r>
      <w:r w:rsidR="000728D8">
        <w:t>Canberra</w:t>
      </w:r>
      <w:r w:rsidRPr="00AE4D5A">
        <w:t>.</w:t>
      </w:r>
    </w:p>
    <w:p w:rsidR="00AE4D5A" w:rsidRPr="00AE4D5A" w:rsidRDefault="00AE4D5A" w:rsidP="0023538F">
      <w:pPr>
        <w:pStyle w:val="Reference"/>
      </w:pPr>
      <w:r w:rsidRPr="00AE4D5A">
        <w:t>——</w:t>
      </w:r>
      <w:r w:rsidR="003A35EA">
        <w:t> </w:t>
      </w:r>
      <w:r w:rsidRPr="00AE4D5A">
        <w:t xml:space="preserve">2013b, </w:t>
      </w:r>
      <w:r w:rsidRPr="00AE4D5A">
        <w:rPr>
          <w:i/>
          <w:iCs/>
        </w:rPr>
        <w:t xml:space="preserve">Household Income and Income Distribution, Australia, 2011-12, </w:t>
      </w:r>
      <w:r w:rsidRPr="000728D8">
        <w:rPr>
          <w:iCs/>
        </w:rPr>
        <w:t>Cat. No. 6523.0</w:t>
      </w:r>
      <w:r w:rsidR="000728D8">
        <w:rPr>
          <w:iCs/>
        </w:rPr>
        <w:t>, Canberra</w:t>
      </w:r>
      <w:r w:rsidRPr="00AE4D5A">
        <w:t>.</w:t>
      </w:r>
    </w:p>
    <w:p w:rsidR="00AE4D5A" w:rsidRPr="00AE4D5A" w:rsidRDefault="00AE4D5A" w:rsidP="0023538F">
      <w:pPr>
        <w:pStyle w:val="Reference"/>
      </w:pPr>
      <w:r w:rsidRPr="00AE4D5A">
        <w:t>——</w:t>
      </w:r>
      <w:r w:rsidR="003A35EA">
        <w:t> </w:t>
      </w:r>
      <w:r w:rsidRPr="00AE4D5A">
        <w:t xml:space="preserve">2013c, </w:t>
      </w:r>
      <w:r w:rsidRPr="00AE4D5A">
        <w:rPr>
          <w:i/>
          <w:iCs/>
        </w:rPr>
        <w:t>Population projections, Australia, 2012 (base) to 2101</w:t>
      </w:r>
      <w:r w:rsidRPr="00AE4D5A">
        <w:t xml:space="preserve">, </w:t>
      </w:r>
      <w:r w:rsidR="000728D8">
        <w:t>Cat. No. 3222.0, Canberra.</w:t>
      </w:r>
    </w:p>
    <w:p w:rsidR="00AE4D5A" w:rsidRPr="00AE4D5A" w:rsidRDefault="00AE4D5A" w:rsidP="0023538F">
      <w:pPr>
        <w:pStyle w:val="Reference"/>
      </w:pPr>
      <w:r w:rsidRPr="00AE4D5A">
        <w:t>——</w:t>
      </w:r>
      <w:r w:rsidR="003A35EA">
        <w:t> </w:t>
      </w:r>
      <w:proofErr w:type="spellStart"/>
      <w:r w:rsidRPr="00AE4D5A">
        <w:t>2013d</w:t>
      </w:r>
      <w:proofErr w:type="spellEnd"/>
      <w:r w:rsidRPr="00AE4D5A">
        <w:t xml:space="preserve">, </w:t>
      </w:r>
      <w:r w:rsidRPr="00AE4D5A">
        <w:rPr>
          <w:i/>
          <w:iCs/>
        </w:rPr>
        <w:t>Producer Price Indexes, Australia - September quarter 2013</w:t>
      </w:r>
      <w:r w:rsidR="000728D8">
        <w:t>, Cat. No. 6427.0, Canberra.</w:t>
      </w:r>
    </w:p>
    <w:p w:rsidR="00AE4D5A" w:rsidRPr="00AE4D5A" w:rsidRDefault="00AE4D5A" w:rsidP="0023538F">
      <w:pPr>
        <w:pStyle w:val="Reference"/>
      </w:pPr>
      <w:r w:rsidRPr="00AE4D5A">
        <w:t>——</w:t>
      </w:r>
      <w:r w:rsidR="003A35EA">
        <w:t> </w:t>
      </w:r>
      <w:proofErr w:type="spellStart"/>
      <w:r w:rsidRPr="00AE4D5A">
        <w:t>2013e</w:t>
      </w:r>
      <w:proofErr w:type="spellEnd"/>
      <w:r w:rsidRPr="00AE4D5A">
        <w:t xml:space="preserve">, </w:t>
      </w:r>
      <w:r w:rsidRPr="00AE4D5A">
        <w:rPr>
          <w:i/>
          <w:iCs/>
        </w:rPr>
        <w:t xml:space="preserve">The Labour Force, Australia, </w:t>
      </w:r>
      <w:r w:rsidRPr="000728D8">
        <w:rPr>
          <w:iCs/>
        </w:rPr>
        <w:t xml:space="preserve"> Cat. No. 6202.0</w:t>
      </w:r>
      <w:r w:rsidR="000728D8" w:rsidRPr="000728D8">
        <w:rPr>
          <w:iCs/>
        </w:rPr>
        <w:t>, Canberra</w:t>
      </w:r>
      <w:r w:rsidRPr="00AE4D5A">
        <w:t>.</w:t>
      </w:r>
    </w:p>
    <w:p w:rsidR="00AE4D5A" w:rsidRPr="00AE4D5A" w:rsidRDefault="00AE4D5A" w:rsidP="0023538F">
      <w:pPr>
        <w:pStyle w:val="Reference"/>
      </w:pPr>
      <w:r w:rsidRPr="00AE4D5A">
        <w:t>——</w:t>
      </w:r>
      <w:r w:rsidR="003A35EA">
        <w:t> </w:t>
      </w:r>
      <w:r w:rsidRPr="00AE4D5A">
        <w:t xml:space="preserve">and Statistics NZ (Australian Bureau of Statistics and Statistics New Zealand) 2006, </w:t>
      </w:r>
      <w:r w:rsidRPr="00AE4D5A">
        <w:rPr>
          <w:i/>
          <w:iCs/>
        </w:rPr>
        <w:t>Australian and New Zealand Standard Industrial Classification 2006</w:t>
      </w:r>
      <w:r w:rsidR="000728D8">
        <w:rPr>
          <w:i/>
          <w:iCs/>
        </w:rPr>
        <w:t xml:space="preserve">, </w:t>
      </w:r>
      <w:r w:rsidR="000728D8" w:rsidRPr="000728D8">
        <w:rPr>
          <w:iCs/>
        </w:rPr>
        <w:t>Cat. No. 1292.0, Canberra</w:t>
      </w:r>
      <w:r w:rsidRPr="00AE4D5A">
        <w:t>.</w:t>
      </w:r>
    </w:p>
    <w:p w:rsidR="00AE4D5A" w:rsidRPr="00AE4D5A" w:rsidRDefault="00AE4D5A" w:rsidP="0023538F">
      <w:pPr>
        <w:pStyle w:val="Reference"/>
      </w:pPr>
      <w:r w:rsidRPr="00AE4D5A">
        <w:t xml:space="preserve">ACCC (Australian Competition and Consumer Commission) 2008a, </w:t>
      </w:r>
      <w:r w:rsidRPr="00AE4D5A">
        <w:rPr>
          <w:i/>
          <w:iCs/>
        </w:rPr>
        <w:t>Public Competition Assessment - Flinders Ports Pty Ltd - Proposed Joint Venture with DP World (SA) Pty Ltd</w:t>
      </w:r>
      <w:r w:rsidRPr="00AE4D5A">
        <w:t>, September, Canberra.</w:t>
      </w:r>
    </w:p>
    <w:p w:rsidR="00AE4D5A" w:rsidRPr="00AE4D5A" w:rsidRDefault="00AE4D5A" w:rsidP="0023538F">
      <w:pPr>
        <w:pStyle w:val="Reference"/>
      </w:pPr>
      <w:r w:rsidRPr="00AE4D5A">
        <w:t>——</w:t>
      </w:r>
      <w:r w:rsidR="003A35EA">
        <w:t> </w:t>
      </w:r>
      <w:r w:rsidRPr="00AE4D5A">
        <w:t xml:space="preserve">2008b, </w:t>
      </w:r>
      <w:r w:rsidRPr="00AE4D5A">
        <w:rPr>
          <w:i/>
          <w:iCs/>
        </w:rPr>
        <w:t xml:space="preserve">Report of the ACCC </w:t>
      </w:r>
      <w:r w:rsidR="000728D8">
        <w:rPr>
          <w:i/>
          <w:iCs/>
        </w:rPr>
        <w:t>I</w:t>
      </w:r>
      <w:r w:rsidRPr="00AE4D5A">
        <w:rPr>
          <w:i/>
          <w:iCs/>
        </w:rPr>
        <w:t xml:space="preserve">nquiry into the </w:t>
      </w:r>
      <w:r w:rsidR="000728D8">
        <w:rPr>
          <w:i/>
          <w:iCs/>
        </w:rPr>
        <w:t>C</w:t>
      </w:r>
      <w:r w:rsidRPr="00AE4D5A">
        <w:rPr>
          <w:i/>
          <w:iCs/>
        </w:rPr>
        <w:t xml:space="preserve">ompetitiveness of </w:t>
      </w:r>
      <w:r w:rsidR="000728D8">
        <w:rPr>
          <w:i/>
          <w:iCs/>
        </w:rPr>
        <w:t>R</w:t>
      </w:r>
      <w:r w:rsidRPr="00AE4D5A">
        <w:rPr>
          <w:i/>
          <w:iCs/>
        </w:rPr>
        <w:t xml:space="preserve">etail </w:t>
      </w:r>
      <w:r w:rsidR="000728D8">
        <w:rPr>
          <w:i/>
          <w:iCs/>
        </w:rPr>
        <w:t>P</w:t>
      </w:r>
      <w:r w:rsidRPr="00AE4D5A">
        <w:rPr>
          <w:i/>
          <w:iCs/>
        </w:rPr>
        <w:t xml:space="preserve">rices for </w:t>
      </w:r>
      <w:r w:rsidR="000728D8">
        <w:rPr>
          <w:i/>
          <w:iCs/>
        </w:rPr>
        <w:t>S</w:t>
      </w:r>
      <w:r w:rsidRPr="00AE4D5A">
        <w:rPr>
          <w:i/>
          <w:iCs/>
        </w:rPr>
        <w:t xml:space="preserve">tandard </w:t>
      </w:r>
      <w:r w:rsidR="000728D8">
        <w:rPr>
          <w:i/>
          <w:iCs/>
        </w:rPr>
        <w:t>G</w:t>
      </w:r>
      <w:r w:rsidRPr="00AE4D5A">
        <w:rPr>
          <w:i/>
          <w:iCs/>
        </w:rPr>
        <w:t>roceries</w:t>
      </w:r>
      <w:r w:rsidRPr="00AE4D5A">
        <w:t>, July</w:t>
      </w:r>
      <w:r w:rsidR="000728D8">
        <w:t>, Canberra</w:t>
      </w:r>
      <w:r w:rsidRPr="00AE4D5A">
        <w:t>.</w:t>
      </w:r>
    </w:p>
    <w:p w:rsidR="00AE4D5A" w:rsidRPr="00AE4D5A" w:rsidRDefault="00AE4D5A" w:rsidP="0023538F">
      <w:pPr>
        <w:pStyle w:val="Reference"/>
      </w:pPr>
      <w:r w:rsidRPr="00AE4D5A">
        <w:t>——</w:t>
      </w:r>
      <w:r w:rsidR="003A35EA">
        <w:t> </w:t>
      </w:r>
      <w:r w:rsidRPr="00AE4D5A">
        <w:t xml:space="preserve">2013, </w:t>
      </w:r>
      <w:r w:rsidRPr="00AE4D5A">
        <w:rPr>
          <w:i/>
          <w:iCs/>
        </w:rPr>
        <w:t>Container Stevedoring Monitoring Report</w:t>
      </w:r>
      <w:r w:rsidRPr="00AE4D5A">
        <w:t>, October, Canberra.</w:t>
      </w:r>
    </w:p>
    <w:p w:rsidR="00AE4D5A" w:rsidRPr="00AE4D5A" w:rsidRDefault="00AE4D5A" w:rsidP="0023538F">
      <w:pPr>
        <w:pStyle w:val="Reference"/>
      </w:pPr>
      <w:proofErr w:type="spellStart"/>
      <w:r w:rsidRPr="00AE4D5A">
        <w:t>AIRC</w:t>
      </w:r>
      <w:proofErr w:type="spellEnd"/>
      <w:r w:rsidRPr="00AE4D5A">
        <w:t xml:space="preserve"> (Australian Innovation Research Centre) 2012, </w:t>
      </w:r>
      <w:r w:rsidRPr="00AE4D5A">
        <w:rPr>
          <w:i/>
          <w:iCs/>
        </w:rPr>
        <w:t>Diversifying Tasmania’s Economy: Analysis and Options Final Report – Revised</w:t>
      </w:r>
      <w:r w:rsidRPr="00AE4D5A">
        <w:t xml:space="preserve">, Report to the Commonwealth Department of Infrastructure and Regional Development, October, </w:t>
      </w:r>
      <w:r w:rsidR="000728D8">
        <w:t>Hobart</w:t>
      </w:r>
      <w:r w:rsidRPr="00AE4D5A">
        <w:t>.</w:t>
      </w:r>
    </w:p>
    <w:p w:rsidR="00AE4D5A" w:rsidRDefault="00AE4D5A" w:rsidP="0023538F">
      <w:pPr>
        <w:pStyle w:val="Reference"/>
      </w:pPr>
      <w:r w:rsidRPr="00AE4D5A">
        <w:t xml:space="preserve">Albanese, A. 2008, </w:t>
      </w:r>
      <w:r w:rsidRPr="00AE4D5A">
        <w:rPr>
          <w:i/>
          <w:iCs/>
        </w:rPr>
        <w:t>Freight subsidy schemes to continue: assistance for Tasmania</w:t>
      </w:r>
      <w:r w:rsidRPr="00AE4D5A">
        <w:t>, http://anthonyalbanese.com.au/freight-subsidy-schemes-to-continue-assistance-for-tasmania-2 (accessed 30 November 2013).</w:t>
      </w:r>
    </w:p>
    <w:p w:rsidR="00890696" w:rsidRPr="000F420D" w:rsidRDefault="0023538F" w:rsidP="0023538F">
      <w:pPr>
        <w:pStyle w:val="Reference"/>
      </w:pPr>
      <w:r w:rsidRPr="00AE4D5A">
        <w:t>——</w:t>
      </w:r>
      <w:r>
        <w:t> </w:t>
      </w:r>
      <w:r w:rsidRPr="00AE4D5A">
        <w:t>2</w:t>
      </w:r>
      <w:r w:rsidR="00890696" w:rsidRPr="000F420D">
        <w:t>012a, Coastal Trading (Revitalising Australian Shipping) Bill 2012, Explanatory Memorandum.</w:t>
      </w:r>
    </w:p>
    <w:p w:rsidR="00890696" w:rsidRPr="000F420D" w:rsidRDefault="00890696" w:rsidP="0023538F">
      <w:pPr>
        <w:pStyle w:val="Reference"/>
      </w:pPr>
      <w:r w:rsidRPr="000F420D">
        <w:t>—— 2012b, Shipping Registration Amendment (Australian International Shipping Register) Bill 2012, Explanatory Memorandum.</w:t>
      </w:r>
    </w:p>
    <w:p w:rsidR="003A35EA" w:rsidRDefault="00AE4D5A" w:rsidP="0023538F">
      <w:pPr>
        <w:pStyle w:val="Reference"/>
      </w:pPr>
      <w:proofErr w:type="spellStart"/>
      <w:r w:rsidRPr="00AE4D5A">
        <w:lastRenderedPageBreak/>
        <w:t>ANAO</w:t>
      </w:r>
      <w:proofErr w:type="spellEnd"/>
      <w:r w:rsidRPr="00AE4D5A">
        <w:t xml:space="preserve"> (Australian National Audit Office) 2011, </w:t>
      </w:r>
      <w:r w:rsidRPr="00AE4D5A">
        <w:rPr>
          <w:i/>
          <w:iCs/>
        </w:rPr>
        <w:t>Tasmanian Freight Equalisation Scheme: Performance Audit, Audit Report No. 13, 2011-12</w:t>
      </w:r>
      <w:r w:rsidRPr="00AE4D5A">
        <w:t>, November</w:t>
      </w:r>
      <w:r w:rsidR="00E60472">
        <w:t>, Canberra</w:t>
      </w:r>
      <w:r w:rsidRPr="00AE4D5A">
        <w:t>.</w:t>
      </w:r>
    </w:p>
    <w:p w:rsidR="00AE4D5A" w:rsidRPr="00AE4D5A" w:rsidRDefault="00AE4D5A" w:rsidP="0023538F">
      <w:pPr>
        <w:pStyle w:val="Reference"/>
      </w:pPr>
      <w:r w:rsidRPr="00AE4D5A">
        <w:t xml:space="preserve">Auditor-General 2012, </w:t>
      </w:r>
      <w:r w:rsidRPr="00AE4D5A">
        <w:rPr>
          <w:i/>
          <w:iCs/>
        </w:rPr>
        <w:t>TasPorts: Benefits of Amalgamation</w:t>
      </w:r>
      <w:r w:rsidRPr="00AE4D5A">
        <w:t>, October, Hobart.</w:t>
      </w:r>
    </w:p>
    <w:p w:rsidR="00AE4D5A" w:rsidRPr="00AE4D5A" w:rsidRDefault="00AE4D5A" w:rsidP="0023538F">
      <w:pPr>
        <w:pStyle w:val="Reference"/>
      </w:pPr>
      <w:r w:rsidRPr="00AE4D5A">
        <w:t>——</w:t>
      </w:r>
      <w:r w:rsidR="003A35EA">
        <w:t> </w:t>
      </w:r>
      <w:r w:rsidRPr="00AE4D5A">
        <w:t xml:space="preserve">2013, </w:t>
      </w:r>
      <w:r w:rsidRPr="00AE4D5A">
        <w:rPr>
          <w:i/>
          <w:iCs/>
        </w:rPr>
        <w:t>Auditor-General’s Report on the Financial Statements of State Entities. Volume 2, Government Businesses, Other Public Non-</w:t>
      </w:r>
      <w:proofErr w:type="spellStart"/>
      <w:r w:rsidRPr="00AE4D5A">
        <w:rPr>
          <w:i/>
          <w:iCs/>
        </w:rPr>
        <w:t>FInancial</w:t>
      </w:r>
      <w:proofErr w:type="spellEnd"/>
      <w:r w:rsidRPr="00AE4D5A">
        <w:rPr>
          <w:i/>
          <w:iCs/>
        </w:rPr>
        <w:t xml:space="preserve"> Corporations and Water Corporations 2012-13</w:t>
      </w:r>
      <w:r w:rsidRPr="00AE4D5A">
        <w:t>, November, Hobart.</w:t>
      </w:r>
    </w:p>
    <w:p w:rsidR="00AE4D5A" w:rsidRPr="00AE4D5A" w:rsidRDefault="00AE4D5A" w:rsidP="0023538F">
      <w:pPr>
        <w:pStyle w:val="Reference"/>
      </w:pPr>
      <w:r w:rsidRPr="00AE4D5A">
        <w:t xml:space="preserve">Aurecon (Aurecon Australia) 2013a, </w:t>
      </w:r>
      <w:r w:rsidRPr="00AE4D5A">
        <w:rPr>
          <w:i/>
          <w:iCs/>
        </w:rPr>
        <w:t>Supply Chains in Tasmania</w:t>
      </w:r>
      <w:r w:rsidRPr="00AE4D5A">
        <w:t>, August, Melbourne.</w:t>
      </w:r>
    </w:p>
    <w:p w:rsidR="00AE4D5A" w:rsidRPr="00AE4D5A" w:rsidRDefault="00AE4D5A" w:rsidP="0023538F">
      <w:pPr>
        <w:pStyle w:val="Reference"/>
      </w:pPr>
      <w:r w:rsidRPr="00AE4D5A">
        <w:t>——</w:t>
      </w:r>
      <w:r w:rsidR="003A35EA">
        <w:t> </w:t>
      </w:r>
      <w:r w:rsidRPr="00AE4D5A">
        <w:t xml:space="preserve">2013b, </w:t>
      </w:r>
      <w:r w:rsidRPr="00AE4D5A">
        <w:rPr>
          <w:i/>
          <w:iCs/>
        </w:rPr>
        <w:t>Tasmanian Empty Container Movement Study</w:t>
      </w:r>
      <w:r w:rsidRPr="00AE4D5A">
        <w:t>, November, Melbourne.</w:t>
      </w:r>
    </w:p>
    <w:p w:rsidR="00AE4D5A" w:rsidRDefault="00AE4D5A" w:rsidP="0023538F">
      <w:pPr>
        <w:pStyle w:val="Reference"/>
      </w:pPr>
      <w:r w:rsidRPr="00AE4D5A">
        <w:t>——</w:t>
      </w:r>
      <w:r w:rsidR="003A35EA">
        <w:t> </w:t>
      </w:r>
      <w:r w:rsidRPr="00AE4D5A">
        <w:t xml:space="preserve">2013c, </w:t>
      </w:r>
      <w:r w:rsidRPr="00AE4D5A">
        <w:rPr>
          <w:i/>
          <w:iCs/>
        </w:rPr>
        <w:t>Tasmanian Shipping and Ports</w:t>
      </w:r>
      <w:r w:rsidRPr="00AE4D5A">
        <w:t>, September, Melbourne.</w:t>
      </w:r>
    </w:p>
    <w:p w:rsidR="0023538F" w:rsidRPr="000F420D" w:rsidRDefault="0023538F" w:rsidP="0023538F">
      <w:pPr>
        <w:pStyle w:val="Reference"/>
      </w:pPr>
      <w:r w:rsidRPr="000F420D">
        <w:t xml:space="preserve">Australian Industrial Relations Commission 1999, Maritime Industry Seagoing Award 1999, August, </w:t>
      </w:r>
      <w:r>
        <w:t>http://</w:t>
      </w:r>
      <w:proofErr w:type="spellStart"/>
      <w:r>
        <w:t>www.fwc.gov.au</w:t>
      </w:r>
      <w:proofErr w:type="spellEnd"/>
      <w:r>
        <w:t>/</w:t>
      </w:r>
      <w:proofErr w:type="spellStart"/>
      <w:r>
        <w:t>consolidated_awards</w:t>
      </w:r>
      <w:proofErr w:type="spellEnd"/>
      <w:r>
        <w:t>/</w:t>
      </w:r>
      <w:proofErr w:type="spellStart"/>
      <w:r>
        <w:t>ap</w:t>
      </w:r>
      <w:proofErr w:type="spellEnd"/>
      <w:r>
        <w:t>/</w:t>
      </w:r>
      <w:proofErr w:type="spellStart"/>
      <w:r>
        <w:t>ap788080</w:t>
      </w:r>
      <w:proofErr w:type="spellEnd"/>
      <w:r>
        <w:t xml:space="preserve">/ </w:t>
      </w:r>
      <w:proofErr w:type="spellStart"/>
      <w:r w:rsidRPr="000F420D">
        <w:t>asframe.html</w:t>
      </w:r>
      <w:proofErr w:type="spellEnd"/>
      <w:r w:rsidRPr="000F420D">
        <w:t xml:space="preserve"> (accessed 21 December 2013).</w:t>
      </w:r>
    </w:p>
    <w:p w:rsidR="0023538F" w:rsidRPr="000F420D" w:rsidRDefault="0023538F" w:rsidP="0023538F">
      <w:pPr>
        <w:pStyle w:val="Reference"/>
      </w:pPr>
      <w:r w:rsidRPr="000F420D">
        <w:t xml:space="preserve">Australian Taxation Office 2011, Taxation Ruling </w:t>
      </w:r>
      <w:proofErr w:type="spellStart"/>
      <w:r w:rsidRPr="000F420D">
        <w:t>TR</w:t>
      </w:r>
      <w:proofErr w:type="spellEnd"/>
      <w:r w:rsidRPr="000F420D">
        <w:t xml:space="preserve"> 2011/2: Income tax - effective life of depreciating assets, June, </w:t>
      </w:r>
      <w:r>
        <w:t>http://</w:t>
      </w:r>
      <w:proofErr w:type="spellStart"/>
      <w:r>
        <w:t>law.ato.gov.au</w:t>
      </w:r>
      <w:proofErr w:type="spellEnd"/>
      <w:r>
        <w:t>/</w:t>
      </w:r>
      <w:proofErr w:type="spellStart"/>
      <w:r>
        <w:t>atolaw</w:t>
      </w:r>
      <w:proofErr w:type="spellEnd"/>
      <w:r>
        <w:t xml:space="preserve">/ </w:t>
      </w:r>
      <w:proofErr w:type="spellStart"/>
      <w:r w:rsidRPr="000F420D">
        <w:t>view.htm?docid</w:t>
      </w:r>
      <w:proofErr w:type="spellEnd"/>
      <w:r w:rsidRPr="000F420D">
        <w:t>=</w:t>
      </w:r>
      <w:proofErr w:type="spellStart"/>
      <w:r w:rsidRPr="000F420D">
        <w:t>TXR</w:t>
      </w:r>
      <w:proofErr w:type="spellEnd"/>
      <w:r w:rsidRPr="000F420D">
        <w:t>/</w:t>
      </w:r>
      <w:proofErr w:type="spellStart"/>
      <w:r w:rsidRPr="000F420D">
        <w:t>TR20112</w:t>
      </w:r>
      <w:proofErr w:type="spellEnd"/>
      <w:r w:rsidRPr="000F420D">
        <w:t>/NAT/</w:t>
      </w:r>
      <w:proofErr w:type="spellStart"/>
      <w:r w:rsidRPr="000F420D">
        <w:t>ATO</w:t>
      </w:r>
      <w:proofErr w:type="spellEnd"/>
      <w:r w:rsidRPr="000F420D">
        <w:t>/</w:t>
      </w:r>
      <w:proofErr w:type="spellStart"/>
      <w:r w:rsidRPr="000F420D">
        <w:t>00001&amp;PiT</w:t>
      </w:r>
      <w:proofErr w:type="spellEnd"/>
      <w:r w:rsidRPr="000F420D">
        <w:t>=20110629000001 (accessed 22 December 2013).</w:t>
      </w:r>
    </w:p>
    <w:p w:rsidR="00AE4D5A" w:rsidRPr="00AE4D5A" w:rsidRDefault="00AE4D5A" w:rsidP="0023538F">
      <w:pPr>
        <w:pStyle w:val="Reference"/>
      </w:pPr>
      <w:r w:rsidRPr="00AE4D5A">
        <w:t xml:space="preserve">Battersby and Ewing, B. 2005, </w:t>
      </w:r>
      <w:r w:rsidRPr="00AE4D5A">
        <w:rPr>
          <w:i/>
          <w:iCs/>
        </w:rPr>
        <w:t>International Trade Performance: The Gravity of Australia’s Remoteness</w:t>
      </w:r>
      <w:r w:rsidRPr="00AE4D5A">
        <w:t>, Treasury Working Paper, 2005-03</w:t>
      </w:r>
      <w:r w:rsidR="00E60472">
        <w:t>, June, Canberra</w:t>
      </w:r>
      <w:r w:rsidRPr="00AE4D5A">
        <w:t>.</w:t>
      </w:r>
    </w:p>
    <w:p w:rsidR="00AE4D5A" w:rsidRPr="00AE4D5A" w:rsidRDefault="00AE4D5A" w:rsidP="0023538F">
      <w:pPr>
        <w:pStyle w:val="Reference"/>
      </w:pPr>
      <w:r w:rsidRPr="00AE4D5A">
        <w:t xml:space="preserve">BBA and Swire (Bell Bay Aluminium and Swire Shipping) 2013, </w:t>
      </w:r>
      <w:r w:rsidRPr="00AE4D5A">
        <w:rPr>
          <w:i/>
          <w:iCs/>
        </w:rPr>
        <w:t xml:space="preserve">Joint Media Statement: Bell Bay Aluminium Secures Direct </w:t>
      </w:r>
      <w:proofErr w:type="spellStart"/>
      <w:r w:rsidRPr="00AE4D5A">
        <w:rPr>
          <w:i/>
          <w:iCs/>
        </w:rPr>
        <w:t>Multi Purpose</w:t>
      </w:r>
      <w:proofErr w:type="spellEnd"/>
      <w:r w:rsidRPr="00AE4D5A">
        <w:rPr>
          <w:i/>
          <w:iCs/>
        </w:rPr>
        <w:t xml:space="preserve"> International Shipping Service with Swire Shipping from Bell Bay</w:t>
      </w:r>
      <w:r w:rsidRPr="00AE4D5A">
        <w:t>.</w:t>
      </w:r>
    </w:p>
    <w:p w:rsidR="00AE4D5A" w:rsidRPr="00AE4D5A" w:rsidRDefault="00AE4D5A" w:rsidP="0023538F">
      <w:pPr>
        <w:pStyle w:val="Reference"/>
      </w:pPr>
      <w:proofErr w:type="spellStart"/>
      <w:r w:rsidRPr="00AE4D5A">
        <w:t>Bertho</w:t>
      </w:r>
      <w:proofErr w:type="spellEnd"/>
      <w:r w:rsidRPr="00AE4D5A">
        <w:t xml:space="preserve">, F. 2011, ‘Maritime Transport in Australia’, </w:t>
      </w:r>
      <w:r w:rsidRPr="00AE4D5A">
        <w:rPr>
          <w:i/>
          <w:iCs/>
        </w:rPr>
        <w:t>The Impacts and Benefits of Structural Reforms in the Transport, Energy and Telecommunications Sectors in APEC Economies</w:t>
      </w:r>
      <w:r w:rsidRPr="00AE4D5A">
        <w:t>, APEC Policy Support Unit, Adelaide.</w:t>
      </w:r>
    </w:p>
    <w:p w:rsidR="00AE4D5A" w:rsidRPr="00AE4D5A" w:rsidRDefault="00AE4D5A" w:rsidP="0023538F">
      <w:pPr>
        <w:pStyle w:val="Reference"/>
      </w:pPr>
      <w:r w:rsidRPr="00AE4D5A">
        <w:t xml:space="preserve">BITRE (Bureau of Infrastructure, Transport and Regional Economics) 2008a, </w:t>
      </w:r>
      <w:r w:rsidRPr="00AE4D5A">
        <w:rPr>
          <w:i/>
          <w:iCs/>
        </w:rPr>
        <w:t>Freight rates in Australia 1964-65 to 2007-08</w:t>
      </w:r>
      <w:r w:rsidRPr="00AE4D5A">
        <w:t>, Information sheet 28, Canberra.</w:t>
      </w:r>
    </w:p>
    <w:p w:rsidR="00AE4D5A" w:rsidRPr="00AE4D5A" w:rsidRDefault="00AE4D5A" w:rsidP="0023538F">
      <w:pPr>
        <w:pStyle w:val="Reference"/>
      </w:pPr>
      <w:r w:rsidRPr="00AE4D5A">
        <w:t>——</w:t>
      </w:r>
      <w:r w:rsidR="003A35EA">
        <w:t> </w:t>
      </w:r>
      <w:r w:rsidRPr="00AE4D5A">
        <w:t xml:space="preserve">2008b, </w:t>
      </w:r>
      <w:r w:rsidRPr="00AE4D5A">
        <w:rPr>
          <w:i/>
          <w:iCs/>
        </w:rPr>
        <w:t xml:space="preserve">Tasmanian </w:t>
      </w:r>
      <w:r w:rsidR="00E60472">
        <w:rPr>
          <w:i/>
          <w:iCs/>
        </w:rPr>
        <w:t>F</w:t>
      </w:r>
      <w:r w:rsidRPr="00AE4D5A">
        <w:rPr>
          <w:i/>
          <w:iCs/>
        </w:rPr>
        <w:t xml:space="preserve">reight </w:t>
      </w:r>
      <w:r w:rsidR="00E60472">
        <w:rPr>
          <w:i/>
          <w:iCs/>
        </w:rPr>
        <w:t>S</w:t>
      </w:r>
      <w:r w:rsidRPr="00AE4D5A">
        <w:rPr>
          <w:i/>
          <w:iCs/>
        </w:rPr>
        <w:t xml:space="preserve">chemes </w:t>
      </w:r>
      <w:r w:rsidR="00E60472">
        <w:rPr>
          <w:i/>
          <w:iCs/>
        </w:rPr>
        <w:t>P</w:t>
      </w:r>
      <w:r w:rsidRPr="00AE4D5A">
        <w:rPr>
          <w:i/>
          <w:iCs/>
        </w:rPr>
        <w:t xml:space="preserve">arameter </w:t>
      </w:r>
      <w:r w:rsidR="00E60472">
        <w:rPr>
          <w:i/>
          <w:iCs/>
        </w:rPr>
        <w:t>R</w:t>
      </w:r>
      <w:r w:rsidRPr="00AE4D5A">
        <w:rPr>
          <w:i/>
          <w:iCs/>
        </w:rPr>
        <w:t>eview</w:t>
      </w:r>
      <w:r w:rsidR="00E60472">
        <w:t>, November, Canberra.</w:t>
      </w:r>
    </w:p>
    <w:p w:rsidR="00AE4D5A" w:rsidRPr="00AE4D5A" w:rsidRDefault="00AE4D5A" w:rsidP="0023538F">
      <w:pPr>
        <w:pStyle w:val="Reference"/>
      </w:pPr>
      <w:r w:rsidRPr="00AE4D5A">
        <w:t>——</w:t>
      </w:r>
      <w:r w:rsidR="003A35EA">
        <w:t> </w:t>
      </w:r>
      <w:r w:rsidRPr="00AE4D5A">
        <w:t xml:space="preserve">2011a, </w:t>
      </w:r>
      <w:r w:rsidRPr="00AE4D5A">
        <w:rPr>
          <w:i/>
          <w:iCs/>
        </w:rPr>
        <w:t xml:space="preserve">Public </w:t>
      </w:r>
      <w:r w:rsidR="00E60472">
        <w:rPr>
          <w:i/>
          <w:iCs/>
        </w:rPr>
        <w:t>R</w:t>
      </w:r>
      <w:r w:rsidRPr="00AE4D5A">
        <w:rPr>
          <w:i/>
          <w:iCs/>
        </w:rPr>
        <w:t>oad-</w:t>
      </w:r>
      <w:r w:rsidR="00E60472">
        <w:rPr>
          <w:i/>
          <w:iCs/>
        </w:rPr>
        <w:t>R</w:t>
      </w:r>
      <w:r w:rsidRPr="00AE4D5A">
        <w:rPr>
          <w:i/>
          <w:iCs/>
        </w:rPr>
        <w:t xml:space="preserve">elated </w:t>
      </w:r>
      <w:r w:rsidR="00E60472">
        <w:rPr>
          <w:i/>
          <w:iCs/>
        </w:rPr>
        <w:t>E</w:t>
      </w:r>
      <w:r w:rsidRPr="00AE4D5A">
        <w:rPr>
          <w:i/>
          <w:iCs/>
        </w:rPr>
        <w:t xml:space="preserve">xpenditure and </w:t>
      </w:r>
      <w:r w:rsidR="00E60472">
        <w:rPr>
          <w:i/>
          <w:iCs/>
        </w:rPr>
        <w:t>R</w:t>
      </w:r>
      <w:r w:rsidRPr="00AE4D5A">
        <w:rPr>
          <w:i/>
          <w:iCs/>
        </w:rPr>
        <w:t>evenue in Australia</w:t>
      </w:r>
      <w:r w:rsidR="00E60472">
        <w:t>, February, Canberra.</w:t>
      </w:r>
    </w:p>
    <w:p w:rsidR="00AE4D5A" w:rsidRDefault="00AE4D5A" w:rsidP="0023538F">
      <w:pPr>
        <w:pStyle w:val="Reference"/>
      </w:pPr>
      <w:r w:rsidRPr="00AE4D5A">
        <w:t>——</w:t>
      </w:r>
      <w:r w:rsidR="003A35EA">
        <w:t> </w:t>
      </w:r>
      <w:proofErr w:type="spellStart"/>
      <w:r w:rsidRPr="00AE4D5A">
        <w:t>2011b</w:t>
      </w:r>
      <w:proofErr w:type="spellEnd"/>
      <w:r w:rsidRPr="00AE4D5A">
        <w:t xml:space="preserve">, </w:t>
      </w:r>
      <w:r w:rsidRPr="00AE4D5A">
        <w:rPr>
          <w:i/>
          <w:iCs/>
        </w:rPr>
        <w:t>Tasmanian Freight Schemes Parameter Review October 2011</w:t>
      </w:r>
      <w:r w:rsidR="00E60472">
        <w:t>, October, Canberra.</w:t>
      </w:r>
    </w:p>
    <w:p w:rsidR="0023538F" w:rsidRPr="000F420D" w:rsidRDefault="0023538F" w:rsidP="0023538F">
      <w:pPr>
        <w:pStyle w:val="Reference"/>
      </w:pPr>
      <w:r w:rsidRPr="00AE4D5A">
        <w:t>——</w:t>
      </w:r>
      <w:r>
        <w:t> </w:t>
      </w:r>
      <w:r w:rsidRPr="00AE4D5A">
        <w:t>2</w:t>
      </w:r>
      <w:r w:rsidRPr="000F420D">
        <w:t>012, Weekly Statement of Cargo Actually Carried (</w:t>
      </w:r>
      <w:proofErr w:type="spellStart"/>
      <w:r w:rsidRPr="000F420D">
        <w:t>SOCAC</w:t>
      </w:r>
      <w:proofErr w:type="spellEnd"/>
      <w:r w:rsidRPr="000F420D">
        <w:t>) Data, http://www.infrastructure.gov.au/maritime/freight/licences/socac_data_archive/index.aspx (accessed 9 January 2014).</w:t>
      </w:r>
    </w:p>
    <w:p w:rsidR="00AE4D5A" w:rsidRPr="00AE4D5A" w:rsidRDefault="00AE4D5A" w:rsidP="0023538F">
      <w:pPr>
        <w:pStyle w:val="Reference"/>
      </w:pPr>
      <w:r w:rsidRPr="00AE4D5A">
        <w:lastRenderedPageBreak/>
        <w:t>——</w:t>
      </w:r>
      <w:r w:rsidR="003A35EA">
        <w:t> </w:t>
      </w:r>
      <w:r w:rsidRPr="00AE4D5A">
        <w:t xml:space="preserve">2013a, </w:t>
      </w:r>
      <w:r w:rsidRPr="00AE4D5A">
        <w:rPr>
          <w:i/>
          <w:iCs/>
        </w:rPr>
        <w:t>Australian Sea Freight 2011-12</w:t>
      </w:r>
      <w:r w:rsidRPr="00AE4D5A">
        <w:t>,</w:t>
      </w:r>
      <w:r w:rsidR="00E60472">
        <w:t xml:space="preserve"> August,</w:t>
      </w:r>
      <w:r w:rsidRPr="00AE4D5A">
        <w:t xml:space="preserve"> Canberra.</w:t>
      </w:r>
    </w:p>
    <w:p w:rsidR="00AE4D5A" w:rsidRPr="00AE4D5A" w:rsidRDefault="00AE4D5A" w:rsidP="0023538F">
      <w:pPr>
        <w:pStyle w:val="Reference"/>
      </w:pPr>
      <w:r w:rsidRPr="00AE4D5A">
        <w:t>——</w:t>
      </w:r>
      <w:r w:rsidR="003A35EA">
        <w:t> </w:t>
      </w:r>
      <w:r w:rsidRPr="00AE4D5A">
        <w:t xml:space="preserve">2013b, </w:t>
      </w:r>
      <w:r w:rsidRPr="00AE4D5A">
        <w:rPr>
          <w:i/>
          <w:iCs/>
        </w:rPr>
        <w:t xml:space="preserve">Tasmanian Freight Schemes </w:t>
      </w:r>
      <w:r w:rsidR="00207B70">
        <w:rPr>
          <w:i/>
          <w:iCs/>
        </w:rPr>
        <w:t>–</w:t>
      </w:r>
      <w:r w:rsidRPr="00AE4D5A">
        <w:rPr>
          <w:i/>
          <w:iCs/>
        </w:rPr>
        <w:t xml:space="preserve"> Parameter Review</w:t>
      </w:r>
      <w:r w:rsidR="00E60472">
        <w:t>, November, Canberra.</w:t>
      </w:r>
    </w:p>
    <w:p w:rsidR="00AE4D5A" w:rsidRPr="00AE4D5A" w:rsidRDefault="00AE4D5A" w:rsidP="0023538F">
      <w:pPr>
        <w:pStyle w:val="Reference"/>
      </w:pPr>
      <w:r w:rsidRPr="00AE4D5A">
        <w:t>——</w:t>
      </w:r>
      <w:r w:rsidR="003A35EA">
        <w:t> </w:t>
      </w:r>
      <w:r w:rsidRPr="00AE4D5A">
        <w:t xml:space="preserve">2013c, </w:t>
      </w:r>
      <w:r w:rsidRPr="00AE4D5A">
        <w:rPr>
          <w:i/>
          <w:iCs/>
        </w:rPr>
        <w:t>Tasmanian Passenger and Freight Movements</w:t>
      </w:r>
      <w:r w:rsidR="00E60472">
        <w:t>, May, Canberra.</w:t>
      </w:r>
    </w:p>
    <w:p w:rsidR="00AE4D5A" w:rsidRPr="00AE4D5A" w:rsidRDefault="00AE4D5A" w:rsidP="0023538F">
      <w:pPr>
        <w:pStyle w:val="Reference"/>
      </w:pPr>
      <w:r w:rsidRPr="00AE4D5A">
        <w:t>——</w:t>
      </w:r>
      <w:r w:rsidR="003A35EA">
        <w:t> </w:t>
      </w:r>
      <w:proofErr w:type="spellStart"/>
      <w:r w:rsidRPr="00AE4D5A">
        <w:t>2013d</w:t>
      </w:r>
      <w:proofErr w:type="spellEnd"/>
      <w:r w:rsidRPr="00AE4D5A">
        <w:t xml:space="preserve">, </w:t>
      </w:r>
      <w:r w:rsidRPr="00AE4D5A">
        <w:rPr>
          <w:i/>
          <w:iCs/>
        </w:rPr>
        <w:t>Waterline 52</w:t>
      </w:r>
      <w:r w:rsidRPr="00AE4D5A">
        <w:t>, April, Canberra.</w:t>
      </w:r>
    </w:p>
    <w:p w:rsidR="00AE4D5A" w:rsidRPr="00AE4D5A" w:rsidRDefault="00AE4D5A" w:rsidP="0023538F">
      <w:pPr>
        <w:pStyle w:val="Reference"/>
      </w:pPr>
      <w:r w:rsidRPr="00AE4D5A">
        <w:t>——</w:t>
      </w:r>
      <w:r w:rsidR="003A35EA">
        <w:t> </w:t>
      </w:r>
      <w:proofErr w:type="spellStart"/>
      <w:r w:rsidRPr="00AE4D5A">
        <w:t>2013e</w:t>
      </w:r>
      <w:proofErr w:type="spellEnd"/>
      <w:r w:rsidRPr="00AE4D5A">
        <w:t xml:space="preserve">, </w:t>
      </w:r>
      <w:r w:rsidRPr="00AE4D5A">
        <w:rPr>
          <w:i/>
          <w:iCs/>
        </w:rPr>
        <w:t>Yearbook 2013: Australian Infrastructure Statistics</w:t>
      </w:r>
      <w:r w:rsidRPr="00AE4D5A">
        <w:t xml:space="preserve">, Statistical Report, </w:t>
      </w:r>
      <w:r w:rsidR="00E60472">
        <w:t xml:space="preserve">October, </w:t>
      </w:r>
      <w:r w:rsidRPr="00AE4D5A">
        <w:t>Canberra.</w:t>
      </w:r>
    </w:p>
    <w:p w:rsidR="00AE4D5A" w:rsidRPr="00AE4D5A" w:rsidRDefault="00AE4D5A" w:rsidP="0023538F">
      <w:pPr>
        <w:pStyle w:val="Reference"/>
      </w:pPr>
      <w:r w:rsidRPr="00AE4D5A">
        <w:t>——</w:t>
      </w:r>
      <w:r w:rsidR="00207B70">
        <w:t> </w:t>
      </w:r>
      <w:r w:rsidRPr="00AE4D5A">
        <w:t xml:space="preserve">2014, </w:t>
      </w:r>
      <w:r w:rsidRPr="00AE4D5A">
        <w:rPr>
          <w:i/>
          <w:iCs/>
        </w:rPr>
        <w:t>Bass Strait Passenger Vehicle Equalisation Scheme Monitoring Report No. 14</w:t>
      </w:r>
      <w:r w:rsidR="00E60472">
        <w:t>, January, Canberra.</w:t>
      </w:r>
    </w:p>
    <w:p w:rsidR="00AE4D5A" w:rsidRPr="00AE4D5A" w:rsidRDefault="00AE4D5A" w:rsidP="0023538F">
      <w:pPr>
        <w:pStyle w:val="Reference"/>
      </w:pPr>
      <w:r w:rsidRPr="00AE4D5A">
        <w:t xml:space="preserve">Blainey, G. 1966, </w:t>
      </w:r>
      <w:r w:rsidRPr="00AE4D5A">
        <w:rPr>
          <w:i/>
          <w:iCs/>
        </w:rPr>
        <w:t>The Tyranny of Distance: How Distance Shaped Australia’s History</w:t>
      </w:r>
      <w:r w:rsidRPr="00AE4D5A">
        <w:t>, Macmillan, Melbourne.</w:t>
      </w:r>
    </w:p>
    <w:p w:rsidR="00AE4D5A" w:rsidRPr="00AE4D5A" w:rsidRDefault="00AE4D5A" w:rsidP="0023538F">
      <w:pPr>
        <w:pStyle w:val="Reference"/>
      </w:pPr>
      <w:proofErr w:type="spellStart"/>
      <w:r w:rsidRPr="00AE4D5A">
        <w:t>BTCE</w:t>
      </w:r>
      <w:proofErr w:type="spellEnd"/>
      <w:r w:rsidRPr="00AE4D5A">
        <w:t xml:space="preserve"> (Bureau of Transport and Communications Economics) 1997, </w:t>
      </w:r>
      <w:r w:rsidRPr="00AE4D5A">
        <w:rPr>
          <w:i/>
          <w:iCs/>
        </w:rPr>
        <w:t>Review of the Bass Strait Passenger Vehicle Equalisation Scheme: Monitoring Report No 1</w:t>
      </w:r>
      <w:r w:rsidRPr="00AE4D5A">
        <w:t>.</w:t>
      </w:r>
    </w:p>
    <w:p w:rsidR="00AE4D5A" w:rsidRPr="00AE4D5A" w:rsidRDefault="00AE4D5A" w:rsidP="0023538F">
      <w:pPr>
        <w:pStyle w:val="Reference"/>
      </w:pPr>
      <w:r w:rsidRPr="00AE4D5A">
        <w:t xml:space="preserve">Caves, R. 1984, ‘Scale, openness and productivity in manufacturing industries’, </w:t>
      </w:r>
      <w:r w:rsidRPr="00AE4D5A">
        <w:rPr>
          <w:i/>
          <w:iCs/>
        </w:rPr>
        <w:t>The Australian Economy: A View from the North</w:t>
      </w:r>
      <w:r w:rsidRPr="00AE4D5A">
        <w:t>, pp. 313–348.</w:t>
      </w:r>
    </w:p>
    <w:p w:rsidR="00AE4D5A" w:rsidRPr="00AE4D5A" w:rsidRDefault="00AE4D5A" w:rsidP="0023538F">
      <w:pPr>
        <w:pStyle w:val="Reference"/>
      </w:pPr>
      <w:r w:rsidRPr="00AE4D5A">
        <w:t xml:space="preserve">CIE (Centre for International Economics) 2001, </w:t>
      </w:r>
      <w:r w:rsidRPr="00AE4D5A">
        <w:rPr>
          <w:i/>
          <w:iCs/>
        </w:rPr>
        <w:t>Tasmanian Wheat Freight Subsidy Scheme - an issues paper</w:t>
      </w:r>
      <w:r w:rsidR="00E60472">
        <w:t>, January, Canberra.</w:t>
      </w:r>
    </w:p>
    <w:p w:rsidR="00AE4D5A" w:rsidRPr="00AE4D5A" w:rsidRDefault="00AE4D5A" w:rsidP="0023538F">
      <w:pPr>
        <w:pStyle w:val="Reference"/>
      </w:pPr>
      <w:r w:rsidRPr="00AE4D5A">
        <w:t xml:space="preserve">COAG (Council of Australian Governments) 2012, </w:t>
      </w:r>
      <w:r w:rsidRPr="00AE4D5A">
        <w:rPr>
          <w:i/>
          <w:iCs/>
        </w:rPr>
        <w:t>Project Agreement for Temporary Assistance for Tasmanian Exporters</w:t>
      </w:r>
      <w:r w:rsidRPr="00AE4D5A">
        <w:t>, June.</w:t>
      </w:r>
    </w:p>
    <w:p w:rsidR="00AE4D5A" w:rsidRPr="00AE4D5A" w:rsidRDefault="00AE4D5A" w:rsidP="0023538F">
      <w:pPr>
        <w:pStyle w:val="Reference"/>
      </w:pPr>
      <w:r w:rsidRPr="00AE4D5A">
        <w:t xml:space="preserve">Coalition 2013, </w:t>
      </w:r>
      <w:r w:rsidRPr="00AE4D5A">
        <w:rPr>
          <w:i/>
          <w:iCs/>
        </w:rPr>
        <w:t>The Coalition’s Economic Growth Plan for Tasmania</w:t>
      </w:r>
      <w:r w:rsidRPr="00AE4D5A">
        <w:t xml:space="preserve">, </w:t>
      </w:r>
      <w:r w:rsidR="00BD2868">
        <w:t xml:space="preserve">http://lpaweb-static.s3.amazonaws.com/The%20Coalition%E2%80%99s%20 </w:t>
      </w:r>
      <w:proofErr w:type="spellStart"/>
      <w:r w:rsidRPr="00AE4D5A">
        <w:t>Economic%20Growth%20Plan%20for%20Tasmania</w:t>
      </w:r>
      <w:proofErr w:type="spellEnd"/>
      <w:r w:rsidRPr="00AE4D5A">
        <w:t>_.</w:t>
      </w:r>
      <w:proofErr w:type="spellStart"/>
      <w:r w:rsidRPr="00AE4D5A">
        <w:t>pdf</w:t>
      </w:r>
      <w:proofErr w:type="spellEnd"/>
      <w:r w:rsidRPr="00AE4D5A">
        <w:t xml:space="preserve"> (accessed 21 December 2013).</w:t>
      </w:r>
    </w:p>
    <w:p w:rsidR="00AE4D5A" w:rsidRDefault="00AE4D5A" w:rsidP="0023538F">
      <w:pPr>
        <w:pStyle w:val="Reference"/>
      </w:pPr>
      <w:r w:rsidRPr="00AE4D5A">
        <w:t xml:space="preserve">Cunningham, M. and </w:t>
      </w:r>
      <w:proofErr w:type="spellStart"/>
      <w:r w:rsidRPr="00AE4D5A">
        <w:t>Harb</w:t>
      </w:r>
      <w:proofErr w:type="spellEnd"/>
      <w:r w:rsidRPr="00AE4D5A">
        <w:t>, D. 2012, ‘Multifactor productivity at the sub-national level in Australia’, presented at The 41st Australian Conference of Economists, 8-12 July, Melbourne.</w:t>
      </w:r>
    </w:p>
    <w:p w:rsidR="0023538F" w:rsidRPr="000F420D" w:rsidRDefault="0023538F" w:rsidP="0023538F">
      <w:pPr>
        <w:pStyle w:val="Reference"/>
      </w:pPr>
      <w:r w:rsidRPr="000F420D">
        <w:t xml:space="preserve">Deloitte </w:t>
      </w:r>
      <w:r w:rsidR="00E60472">
        <w:t xml:space="preserve">Access Economics </w:t>
      </w:r>
      <w:r w:rsidRPr="000F420D">
        <w:t xml:space="preserve">2012, </w:t>
      </w:r>
      <w:r w:rsidRPr="00207B70">
        <w:rPr>
          <w:i/>
        </w:rPr>
        <w:t>Economic Impacts of the Proposed Shipping Reform Package</w:t>
      </w:r>
      <w:r w:rsidR="00E60472">
        <w:t>, February, Canberra.</w:t>
      </w:r>
    </w:p>
    <w:p w:rsidR="00AE4D5A" w:rsidRPr="00AE4D5A" w:rsidRDefault="00AE4D5A" w:rsidP="0023538F">
      <w:pPr>
        <w:pStyle w:val="Reference"/>
      </w:pPr>
      <w:r w:rsidRPr="00AE4D5A">
        <w:t xml:space="preserve">Department of Treasury and Finance (Tasmania) 2013, </w:t>
      </w:r>
      <w:r w:rsidRPr="00AE4D5A">
        <w:rPr>
          <w:i/>
          <w:iCs/>
        </w:rPr>
        <w:t>Structural Change in the Tasmanian Economy: Information Paper</w:t>
      </w:r>
      <w:r w:rsidR="00E60472">
        <w:t>, April, Canberra.</w:t>
      </w:r>
    </w:p>
    <w:p w:rsidR="00AE4D5A" w:rsidRPr="00AE4D5A" w:rsidRDefault="00AE4D5A" w:rsidP="0023538F">
      <w:pPr>
        <w:pStyle w:val="Reference"/>
      </w:pPr>
      <w:r w:rsidRPr="00AE4D5A">
        <w:t xml:space="preserve">DIER (Department of Infrastructure, Energy and Resources) 2009, </w:t>
      </w:r>
      <w:r w:rsidRPr="00AE4D5A">
        <w:rPr>
          <w:i/>
          <w:iCs/>
        </w:rPr>
        <w:t>Tasmanian Freight Survey 2008-09 Data summary</w:t>
      </w:r>
      <w:r w:rsidRPr="00AE4D5A">
        <w:t>, Hobart.</w:t>
      </w:r>
    </w:p>
    <w:p w:rsidR="00AE4D5A" w:rsidRPr="00AE4D5A" w:rsidRDefault="00AE4D5A" w:rsidP="0023538F">
      <w:pPr>
        <w:pStyle w:val="Reference"/>
      </w:pPr>
      <w:r w:rsidRPr="00AE4D5A">
        <w:t>——</w:t>
      </w:r>
      <w:r w:rsidR="003A35EA">
        <w:t> </w:t>
      </w:r>
      <w:r w:rsidRPr="00AE4D5A">
        <w:t xml:space="preserve">2011a, </w:t>
      </w:r>
      <w:r w:rsidRPr="00AE4D5A">
        <w:rPr>
          <w:i/>
          <w:iCs/>
        </w:rPr>
        <w:t>Review of Gazetted High Productivity Vehicle Route Network</w:t>
      </w:r>
      <w:r w:rsidRPr="00AE4D5A">
        <w:t>, Hobart.</w:t>
      </w:r>
    </w:p>
    <w:p w:rsidR="00AE4D5A" w:rsidRPr="00AE4D5A" w:rsidRDefault="00AE4D5A" w:rsidP="0023538F">
      <w:pPr>
        <w:pStyle w:val="Reference"/>
      </w:pPr>
      <w:r w:rsidRPr="00AE4D5A">
        <w:t>——</w:t>
      </w:r>
      <w:r w:rsidR="003A35EA">
        <w:t> </w:t>
      </w:r>
      <w:proofErr w:type="spellStart"/>
      <w:r w:rsidRPr="00AE4D5A">
        <w:t>2011b</w:t>
      </w:r>
      <w:proofErr w:type="spellEnd"/>
      <w:r w:rsidRPr="00AE4D5A">
        <w:t xml:space="preserve">, </w:t>
      </w:r>
      <w:r w:rsidRPr="00AE4D5A">
        <w:rPr>
          <w:i/>
          <w:iCs/>
        </w:rPr>
        <w:t>Submission on the National Land Freight Strategy Discussion Paper</w:t>
      </w:r>
      <w:r w:rsidRPr="00AE4D5A">
        <w:t>, 16 May, Hobart.</w:t>
      </w:r>
    </w:p>
    <w:p w:rsidR="00AE4D5A" w:rsidRPr="00AE4D5A" w:rsidRDefault="00AE4D5A" w:rsidP="0023538F">
      <w:pPr>
        <w:pStyle w:val="Reference"/>
      </w:pPr>
      <w:r w:rsidRPr="00AE4D5A">
        <w:lastRenderedPageBreak/>
        <w:t>——</w:t>
      </w:r>
      <w:r w:rsidR="003A35EA">
        <w:t> </w:t>
      </w:r>
      <w:r w:rsidRPr="00AE4D5A">
        <w:t xml:space="preserve">2012, </w:t>
      </w:r>
      <w:r w:rsidRPr="00AE4D5A">
        <w:rPr>
          <w:i/>
          <w:iCs/>
        </w:rPr>
        <w:t>Tasmanian Government’s 2012 Submission to Infrastructure Australia</w:t>
      </w:r>
      <w:r w:rsidRPr="00AE4D5A">
        <w:t>, July, Hobart.</w:t>
      </w:r>
    </w:p>
    <w:p w:rsidR="00AE4D5A" w:rsidRPr="00AE4D5A" w:rsidRDefault="00AE4D5A" w:rsidP="0023538F">
      <w:pPr>
        <w:pStyle w:val="Reference"/>
      </w:pPr>
      <w:r w:rsidRPr="00AE4D5A">
        <w:t>——</w:t>
      </w:r>
      <w:r w:rsidR="003A35EA">
        <w:t> </w:t>
      </w:r>
      <w:r w:rsidRPr="00AE4D5A">
        <w:t xml:space="preserve">2013a, </w:t>
      </w:r>
      <w:r w:rsidRPr="00AE4D5A">
        <w:rPr>
          <w:i/>
          <w:iCs/>
        </w:rPr>
        <w:t>Tasmanian Freight Survey Data Summary 2013</w:t>
      </w:r>
      <w:r w:rsidRPr="00AE4D5A">
        <w:t>, Hobart.</w:t>
      </w:r>
    </w:p>
    <w:p w:rsidR="00AE4D5A" w:rsidRPr="00AE4D5A" w:rsidRDefault="00AE4D5A" w:rsidP="0023538F">
      <w:pPr>
        <w:pStyle w:val="Reference"/>
      </w:pPr>
      <w:r w:rsidRPr="00AE4D5A">
        <w:t>——</w:t>
      </w:r>
      <w:r w:rsidR="003A35EA">
        <w:t> </w:t>
      </w:r>
      <w:r w:rsidRPr="00AE4D5A">
        <w:t xml:space="preserve">2013b, </w:t>
      </w:r>
      <w:r w:rsidRPr="00AE4D5A">
        <w:rPr>
          <w:i/>
          <w:iCs/>
        </w:rPr>
        <w:t>Tasmanian Government’s 2013 Submission to Infrastructure Australia</w:t>
      </w:r>
      <w:r w:rsidRPr="00AE4D5A">
        <w:t>, September, Hobart.</w:t>
      </w:r>
    </w:p>
    <w:p w:rsidR="00AE4D5A" w:rsidRPr="00AE4D5A" w:rsidRDefault="00AE4D5A" w:rsidP="0023538F">
      <w:pPr>
        <w:pStyle w:val="Reference"/>
      </w:pPr>
      <w:r w:rsidRPr="00AE4D5A">
        <w:t xml:space="preserve">DIT (Department of Infrastructure and Transport) 2011, </w:t>
      </w:r>
      <w:r w:rsidRPr="00AE4D5A">
        <w:rPr>
          <w:i/>
          <w:iCs/>
        </w:rPr>
        <w:t>Reforming Australia’s Shipping: Regulation Impact Statement</w:t>
      </w:r>
      <w:r w:rsidRPr="00AE4D5A">
        <w:t>, August, Canberra.</w:t>
      </w:r>
    </w:p>
    <w:p w:rsidR="00AE4D5A" w:rsidRPr="00AE4D5A" w:rsidRDefault="00AE4D5A" w:rsidP="0023538F">
      <w:pPr>
        <w:pStyle w:val="Reference"/>
      </w:pPr>
      <w:proofErr w:type="spellStart"/>
      <w:r w:rsidRPr="00AE4D5A">
        <w:t>DITRDLG</w:t>
      </w:r>
      <w:proofErr w:type="spellEnd"/>
      <w:r w:rsidRPr="00AE4D5A">
        <w:t xml:space="preserve"> (Department of Infrastructure, Transport, Regional Development and Local Government) 2013, </w:t>
      </w:r>
      <w:r w:rsidRPr="00AE4D5A">
        <w:rPr>
          <w:i/>
          <w:iCs/>
        </w:rPr>
        <w:t>Tasmanian Freight Equalisation Scheme Ministerial Directions of 2008 - Guidelines, November 2013</w:t>
      </w:r>
      <w:r w:rsidRPr="00AE4D5A">
        <w:t>.</w:t>
      </w:r>
    </w:p>
    <w:p w:rsidR="00AE4D5A" w:rsidRPr="00AE4D5A" w:rsidRDefault="00AE4D5A" w:rsidP="0023538F">
      <w:pPr>
        <w:pStyle w:val="Reference"/>
      </w:pPr>
      <w:r w:rsidRPr="00AE4D5A">
        <w:t xml:space="preserve">Dolman, B., Parham, D. and Zheng 2007, </w:t>
      </w:r>
      <w:r w:rsidRPr="00AE4D5A">
        <w:rPr>
          <w:i/>
          <w:iCs/>
        </w:rPr>
        <w:t>Can Australia Match US Productivity Performance?</w:t>
      </w:r>
      <w:r w:rsidRPr="00AE4D5A">
        <w:t>, Productivity Commission Staff Working Paper, Productivity Commission, Canberra.</w:t>
      </w:r>
    </w:p>
    <w:p w:rsidR="00AE4D5A" w:rsidRPr="00AE4D5A" w:rsidRDefault="00E60472" w:rsidP="0023538F">
      <w:pPr>
        <w:pStyle w:val="Reference"/>
      </w:pPr>
      <w:r>
        <w:t>v</w:t>
      </w:r>
      <w:r w:rsidR="00AE4D5A" w:rsidRPr="00AE4D5A">
        <w:t xml:space="preserve">an </w:t>
      </w:r>
      <w:proofErr w:type="spellStart"/>
      <w:r w:rsidR="00AE4D5A" w:rsidRPr="00AE4D5A">
        <w:t>Duyn</w:t>
      </w:r>
      <w:proofErr w:type="spellEnd"/>
      <w:r w:rsidR="00AE4D5A" w:rsidRPr="00AE4D5A">
        <w:t xml:space="preserve">, P. 2013, </w:t>
      </w:r>
      <w:r w:rsidR="00AE4D5A" w:rsidRPr="00AE4D5A">
        <w:rPr>
          <w:i/>
          <w:iCs/>
        </w:rPr>
        <w:t>Are we selling off the family silver by privatising Australia’s ports?</w:t>
      </w:r>
      <w:r w:rsidR="00AE4D5A" w:rsidRPr="00AE4D5A">
        <w:t>, The Conversation, http://theconversation.com/are-we-selling-off-the-family-silver-by-privatising-australias-ports-13824 (accessed 10 January 2014).</w:t>
      </w:r>
    </w:p>
    <w:p w:rsidR="00AE4D5A" w:rsidRPr="00AE4D5A" w:rsidRDefault="00AE4D5A" w:rsidP="0023538F">
      <w:pPr>
        <w:pStyle w:val="Reference"/>
      </w:pPr>
      <w:r w:rsidRPr="00AE4D5A">
        <w:t xml:space="preserve">Engineers Australia 2010, </w:t>
      </w:r>
      <w:r w:rsidRPr="00AE4D5A">
        <w:rPr>
          <w:i/>
          <w:iCs/>
        </w:rPr>
        <w:t>Tasmania Infrastructure Report Card 2010</w:t>
      </w:r>
      <w:r w:rsidRPr="00AE4D5A">
        <w:t>, May, https://www.engineersaustralia.org.au/sites/default/files/shado/Infrastructure%20Report%20Cards/Tasmania/final_report_tas2010.pdf (accessed 7 January 2014).</w:t>
      </w:r>
    </w:p>
    <w:p w:rsidR="00AE4D5A" w:rsidRDefault="00AE4D5A" w:rsidP="0023538F">
      <w:pPr>
        <w:pStyle w:val="Reference"/>
      </w:pPr>
      <w:r w:rsidRPr="00AE4D5A">
        <w:t xml:space="preserve">ESC (Essential Services Commission) 2007, </w:t>
      </w:r>
      <w:r w:rsidRPr="00AE4D5A">
        <w:rPr>
          <w:i/>
          <w:iCs/>
        </w:rPr>
        <w:t>Review of Port Planning: Draft Reports</w:t>
      </w:r>
      <w:r w:rsidRPr="00AE4D5A">
        <w:t>, October, Melbourne.</w:t>
      </w:r>
    </w:p>
    <w:p w:rsidR="0023538F" w:rsidRPr="000F420D" w:rsidRDefault="0023538F" w:rsidP="0023538F">
      <w:pPr>
        <w:pStyle w:val="Reference"/>
      </w:pPr>
      <w:r w:rsidRPr="000F420D">
        <w:t>Fair Work Commission 2010, Seagoing Industry Award 2010, June, http://www.fwc.gov.au/documents/modern_awards/30Jun10/MA000122_30Jun10.pdf (accessed 15 November 2013).</w:t>
      </w:r>
    </w:p>
    <w:p w:rsidR="00AE4D5A" w:rsidRPr="00AE4D5A" w:rsidRDefault="00AE4D5A" w:rsidP="0023538F">
      <w:pPr>
        <w:pStyle w:val="Reference"/>
      </w:pPr>
      <w:r w:rsidRPr="00AE4D5A">
        <w:t xml:space="preserve">FLCT (Freight Logistics Coordination Team) 2013a, </w:t>
      </w:r>
      <w:r w:rsidRPr="00AE4D5A">
        <w:rPr>
          <w:i/>
          <w:iCs/>
        </w:rPr>
        <w:t>Final Report</w:t>
      </w:r>
      <w:r w:rsidRPr="00AE4D5A">
        <w:t>, December, Hobart.</w:t>
      </w:r>
    </w:p>
    <w:p w:rsidR="00AE4D5A" w:rsidRPr="00AE4D5A" w:rsidRDefault="00AE4D5A" w:rsidP="0023538F">
      <w:pPr>
        <w:pStyle w:val="Reference"/>
      </w:pPr>
      <w:r w:rsidRPr="00AE4D5A">
        <w:t>——</w:t>
      </w:r>
      <w:r w:rsidR="003A35EA">
        <w:t> </w:t>
      </w:r>
      <w:r w:rsidRPr="00AE4D5A">
        <w:t xml:space="preserve">2013b, </w:t>
      </w:r>
      <w:r w:rsidRPr="00AE4D5A">
        <w:rPr>
          <w:i/>
          <w:iCs/>
        </w:rPr>
        <w:t>Interim Observations and Direction: A Discussion Paper</w:t>
      </w:r>
      <w:r w:rsidRPr="00AE4D5A">
        <w:t>, August, Hobart.</w:t>
      </w:r>
    </w:p>
    <w:p w:rsidR="00AE4D5A" w:rsidRPr="00AE4D5A" w:rsidRDefault="00AE4D5A" w:rsidP="0023538F">
      <w:pPr>
        <w:pStyle w:val="Reference"/>
      </w:pPr>
      <w:r w:rsidRPr="00AE4D5A">
        <w:t xml:space="preserve">Government of Tasmania 1996, </w:t>
      </w:r>
      <w:r w:rsidRPr="00AE4D5A">
        <w:rPr>
          <w:i/>
          <w:iCs/>
        </w:rPr>
        <w:t xml:space="preserve">Application of the </w:t>
      </w:r>
      <w:r w:rsidR="00E60472">
        <w:rPr>
          <w:i/>
          <w:iCs/>
        </w:rPr>
        <w:t>C</w:t>
      </w:r>
      <w:r w:rsidRPr="00AE4D5A">
        <w:rPr>
          <w:i/>
          <w:iCs/>
        </w:rPr>
        <w:t xml:space="preserve">ompetitive </w:t>
      </w:r>
      <w:r w:rsidR="00E60472">
        <w:rPr>
          <w:i/>
          <w:iCs/>
        </w:rPr>
        <w:t>N</w:t>
      </w:r>
      <w:r w:rsidRPr="00AE4D5A">
        <w:rPr>
          <w:i/>
          <w:iCs/>
        </w:rPr>
        <w:t xml:space="preserve">eutrality </w:t>
      </w:r>
      <w:r w:rsidR="00E60472">
        <w:rPr>
          <w:i/>
          <w:iCs/>
        </w:rPr>
        <w:t>P</w:t>
      </w:r>
      <w:r w:rsidRPr="00AE4D5A">
        <w:rPr>
          <w:i/>
          <w:iCs/>
        </w:rPr>
        <w:t>rinciples under National Competition Policy</w:t>
      </w:r>
      <w:r w:rsidR="00E60472">
        <w:t>, June, Hobart.</w:t>
      </w:r>
    </w:p>
    <w:p w:rsidR="00AE4D5A" w:rsidRPr="00AE4D5A" w:rsidRDefault="00AE4D5A" w:rsidP="0023538F">
      <w:pPr>
        <w:pStyle w:val="Reference"/>
      </w:pPr>
      <w:r w:rsidRPr="00AE4D5A">
        <w:t xml:space="preserve">GPS (GPS Logistics) 2013, </w:t>
      </w:r>
      <w:r w:rsidRPr="00AE4D5A">
        <w:rPr>
          <w:i/>
          <w:iCs/>
        </w:rPr>
        <w:t>International Container Shipping Service Viability for Tasmania</w:t>
      </w:r>
      <w:r w:rsidRPr="00AE4D5A">
        <w:t>, February, Tasmania.</w:t>
      </w:r>
    </w:p>
    <w:p w:rsidR="00AE4D5A" w:rsidRPr="00AE4D5A" w:rsidRDefault="00AE4D5A" w:rsidP="0023538F">
      <w:pPr>
        <w:pStyle w:val="Reference"/>
      </w:pPr>
      <w:r w:rsidRPr="00AE4D5A">
        <w:t xml:space="preserve">HVCI (Heavy Vehicle Charging and Investment Reform) 2014, </w:t>
      </w:r>
      <w:r w:rsidRPr="00AE4D5A">
        <w:rPr>
          <w:i/>
          <w:iCs/>
        </w:rPr>
        <w:t>Submission to the Productivity Commission Inquiry into Public Infrastructure</w:t>
      </w:r>
      <w:r w:rsidRPr="00AE4D5A">
        <w:t>, January, Melbourne, http://www.pc.gov.au/__data/assets/pdf_file/0020/131744/sub077-infrastructure.pdf (accessed 16 January 2014).</w:t>
      </w:r>
    </w:p>
    <w:p w:rsidR="00AE4D5A" w:rsidRPr="00AE4D5A" w:rsidRDefault="00AE4D5A" w:rsidP="0023538F">
      <w:pPr>
        <w:pStyle w:val="Reference"/>
      </w:pPr>
      <w:r w:rsidRPr="00AE4D5A">
        <w:lastRenderedPageBreak/>
        <w:t xml:space="preserve">Infrastructure Australia 2011, </w:t>
      </w:r>
      <w:r w:rsidRPr="00AE4D5A">
        <w:rPr>
          <w:i/>
          <w:iCs/>
        </w:rPr>
        <w:t>National Ports Strategy</w:t>
      </w:r>
      <w:r w:rsidRPr="00AE4D5A">
        <w:t>, January, Canberra.</w:t>
      </w:r>
    </w:p>
    <w:p w:rsidR="00AE4D5A" w:rsidRPr="00AE4D5A" w:rsidRDefault="00AE4D5A" w:rsidP="0023538F">
      <w:pPr>
        <w:pStyle w:val="Reference"/>
      </w:pPr>
      <w:r w:rsidRPr="00AE4D5A">
        <w:t>——</w:t>
      </w:r>
      <w:r w:rsidR="003A35EA">
        <w:t> </w:t>
      </w:r>
      <w:r w:rsidRPr="00AE4D5A">
        <w:t xml:space="preserve">2012a, </w:t>
      </w:r>
      <w:r w:rsidRPr="00AE4D5A">
        <w:rPr>
          <w:i/>
          <w:iCs/>
        </w:rPr>
        <w:t>National Land Freight Strategy Update</w:t>
      </w:r>
      <w:r w:rsidRPr="00AE4D5A">
        <w:t>, June</w:t>
      </w:r>
      <w:r w:rsidR="001F110A">
        <w:t>, Canberra</w:t>
      </w:r>
      <w:r w:rsidRPr="00AE4D5A">
        <w:t>.</w:t>
      </w:r>
    </w:p>
    <w:p w:rsidR="00E60472" w:rsidRPr="00AE4D5A" w:rsidRDefault="00AE4D5A" w:rsidP="0023538F">
      <w:pPr>
        <w:pStyle w:val="Reference"/>
      </w:pPr>
      <w:r w:rsidRPr="00AE4D5A">
        <w:t>——</w:t>
      </w:r>
      <w:r w:rsidR="003A35EA">
        <w:t> </w:t>
      </w:r>
      <w:r w:rsidRPr="00AE4D5A">
        <w:t xml:space="preserve">2012b, </w:t>
      </w:r>
      <w:r w:rsidRPr="00AE4D5A">
        <w:rPr>
          <w:i/>
          <w:iCs/>
        </w:rPr>
        <w:t>Tasmanian Ports and Freight Strategy</w:t>
      </w:r>
      <w:r w:rsidRPr="00AE4D5A">
        <w:t>, May, Canberra.</w:t>
      </w:r>
    </w:p>
    <w:p w:rsidR="00AE4D5A" w:rsidRPr="00AE4D5A" w:rsidRDefault="00AE4D5A" w:rsidP="0023538F">
      <w:pPr>
        <w:pStyle w:val="Reference"/>
      </w:pPr>
      <w:proofErr w:type="spellStart"/>
      <w:r w:rsidRPr="00AE4D5A">
        <w:t>ISC</w:t>
      </w:r>
      <w:proofErr w:type="spellEnd"/>
      <w:r w:rsidRPr="00AE4D5A">
        <w:t xml:space="preserve"> (Inter-State Commission) </w:t>
      </w:r>
      <w:proofErr w:type="spellStart"/>
      <w:r w:rsidRPr="00AE4D5A">
        <w:t>1985a</w:t>
      </w:r>
      <w:proofErr w:type="spellEnd"/>
      <w:r w:rsidRPr="00AE4D5A">
        <w:t xml:space="preserve">, </w:t>
      </w:r>
      <w:r w:rsidRPr="00AE4D5A">
        <w:rPr>
          <w:i/>
          <w:iCs/>
        </w:rPr>
        <w:t>An Investigation of the Tasmanian Freight Equalisation Scheme - Volume 2: Shipment of Wheat to Tasmania</w:t>
      </w:r>
      <w:r w:rsidRPr="00AE4D5A">
        <w:t>, March</w:t>
      </w:r>
      <w:r w:rsidR="001F110A">
        <w:t>, Canberra</w:t>
      </w:r>
      <w:r w:rsidRPr="00AE4D5A">
        <w:t>.</w:t>
      </w:r>
    </w:p>
    <w:p w:rsidR="00AE4D5A" w:rsidRPr="00AE4D5A" w:rsidRDefault="00AE4D5A" w:rsidP="0023538F">
      <w:pPr>
        <w:pStyle w:val="Reference"/>
      </w:pPr>
      <w:r w:rsidRPr="00AE4D5A">
        <w:t>——</w:t>
      </w:r>
      <w:r w:rsidR="003A35EA">
        <w:t> </w:t>
      </w:r>
      <w:proofErr w:type="spellStart"/>
      <w:r w:rsidRPr="00AE4D5A">
        <w:t>1985b</w:t>
      </w:r>
      <w:proofErr w:type="spellEnd"/>
      <w:r w:rsidRPr="00AE4D5A">
        <w:t xml:space="preserve">, </w:t>
      </w:r>
      <w:r w:rsidRPr="00AE4D5A">
        <w:rPr>
          <w:i/>
          <w:iCs/>
        </w:rPr>
        <w:t xml:space="preserve">An </w:t>
      </w:r>
      <w:r w:rsidR="001F110A">
        <w:rPr>
          <w:i/>
          <w:iCs/>
        </w:rPr>
        <w:t>I</w:t>
      </w:r>
      <w:r w:rsidRPr="00AE4D5A">
        <w:rPr>
          <w:i/>
          <w:iCs/>
        </w:rPr>
        <w:t>nvestigation of the Tasmanian Freight Equalisation Scheme, Volume 1</w:t>
      </w:r>
      <w:r w:rsidRPr="00AE4D5A">
        <w:t>, March</w:t>
      </w:r>
      <w:r w:rsidR="001F110A">
        <w:t>, Canberra</w:t>
      </w:r>
      <w:r w:rsidRPr="00AE4D5A">
        <w:t>.</w:t>
      </w:r>
    </w:p>
    <w:p w:rsidR="00AE4D5A" w:rsidRPr="00AE4D5A" w:rsidRDefault="00AE4D5A" w:rsidP="0023538F">
      <w:pPr>
        <w:pStyle w:val="Reference"/>
      </w:pPr>
      <w:r w:rsidRPr="00AE4D5A">
        <w:t xml:space="preserve">Juturna (Juturna Consulting) 2013, </w:t>
      </w:r>
      <w:r w:rsidRPr="00AE4D5A">
        <w:rPr>
          <w:i/>
          <w:iCs/>
        </w:rPr>
        <w:t>Tasmanian Freight Infrastructure Systems: Final Report</w:t>
      </w:r>
      <w:r w:rsidRPr="00AE4D5A">
        <w:t>, August, Geelong.</w:t>
      </w:r>
    </w:p>
    <w:p w:rsidR="00AE4D5A" w:rsidRPr="00AE4D5A" w:rsidRDefault="00AE4D5A" w:rsidP="0023538F">
      <w:pPr>
        <w:pStyle w:val="Reference"/>
      </w:pPr>
      <w:proofErr w:type="spellStart"/>
      <w:r w:rsidRPr="00AE4D5A">
        <w:t>Kaselimi</w:t>
      </w:r>
      <w:proofErr w:type="spellEnd"/>
      <w:r w:rsidRPr="00AE4D5A">
        <w:t xml:space="preserve">, </w:t>
      </w:r>
      <w:proofErr w:type="spellStart"/>
      <w:r w:rsidRPr="00AE4D5A">
        <w:t>E.N</w:t>
      </w:r>
      <w:proofErr w:type="spellEnd"/>
      <w:r w:rsidRPr="00AE4D5A">
        <w:t xml:space="preserve">., </w:t>
      </w:r>
      <w:proofErr w:type="spellStart"/>
      <w:r w:rsidRPr="00AE4D5A">
        <w:t>Notteboom</w:t>
      </w:r>
      <w:proofErr w:type="spellEnd"/>
      <w:r w:rsidRPr="00AE4D5A">
        <w:t xml:space="preserve">, </w:t>
      </w:r>
      <w:proofErr w:type="spellStart"/>
      <w:r w:rsidRPr="00AE4D5A">
        <w:t>T.E</w:t>
      </w:r>
      <w:proofErr w:type="spellEnd"/>
      <w:r w:rsidRPr="00AE4D5A">
        <w:t xml:space="preserve">., </w:t>
      </w:r>
      <w:proofErr w:type="spellStart"/>
      <w:r w:rsidRPr="00AE4D5A">
        <w:t>Pallis</w:t>
      </w:r>
      <w:proofErr w:type="spellEnd"/>
      <w:r w:rsidRPr="00AE4D5A">
        <w:t xml:space="preserve">, </w:t>
      </w:r>
      <w:proofErr w:type="spellStart"/>
      <w:r w:rsidRPr="00AE4D5A">
        <w:t>A.A</w:t>
      </w:r>
      <w:proofErr w:type="spellEnd"/>
      <w:r w:rsidRPr="00AE4D5A">
        <w:t>. and Farrell, S. 2011, ‘Minimum Efficient Scale (</w:t>
      </w:r>
      <w:proofErr w:type="spellStart"/>
      <w:r w:rsidRPr="00AE4D5A">
        <w:t>MES</w:t>
      </w:r>
      <w:proofErr w:type="spellEnd"/>
      <w:r w:rsidRPr="00AE4D5A">
        <w:t xml:space="preserve">) and preferred scale of container terminals’, </w:t>
      </w:r>
      <w:r w:rsidRPr="00AE4D5A">
        <w:rPr>
          <w:i/>
          <w:iCs/>
        </w:rPr>
        <w:t>Research in Transportation Economics</w:t>
      </w:r>
      <w:r w:rsidRPr="00AE4D5A">
        <w:t>, vol. 32, no. 1, pp. 71–80.</w:t>
      </w:r>
    </w:p>
    <w:p w:rsidR="00AE4D5A" w:rsidRPr="00AE4D5A" w:rsidRDefault="00AE4D5A" w:rsidP="0023538F">
      <w:pPr>
        <w:pStyle w:val="Reference"/>
      </w:pPr>
      <w:r w:rsidRPr="00AE4D5A">
        <w:t>King, S. 2002, ‘Why Privatization? A Review of the Australian Experience’, in Mead, M. and Withers, G. (</w:t>
      </w:r>
      <w:proofErr w:type="spellStart"/>
      <w:r w:rsidRPr="00AE4D5A">
        <w:t>eds</w:t>
      </w:r>
      <w:proofErr w:type="spellEnd"/>
      <w:r w:rsidRPr="00AE4D5A">
        <w:t xml:space="preserve">), </w:t>
      </w:r>
      <w:r w:rsidRPr="00AE4D5A">
        <w:rPr>
          <w:i/>
          <w:iCs/>
        </w:rPr>
        <w:t>Privatization: A Review of the Australian Experience</w:t>
      </w:r>
      <w:r w:rsidRPr="00AE4D5A">
        <w:t xml:space="preserve">, </w:t>
      </w:r>
      <w:proofErr w:type="spellStart"/>
      <w:r w:rsidRPr="00AE4D5A">
        <w:t>CEDA</w:t>
      </w:r>
      <w:proofErr w:type="spellEnd"/>
      <w:r w:rsidRPr="00AE4D5A">
        <w:t>, Melbourne.</w:t>
      </w:r>
    </w:p>
    <w:p w:rsidR="00AE4D5A" w:rsidRPr="00AE4D5A" w:rsidRDefault="00AE4D5A" w:rsidP="0023538F">
      <w:pPr>
        <w:pStyle w:val="Reference"/>
      </w:pPr>
      <w:r w:rsidRPr="00AE4D5A">
        <w:t xml:space="preserve">KPMG 2013, </w:t>
      </w:r>
      <w:r w:rsidRPr="00AE4D5A">
        <w:rPr>
          <w:i/>
          <w:iCs/>
        </w:rPr>
        <w:t>Impact of Demographic Change on the Future of the Caravan, Camping and Manufactured Housing / Manufactured Home Village Industry</w:t>
      </w:r>
      <w:r w:rsidRPr="00AE4D5A">
        <w:t xml:space="preserve">, </w:t>
      </w:r>
      <w:r w:rsidR="001F110A">
        <w:t>July, Melbourne</w:t>
      </w:r>
      <w:r w:rsidRPr="00AE4D5A">
        <w:t>.</w:t>
      </w:r>
    </w:p>
    <w:p w:rsidR="00AE4D5A" w:rsidRPr="00AE4D5A" w:rsidRDefault="00AE4D5A" w:rsidP="0023538F">
      <w:pPr>
        <w:pStyle w:val="Reference"/>
      </w:pPr>
      <w:r w:rsidRPr="00AE4D5A">
        <w:t xml:space="preserve">Mercer 2011, </w:t>
      </w:r>
      <w:r w:rsidRPr="00AE4D5A">
        <w:rPr>
          <w:i/>
          <w:iCs/>
        </w:rPr>
        <w:t>Back to Policy Fundamentals: A Report by Mercer for the Business Council of Australia</w:t>
      </w:r>
      <w:r w:rsidRPr="00AE4D5A">
        <w:t>, December, Sydney.</w:t>
      </w:r>
    </w:p>
    <w:p w:rsidR="00AE4D5A" w:rsidRPr="00AE4D5A" w:rsidRDefault="00AE4D5A" w:rsidP="0023538F">
      <w:pPr>
        <w:pStyle w:val="Reference"/>
      </w:pPr>
      <w:proofErr w:type="spellStart"/>
      <w:r w:rsidRPr="00AE4D5A">
        <w:t>Meyrick</w:t>
      </w:r>
      <w:proofErr w:type="spellEnd"/>
      <w:r w:rsidRPr="00AE4D5A">
        <w:t xml:space="preserve"> and Associates 2007, </w:t>
      </w:r>
      <w:r w:rsidRPr="00AE4D5A">
        <w:rPr>
          <w:i/>
          <w:iCs/>
        </w:rPr>
        <w:t>International and Domestic Shipping and Ports Study</w:t>
      </w:r>
      <w:r w:rsidRPr="00AE4D5A">
        <w:t>, May, Wollongong.</w:t>
      </w:r>
    </w:p>
    <w:p w:rsidR="00AE4D5A" w:rsidRPr="00AE4D5A" w:rsidRDefault="00AE4D5A" w:rsidP="0023538F">
      <w:pPr>
        <w:pStyle w:val="Reference"/>
      </w:pPr>
      <w:r w:rsidRPr="00AE4D5A">
        <w:t xml:space="preserve">MMC Link 2012, </w:t>
      </w:r>
      <w:r w:rsidRPr="00AE4D5A">
        <w:rPr>
          <w:i/>
          <w:iCs/>
        </w:rPr>
        <w:t>Containerised Freight Specialisation at the Port of Bell Bay: A Cost-Benefit Analysis</w:t>
      </w:r>
      <w:r w:rsidR="001F110A">
        <w:rPr>
          <w:iCs/>
        </w:rPr>
        <w:t>, September, 2012</w:t>
      </w:r>
      <w:r w:rsidRPr="00AE4D5A">
        <w:t>.</w:t>
      </w:r>
    </w:p>
    <w:p w:rsidR="00AE4D5A" w:rsidRPr="00AE4D5A" w:rsidRDefault="00AE4D5A" w:rsidP="0023538F">
      <w:pPr>
        <w:pStyle w:val="Reference"/>
      </w:pPr>
      <w:r w:rsidRPr="00AE4D5A">
        <w:t xml:space="preserve">National Infrastructure Coordinator 2012, </w:t>
      </w:r>
      <w:r w:rsidRPr="00AE4D5A">
        <w:rPr>
          <w:i/>
          <w:iCs/>
        </w:rPr>
        <w:t>Tasmanian ports and shipping</w:t>
      </w:r>
      <w:r w:rsidRPr="00AE4D5A">
        <w:t>, 24 May.</w:t>
      </w:r>
    </w:p>
    <w:p w:rsidR="00AE4D5A" w:rsidRPr="00AE4D5A" w:rsidRDefault="00AE4D5A" w:rsidP="0023538F">
      <w:pPr>
        <w:pStyle w:val="Reference"/>
      </w:pPr>
      <w:r w:rsidRPr="00AE4D5A">
        <w:t xml:space="preserve">Nimmo (Commission of Inquiry into Transport to and from Tasmania) 1976, </w:t>
      </w:r>
      <w:r w:rsidRPr="00AE4D5A">
        <w:rPr>
          <w:i/>
          <w:iCs/>
        </w:rPr>
        <w:t>Report of the Commission of Inquiry into Transport to and from Tasmania</w:t>
      </w:r>
      <w:r w:rsidRPr="00AE4D5A">
        <w:t>, March.</w:t>
      </w:r>
    </w:p>
    <w:p w:rsidR="00AE4D5A" w:rsidRPr="00AE4D5A" w:rsidRDefault="00AE4D5A" w:rsidP="0023538F">
      <w:pPr>
        <w:pStyle w:val="Reference"/>
      </w:pPr>
      <w:r w:rsidRPr="00AE4D5A">
        <w:t xml:space="preserve">Norton, D. 2013, </w:t>
      </w:r>
      <w:r w:rsidR="001F110A" w:rsidRPr="001F110A">
        <w:rPr>
          <w:i/>
        </w:rPr>
        <w:t>Legislative Council – Business Committee B:</w:t>
      </w:r>
      <w:r w:rsidR="001F110A">
        <w:t xml:space="preserve"> </w:t>
      </w:r>
      <w:r w:rsidRPr="00AE4D5A">
        <w:rPr>
          <w:i/>
          <w:iCs/>
        </w:rPr>
        <w:t>Tasmanian Ports Corporation Pty Ltd</w:t>
      </w:r>
      <w:r w:rsidRPr="00AE4D5A">
        <w:t>, Hobart.</w:t>
      </w:r>
    </w:p>
    <w:p w:rsidR="00AE4D5A" w:rsidRPr="00AE4D5A" w:rsidRDefault="00AE4D5A" w:rsidP="0023538F">
      <w:pPr>
        <w:pStyle w:val="Reference"/>
      </w:pPr>
      <w:r w:rsidRPr="00AE4D5A">
        <w:t xml:space="preserve">O’Byrne, D. 2013, </w:t>
      </w:r>
      <w:r w:rsidR="001F110A" w:rsidRPr="001F110A">
        <w:rPr>
          <w:i/>
        </w:rPr>
        <w:t>Legislative Council – Business Committee B:</w:t>
      </w:r>
      <w:r w:rsidR="001F110A">
        <w:t xml:space="preserve"> </w:t>
      </w:r>
      <w:r w:rsidRPr="00AE4D5A">
        <w:rPr>
          <w:i/>
          <w:iCs/>
        </w:rPr>
        <w:t>TT-Line Company Pty Ltd</w:t>
      </w:r>
      <w:r w:rsidRPr="00AE4D5A">
        <w:t>, Hobart.</w:t>
      </w:r>
    </w:p>
    <w:p w:rsidR="00AE4D5A" w:rsidRPr="00AE4D5A" w:rsidRDefault="00AE4D5A" w:rsidP="0023538F">
      <w:pPr>
        <w:pStyle w:val="Reference"/>
      </w:pPr>
      <w:r w:rsidRPr="00AE4D5A">
        <w:t xml:space="preserve">OECD (Organisation for Economic Co-operation and Development) 2008, </w:t>
      </w:r>
      <w:r w:rsidRPr="00AE4D5A">
        <w:rPr>
          <w:i/>
          <w:iCs/>
        </w:rPr>
        <w:t>Economic Geography and GDP Per Capita</w:t>
      </w:r>
      <w:r w:rsidRPr="00AE4D5A">
        <w:t xml:space="preserve">, Economic Policy Reforms: Going For Growth, </w:t>
      </w:r>
      <w:r w:rsidR="001F110A">
        <w:t xml:space="preserve">March, </w:t>
      </w:r>
      <w:r w:rsidRPr="00AE4D5A">
        <w:t>Paris.</w:t>
      </w:r>
    </w:p>
    <w:p w:rsidR="00AE4D5A" w:rsidRPr="00AE4D5A" w:rsidRDefault="00AE4D5A" w:rsidP="0023538F">
      <w:pPr>
        <w:pStyle w:val="Reference"/>
      </w:pPr>
      <w:r w:rsidRPr="00AE4D5A">
        <w:lastRenderedPageBreak/>
        <w:t xml:space="preserve">PaperlinX </w:t>
      </w:r>
      <w:proofErr w:type="spellStart"/>
      <w:r w:rsidRPr="00AE4D5A">
        <w:t>nd</w:t>
      </w:r>
      <w:proofErr w:type="spellEnd"/>
      <w:r w:rsidRPr="00AE4D5A">
        <w:t xml:space="preserve">, </w:t>
      </w:r>
      <w:r w:rsidRPr="00AE4D5A">
        <w:rPr>
          <w:i/>
          <w:iCs/>
        </w:rPr>
        <w:t>PaperlinX - Group History</w:t>
      </w:r>
      <w:r w:rsidRPr="00AE4D5A">
        <w:t>, http://</w:t>
      </w:r>
      <w:proofErr w:type="spellStart"/>
      <w:r w:rsidRPr="00AE4D5A">
        <w:t>www.paperlinx.com</w:t>
      </w:r>
      <w:proofErr w:type="spellEnd"/>
      <w:r w:rsidRPr="00AE4D5A">
        <w:t>/about-</w:t>
      </w:r>
      <w:proofErr w:type="spellStart"/>
      <w:r w:rsidRPr="00AE4D5A">
        <w:t>paperlinx</w:t>
      </w:r>
      <w:proofErr w:type="spellEnd"/>
      <w:r w:rsidRPr="00AE4D5A">
        <w:t>/group-</w:t>
      </w:r>
      <w:proofErr w:type="spellStart"/>
      <w:r w:rsidRPr="00AE4D5A">
        <w:t>history.htm</w:t>
      </w:r>
      <w:proofErr w:type="spellEnd"/>
      <w:r w:rsidRPr="00AE4D5A">
        <w:t xml:space="preserve"> (accessed 10 January 2014).</w:t>
      </w:r>
    </w:p>
    <w:p w:rsidR="00AE4D5A" w:rsidRPr="00AE4D5A" w:rsidRDefault="00AE4D5A" w:rsidP="0023538F">
      <w:pPr>
        <w:pStyle w:val="Reference"/>
      </w:pPr>
      <w:r w:rsidRPr="00AE4D5A">
        <w:t xml:space="preserve">PC (Productivity Commission) 2005, </w:t>
      </w:r>
      <w:r w:rsidRPr="00AE4D5A">
        <w:rPr>
          <w:i/>
          <w:iCs/>
        </w:rPr>
        <w:t>Review of Part X of the Trade Practices Act 1974: International Liner Cargo Shipping</w:t>
      </w:r>
      <w:r w:rsidRPr="00AE4D5A">
        <w:t>, Report no. 32, Canberra.</w:t>
      </w:r>
    </w:p>
    <w:p w:rsidR="00AE4D5A" w:rsidRPr="00AE4D5A" w:rsidRDefault="00AE4D5A" w:rsidP="0023538F">
      <w:pPr>
        <w:pStyle w:val="Reference"/>
      </w:pPr>
      <w:r w:rsidRPr="00AE4D5A">
        <w:t>——</w:t>
      </w:r>
      <w:r w:rsidR="003A35EA">
        <w:t> </w:t>
      </w:r>
      <w:proofErr w:type="spellStart"/>
      <w:r w:rsidRPr="00AE4D5A">
        <w:t>2006a</w:t>
      </w:r>
      <w:proofErr w:type="spellEnd"/>
      <w:r w:rsidRPr="00AE4D5A">
        <w:t xml:space="preserve">, </w:t>
      </w:r>
      <w:r w:rsidRPr="00AE4D5A">
        <w:rPr>
          <w:i/>
          <w:iCs/>
        </w:rPr>
        <w:t>Road and Rail Freight Infrastructure Pricing</w:t>
      </w:r>
      <w:r w:rsidRPr="00AE4D5A">
        <w:t xml:space="preserve">, </w:t>
      </w:r>
      <w:r w:rsidR="001F110A">
        <w:t xml:space="preserve">Report No. </w:t>
      </w:r>
      <w:r w:rsidRPr="00AE4D5A">
        <w:t>41, Canberra.</w:t>
      </w:r>
    </w:p>
    <w:p w:rsidR="00AE4D5A" w:rsidRPr="00AE4D5A" w:rsidRDefault="00AE4D5A" w:rsidP="0023538F">
      <w:pPr>
        <w:pStyle w:val="Reference"/>
      </w:pPr>
      <w:r w:rsidRPr="00AE4D5A">
        <w:t>——</w:t>
      </w:r>
      <w:r w:rsidR="003A35EA">
        <w:t> </w:t>
      </w:r>
      <w:r w:rsidRPr="00AE4D5A">
        <w:t xml:space="preserve">2006b, </w:t>
      </w:r>
      <w:r w:rsidRPr="00AE4D5A">
        <w:rPr>
          <w:i/>
          <w:iCs/>
        </w:rPr>
        <w:t>Tasmanian Freight Subsidy Arrangements</w:t>
      </w:r>
      <w:r w:rsidRPr="00AE4D5A">
        <w:t xml:space="preserve">, December, </w:t>
      </w:r>
      <w:r w:rsidR="001F110A">
        <w:t xml:space="preserve">Report No. </w:t>
      </w:r>
      <w:r w:rsidRPr="00AE4D5A">
        <w:t>39, Canberra.</w:t>
      </w:r>
    </w:p>
    <w:p w:rsidR="00AE4D5A" w:rsidRPr="00AE4D5A" w:rsidRDefault="00AE4D5A" w:rsidP="0023538F">
      <w:pPr>
        <w:pStyle w:val="Reference"/>
      </w:pPr>
      <w:r w:rsidRPr="00AE4D5A">
        <w:t>——</w:t>
      </w:r>
      <w:r w:rsidR="003A35EA">
        <w:t> </w:t>
      </w:r>
      <w:r w:rsidRPr="00AE4D5A">
        <w:t xml:space="preserve">2008, </w:t>
      </w:r>
      <w:r w:rsidRPr="00AE4D5A">
        <w:rPr>
          <w:i/>
          <w:iCs/>
        </w:rPr>
        <w:t>Financial Performance of Government Trading Enterprises 2004-05 to 2006-07</w:t>
      </w:r>
      <w:r w:rsidRPr="00AE4D5A">
        <w:t>, Commission Research Paper, Canberra.</w:t>
      </w:r>
    </w:p>
    <w:p w:rsidR="00AE4D5A" w:rsidRPr="00AE4D5A" w:rsidRDefault="00AE4D5A" w:rsidP="0023538F">
      <w:pPr>
        <w:pStyle w:val="Reference"/>
      </w:pPr>
      <w:r w:rsidRPr="00AE4D5A">
        <w:t>——</w:t>
      </w:r>
      <w:r w:rsidR="003A35EA">
        <w:t> </w:t>
      </w:r>
      <w:r w:rsidRPr="00AE4D5A">
        <w:t xml:space="preserve">2013a, </w:t>
      </w:r>
      <w:r w:rsidRPr="00AE4D5A">
        <w:rPr>
          <w:i/>
          <w:iCs/>
        </w:rPr>
        <w:t>Geographic Labour Mobility</w:t>
      </w:r>
      <w:r w:rsidRPr="00AE4D5A">
        <w:t>, Draft Research Report, Canberra.</w:t>
      </w:r>
    </w:p>
    <w:p w:rsidR="00AE4D5A" w:rsidRPr="00AE4D5A" w:rsidRDefault="00AE4D5A" w:rsidP="0023538F">
      <w:pPr>
        <w:pStyle w:val="Reference"/>
      </w:pPr>
      <w:r w:rsidRPr="00AE4D5A">
        <w:t>——</w:t>
      </w:r>
      <w:r w:rsidR="003A35EA">
        <w:t> </w:t>
      </w:r>
      <w:r w:rsidRPr="00AE4D5A">
        <w:t xml:space="preserve">2013b, </w:t>
      </w:r>
      <w:r w:rsidRPr="00AE4D5A">
        <w:rPr>
          <w:i/>
          <w:iCs/>
        </w:rPr>
        <w:t>Major Project Development Assessment Processes</w:t>
      </w:r>
      <w:r w:rsidRPr="00AE4D5A">
        <w:t>, Research Report, Canberra.</w:t>
      </w:r>
    </w:p>
    <w:p w:rsidR="00AE4D5A" w:rsidRPr="00AE4D5A" w:rsidRDefault="00AE4D5A" w:rsidP="0023538F">
      <w:pPr>
        <w:pStyle w:val="Reference"/>
      </w:pPr>
      <w:r w:rsidRPr="00AE4D5A">
        <w:t xml:space="preserve">Port of Melbourne Corporation 2009, </w:t>
      </w:r>
      <w:r w:rsidRPr="00AE4D5A">
        <w:rPr>
          <w:i/>
          <w:iCs/>
        </w:rPr>
        <w:t>Port Development Strategy 2035 Vision</w:t>
      </w:r>
      <w:r w:rsidRPr="00AE4D5A">
        <w:t>, August, Melbourne.</w:t>
      </w:r>
    </w:p>
    <w:p w:rsidR="00AE4D5A" w:rsidRPr="00AE4D5A" w:rsidRDefault="00AE4D5A" w:rsidP="0023538F">
      <w:pPr>
        <w:pStyle w:val="Reference"/>
      </w:pPr>
      <w:r w:rsidRPr="00AE4D5A">
        <w:t xml:space="preserve">—— 2012a, </w:t>
      </w:r>
      <w:r w:rsidRPr="00AE4D5A">
        <w:rPr>
          <w:i/>
          <w:iCs/>
        </w:rPr>
        <w:t>Expanding Melbourne’s Port Capacity</w:t>
      </w:r>
      <w:r w:rsidRPr="00AE4D5A">
        <w:t>, May, Melbourne.</w:t>
      </w:r>
    </w:p>
    <w:p w:rsidR="00AE4D5A" w:rsidRPr="00AE4D5A" w:rsidRDefault="00AE4D5A" w:rsidP="0023538F">
      <w:pPr>
        <w:pStyle w:val="Reference"/>
      </w:pPr>
      <w:r w:rsidRPr="00AE4D5A">
        <w:t xml:space="preserve">—— 2012b, </w:t>
      </w:r>
      <w:r w:rsidRPr="00AE4D5A">
        <w:rPr>
          <w:i/>
          <w:iCs/>
        </w:rPr>
        <w:t>Reference Tariff Schedule - Effective 1 July 2012</w:t>
      </w:r>
      <w:r w:rsidR="001F110A">
        <w:rPr>
          <w:iCs/>
        </w:rPr>
        <w:t>, May, Melbourne</w:t>
      </w:r>
      <w:r w:rsidRPr="00AE4D5A">
        <w:t>.</w:t>
      </w:r>
    </w:p>
    <w:p w:rsidR="00AE4D5A" w:rsidRPr="00AE4D5A" w:rsidRDefault="00AE4D5A" w:rsidP="0023538F">
      <w:pPr>
        <w:pStyle w:val="Reference"/>
      </w:pPr>
      <w:r w:rsidRPr="00AE4D5A">
        <w:t xml:space="preserve">—— 2013a, </w:t>
      </w:r>
      <w:r w:rsidRPr="00AE4D5A">
        <w:rPr>
          <w:i/>
          <w:iCs/>
        </w:rPr>
        <w:t>Port Licence Fee: Information Paper August 2013</w:t>
      </w:r>
      <w:r w:rsidR="001F110A">
        <w:rPr>
          <w:iCs/>
        </w:rPr>
        <w:t>, August, Melbourne</w:t>
      </w:r>
      <w:r w:rsidRPr="00AE4D5A">
        <w:t>.</w:t>
      </w:r>
    </w:p>
    <w:p w:rsidR="00AE4D5A" w:rsidRPr="00AE4D5A" w:rsidRDefault="00AE4D5A" w:rsidP="0023538F">
      <w:pPr>
        <w:pStyle w:val="Reference"/>
      </w:pPr>
      <w:r w:rsidRPr="00AE4D5A">
        <w:t xml:space="preserve">—— 2013b, </w:t>
      </w:r>
      <w:r w:rsidRPr="00AE4D5A">
        <w:rPr>
          <w:i/>
          <w:iCs/>
        </w:rPr>
        <w:t>Reference Tariff Schedule - Effective 1 July 2013</w:t>
      </w:r>
      <w:r w:rsidRPr="00AE4D5A">
        <w:t>, May</w:t>
      </w:r>
      <w:r w:rsidR="001F110A">
        <w:t>, Melbourne</w:t>
      </w:r>
      <w:r w:rsidRPr="00AE4D5A">
        <w:t>.</w:t>
      </w:r>
    </w:p>
    <w:p w:rsidR="00AE4D5A" w:rsidRPr="00AE4D5A" w:rsidRDefault="00AE4D5A" w:rsidP="0023538F">
      <w:pPr>
        <w:pStyle w:val="Reference"/>
      </w:pPr>
      <w:r w:rsidRPr="00AE4D5A">
        <w:t xml:space="preserve">Rae, J. 2002, </w:t>
      </w:r>
      <w:r w:rsidRPr="00AE4D5A">
        <w:rPr>
          <w:i/>
          <w:iCs/>
        </w:rPr>
        <w:t>The Tasmanian Experience: Lessons for New Zealand</w:t>
      </w:r>
      <w:r w:rsidRPr="00AE4D5A">
        <w:t>, January, New Zealand Business Roundtable, Wellington.</w:t>
      </w:r>
    </w:p>
    <w:p w:rsidR="00AE4D5A" w:rsidRPr="00AE4D5A" w:rsidRDefault="00AE4D5A" w:rsidP="0023538F">
      <w:pPr>
        <w:pStyle w:val="Reference"/>
      </w:pPr>
      <w:r w:rsidRPr="00AE4D5A">
        <w:t xml:space="preserve">RBA (Reserve Bank of Australia) 2014, </w:t>
      </w:r>
      <w:r w:rsidRPr="00AE4D5A">
        <w:rPr>
          <w:i/>
          <w:iCs/>
        </w:rPr>
        <w:t>10-</w:t>
      </w:r>
      <w:r w:rsidR="001F110A">
        <w:rPr>
          <w:i/>
          <w:iCs/>
        </w:rPr>
        <w:t>Y</w:t>
      </w:r>
      <w:r w:rsidRPr="00AE4D5A">
        <w:rPr>
          <w:i/>
          <w:iCs/>
        </w:rPr>
        <w:t>ear Australian Government Bond Yield</w:t>
      </w:r>
      <w:r w:rsidR="001F110A">
        <w:t>, Sydney.</w:t>
      </w:r>
    </w:p>
    <w:p w:rsidR="00AE4D5A" w:rsidRPr="00AE4D5A" w:rsidRDefault="00AE4D5A" w:rsidP="0023538F">
      <w:pPr>
        <w:pStyle w:val="Reference"/>
      </w:pPr>
      <w:proofErr w:type="spellStart"/>
      <w:r w:rsidRPr="00AE4D5A">
        <w:t>Rodrigue</w:t>
      </w:r>
      <w:proofErr w:type="spellEnd"/>
      <w:r w:rsidRPr="00AE4D5A">
        <w:t xml:space="preserve">, JP, </w:t>
      </w:r>
      <w:proofErr w:type="spellStart"/>
      <w:r w:rsidRPr="00AE4D5A">
        <w:t>Nottenboom</w:t>
      </w:r>
      <w:proofErr w:type="spellEnd"/>
      <w:r w:rsidRPr="00AE4D5A">
        <w:t xml:space="preserve">, T and Shaw, J 2013, </w:t>
      </w:r>
      <w:r w:rsidRPr="00AE4D5A">
        <w:rPr>
          <w:i/>
          <w:iCs/>
        </w:rPr>
        <w:t>The SAGE Handbook of Transport Studies</w:t>
      </w:r>
      <w:r w:rsidRPr="00AE4D5A">
        <w:t>, London.</w:t>
      </w:r>
    </w:p>
    <w:p w:rsidR="00AE4D5A" w:rsidRPr="00AE4D5A" w:rsidRDefault="00AE4D5A" w:rsidP="0023538F">
      <w:pPr>
        <w:pStyle w:val="Reference"/>
      </w:pPr>
      <w:r w:rsidRPr="00AE4D5A">
        <w:t xml:space="preserve">Sharp, J. 1996, </w:t>
      </w:r>
      <w:r w:rsidR="001F110A">
        <w:rPr>
          <w:i/>
          <w:iCs/>
        </w:rPr>
        <w:t>Federal R</w:t>
      </w:r>
      <w:r w:rsidRPr="00AE4D5A">
        <w:rPr>
          <w:i/>
          <w:iCs/>
        </w:rPr>
        <w:t xml:space="preserve">ebate </w:t>
      </w:r>
      <w:r w:rsidR="001F110A">
        <w:rPr>
          <w:i/>
          <w:iCs/>
        </w:rPr>
        <w:t>B</w:t>
      </w:r>
      <w:r w:rsidRPr="00AE4D5A">
        <w:rPr>
          <w:i/>
          <w:iCs/>
        </w:rPr>
        <w:t xml:space="preserve">oost for Tasmanian </w:t>
      </w:r>
      <w:r w:rsidR="001F110A">
        <w:rPr>
          <w:i/>
          <w:iCs/>
        </w:rPr>
        <w:t>S</w:t>
      </w:r>
      <w:r w:rsidRPr="00AE4D5A">
        <w:rPr>
          <w:i/>
          <w:iCs/>
        </w:rPr>
        <w:t xml:space="preserve">ea </w:t>
      </w:r>
      <w:r w:rsidR="001F110A">
        <w:rPr>
          <w:i/>
          <w:iCs/>
        </w:rPr>
        <w:t>T</w:t>
      </w:r>
      <w:r w:rsidRPr="00AE4D5A">
        <w:rPr>
          <w:i/>
          <w:iCs/>
        </w:rPr>
        <w:t>ravel</w:t>
      </w:r>
      <w:r w:rsidRPr="00AE4D5A">
        <w:t>, http://parlinfo.aph.gov.au/parlInfo/search/display/display.w3p;adv=yes;orderBy=customrank;page=0;query=bass%20strait%201996%20%22John%20SHARP%22%20Date%3A23%2F08%2F1996%20Dataset%3Apressrel,pressclp;rec=0;resCount=Default (accessed 7 January 2014).</w:t>
      </w:r>
    </w:p>
    <w:p w:rsidR="00AE4D5A" w:rsidRPr="00AE4D5A" w:rsidRDefault="00AE4D5A" w:rsidP="0023538F">
      <w:pPr>
        <w:pStyle w:val="Reference"/>
      </w:pPr>
      <w:r w:rsidRPr="00AE4D5A">
        <w:t xml:space="preserve">SKM 2010, </w:t>
      </w:r>
      <w:r w:rsidRPr="00AE4D5A">
        <w:rPr>
          <w:i/>
          <w:iCs/>
        </w:rPr>
        <w:t>Freight Rates Update 2010</w:t>
      </w:r>
      <w:r w:rsidRPr="00AE4D5A">
        <w:t>, Melbourne.</w:t>
      </w:r>
    </w:p>
    <w:p w:rsidR="00AE4D5A" w:rsidRPr="00AE4D5A" w:rsidRDefault="00AE4D5A" w:rsidP="0023538F">
      <w:pPr>
        <w:pStyle w:val="Reference"/>
      </w:pPr>
      <w:r w:rsidRPr="00AE4D5A">
        <w:t xml:space="preserve">—— 2013, </w:t>
      </w:r>
      <w:r w:rsidRPr="00AE4D5A">
        <w:rPr>
          <w:i/>
          <w:iCs/>
        </w:rPr>
        <w:t xml:space="preserve">Freight Rates Update 2012-13 </w:t>
      </w:r>
      <w:r w:rsidR="00A936B2">
        <w:rPr>
          <w:i/>
          <w:iCs/>
        </w:rPr>
        <w:t>—</w:t>
      </w:r>
      <w:r w:rsidRPr="00AE4D5A">
        <w:rPr>
          <w:i/>
          <w:iCs/>
        </w:rPr>
        <w:t xml:space="preserve"> Bass Strait Shipping and Tasmanian Freight Equalisation Scheme: Final Report</w:t>
      </w:r>
      <w:r w:rsidRPr="00AE4D5A">
        <w:t xml:space="preserve">, </w:t>
      </w:r>
      <w:r w:rsidR="001F110A">
        <w:t xml:space="preserve">March, </w:t>
      </w:r>
      <w:r w:rsidRPr="00AE4D5A">
        <w:t>Melbourne.</w:t>
      </w:r>
    </w:p>
    <w:p w:rsidR="00AE4D5A" w:rsidRPr="00AE4D5A" w:rsidRDefault="00AE4D5A" w:rsidP="0023538F">
      <w:pPr>
        <w:pStyle w:val="Reference"/>
      </w:pPr>
      <w:r w:rsidRPr="00AE4D5A">
        <w:lastRenderedPageBreak/>
        <w:t xml:space="preserve">Swan, W. 2012, </w:t>
      </w:r>
      <w:r w:rsidRPr="00AE4D5A">
        <w:rPr>
          <w:i/>
          <w:iCs/>
        </w:rPr>
        <w:t>Tax Laws Amendment (Shipping Reform) Bill 2012, Explanatory Memorandum</w:t>
      </w:r>
      <w:r w:rsidR="001F110A">
        <w:t>, Canberra.</w:t>
      </w:r>
    </w:p>
    <w:p w:rsidR="00AE4D5A" w:rsidRPr="00AE4D5A" w:rsidRDefault="00AE4D5A" w:rsidP="0023538F">
      <w:pPr>
        <w:pStyle w:val="Reference"/>
      </w:pPr>
      <w:r w:rsidRPr="00AE4D5A">
        <w:t xml:space="preserve">Tasmanian Government 2012, </w:t>
      </w:r>
      <w:r w:rsidRPr="00AE4D5A">
        <w:rPr>
          <w:i/>
          <w:iCs/>
        </w:rPr>
        <w:t>2012 Submission to Nation Building 2 Program</w:t>
      </w:r>
      <w:r w:rsidRPr="00AE4D5A">
        <w:t>, September, Hobart</w:t>
      </w:r>
      <w:r w:rsidR="001F110A">
        <w:t>.</w:t>
      </w:r>
    </w:p>
    <w:p w:rsidR="00AE4D5A" w:rsidRPr="00AE4D5A" w:rsidRDefault="00AE4D5A" w:rsidP="0023538F">
      <w:pPr>
        <w:pStyle w:val="Reference"/>
      </w:pPr>
      <w:r w:rsidRPr="00AE4D5A">
        <w:t xml:space="preserve">TasPorts (Tasmanian Ports Corporation Pty Ltd) 2012a, </w:t>
      </w:r>
      <w:r w:rsidRPr="00AE4D5A">
        <w:rPr>
          <w:i/>
          <w:iCs/>
        </w:rPr>
        <w:t>Annual Report 2011-12</w:t>
      </w:r>
      <w:r w:rsidRPr="00AE4D5A">
        <w:t>, Hobart.</w:t>
      </w:r>
    </w:p>
    <w:p w:rsidR="00AE4D5A" w:rsidRPr="00AE4D5A" w:rsidRDefault="00AE4D5A" w:rsidP="0023538F">
      <w:pPr>
        <w:pStyle w:val="Reference"/>
      </w:pPr>
      <w:r w:rsidRPr="00AE4D5A">
        <w:t>——</w:t>
      </w:r>
      <w:r w:rsidR="00BD2868">
        <w:t> </w:t>
      </w:r>
      <w:r w:rsidRPr="00AE4D5A">
        <w:t xml:space="preserve">2012b, </w:t>
      </w:r>
      <w:r w:rsidRPr="00AE4D5A">
        <w:rPr>
          <w:i/>
          <w:iCs/>
        </w:rPr>
        <w:t>Members’ Statement of Expectations</w:t>
      </w:r>
      <w:r w:rsidRPr="00AE4D5A">
        <w:t>, May, Hobart.</w:t>
      </w:r>
    </w:p>
    <w:p w:rsidR="00AE4D5A" w:rsidRPr="00AE4D5A" w:rsidRDefault="00AE4D5A" w:rsidP="0023538F">
      <w:pPr>
        <w:pStyle w:val="Reference"/>
      </w:pPr>
      <w:r w:rsidRPr="00AE4D5A">
        <w:t>——</w:t>
      </w:r>
      <w:r w:rsidR="00BD2868">
        <w:t> </w:t>
      </w:r>
      <w:r w:rsidRPr="00AE4D5A">
        <w:t xml:space="preserve">2013, </w:t>
      </w:r>
      <w:r w:rsidRPr="00AE4D5A">
        <w:rPr>
          <w:i/>
          <w:iCs/>
        </w:rPr>
        <w:t>Annual Report 2012-13</w:t>
      </w:r>
      <w:r w:rsidRPr="00AE4D5A">
        <w:t xml:space="preserve">, </w:t>
      </w:r>
      <w:r w:rsidR="001F110A">
        <w:t xml:space="preserve">August, </w:t>
      </w:r>
      <w:r w:rsidRPr="00AE4D5A">
        <w:t>Hobart.</w:t>
      </w:r>
    </w:p>
    <w:p w:rsidR="00AE4D5A" w:rsidRPr="00AE4D5A" w:rsidRDefault="00AE4D5A" w:rsidP="0023538F">
      <w:pPr>
        <w:pStyle w:val="Reference"/>
      </w:pPr>
      <w:r w:rsidRPr="00AE4D5A">
        <w:t xml:space="preserve">TasRail 2013, </w:t>
      </w:r>
      <w:r w:rsidRPr="00AE4D5A">
        <w:rPr>
          <w:i/>
          <w:iCs/>
        </w:rPr>
        <w:t>Annual Report 2012-2013</w:t>
      </w:r>
      <w:r w:rsidRPr="00AE4D5A">
        <w:t>.</w:t>
      </w:r>
    </w:p>
    <w:p w:rsidR="00AE4D5A" w:rsidRPr="00AE4D5A" w:rsidRDefault="00AE4D5A" w:rsidP="0023538F">
      <w:pPr>
        <w:pStyle w:val="Reference"/>
      </w:pPr>
      <w:proofErr w:type="spellStart"/>
      <w:r w:rsidRPr="00AE4D5A">
        <w:t>TCCI</w:t>
      </w:r>
      <w:proofErr w:type="spellEnd"/>
      <w:r w:rsidRPr="00AE4D5A">
        <w:t xml:space="preserve"> (Tasmanian Chamber of Commerce and Industry) 2012, </w:t>
      </w:r>
      <w:r w:rsidRPr="00AE4D5A">
        <w:rPr>
          <w:i/>
          <w:iCs/>
        </w:rPr>
        <w:t>Tasmania’s Place in the Asian Century</w:t>
      </w:r>
      <w:r w:rsidRPr="00AE4D5A">
        <w:t>.</w:t>
      </w:r>
    </w:p>
    <w:p w:rsidR="00AE4D5A" w:rsidRPr="00AE4D5A" w:rsidRDefault="00AE4D5A" w:rsidP="0023538F">
      <w:pPr>
        <w:pStyle w:val="Reference"/>
      </w:pPr>
      <w:r w:rsidRPr="00AE4D5A">
        <w:t xml:space="preserve">TFES Review Authority (Tasmanian Freight Equalisation Scheme Review Authority) 1998, </w:t>
      </w:r>
      <w:r w:rsidRPr="00AE4D5A">
        <w:rPr>
          <w:i/>
          <w:iCs/>
        </w:rPr>
        <w:t>Review of TFES Rates of Assistance</w:t>
      </w:r>
      <w:r w:rsidRPr="00AE4D5A">
        <w:t>, June.</w:t>
      </w:r>
    </w:p>
    <w:p w:rsidR="00AE4D5A" w:rsidRPr="00AE4D5A" w:rsidRDefault="00AE4D5A" w:rsidP="0023538F">
      <w:pPr>
        <w:pStyle w:val="Reference"/>
      </w:pPr>
      <w:proofErr w:type="spellStart"/>
      <w:r w:rsidRPr="00AE4D5A">
        <w:t>TFLC</w:t>
      </w:r>
      <w:proofErr w:type="spellEnd"/>
      <w:r w:rsidRPr="00AE4D5A">
        <w:t xml:space="preserve"> (Tasmanian Freight Logistics Council) 2013, </w:t>
      </w:r>
      <w:r w:rsidRPr="00AE4D5A">
        <w:rPr>
          <w:i/>
          <w:iCs/>
        </w:rPr>
        <w:t>Tasmanian Freight Transport Strategy to 2050</w:t>
      </w:r>
      <w:r w:rsidR="001F110A">
        <w:t>, May.</w:t>
      </w:r>
    </w:p>
    <w:p w:rsidR="00AE4D5A" w:rsidRDefault="00AE4D5A" w:rsidP="0023538F">
      <w:pPr>
        <w:pStyle w:val="Reference"/>
      </w:pPr>
      <w:r w:rsidRPr="00AE4D5A">
        <w:t xml:space="preserve">Tourism Research Australia 2013, </w:t>
      </w:r>
      <w:r w:rsidRPr="00AE4D5A">
        <w:rPr>
          <w:i/>
          <w:iCs/>
        </w:rPr>
        <w:t xml:space="preserve">Travel by Australians </w:t>
      </w:r>
      <w:r w:rsidR="00207B70">
        <w:rPr>
          <w:i/>
          <w:iCs/>
        </w:rPr>
        <w:t>–</w:t>
      </w:r>
      <w:r w:rsidRPr="00AE4D5A">
        <w:rPr>
          <w:i/>
          <w:iCs/>
        </w:rPr>
        <w:t xml:space="preserve"> Quarterly </w:t>
      </w:r>
      <w:r w:rsidR="001F110A">
        <w:rPr>
          <w:i/>
          <w:iCs/>
        </w:rPr>
        <w:t>R</w:t>
      </w:r>
      <w:r w:rsidRPr="00AE4D5A">
        <w:rPr>
          <w:i/>
          <w:iCs/>
        </w:rPr>
        <w:t>esults of the National Visitor Survey</w:t>
      </w:r>
      <w:r w:rsidR="001F110A">
        <w:t>, June, Canberra.</w:t>
      </w:r>
    </w:p>
    <w:p w:rsidR="001362E4" w:rsidRPr="001362E4" w:rsidRDefault="001362E4" w:rsidP="0023538F">
      <w:pPr>
        <w:pStyle w:val="Reference"/>
      </w:pPr>
      <w:r>
        <w:t xml:space="preserve">TT-Line (TT-Line Company Pty Ltd) 2013, </w:t>
      </w:r>
      <w:r>
        <w:rPr>
          <w:i/>
        </w:rPr>
        <w:t>Annual report 2012–13</w:t>
      </w:r>
      <w:r>
        <w:t>, Tasmania.</w:t>
      </w:r>
    </w:p>
    <w:p w:rsidR="00AE4D5A" w:rsidRPr="00AE4D5A" w:rsidRDefault="00AE4D5A" w:rsidP="0023538F">
      <w:pPr>
        <w:pStyle w:val="Reference"/>
      </w:pPr>
      <w:proofErr w:type="spellStart"/>
      <w:r w:rsidRPr="00AE4D5A">
        <w:t>UNCTAD</w:t>
      </w:r>
      <w:proofErr w:type="spellEnd"/>
      <w:r w:rsidRPr="00AE4D5A">
        <w:t xml:space="preserve"> 2012, </w:t>
      </w:r>
      <w:r w:rsidRPr="00AE4D5A">
        <w:rPr>
          <w:i/>
          <w:iCs/>
        </w:rPr>
        <w:t>Review of Maritime Transport 2012</w:t>
      </w:r>
      <w:r w:rsidRPr="00AE4D5A">
        <w:t xml:space="preserve">, United Nations, </w:t>
      </w:r>
      <w:r w:rsidR="001F110A">
        <w:t xml:space="preserve">June, </w:t>
      </w:r>
      <w:r w:rsidRPr="00AE4D5A">
        <w:t>New York and Geneva.</w:t>
      </w:r>
    </w:p>
    <w:p w:rsidR="00AE4D5A" w:rsidRPr="00AE4D5A" w:rsidRDefault="00AE4D5A" w:rsidP="0023538F">
      <w:pPr>
        <w:pStyle w:val="Reference"/>
      </w:pPr>
      <w:proofErr w:type="spellStart"/>
      <w:r w:rsidRPr="00AE4D5A">
        <w:t>Villalonga</w:t>
      </w:r>
      <w:proofErr w:type="spellEnd"/>
      <w:r w:rsidRPr="00AE4D5A">
        <w:t xml:space="preserve">, B. 2000, ‘Privatization and efficiency: Differentiating ownership effects from political, organizational and dynamic effects’, </w:t>
      </w:r>
      <w:r w:rsidRPr="00AE4D5A">
        <w:rPr>
          <w:i/>
          <w:iCs/>
        </w:rPr>
        <w:t xml:space="preserve">Journal of Economic </w:t>
      </w:r>
      <w:proofErr w:type="spellStart"/>
      <w:r w:rsidRPr="00AE4D5A">
        <w:rPr>
          <w:i/>
          <w:iCs/>
        </w:rPr>
        <w:t>Behavior</w:t>
      </w:r>
      <w:proofErr w:type="spellEnd"/>
      <w:r w:rsidRPr="00AE4D5A">
        <w:rPr>
          <w:i/>
          <w:iCs/>
        </w:rPr>
        <w:t xml:space="preserve"> and Organization</w:t>
      </w:r>
      <w:r w:rsidRPr="00AE4D5A">
        <w:t>, vol. 42, pp. 43–74.</w:t>
      </w:r>
    </w:p>
    <w:p w:rsidR="00AE4D5A" w:rsidRPr="00AE4D5A" w:rsidRDefault="00AE4D5A" w:rsidP="008E5E01">
      <w:pPr>
        <w:pStyle w:val="Reference"/>
      </w:pPr>
    </w:p>
    <w:sectPr w:rsidR="00AE4D5A" w:rsidRPr="00AE4D5A" w:rsidSect="00AE4D5A">
      <w:headerReference w:type="even" r:id="rId107"/>
      <w:headerReference w:type="default" r:id="rId108"/>
      <w:footerReference w:type="even" r:id="rId109"/>
      <w:footerReference w:type="default" r:id="rId110"/>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1E27" w:rsidRDefault="001F1E27">
      <w:r>
        <w:separator/>
      </w:r>
    </w:p>
  </w:endnote>
  <w:endnote w:type="continuationSeparator" w:id="0">
    <w:p w:rsidR="001F1E27" w:rsidRDefault="001F1E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AE4D5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220</w:t>
          </w:r>
          <w:r>
            <w:rPr>
              <w:rStyle w:val="PageNumber"/>
            </w:rPr>
            <w:fldChar w:fldCharType="end"/>
          </w:r>
        </w:p>
      </w:tc>
      <w:tc>
        <w:tcPr>
          <w:tcW w:w="1644" w:type="dxa"/>
          <w:tcBorders>
            <w:top w:val="single" w:sz="4" w:space="0" w:color="auto"/>
          </w:tcBorders>
          <w:shd w:val="clear" w:color="auto" w:fill="auto"/>
        </w:tcPr>
        <w:p w:rsidR="001F1E27" w:rsidRDefault="001F1E27" w:rsidP="00AE4D5A">
          <w:pPr>
            <w:pStyle w:val="Footer"/>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AE4D5A">
          <w:pPr>
            <w:pStyle w:val="Footer"/>
          </w:pPr>
          <w:r>
            <w:t>Overview</w:t>
          </w:r>
        </w:p>
      </w:tc>
      <w:tc>
        <w:tcPr>
          <w:tcW w:w="510" w:type="dxa"/>
          <w:tcBorders>
            <w:top w:val="single" w:sz="4" w:space="0" w:color="auto"/>
          </w:tcBorders>
          <w:shd w:val="clear" w:color="auto" w:fill="auto"/>
        </w:tcPr>
        <w:p w:rsidR="001F1E27" w:rsidRPr="00AE4D5A" w:rsidRDefault="001F1E27" w:rsidP="00AE4D5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220</w:t>
          </w:r>
          <w:r>
            <w:rPr>
              <w:rStyle w:val="PageNumber"/>
            </w:rPr>
            <w:fldChar w:fldCharType="end"/>
          </w:r>
        </w:p>
      </w:tc>
    </w:tr>
  </w:tbl>
  <w:p w:rsidR="001F1E27" w:rsidRPr="00AE4D5A" w:rsidRDefault="001F1E27" w:rsidP="00AE4D5A">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90ED1">
            <w:rPr>
              <w:rStyle w:val="PageNumber"/>
              <w:noProof/>
            </w:rPr>
            <w:t>16</w:t>
          </w:r>
          <w:r>
            <w:rPr>
              <w:rStyle w:val="PageNumber"/>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97"/>
      <w:gridCol w:w="457"/>
    </w:tblGrid>
    <w:tr w:rsidR="001F1E27" w:rsidTr="008B6170">
      <w:trPr>
        <w:trHeight w:val="743"/>
      </w:trPr>
      <w:tc>
        <w:tcPr>
          <w:tcW w:w="6633" w:type="dxa"/>
        </w:tcPr>
        <w:p w:rsidR="001F1E27" w:rsidRDefault="001F1E27" w:rsidP="00AE4D5A">
          <w:pPr>
            <w:pStyle w:val="Footer"/>
          </w:pPr>
        </w:p>
      </w:tc>
      <w:tc>
        <w:tcPr>
          <w:tcW w:w="1697" w:type="dxa"/>
          <w:tcBorders>
            <w:top w:val="single" w:sz="4" w:space="0" w:color="auto"/>
          </w:tcBorders>
          <w:shd w:val="clear" w:color="auto" w:fill="auto"/>
        </w:tcPr>
        <w:p w:rsidR="001F1E27" w:rsidRDefault="001F1E27" w:rsidP="004B08A9">
          <w:pPr>
            <w:pStyle w:val="Footer"/>
            <w:ind w:left="-112"/>
          </w:pPr>
          <w:r>
            <w:t>OVERVIEW</w:t>
          </w:r>
        </w:p>
      </w:tc>
      <w:tc>
        <w:tcPr>
          <w:tcW w:w="457" w:type="dxa"/>
          <w:tcBorders>
            <w:top w:val="single" w:sz="4" w:space="0" w:color="auto"/>
          </w:tcBorders>
          <w:shd w:val="clear" w:color="auto" w:fill="auto"/>
        </w:tcPr>
        <w:p w:rsidR="001F1E27" w:rsidRPr="00AE4D5A" w:rsidRDefault="001F1E27" w:rsidP="00B47CC6">
          <w:pPr>
            <w:pStyle w:val="Footer"/>
            <w:tabs>
              <w:tab w:val="left" w:pos="241"/>
            </w:tabs>
            <w:ind w:right="-57"/>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90ED1">
            <w:rPr>
              <w:rStyle w:val="PageNumber"/>
              <w:noProof/>
            </w:rPr>
            <w:t>17</w:t>
          </w:r>
          <w:r>
            <w:rPr>
              <w:rStyle w:val="PageNumber"/>
            </w:rPr>
            <w:fldChar w:fldCharType="end"/>
          </w:r>
        </w:p>
      </w:tc>
    </w:tr>
  </w:tbl>
  <w:p w:rsidR="001F1E27" w:rsidRPr="00AE4D5A" w:rsidRDefault="001F1E27" w:rsidP="00AE4D5A">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831DC0">
            <w:rPr>
              <w:rStyle w:val="PageNumber"/>
              <w:noProof/>
            </w:rPr>
            <w:t>34</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97"/>
      <w:gridCol w:w="457"/>
    </w:tblGrid>
    <w:tr w:rsidR="001F1E27" w:rsidTr="00DD59EE">
      <w:trPr>
        <w:trHeight w:val="743"/>
      </w:trPr>
      <w:tc>
        <w:tcPr>
          <w:tcW w:w="6633" w:type="dxa"/>
        </w:tcPr>
        <w:p w:rsidR="001F1E27" w:rsidRDefault="001F1E27" w:rsidP="00AE4D5A">
          <w:pPr>
            <w:pStyle w:val="Footer"/>
          </w:pPr>
        </w:p>
      </w:tc>
      <w:tc>
        <w:tcPr>
          <w:tcW w:w="1697" w:type="dxa"/>
          <w:tcBorders>
            <w:top w:val="single" w:sz="4" w:space="0" w:color="auto"/>
          </w:tcBorders>
          <w:shd w:val="clear" w:color="auto" w:fill="auto"/>
        </w:tcPr>
        <w:p w:rsidR="001F1E27" w:rsidRDefault="001F1E27" w:rsidP="00DD59EE">
          <w:pPr>
            <w:pStyle w:val="Footer"/>
            <w:ind w:left="-112"/>
          </w:pPr>
          <w:r>
            <w:t>Recommendations</w:t>
          </w:r>
        </w:p>
      </w:tc>
      <w:tc>
        <w:tcPr>
          <w:tcW w:w="457"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31DC0">
            <w:rPr>
              <w:rStyle w:val="PageNumber"/>
              <w:noProof/>
            </w:rPr>
            <w:t>35</w:t>
          </w:r>
          <w:r>
            <w:rPr>
              <w:rStyle w:val="PageNumber"/>
            </w:rPr>
            <w:fldChar w:fldCharType="end"/>
          </w:r>
        </w:p>
      </w:tc>
    </w:tr>
  </w:tbl>
  <w:p w:rsidR="001F1E27" w:rsidRPr="00AE4D5A" w:rsidRDefault="001F1E27" w:rsidP="00AE4D5A">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831DC0">
            <w:rPr>
              <w:rStyle w:val="PageNumber"/>
              <w:noProof/>
            </w:rPr>
            <w:t>40</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Introduction and scope</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831DC0">
            <w:rPr>
              <w:rStyle w:val="PageNumber"/>
              <w:noProof/>
            </w:rPr>
            <w:t>39</w:t>
          </w:r>
          <w:r>
            <w:rPr>
              <w:rStyle w:val="PageNumber"/>
            </w:rPr>
            <w:fldChar w:fldCharType="end"/>
          </w:r>
        </w:p>
      </w:tc>
    </w:tr>
  </w:tbl>
  <w:p w:rsidR="001F1E27" w:rsidRPr="00AE4D5A" w:rsidRDefault="001F1E27" w:rsidP="00AE4D5A">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noProof/>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390ED1">
            <w:rPr>
              <w:rStyle w:val="PageNumber"/>
              <w:noProof/>
            </w:rPr>
            <w:t>78</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Tasmania's freight in context</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90ED1">
            <w:rPr>
              <w:rStyle w:val="PageNumber"/>
              <w:noProof/>
            </w:rPr>
            <w:t>77</w:t>
          </w:r>
          <w:r>
            <w:rPr>
              <w:rStyle w:val="PageNumber"/>
            </w:rPr>
            <w:fldChar w:fldCharType="end"/>
          </w:r>
        </w:p>
      </w:tc>
    </w:tr>
  </w:tbl>
  <w:p w:rsidR="001F1E27" w:rsidRPr="00AE4D5A" w:rsidRDefault="001F1E27" w:rsidP="00AE4D5A">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noProof/>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124</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Freight subsidy arrangements</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123</w:t>
          </w:r>
          <w:r>
            <w:rPr>
              <w:rStyle w:val="PageNumber"/>
              <w:noProof/>
            </w:rPr>
            <w:fldChar w:fldCharType="end"/>
          </w:r>
        </w:p>
      </w:tc>
    </w:tr>
  </w:tbl>
  <w:p w:rsidR="001F1E27" w:rsidRPr="00AE4D5A" w:rsidRDefault="001F1E27" w:rsidP="00AE4D5A">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174</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Sea freight</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noProof/>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175</w:t>
          </w:r>
          <w:r>
            <w:rPr>
              <w:rStyle w:val="PageNumber"/>
              <w:noProof/>
            </w:rPr>
            <w:fldChar w:fldCharType="end"/>
          </w:r>
        </w:p>
      </w:tc>
    </w:tr>
  </w:tbl>
  <w:p w:rsidR="001F1E27" w:rsidRPr="00AE4D5A" w:rsidRDefault="001F1E27" w:rsidP="00AE4D5A">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B47CC6">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390ED1">
            <w:rPr>
              <w:rStyle w:val="PageNumber"/>
              <w:noProof/>
            </w:rPr>
            <w:t>184</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Land freight</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390ED1">
            <w:rPr>
              <w:rStyle w:val="PageNumber"/>
              <w:noProof/>
            </w:rPr>
            <w:t>183</w:t>
          </w:r>
          <w:r>
            <w:rPr>
              <w:rStyle w:val="PageNumber"/>
              <w:noProof/>
            </w:rPr>
            <w:fldChar w:fldCharType="end"/>
          </w:r>
        </w:p>
      </w:tc>
    </w:tr>
  </w:tbl>
  <w:p w:rsidR="001F1E27" w:rsidRPr="00AE4D5A" w:rsidRDefault="001F1E27" w:rsidP="00AE4D5A">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6D65CA">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208</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Economic development approach</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209</w:t>
          </w:r>
          <w:r>
            <w:rPr>
              <w:rStyle w:val="PageNumber"/>
              <w:noProof/>
            </w:rPr>
            <w:fldChar w:fldCharType="end"/>
          </w:r>
        </w:p>
      </w:tc>
    </w:tr>
  </w:tbl>
  <w:p w:rsidR="001F1E27" w:rsidRPr="00AE4D5A" w:rsidRDefault="001F1E27" w:rsidP="00AE4D5A">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6D65CA">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216</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916326">
          <w:pPr>
            <w:pStyle w:val="Footer"/>
            <w:ind w:left="-113" w:right="0"/>
          </w:pPr>
          <w:r>
            <w:t>Conduct of the inquiry</w:t>
          </w:r>
        </w:p>
      </w:tc>
      <w:tc>
        <w:tcPr>
          <w:tcW w:w="510" w:type="dxa"/>
          <w:tcBorders>
            <w:top w:val="single" w:sz="4" w:space="0" w:color="auto"/>
          </w:tcBorders>
          <w:shd w:val="clear" w:color="auto" w:fill="auto"/>
        </w:tcPr>
        <w:p w:rsidR="001F1E27" w:rsidRPr="00AE4D5A" w:rsidRDefault="001F1E27" w:rsidP="00B47CC6">
          <w:pPr>
            <w:pStyle w:val="Footer"/>
            <w:ind w:right="-57"/>
            <w:jc w:val="right"/>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217</w:t>
          </w:r>
          <w:r>
            <w:rPr>
              <w:rStyle w:val="PageNumber"/>
              <w:noProof/>
            </w:rPr>
            <w:fldChar w:fldCharType="end"/>
          </w:r>
        </w:p>
      </w:tc>
    </w:tr>
  </w:tbl>
  <w:p w:rsidR="001F1E27" w:rsidRPr="00AE4D5A" w:rsidRDefault="001F1E27" w:rsidP="00AE4D5A">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6D65CA">
          <w:pPr>
            <w:pStyle w:val="Footer"/>
            <w:ind w:left="-113"/>
            <w:rPr>
              <w:rStyle w:val="PageNumber"/>
            </w:rPr>
          </w:pPr>
          <w:r>
            <w:rPr>
              <w:rStyle w:val="PageNumber"/>
              <w:noProof/>
            </w:rPr>
            <w:fldChar w:fldCharType="begin"/>
          </w:r>
          <w:r>
            <w:rPr>
              <w:rStyle w:val="PageNumber"/>
              <w:noProof/>
            </w:rPr>
            <w:instrText xml:space="preserve"> PAGE \* MERGEFORMAT </w:instrText>
          </w:r>
          <w:r>
            <w:rPr>
              <w:rStyle w:val="PageNumber"/>
              <w:noProof/>
            </w:rPr>
            <w:fldChar w:fldCharType="separate"/>
          </w:r>
          <w:r w:rsidR="00E40343">
            <w:rPr>
              <w:rStyle w:val="PageNumber"/>
              <w:noProof/>
            </w:rPr>
            <w:t>220</w:t>
          </w:r>
          <w:r>
            <w:rPr>
              <w:rStyle w:val="PageNumber"/>
              <w:noProof/>
            </w:rPr>
            <w:fldChar w:fldCharType="end"/>
          </w:r>
        </w:p>
      </w:tc>
      <w:tc>
        <w:tcPr>
          <w:tcW w:w="1644" w:type="dxa"/>
          <w:tcBorders>
            <w:top w:val="single" w:sz="4" w:space="0" w:color="auto"/>
          </w:tcBorders>
          <w:shd w:val="clear" w:color="auto" w:fill="auto"/>
        </w:tcPr>
        <w:p w:rsidR="001F1E27" w:rsidRDefault="001F1E27" w:rsidP="00916326">
          <w:pPr>
            <w:pStyle w:val="Footer"/>
            <w:ind w:left="-113"/>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97"/>
      <w:gridCol w:w="457"/>
    </w:tblGrid>
    <w:tr w:rsidR="001F1E27" w:rsidTr="00F2282A">
      <w:trPr>
        <w:trHeight w:val="743"/>
      </w:trPr>
      <w:tc>
        <w:tcPr>
          <w:tcW w:w="6633" w:type="dxa"/>
        </w:tcPr>
        <w:p w:rsidR="001F1E27" w:rsidRDefault="001F1E27" w:rsidP="00AE4D5A">
          <w:pPr>
            <w:pStyle w:val="Footer"/>
          </w:pPr>
        </w:p>
      </w:tc>
      <w:tc>
        <w:tcPr>
          <w:tcW w:w="1697" w:type="dxa"/>
          <w:tcBorders>
            <w:top w:val="single" w:sz="4" w:space="0" w:color="auto"/>
          </w:tcBorders>
          <w:shd w:val="clear" w:color="auto" w:fill="auto"/>
        </w:tcPr>
        <w:p w:rsidR="001F1E27" w:rsidRDefault="001F1E27" w:rsidP="00F2282A">
          <w:pPr>
            <w:pStyle w:val="Footer"/>
            <w:ind w:left="-112"/>
          </w:pPr>
          <w:r>
            <w:t>2006 inquiry recommendations</w:t>
          </w:r>
        </w:p>
      </w:tc>
      <w:tc>
        <w:tcPr>
          <w:tcW w:w="457" w:type="dxa"/>
          <w:tcBorders>
            <w:top w:val="single" w:sz="4" w:space="0" w:color="auto"/>
          </w:tcBorders>
          <w:shd w:val="clear" w:color="auto" w:fill="auto"/>
        </w:tcPr>
        <w:p w:rsidR="001F1E27" w:rsidRPr="00AE4D5A" w:rsidRDefault="001F1E27" w:rsidP="00F2282A">
          <w:pPr>
            <w:pStyle w:val="Footer"/>
            <w:ind w:right="-7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343">
            <w:rPr>
              <w:rStyle w:val="PageNumber"/>
              <w:noProof/>
            </w:rPr>
            <w:t>219</w:t>
          </w:r>
          <w:r>
            <w:rPr>
              <w:rStyle w:val="PageNumber"/>
            </w:rPr>
            <w:fldChar w:fldCharType="end"/>
          </w:r>
        </w:p>
      </w:tc>
    </w:tr>
  </w:tbl>
  <w:p w:rsidR="001F1E27" w:rsidRPr="00AE4D5A" w:rsidRDefault="001F1E27" w:rsidP="00AE4D5A">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1F1E27" w:rsidTr="00AE4D5A">
      <w:trPr>
        <w:trHeight w:val="743"/>
      </w:trPr>
      <w:tc>
        <w:tcPr>
          <w:tcW w:w="510" w:type="dxa"/>
          <w:tcBorders>
            <w:top w:val="single" w:sz="4" w:space="0" w:color="auto"/>
          </w:tcBorders>
          <w:shd w:val="clear" w:color="auto" w:fill="auto"/>
        </w:tcPr>
        <w:p w:rsidR="001F1E27" w:rsidRPr="00AE4D5A" w:rsidRDefault="001F1E27" w:rsidP="00A5613E">
          <w:pPr>
            <w:pStyle w:val="Footer"/>
            <w:ind w:left="-113"/>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343">
            <w:rPr>
              <w:rStyle w:val="PageNumber"/>
              <w:noProof/>
            </w:rPr>
            <w:t>226</w:t>
          </w:r>
          <w:r>
            <w:rPr>
              <w:rStyle w:val="PageNumber"/>
            </w:rPr>
            <w:fldChar w:fldCharType="end"/>
          </w:r>
        </w:p>
      </w:tc>
      <w:tc>
        <w:tcPr>
          <w:tcW w:w="1644" w:type="dxa"/>
          <w:tcBorders>
            <w:top w:val="single" w:sz="4" w:space="0" w:color="auto"/>
          </w:tcBorders>
          <w:shd w:val="clear" w:color="auto" w:fill="auto"/>
        </w:tcPr>
        <w:p w:rsidR="001F1E27" w:rsidRDefault="001F1E27" w:rsidP="00A5613E">
          <w:pPr>
            <w:pStyle w:val="Footer"/>
            <w:ind w:left="-84"/>
          </w:pPr>
          <w:r>
            <w:t>Tasmanian shipping and freight</w:t>
          </w:r>
        </w:p>
      </w:tc>
      <w:tc>
        <w:tcPr>
          <w:tcW w:w="6633" w:type="dxa"/>
        </w:tcPr>
        <w:p w:rsidR="001F1E27" w:rsidRDefault="001F1E27" w:rsidP="00AE4D5A">
          <w:pPr>
            <w:pStyle w:val="Footer"/>
          </w:pPr>
        </w:p>
      </w:tc>
    </w:tr>
  </w:tbl>
  <w:p w:rsidR="001F1E27" w:rsidRPr="00AE4D5A" w:rsidRDefault="001F1E27" w:rsidP="00AE4D5A">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1F1E27" w:rsidTr="00AE4D5A">
      <w:trPr>
        <w:trHeight w:val="743"/>
      </w:trPr>
      <w:tc>
        <w:tcPr>
          <w:tcW w:w="6633" w:type="dxa"/>
        </w:tcPr>
        <w:p w:rsidR="001F1E27" w:rsidRDefault="001F1E27" w:rsidP="00AE4D5A">
          <w:pPr>
            <w:pStyle w:val="Footer"/>
          </w:pPr>
        </w:p>
      </w:tc>
      <w:tc>
        <w:tcPr>
          <w:tcW w:w="1644" w:type="dxa"/>
          <w:tcBorders>
            <w:top w:val="single" w:sz="4" w:space="0" w:color="auto"/>
          </w:tcBorders>
          <w:shd w:val="clear" w:color="auto" w:fill="auto"/>
        </w:tcPr>
        <w:p w:rsidR="001F1E27" w:rsidRDefault="001F1E27" w:rsidP="00C03E9C">
          <w:pPr>
            <w:pStyle w:val="Footer"/>
            <w:ind w:left="-112"/>
          </w:pPr>
          <w:r>
            <w:t>References</w:t>
          </w:r>
        </w:p>
      </w:tc>
      <w:tc>
        <w:tcPr>
          <w:tcW w:w="510" w:type="dxa"/>
          <w:tcBorders>
            <w:top w:val="single" w:sz="4" w:space="0" w:color="auto"/>
          </w:tcBorders>
          <w:shd w:val="clear" w:color="auto" w:fill="auto"/>
        </w:tcPr>
        <w:p w:rsidR="001F1E27" w:rsidRPr="00AE4D5A" w:rsidRDefault="001F1E27" w:rsidP="00C03E9C">
          <w:pPr>
            <w:pStyle w:val="Footer"/>
            <w:ind w:right="-76"/>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E40343">
            <w:rPr>
              <w:rStyle w:val="PageNumber"/>
              <w:noProof/>
            </w:rPr>
            <w:t>227</w:t>
          </w:r>
          <w:r>
            <w:rPr>
              <w:rStyle w:val="PageNumber"/>
            </w:rPr>
            <w:fldChar w:fldCharType="end"/>
          </w:r>
        </w:p>
      </w:tc>
    </w:tr>
  </w:tbl>
  <w:p w:rsidR="001F1E27" w:rsidRPr="00AE4D5A" w:rsidRDefault="001F1E27" w:rsidP="00AE4D5A">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1E27" w:rsidRDefault="001F1E27">
      <w:r>
        <w:separator/>
      </w:r>
    </w:p>
  </w:footnote>
  <w:footnote w:type="continuationSeparator" w:id="0">
    <w:p w:rsidR="001F1E27" w:rsidRDefault="001F1E27">
      <w:r>
        <w:continuationSeparator/>
      </w:r>
    </w:p>
  </w:footnote>
  <w:footnote w:id="1">
    <w:p w:rsidR="001F1E27" w:rsidRDefault="001F1E27" w:rsidP="008E5E01">
      <w:pPr>
        <w:pStyle w:val="FootnoteText"/>
      </w:pPr>
      <w:r w:rsidRPr="004A2769">
        <w:rPr>
          <w:rStyle w:val="FootnoteReference"/>
        </w:rPr>
        <w:footnoteRef/>
      </w:r>
      <w:r>
        <w:t xml:space="preserve">  </w:t>
      </w:r>
      <w:r w:rsidRPr="00A52918">
        <w:t>These include the Australian National Audit Office’s 2011 assessment of the Tasmanian Freight Equalisation Scheme</w:t>
      </w:r>
      <w:r>
        <w:t xml:space="preserve"> </w:t>
      </w:r>
      <w:r w:rsidRPr="0093540F">
        <w:t>(</w:t>
      </w:r>
      <w:proofErr w:type="spellStart"/>
      <w:r w:rsidRPr="0093540F">
        <w:t>ANAO</w:t>
      </w:r>
      <w:proofErr w:type="spellEnd"/>
      <w:r w:rsidRPr="0093540F">
        <w:t> 2011)</w:t>
      </w:r>
      <w:r w:rsidRPr="00A52918">
        <w:t>; Infrastructure Australia’s Tasmanian ports and freight strategy report</w:t>
      </w:r>
      <w:r>
        <w:t xml:space="preserve"> </w:t>
      </w:r>
      <w:r w:rsidRPr="007C1471">
        <w:rPr>
          <w:szCs w:val="24"/>
        </w:rPr>
        <w:t>(Infrastructure Australia 2012b)</w:t>
      </w:r>
      <w:r w:rsidRPr="00A52918">
        <w:t>; and the Freight Logistics Coordination Team (established by the Australian and Tasmanian Governments in 2012 to provide expert advice on Tasmania’s freight system) report on delivering improved freight outcomes for Tasmania</w:t>
      </w:r>
      <w:r>
        <w:t xml:space="preserve"> </w:t>
      </w:r>
      <w:r w:rsidRPr="007C1471">
        <w:rPr>
          <w:szCs w:val="24"/>
        </w:rPr>
        <w:t>(FLCT 2013a)</w:t>
      </w:r>
      <w:r w:rsidRPr="00A52918">
        <w:t>.</w:t>
      </w:r>
    </w:p>
  </w:footnote>
  <w:footnote w:id="2">
    <w:p w:rsidR="001F1E27" w:rsidRDefault="001F1E27" w:rsidP="008E5E01">
      <w:pPr>
        <w:pStyle w:val="FootnoteText"/>
      </w:pPr>
      <w:r w:rsidRPr="004A2769">
        <w:rPr>
          <w:rStyle w:val="FootnoteReference"/>
        </w:rPr>
        <w:footnoteRef/>
      </w:r>
      <w:r>
        <w:t xml:space="preserve"> </w:t>
      </w:r>
      <w:r>
        <w:tab/>
        <w:t>In addition, direct employment by all three levels of government as a share of total employment was over 5 percentage points higher in Tasmania than for Australia as a whole in 2013.</w:t>
      </w:r>
    </w:p>
  </w:footnote>
  <w:footnote w:id="3">
    <w:p w:rsidR="001F1E27" w:rsidRDefault="001F1E27" w:rsidP="008E5E01">
      <w:pPr>
        <w:pStyle w:val="FootnoteText"/>
      </w:pPr>
      <w:r w:rsidRPr="004A2769">
        <w:rPr>
          <w:rStyle w:val="FootnoteReference"/>
        </w:rPr>
        <w:footnoteRef/>
      </w:r>
      <w:r>
        <w:t xml:space="preserve"> </w:t>
      </w:r>
      <w:r>
        <w:tab/>
      </w:r>
      <w:r w:rsidRPr="006E7D3A">
        <w:rPr>
          <w:spacing w:val="-4"/>
        </w:rPr>
        <w:t xml:space="preserve">These increases followed the decision to allow the (then) major carrier ANL to increase its rates after a period of almost five years without general rate increases, in response to cost pressures arising, in large part, from an increase </w:t>
      </w:r>
      <w:r>
        <w:rPr>
          <w:spacing w:val="-4"/>
        </w:rPr>
        <w:t xml:space="preserve">of 82 per cent </w:t>
      </w:r>
      <w:r w:rsidRPr="006E7D3A">
        <w:rPr>
          <w:spacing w:val="-4"/>
        </w:rPr>
        <w:t>in waterside workers</w:t>
      </w:r>
      <w:r>
        <w:rPr>
          <w:spacing w:val="-4"/>
        </w:rPr>
        <w:t xml:space="preserve">’ real earnings </w:t>
      </w:r>
      <w:r w:rsidRPr="007C1471">
        <w:rPr>
          <w:szCs w:val="24"/>
        </w:rPr>
        <w:t>(</w:t>
      </w:r>
      <w:proofErr w:type="spellStart"/>
      <w:r w:rsidRPr="007C1471">
        <w:rPr>
          <w:szCs w:val="24"/>
        </w:rPr>
        <w:t>ISC</w:t>
      </w:r>
      <w:proofErr w:type="spellEnd"/>
      <w:r w:rsidRPr="007C1471">
        <w:rPr>
          <w:szCs w:val="24"/>
        </w:rPr>
        <w:t> </w:t>
      </w:r>
      <w:proofErr w:type="spellStart"/>
      <w:r w:rsidRPr="007C1471">
        <w:rPr>
          <w:szCs w:val="24"/>
        </w:rPr>
        <w:t>1985a</w:t>
      </w:r>
      <w:proofErr w:type="spellEnd"/>
      <w:r w:rsidRPr="007C1471">
        <w:rPr>
          <w:szCs w:val="24"/>
        </w:rPr>
        <w:t>)</w:t>
      </w:r>
      <w:r w:rsidRPr="006E7D3A">
        <w:rPr>
          <w:spacing w:val="-4"/>
        </w:rPr>
        <w:t>.</w:t>
      </w:r>
    </w:p>
  </w:footnote>
  <w:footnote w:id="4">
    <w:p w:rsidR="001F1E27" w:rsidRDefault="001F1E27" w:rsidP="008E5E01">
      <w:pPr>
        <w:pStyle w:val="FootnoteText"/>
      </w:pPr>
      <w:r w:rsidRPr="004A2769">
        <w:rPr>
          <w:rStyle w:val="FootnoteReference"/>
        </w:rPr>
        <w:footnoteRef/>
      </w:r>
      <w:r>
        <w:t xml:space="preserve"> </w:t>
      </w:r>
      <w:r>
        <w:tab/>
        <w:t>The most comprehensive time series data on trends in real freight rates for Australian land and sea based transport are compiled by BITRE. The most recent update to this series, which includes data for the period 1964</w:t>
      </w:r>
      <w:r>
        <w:noBreakHyphen/>
        <w:t>65 to 2007</w:t>
      </w:r>
      <w:r>
        <w:noBreakHyphen/>
        <w:t xml:space="preserve">08, was provided in </w:t>
      </w:r>
      <w:r w:rsidRPr="007523FB">
        <w:t>BITRE </w:t>
      </w:r>
      <w:r w:rsidRPr="00EE4741">
        <w:t>(2008a)</w:t>
      </w:r>
      <w:r>
        <w:t xml:space="preserve">.  </w:t>
      </w:r>
    </w:p>
  </w:footnote>
  <w:footnote w:id="5">
    <w:p w:rsidR="001F1E27" w:rsidRDefault="001F1E27" w:rsidP="008E5E01">
      <w:pPr>
        <w:pStyle w:val="FootnoteText"/>
      </w:pPr>
      <w:r w:rsidRPr="004A2769">
        <w:rPr>
          <w:rStyle w:val="FootnoteReference"/>
        </w:rPr>
        <w:footnoteRef/>
      </w:r>
      <w:r>
        <w:t xml:space="preserve"> </w:t>
      </w:r>
      <w:r>
        <w:tab/>
      </w:r>
      <w:r w:rsidRPr="00DD6F42">
        <w:rPr>
          <w:spacing w:val="-4"/>
        </w:rPr>
        <w:t xml:space="preserve">The TFES data set is administrative data used by the </w:t>
      </w:r>
      <w:r>
        <w:rPr>
          <w:spacing w:val="-4"/>
        </w:rPr>
        <w:t xml:space="preserve">Australian Government </w:t>
      </w:r>
      <w:r w:rsidRPr="00DD6F42">
        <w:rPr>
          <w:spacing w:val="-4"/>
        </w:rPr>
        <w:t>Department of Human Services to administer claims. BITRE </w:t>
      </w:r>
      <w:r w:rsidRPr="00EE4741">
        <w:t>(2013b)</w:t>
      </w:r>
      <w:r w:rsidRPr="00DD6F42">
        <w:rPr>
          <w:spacing w:val="-4"/>
        </w:rPr>
        <w:t xml:space="preserve"> advises that the structure of the database reflects how shippers arrange freight shipments and make claims and chosen claim method can affect the median calculation where a large quantity of freight and/or a large number of shipments are involved.</w:t>
      </w:r>
    </w:p>
  </w:footnote>
  <w:footnote w:id="6">
    <w:p w:rsidR="001F1E27" w:rsidRDefault="001F1E27" w:rsidP="008E5E01">
      <w:pPr>
        <w:pStyle w:val="FootnoteText"/>
      </w:pPr>
      <w:r w:rsidRPr="004A2769">
        <w:rPr>
          <w:rStyle w:val="FootnoteReference"/>
        </w:rPr>
        <w:footnoteRef/>
      </w:r>
      <w:r>
        <w:t xml:space="preserve"> </w:t>
      </w:r>
      <w:r>
        <w:tab/>
      </w:r>
      <w:r w:rsidRPr="007E4429">
        <w:rPr>
          <w:szCs w:val="24"/>
        </w:rPr>
        <w:t>S</w:t>
      </w:r>
      <w:r>
        <w:rPr>
          <w:szCs w:val="24"/>
        </w:rPr>
        <w:t>KM</w:t>
      </w:r>
      <w:r w:rsidRPr="007E4429">
        <w:rPr>
          <w:szCs w:val="24"/>
        </w:rPr>
        <w:t> </w:t>
      </w:r>
      <w:r w:rsidRPr="00201A2F">
        <w:t>(2010)</w:t>
      </w:r>
      <w:r>
        <w:t xml:space="preserve"> suggested that approximately one third of potential carrying capacity on average may not be utilised for inter-capital long haul routes. </w:t>
      </w:r>
    </w:p>
  </w:footnote>
  <w:footnote w:id="7">
    <w:p w:rsidR="001F1E27" w:rsidRDefault="001F1E27" w:rsidP="008E5E01">
      <w:pPr>
        <w:pStyle w:val="FootnoteText"/>
      </w:pPr>
      <w:r>
        <w:rPr>
          <w:rStyle w:val="FootnoteReference"/>
        </w:rPr>
        <w:footnoteRef/>
      </w:r>
      <w:r>
        <w:t xml:space="preserve"> </w:t>
      </w:r>
      <w:r>
        <w:tab/>
      </w:r>
      <w:r w:rsidRPr="00E946BD">
        <w:t xml:space="preserve">By contrast, data and assumptions underlying the BITRE per kilometre road freight rates are published in SKM </w:t>
      </w:r>
      <w:r w:rsidRPr="00D13CAE">
        <w:t>(2013)</w:t>
      </w:r>
      <w:r>
        <w:t>.</w:t>
      </w:r>
    </w:p>
  </w:footnote>
  <w:footnote w:id="8">
    <w:p w:rsidR="001F1E27" w:rsidRDefault="001F1E27" w:rsidP="008E5E01">
      <w:pPr>
        <w:pStyle w:val="FootnoteText"/>
      </w:pPr>
      <w:r w:rsidRPr="004A2769">
        <w:rPr>
          <w:rStyle w:val="FootnoteReference"/>
        </w:rPr>
        <w:footnoteRef/>
      </w:r>
      <w:r>
        <w:t xml:space="preserve"> </w:t>
      </w:r>
      <w:r>
        <w:tab/>
        <w:t>H</w:t>
      </w:r>
      <w:r w:rsidRPr="009E006A">
        <w:t xml:space="preserve">owever </w:t>
      </w:r>
      <w:r>
        <w:t xml:space="preserve">the </w:t>
      </w:r>
      <w:r w:rsidRPr="00EB1542">
        <w:rPr>
          <w:szCs w:val="24"/>
        </w:rPr>
        <w:t>Aurecon </w:t>
      </w:r>
      <w:r w:rsidRPr="00D13CAE">
        <w:t>(2013a)</w:t>
      </w:r>
      <w:r>
        <w:t xml:space="preserve"> study</w:t>
      </w:r>
      <w:r w:rsidRPr="009E006A">
        <w:t xml:space="preserve"> does </w:t>
      </w:r>
      <w:r>
        <w:t>acknowledge</w:t>
      </w:r>
      <w:r w:rsidRPr="009E006A">
        <w:t xml:space="preserve"> elsewhere that the cost of moving empty containers may be included in the freight rates for some shippers</w:t>
      </w:r>
      <w:r>
        <w:t>.</w:t>
      </w:r>
    </w:p>
  </w:footnote>
  <w:footnote w:id="9">
    <w:p w:rsidR="001F1E27" w:rsidRDefault="001F1E27">
      <w:pPr>
        <w:pStyle w:val="FootnoteText"/>
      </w:pPr>
      <w:r>
        <w:rPr>
          <w:rStyle w:val="FootnoteReference"/>
        </w:rPr>
        <w:footnoteRef/>
      </w:r>
      <w:r>
        <w:t xml:space="preserve"> </w:t>
      </w:r>
      <w:r>
        <w:tab/>
        <w:t xml:space="preserve">BITRE notes that falls in </w:t>
      </w:r>
      <w:r w:rsidRPr="002F66DF">
        <w:t>discount</w:t>
      </w:r>
      <w:r>
        <w:t xml:space="preserve"> airfares have been the driver of the rapid growth in the number of air passengers travelling across Bass Strait since 2003</w:t>
      </w:r>
      <w:r>
        <w:noBreakHyphen/>
        <w:t>04.</w:t>
      </w:r>
    </w:p>
  </w:footnote>
  <w:footnote w:id="10">
    <w:p w:rsidR="001F1E27" w:rsidRDefault="001F1E27">
      <w:pPr>
        <w:pStyle w:val="FootnoteText"/>
      </w:pPr>
      <w:r>
        <w:rPr>
          <w:rStyle w:val="FootnoteReference"/>
        </w:rPr>
        <w:footnoteRef/>
      </w:r>
      <w:r>
        <w:t xml:space="preserve"> </w:t>
      </w:r>
      <w:r>
        <w:tab/>
        <w:t>Combining roll-on roll-off and passenger carrying capabilities.</w:t>
      </w:r>
    </w:p>
  </w:footnote>
  <w:footnote w:id="11">
    <w:p w:rsidR="001F1E27" w:rsidRDefault="001F1E27">
      <w:pPr>
        <w:pStyle w:val="FootnoteText"/>
      </w:pPr>
      <w:r>
        <w:rPr>
          <w:rStyle w:val="FootnoteReference"/>
        </w:rPr>
        <w:footnoteRef/>
      </w:r>
      <w:r>
        <w:t xml:space="preserve"> </w:t>
      </w:r>
      <w:r>
        <w:tab/>
        <w:t>A</w:t>
      </w:r>
      <w:r w:rsidRPr="00A53FF4">
        <w:t xml:space="preserve"> direct international container service involves a voyage that includes </w:t>
      </w:r>
      <w:r>
        <w:t xml:space="preserve">one or more </w:t>
      </w:r>
      <w:r w:rsidRPr="00A53FF4">
        <w:t>stops at international ports</w:t>
      </w:r>
      <w:r>
        <w:t>.</w:t>
      </w:r>
    </w:p>
  </w:footnote>
  <w:footnote w:id="12">
    <w:p w:rsidR="001F1E27" w:rsidRDefault="001F1E27">
      <w:pPr>
        <w:pStyle w:val="FootnoteText"/>
      </w:pPr>
      <w:r>
        <w:rPr>
          <w:rStyle w:val="FootnoteReference"/>
        </w:rPr>
        <w:footnoteRef/>
      </w:r>
      <w:r>
        <w:t xml:space="preserve"> </w:t>
      </w:r>
      <w:r>
        <w:tab/>
        <w:t xml:space="preserve">At the time of </w:t>
      </w:r>
      <w:proofErr w:type="spellStart"/>
      <w:r>
        <w:t>AAA’s</w:t>
      </w:r>
      <w:proofErr w:type="spellEnd"/>
      <w:r>
        <w:t xml:space="preserve"> withdrawal the service was operating on a fortnightly basis (SeaRoad, sub. 81).</w:t>
      </w:r>
    </w:p>
  </w:footnote>
  <w:footnote w:id="13">
    <w:p w:rsidR="001F1E27" w:rsidRDefault="001F1E27" w:rsidP="008E5E01">
      <w:pPr>
        <w:pStyle w:val="FootnoteText"/>
      </w:pPr>
      <w:r>
        <w:rPr>
          <w:rStyle w:val="FootnoteReference"/>
        </w:rPr>
        <w:footnoteRef/>
      </w:r>
      <w:r>
        <w:t xml:space="preserve"> </w:t>
      </w:r>
      <w:r>
        <w:tab/>
        <w:t>ANL and Agility Logistics also previously shipped container freight through Bell Bay.</w:t>
      </w:r>
    </w:p>
  </w:footnote>
  <w:footnote w:id="14">
    <w:p w:rsidR="001F1E27" w:rsidRDefault="001F1E27" w:rsidP="008E5E01">
      <w:pPr>
        <w:pStyle w:val="FootnoteText"/>
      </w:pPr>
      <w:r w:rsidRPr="004A2769">
        <w:rPr>
          <w:rStyle w:val="FootnoteReference"/>
        </w:rPr>
        <w:footnoteRef/>
      </w:r>
      <w:r>
        <w:t xml:space="preserve"> </w:t>
      </w:r>
      <w:r>
        <w:tab/>
        <w:t>Toll and SeaRoad have minimal capacity to service this market.</w:t>
      </w:r>
    </w:p>
  </w:footnote>
  <w:footnote w:id="15">
    <w:p w:rsidR="001F1E27" w:rsidRDefault="001F1E27">
      <w:pPr>
        <w:pStyle w:val="FootnoteText"/>
      </w:pPr>
      <w:r>
        <w:rPr>
          <w:rStyle w:val="FootnoteReference"/>
        </w:rPr>
        <w:footnoteRef/>
      </w:r>
      <w:r>
        <w:t xml:space="preserve"> </w:t>
      </w:r>
      <w:r>
        <w:tab/>
        <w:t>Some of this difference may be explained by ships operating under transitional general licences.</w:t>
      </w:r>
    </w:p>
  </w:footnote>
  <w:footnote w:id="16">
    <w:p w:rsidR="001F1E27" w:rsidRDefault="001F1E27" w:rsidP="008E5E01">
      <w:pPr>
        <w:pStyle w:val="FootnoteText"/>
      </w:pPr>
      <w:r>
        <w:rPr>
          <w:rStyle w:val="FootnoteReference"/>
        </w:rPr>
        <w:footnoteRef/>
      </w:r>
      <w:r>
        <w:tab/>
        <w:t xml:space="preserve">As an indication of this, BITRE has estimated the </w:t>
      </w:r>
      <w:r w:rsidRPr="00DB77FD">
        <w:t xml:space="preserve">median total door to door cost </w:t>
      </w:r>
      <w:r>
        <w:t xml:space="preserve">for TFES claims is around </w:t>
      </w:r>
      <w:r w:rsidRPr="00DB77FD">
        <w:t>$1800 per TEU</w:t>
      </w:r>
      <w:r>
        <w:t>.</w:t>
      </w:r>
    </w:p>
  </w:footnote>
  <w:footnote w:id="17">
    <w:p w:rsidR="001F1E27" w:rsidRDefault="001F1E27" w:rsidP="008E5E01">
      <w:pPr>
        <w:pStyle w:val="FootnoteText"/>
      </w:pPr>
      <w:r w:rsidRPr="004A2769">
        <w:rPr>
          <w:rStyle w:val="FootnoteReference"/>
        </w:rPr>
        <w:footnoteRef/>
      </w:r>
      <w:r>
        <w:t xml:space="preserve"> </w:t>
      </w:r>
      <w:r>
        <w:tab/>
        <w:t>Flinders Ports was privatised by the South Australian Government in 2001 and operates seven ports, including Port of Adelaide.</w:t>
      </w:r>
    </w:p>
  </w:footnote>
  <w:footnote w:id="18">
    <w:p w:rsidR="001F1E27" w:rsidRDefault="001F1E27" w:rsidP="008E5E01">
      <w:pPr>
        <w:pStyle w:val="FootnoteText"/>
      </w:pPr>
      <w:r w:rsidRPr="004A2769">
        <w:rPr>
          <w:rStyle w:val="FootnoteReference"/>
        </w:rPr>
        <w:footnoteRef/>
      </w:r>
      <w:r>
        <w:t xml:space="preserve"> </w:t>
      </w:r>
      <w:r>
        <w:tab/>
        <w:t xml:space="preserve">Efficiency and productivity of ports is often captured in measures such as average container turnaround time, the number of containers a dockside crane lifts on or off a container ship in an hour, and the rate at which the ship is unloaded </w:t>
      </w:r>
      <w:r w:rsidRPr="007C1471">
        <w:rPr>
          <w:szCs w:val="24"/>
        </w:rPr>
        <w:t>(</w:t>
      </w:r>
      <w:proofErr w:type="spellStart"/>
      <w:r w:rsidRPr="007C1471">
        <w:rPr>
          <w:szCs w:val="24"/>
        </w:rPr>
        <w:t>BITRE</w:t>
      </w:r>
      <w:proofErr w:type="spellEnd"/>
      <w:r w:rsidRPr="007C1471">
        <w:rPr>
          <w:szCs w:val="24"/>
        </w:rPr>
        <w:t> </w:t>
      </w:r>
      <w:proofErr w:type="spellStart"/>
      <w:r w:rsidRPr="007C1471">
        <w:rPr>
          <w:szCs w:val="24"/>
        </w:rPr>
        <w:t>2013d</w:t>
      </w:r>
      <w:proofErr w:type="spellEnd"/>
      <w:r w:rsidRPr="007C1471">
        <w:rPr>
          <w:szCs w:val="24"/>
        </w:rPr>
        <w:t>)</w:t>
      </w:r>
      <w:r>
        <w:t xml:space="preserve">. </w:t>
      </w:r>
    </w:p>
  </w:footnote>
  <w:footnote w:id="19">
    <w:p w:rsidR="001F1E27" w:rsidRDefault="001F1E27">
      <w:pPr>
        <w:pStyle w:val="FootnoteText"/>
      </w:pPr>
      <w:r>
        <w:rPr>
          <w:rStyle w:val="FootnoteReference"/>
        </w:rPr>
        <w:footnoteRef/>
      </w:r>
      <w:r>
        <w:t xml:space="preserve"> </w:t>
      </w:r>
      <w:r>
        <w:tab/>
        <w:t xml:space="preserve">Community service obligations are non-commercial activities performed by </w:t>
      </w:r>
      <w:proofErr w:type="spellStart"/>
      <w:r>
        <w:t>GTEs</w:t>
      </w:r>
      <w:proofErr w:type="spellEnd"/>
      <w:r>
        <w:t xml:space="preserve"> in the pursuit of community benefits, at the behest of government. Typically the activities would not be undertaken by a business operating under commercial imperatives </w:t>
      </w:r>
      <w:r w:rsidRPr="00D4137D">
        <w:rPr>
          <w:szCs w:val="24"/>
        </w:rPr>
        <w:t>(PC 2008)</w:t>
      </w:r>
      <w:r>
        <w:t>.</w:t>
      </w:r>
    </w:p>
  </w:footnote>
  <w:footnote w:id="20">
    <w:p w:rsidR="001F1E27" w:rsidRDefault="001F1E27" w:rsidP="008E5E01">
      <w:pPr>
        <w:pStyle w:val="FootnoteText"/>
      </w:pPr>
      <w:r>
        <w:rPr>
          <w:rStyle w:val="FootnoteReference"/>
        </w:rPr>
        <w:footnoteRef/>
      </w:r>
      <w:r>
        <w:tab/>
      </w:r>
      <w:r w:rsidRPr="00705147">
        <w:t>Although the comparison provided (with the Port of Gladstone) is complicated by differences in the scale of operations and available infrastructure at each port.</w:t>
      </w:r>
    </w:p>
  </w:footnote>
  <w:footnote w:id="21">
    <w:p w:rsidR="001F1E27" w:rsidRDefault="001F1E27" w:rsidP="008E5E01">
      <w:pPr>
        <w:pStyle w:val="FootnoteText"/>
      </w:pPr>
      <w:r w:rsidRPr="004A2769">
        <w:rPr>
          <w:rStyle w:val="FootnoteReference"/>
        </w:rPr>
        <w:footnoteRef/>
      </w:r>
      <w:r>
        <w:tab/>
        <w:t xml:space="preserve">B-Doubles were reported separately in the 2008-09 Tasmanian Freight Survey, but combined with rigid trucks and trailers in the 2011-12 survey. </w:t>
      </w:r>
    </w:p>
  </w:footnote>
  <w:footnote w:id="22">
    <w:p w:rsidR="001F1E27" w:rsidRDefault="001F1E27" w:rsidP="008E5E01">
      <w:pPr>
        <w:pStyle w:val="FootnoteText"/>
      </w:pPr>
      <w:r w:rsidRPr="004A2769">
        <w:rPr>
          <w:rStyle w:val="FootnoteReference"/>
        </w:rPr>
        <w:footnoteRef/>
      </w:r>
      <w:r>
        <w:tab/>
        <w:t xml:space="preserve">In 2009-10, national rail freight movements (bulk and non-bulk) totalled 259 billion tonne kilometres, versus 192 billion tonne kilometres moved by road </w:t>
      </w:r>
      <w:r w:rsidRPr="007C1471">
        <w:rPr>
          <w:szCs w:val="24"/>
        </w:rPr>
        <w:t>(</w:t>
      </w:r>
      <w:proofErr w:type="spellStart"/>
      <w:r w:rsidRPr="007C1471">
        <w:rPr>
          <w:szCs w:val="24"/>
        </w:rPr>
        <w:t>BITRE</w:t>
      </w:r>
      <w:proofErr w:type="spellEnd"/>
      <w:r w:rsidRPr="007C1471">
        <w:rPr>
          <w:szCs w:val="24"/>
        </w:rPr>
        <w:t> </w:t>
      </w:r>
      <w:proofErr w:type="spellStart"/>
      <w:r w:rsidRPr="007C1471">
        <w:rPr>
          <w:szCs w:val="24"/>
        </w:rPr>
        <w:t>2013e</w:t>
      </w:r>
      <w:proofErr w:type="spellEnd"/>
      <w:r w:rsidRPr="007C1471">
        <w:rPr>
          <w:szCs w:val="24"/>
        </w:rPr>
        <w:t>)</w:t>
      </w:r>
      <w:r>
        <w:t>.</w:t>
      </w:r>
    </w:p>
  </w:footnote>
  <w:footnote w:id="23">
    <w:p w:rsidR="001F1E27" w:rsidRDefault="001F1E27" w:rsidP="008E5E01">
      <w:pPr>
        <w:pStyle w:val="FootnoteText"/>
      </w:pPr>
      <w:r w:rsidRPr="004A2769">
        <w:rPr>
          <w:rStyle w:val="FootnoteReference"/>
        </w:rPr>
        <w:footnoteRef/>
      </w:r>
      <w:r>
        <w:tab/>
        <w:t>This program has been retitled as the Infrastructure Investment program under the current Australian Government.</w:t>
      </w:r>
    </w:p>
  </w:footnote>
  <w:footnote w:id="24">
    <w:p w:rsidR="001F1E27" w:rsidRDefault="001F1E27">
      <w:pPr>
        <w:pStyle w:val="FootnoteText"/>
      </w:pPr>
      <w:r w:rsidRPr="007E3DF7">
        <w:rPr>
          <w:rStyle w:val="FootnoteReference"/>
        </w:rPr>
        <w:footnoteRef/>
      </w:r>
      <w:r>
        <w:t xml:space="preserve"> Details on the latter are available in a Tasmanian Government submission to this inquiry (sub. </w:t>
      </w:r>
      <w:proofErr w:type="spellStart"/>
      <w:r>
        <w:t>DR85</w:t>
      </w:r>
      <w:proofErr w:type="spellEnd"/>
      <w:r>
        <w:t>, p. 16) and from their website.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F1E27" w:rsidTr="00AE4D5A">
      <w:trPr>
        <w:trHeight w:val="300"/>
      </w:trPr>
      <w:tc>
        <w:tcPr>
          <w:tcW w:w="2154" w:type="dxa"/>
          <w:tcBorders>
            <w:top w:val="single" w:sz="24" w:space="0" w:color="auto"/>
          </w:tcBorders>
          <w:shd w:val="clear" w:color="auto" w:fill="auto"/>
        </w:tcPr>
        <w:p w:rsidR="001F1E27" w:rsidRDefault="001F1E27" w:rsidP="00AE4D5A">
          <w:pPr>
            <w:pStyle w:val="HeaderEven"/>
          </w:pPr>
        </w:p>
      </w:tc>
      <w:tc>
        <w:tcPr>
          <w:tcW w:w="6633" w:type="dxa"/>
          <w:tcBorders>
            <w:top w:val="single" w:sz="4" w:space="0" w:color="auto"/>
          </w:tcBorders>
          <w:shd w:val="clear" w:color="auto" w:fill="auto"/>
        </w:tcPr>
        <w:p w:rsidR="001F1E27" w:rsidRDefault="001F1E27" w:rsidP="00AE4D5A">
          <w:pPr>
            <w:pStyle w:val="HeaderEven"/>
          </w:pPr>
        </w:p>
      </w:tc>
    </w:tr>
  </w:tbl>
  <w:p w:rsidR="001F1E27" w:rsidRPr="00AE4D5A" w:rsidRDefault="001F1E27" w:rsidP="00AE4D5A">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F1E27" w:rsidTr="00AE4D5A">
      <w:trPr>
        <w:trHeight w:val="300"/>
      </w:trPr>
      <w:tc>
        <w:tcPr>
          <w:tcW w:w="6633" w:type="dxa"/>
          <w:tcBorders>
            <w:top w:val="single" w:sz="4" w:space="0" w:color="auto"/>
          </w:tcBorders>
          <w:shd w:val="clear" w:color="auto" w:fill="auto"/>
        </w:tcPr>
        <w:p w:rsidR="001F1E27" w:rsidRDefault="001F1E27" w:rsidP="00AE4D5A">
          <w:pPr>
            <w:pStyle w:val="HeaderOdd"/>
          </w:pPr>
        </w:p>
      </w:tc>
      <w:tc>
        <w:tcPr>
          <w:tcW w:w="2154" w:type="dxa"/>
          <w:tcBorders>
            <w:top w:val="single" w:sz="24" w:space="0" w:color="auto"/>
          </w:tcBorders>
          <w:shd w:val="clear" w:color="auto" w:fill="auto"/>
        </w:tcPr>
        <w:p w:rsidR="001F1E27" w:rsidRDefault="001F1E27" w:rsidP="00AE4D5A">
          <w:pPr>
            <w:pStyle w:val="HeaderOdd"/>
          </w:pPr>
        </w:p>
      </w:tc>
    </w:tr>
  </w:tbl>
  <w:p w:rsidR="001F1E27" w:rsidRPr="00AE4D5A" w:rsidRDefault="001F1E27" w:rsidP="00AE4D5A">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734506D"/>
    <w:multiLevelType w:val="hybridMultilevel"/>
    <w:tmpl w:val="5DA4FB60"/>
    <w:lvl w:ilvl="0" w:tplc="3BA6DD68">
      <w:start w:val="7"/>
      <w:numFmt w:val="decimal"/>
      <w:lvlText w:val="%1."/>
      <w:lvlJc w:val="left"/>
      <w:pPr>
        <w:ind w:left="700" w:hanging="360"/>
      </w:pPr>
      <w:rPr>
        <w:rFonts w:hint="default"/>
      </w:rPr>
    </w:lvl>
    <w:lvl w:ilvl="1" w:tplc="0C090019">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37AA20A0"/>
    <w:multiLevelType w:val="hybridMultilevel"/>
    <w:tmpl w:val="AA3AF254"/>
    <w:lvl w:ilvl="0" w:tplc="0020399C">
      <w:start w:val="1"/>
      <w:numFmt w:val="decimal"/>
      <w:lvlText w:val="%1."/>
      <w:lvlJc w:val="left"/>
      <w:pPr>
        <w:ind w:left="70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7">
    <w:nsid w:val="75493E22"/>
    <w:multiLevelType w:val="hybridMultilevel"/>
    <w:tmpl w:val="D896AA3A"/>
    <w:lvl w:ilvl="0" w:tplc="37E6E168">
      <w:start w:val="7"/>
      <w:numFmt w:val="decimal"/>
      <w:lvlText w:val="%1."/>
      <w:lvlJc w:val="left"/>
      <w:pPr>
        <w:ind w:left="700" w:hanging="360"/>
      </w:pPr>
      <w:rPr>
        <w:rFonts w:hint="default"/>
      </w:rPr>
    </w:lvl>
    <w:lvl w:ilvl="1" w:tplc="0C090019">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2"/>
  </w:num>
  <w:num w:numId="3">
    <w:abstractNumId w:val="18"/>
  </w:num>
  <w:num w:numId="4">
    <w:abstractNumId w:val="0"/>
  </w:num>
  <w:num w:numId="5">
    <w:abstractNumId w:val="12"/>
  </w:num>
  <w:num w:numId="6">
    <w:abstractNumId w:val="1"/>
  </w:num>
  <w:num w:numId="7">
    <w:abstractNumId w:val="16"/>
  </w:num>
  <w:num w:numId="8">
    <w:abstractNumId w:val="14"/>
  </w:num>
  <w:num w:numId="9">
    <w:abstractNumId w:val="19"/>
  </w:num>
  <w:num w:numId="10">
    <w:abstractNumId w:val="5"/>
  </w:num>
  <w:num w:numId="11">
    <w:abstractNumId w:val="13"/>
  </w:num>
  <w:num w:numId="12">
    <w:abstractNumId w:val="4"/>
  </w:num>
  <w:num w:numId="13">
    <w:abstractNumId w:val="3"/>
  </w:num>
  <w:num w:numId="14">
    <w:abstractNumId w:val="7"/>
  </w:num>
  <w:num w:numId="15">
    <w:abstractNumId w:val="8"/>
  </w:num>
  <w:num w:numId="16">
    <w:abstractNumId w:val="11"/>
  </w:num>
  <w:num w:numId="17">
    <w:abstractNumId w:val="2"/>
  </w:num>
  <w:num w:numId="18">
    <w:abstractNumId w:val="15"/>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num>
  <w:num w:numId="21">
    <w:abstractNumId w:val="17"/>
  </w:num>
  <w:num w:numId="22">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proofState w:spelling="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E4D5A"/>
    <w:rsid w:val="000227D5"/>
    <w:rsid w:val="000245AA"/>
    <w:rsid w:val="0003664B"/>
    <w:rsid w:val="00040750"/>
    <w:rsid w:val="0004111F"/>
    <w:rsid w:val="000565B3"/>
    <w:rsid w:val="0006460E"/>
    <w:rsid w:val="0007150B"/>
    <w:rsid w:val="000728D8"/>
    <w:rsid w:val="000938F5"/>
    <w:rsid w:val="00096E55"/>
    <w:rsid w:val="000B601B"/>
    <w:rsid w:val="000C207E"/>
    <w:rsid w:val="000C756F"/>
    <w:rsid w:val="000F0035"/>
    <w:rsid w:val="000F420B"/>
    <w:rsid w:val="00110116"/>
    <w:rsid w:val="00120072"/>
    <w:rsid w:val="00126EB8"/>
    <w:rsid w:val="001274D4"/>
    <w:rsid w:val="001362E4"/>
    <w:rsid w:val="001363AA"/>
    <w:rsid w:val="00144816"/>
    <w:rsid w:val="0016340B"/>
    <w:rsid w:val="00183E82"/>
    <w:rsid w:val="00186032"/>
    <w:rsid w:val="001878BB"/>
    <w:rsid w:val="00191AE0"/>
    <w:rsid w:val="0019293B"/>
    <w:rsid w:val="0019426B"/>
    <w:rsid w:val="001C0865"/>
    <w:rsid w:val="001C3ABA"/>
    <w:rsid w:val="001C701E"/>
    <w:rsid w:val="001E7BE8"/>
    <w:rsid w:val="001F0248"/>
    <w:rsid w:val="001F110A"/>
    <w:rsid w:val="001F1E27"/>
    <w:rsid w:val="001F3EB3"/>
    <w:rsid w:val="001F4F86"/>
    <w:rsid w:val="00202C2C"/>
    <w:rsid w:val="00207B70"/>
    <w:rsid w:val="002135AB"/>
    <w:rsid w:val="002144BE"/>
    <w:rsid w:val="002221AC"/>
    <w:rsid w:val="0023538F"/>
    <w:rsid w:val="00242279"/>
    <w:rsid w:val="00245C82"/>
    <w:rsid w:val="00265EBE"/>
    <w:rsid w:val="00291B40"/>
    <w:rsid w:val="002B4008"/>
    <w:rsid w:val="002C0A13"/>
    <w:rsid w:val="002C40DA"/>
    <w:rsid w:val="002D0E8E"/>
    <w:rsid w:val="002E3AFE"/>
    <w:rsid w:val="002F1BE1"/>
    <w:rsid w:val="00301189"/>
    <w:rsid w:val="00313C56"/>
    <w:rsid w:val="00323E09"/>
    <w:rsid w:val="00333932"/>
    <w:rsid w:val="003518AA"/>
    <w:rsid w:val="00352165"/>
    <w:rsid w:val="00353182"/>
    <w:rsid w:val="003565D9"/>
    <w:rsid w:val="003602E1"/>
    <w:rsid w:val="0037026F"/>
    <w:rsid w:val="00371240"/>
    <w:rsid w:val="00374731"/>
    <w:rsid w:val="00376E59"/>
    <w:rsid w:val="003819CA"/>
    <w:rsid w:val="00390ED1"/>
    <w:rsid w:val="003919F9"/>
    <w:rsid w:val="003A35EA"/>
    <w:rsid w:val="003B20E1"/>
    <w:rsid w:val="003C38B5"/>
    <w:rsid w:val="003C5D99"/>
    <w:rsid w:val="003E2F59"/>
    <w:rsid w:val="003F0789"/>
    <w:rsid w:val="003F0C6F"/>
    <w:rsid w:val="00401882"/>
    <w:rsid w:val="00406570"/>
    <w:rsid w:val="004100C8"/>
    <w:rsid w:val="00411DBD"/>
    <w:rsid w:val="00412ACE"/>
    <w:rsid w:val="00431249"/>
    <w:rsid w:val="00434C19"/>
    <w:rsid w:val="00450810"/>
    <w:rsid w:val="00477144"/>
    <w:rsid w:val="00482747"/>
    <w:rsid w:val="00491380"/>
    <w:rsid w:val="0049459F"/>
    <w:rsid w:val="004A109E"/>
    <w:rsid w:val="004A38DD"/>
    <w:rsid w:val="004A6E38"/>
    <w:rsid w:val="004B08A9"/>
    <w:rsid w:val="004B43AE"/>
    <w:rsid w:val="004C30ED"/>
    <w:rsid w:val="004D448A"/>
    <w:rsid w:val="004D5675"/>
    <w:rsid w:val="0050299D"/>
    <w:rsid w:val="00523639"/>
    <w:rsid w:val="00531FE5"/>
    <w:rsid w:val="005402FA"/>
    <w:rsid w:val="00583C39"/>
    <w:rsid w:val="00587F28"/>
    <w:rsid w:val="005909CF"/>
    <w:rsid w:val="00591E71"/>
    <w:rsid w:val="005A0D41"/>
    <w:rsid w:val="005E62EC"/>
    <w:rsid w:val="005F6693"/>
    <w:rsid w:val="006040B1"/>
    <w:rsid w:val="00607BF1"/>
    <w:rsid w:val="00612800"/>
    <w:rsid w:val="00630D4D"/>
    <w:rsid w:val="00632A74"/>
    <w:rsid w:val="00650DD0"/>
    <w:rsid w:val="00695DAE"/>
    <w:rsid w:val="006A4655"/>
    <w:rsid w:val="006B2B3C"/>
    <w:rsid w:val="006C1D81"/>
    <w:rsid w:val="006C7038"/>
    <w:rsid w:val="006D65CA"/>
    <w:rsid w:val="006E73EF"/>
    <w:rsid w:val="0070311C"/>
    <w:rsid w:val="00714D4D"/>
    <w:rsid w:val="00744B4C"/>
    <w:rsid w:val="007604BB"/>
    <w:rsid w:val="00785232"/>
    <w:rsid w:val="007A21EB"/>
    <w:rsid w:val="007B1A93"/>
    <w:rsid w:val="007B48B7"/>
    <w:rsid w:val="007C1471"/>
    <w:rsid w:val="007C36C9"/>
    <w:rsid w:val="007D6401"/>
    <w:rsid w:val="007E01E4"/>
    <w:rsid w:val="007F7107"/>
    <w:rsid w:val="00800D4C"/>
    <w:rsid w:val="0081030F"/>
    <w:rsid w:val="0082087D"/>
    <w:rsid w:val="00831DC0"/>
    <w:rsid w:val="00832EC1"/>
    <w:rsid w:val="00835771"/>
    <w:rsid w:val="00842933"/>
    <w:rsid w:val="0086082C"/>
    <w:rsid w:val="00864ADC"/>
    <w:rsid w:val="00871493"/>
    <w:rsid w:val="00874ECA"/>
    <w:rsid w:val="00880153"/>
    <w:rsid w:val="00880F97"/>
    <w:rsid w:val="0088133A"/>
    <w:rsid w:val="00890696"/>
    <w:rsid w:val="0089285E"/>
    <w:rsid w:val="0089436C"/>
    <w:rsid w:val="008B6170"/>
    <w:rsid w:val="008D365C"/>
    <w:rsid w:val="008E08FC"/>
    <w:rsid w:val="008E5E01"/>
    <w:rsid w:val="009030BF"/>
    <w:rsid w:val="0091032F"/>
    <w:rsid w:val="00914368"/>
    <w:rsid w:val="00916326"/>
    <w:rsid w:val="00931076"/>
    <w:rsid w:val="009345D9"/>
    <w:rsid w:val="00934B15"/>
    <w:rsid w:val="00940C87"/>
    <w:rsid w:val="00942B62"/>
    <w:rsid w:val="0095323B"/>
    <w:rsid w:val="00956A0C"/>
    <w:rsid w:val="00956BD9"/>
    <w:rsid w:val="00962489"/>
    <w:rsid w:val="00990C2C"/>
    <w:rsid w:val="00992690"/>
    <w:rsid w:val="009C4860"/>
    <w:rsid w:val="009D4206"/>
    <w:rsid w:val="009E1844"/>
    <w:rsid w:val="009F0D1B"/>
    <w:rsid w:val="009F696D"/>
    <w:rsid w:val="009F6BC6"/>
    <w:rsid w:val="00A05BC4"/>
    <w:rsid w:val="00A17328"/>
    <w:rsid w:val="00A23A20"/>
    <w:rsid w:val="00A268B9"/>
    <w:rsid w:val="00A2703A"/>
    <w:rsid w:val="00A309FA"/>
    <w:rsid w:val="00A33DFF"/>
    <w:rsid w:val="00A35115"/>
    <w:rsid w:val="00A36D9A"/>
    <w:rsid w:val="00A52EE7"/>
    <w:rsid w:val="00A554AB"/>
    <w:rsid w:val="00A5613E"/>
    <w:rsid w:val="00A57062"/>
    <w:rsid w:val="00A92B53"/>
    <w:rsid w:val="00A936B2"/>
    <w:rsid w:val="00A94FA6"/>
    <w:rsid w:val="00AA3026"/>
    <w:rsid w:val="00AA49A0"/>
    <w:rsid w:val="00AA5FDA"/>
    <w:rsid w:val="00AA6710"/>
    <w:rsid w:val="00AB0681"/>
    <w:rsid w:val="00AC03BB"/>
    <w:rsid w:val="00AD520B"/>
    <w:rsid w:val="00AE4D5A"/>
    <w:rsid w:val="00B33C8D"/>
    <w:rsid w:val="00B425C3"/>
    <w:rsid w:val="00B440AD"/>
    <w:rsid w:val="00B479BB"/>
    <w:rsid w:val="00B47CC6"/>
    <w:rsid w:val="00B52BBA"/>
    <w:rsid w:val="00B53E7E"/>
    <w:rsid w:val="00B6342E"/>
    <w:rsid w:val="00B7113F"/>
    <w:rsid w:val="00B734FF"/>
    <w:rsid w:val="00BA73B6"/>
    <w:rsid w:val="00BA7E27"/>
    <w:rsid w:val="00BB2603"/>
    <w:rsid w:val="00BB4FCD"/>
    <w:rsid w:val="00BC04E9"/>
    <w:rsid w:val="00BD13EA"/>
    <w:rsid w:val="00BD2868"/>
    <w:rsid w:val="00BE3808"/>
    <w:rsid w:val="00BF4A12"/>
    <w:rsid w:val="00C03E9C"/>
    <w:rsid w:val="00C062E9"/>
    <w:rsid w:val="00C07B64"/>
    <w:rsid w:val="00C13721"/>
    <w:rsid w:val="00C14FE4"/>
    <w:rsid w:val="00C3066D"/>
    <w:rsid w:val="00C52416"/>
    <w:rsid w:val="00C543F4"/>
    <w:rsid w:val="00C62222"/>
    <w:rsid w:val="00C6291C"/>
    <w:rsid w:val="00C633CB"/>
    <w:rsid w:val="00C736B7"/>
    <w:rsid w:val="00C81D4A"/>
    <w:rsid w:val="00C8762C"/>
    <w:rsid w:val="00CA00F9"/>
    <w:rsid w:val="00CA097E"/>
    <w:rsid w:val="00CA2961"/>
    <w:rsid w:val="00CB50D7"/>
    <w:rsid w:val="00CB7177"/>
    <w:rsid w:val="00CC1998"/>
    <w:rsid w:val="00CC4946"/>
    <w:rsid w:val="00D270A4"/>
    <w:rsid w:val="00D31FE9"/>
    <w:rsid w:val="00D34E1B"/>
    <w:rsid w:val="00D376BA"/>
    <w:rsid w:val="00D436C8"/>
    <w:rsid w:val="00D45634"/>
    <w:rsid w:val="00D5568A"/>
    <w:rsid w:val="00D63D73"/>
    <w:rsid w:val="00D64452"/>
    <w:rsid w:val="00D66404"/>
    <w:rsid w:val="00D66E1E"/>
    <w:rsid w:val="00D75722"/>
    <w:rsid w:val="00D80CF5"/>
    <w:rsid w:val="00DA5BBA"/>
    <w:rsid w:val="00DB26D2"/>
    <w:rsid w:val="00DB44F9"/>
    <w:rsid w:val="00DB67C9"/>
    <w:rsid w:val="00DC0C95"/>
    <w:rsid w:val="00DC7969"/>
    <w:rsid w:val="00DD59EE"/>
    <w:rsid w:val="00DD6580"/>
    <w:rsid w:val="00E17C72"/>
    <w:rsid w:val="00E21FC6"/>
    <w:rsid w:val="00E40343"/>
    <w:rsid w:val="00E431A9"/>
    <w:rsid w:val="00E55DF7"/>
    <w:rsid w:val="00E60472"/>
    <w:rsid w:val="00E669E2"/>
    <w:rsid w:val="00E76135"/>
    <w:rsid w:val="00E82F4F"/>
    <w:rsid w:val="00EC2844"/>
    <w:rsid w:val="00EC5500"/>
    <w:rsid w:val="00ED18F8"/>
    <w:rsid w:val="00EF6C6C"/>
    <w:rsid w:val="00F006CC"/>
    <w:rsid w:val="00F056FC"/>
    <w:rsid w:val="00F10476"/>
    <w:rsid w:val="00F135D8"/>
    <w:rsid w:val="00F17CCE"/>
    <w:rsid w:val="00F2282A"/>
    <w:rsid w:val="00F31299"/>
    <w:rsid w:val="00F3534A"/>
    <w:rsid w:val="00F51609"/>
    <w:rsid w:val="00F81006"/>
    <w:rsid w:val="00F85325"/>
    <w:rsid w:val="00FD22B1"/>
    <w:rsid w:val="00FD64E2"/>
    <w:rsid w:val="00FD7C08"/>
    <w:rsid w:val="00FE5397"/>
    <w:rsid w:val="00FF20BF"/>
    <w:rsid w:val="00FF387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AE4D5A"/>
    <w:rPr>
      <w:sz w:val="26"/>
    </w:rPr>
  </w:style>
  <w:style w:type="table" w:styleId="TableGrid">
    <w:name w:val="Table Grid"/>
    <w:basedOn w:val="TableNormal"/>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erChar">
    <w:name w:val="Footer Char"/>
    <w:basedOn w:val="DefaultParagraphFont"/>
    <w:link w:val="Footer"/>
    <w:rsid w:val="00AE4D5A"/>
    <w:rPr>
      <w:caps/>
      <w:spacing w:val="-4"/>
      <w:sz w:val="16"/>
    </w:rPr>
  </w:style>
  <w:style w:type="character" w:customStyle="1" w:styleId="NoteChar">
    <w:name w:val="Note Char"/>
    <w:basedOn w:val="BodyTextChar"/>
    <w:link w:val="Note"/>
    <w:locked/>
    <w:rsid w:val="00AE4D5A"/>
    <w:rPr>
      <w:rFonts w:ascii="Arial" w:hAnsi="Arial"/>
      <w:sz w:val="18"/>
    </w:rPr>
  </w:style>
  <w:style w:type="character" w:customStyle="1" w:styleId="Heading4Char">
    <w:name w:val="Heading 4 Char"/>
    <w:basedOn w:val="DefaultParagraphFont"/>
    <w:link w:val="Heading4"/>
    <w:rsid w:val="00AE4D5A"/>
    <w:rPr>
      <w:rFonts w:ascii="Arial" w:hAnsi="Arial"/>
      <w:i/>
      <w:sz w:val="24"/>
    </w:rPr>
  </w:style>
  <w:style w:type="character" w:customStyle="1" w:styleId="Heading3Char">
    <w:name w:val="Heading 3 Char"/>
    <w:basedOn w:val="DefaultParagraphFont"/>
    <w:link w:val="Heading3"/>
    <w:rsid w:val="00AE4D5A"/>
    <w:rPr>
      <w:rFonts w:ascii="Arial" w:hAnsi="Arial"/>
      <w:b/>
      <w:sz w:val="26"/>
    </w:rPr>
  </w:style>
  <w:style w:type="character" w:customStyle="1" w:styleId="Heading2Char">
    <w:name w:val="Heading 2 Char"/>
    <w:basedOn w:val="DefaultParagraphFont"/>
    <w:link w:val="Heading2"/>
    <w:rsid w:val="00AE4D5A"/>
    <w:rPr>
      <w:rFonts w:ascii="Arial" w:hAnsi="Arial"/>
      <w:b/>
      <w:sz w:val="32"/>
    </w:rPr>
  </w:style>
  <w:style w:type="character" w:customStyle="1" w:styleId="TableTitleChar">
    <w:name w:val="Table Title Char"/>
    <w:basedOn w:val="DefaultParagraphFont"/>
    <w:link w:val="TableTitle"/>
    <w:rsid w:val="00AE4D5A"/>
    <w:rPr>
      <w:rFonts w:ascii="Arial" w:hAnsi="Arial"/>
      <w:b/>
      <w:sz w:val="24"/>
      <w:szCs w:val="24"/>
    </w:rPr>
  </w:style>
  <w:style w:type="character" w:customStyle="1" w:styleId="QuoteChar">
    <w:name w:val="Quote Char"/>
    <w:basedOn w:val="DefaultParagraphFont"/>
    <w:link w:val="Quote"/>
    <w:uiPriority w:val="29"/>
    <w:rsid w:val="00AE4D5A"/>
    <w:rPr>
      <w:sz w:val="24"/>
    </w:rPr>
  </w:style>
  <w:style w:type="character" w:customStyle="1" w:styleId="CommentTextChar">
    <w:name w:val="Comment Text Char"/>
    <w:basedOn w:val="DefaultParagraphFont"/>
    <w:semiHidden/>
    <w:rsid w:val="00AE4D5A"/>
    <w:rPr>
      <w:szCs w:val="24"/>
    </w:rPr>
  </w:style>
  <w:style w:type="paragraph" w:styleId="ListParagraph">
    <w:name w:val="List Paragraph"/>
    <w:basedOn w:val="Normal"/>
    <w:uiPriority w:val="34"/>
    <w:qFormat/>
    <w:rsid w:val="00AE4D5A"/>
    <w:pPr>
      <w:ind w:left="720"/>
    </w:pPr>
    <w:rPr>
      <w:rFonts w:ascii="Calibri" w:eastAsiaTheme="minorHAnsi" w:hAnsi="Calibri"/>
      <w:sz w:val="22"/>
      <w:szCs w:val="22"/>
      <w:lang w:eastAsia="en-US"/>
    </w:rPr>
  </w:style>
  <w:style w:type="paragraph" w:styleId="CommentSubject">
    <w:name w:val="annotation subject"/>
    <w:basedOn w:val="CommentText"/>
    <w:next w:val="CommentText"/>
    <w:link w:val="CommentSubjectChar"/>
    <w:rsid w:val="00AE4D5A"/>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AE4D5A"/>
    <w:rPr>
      <w:szCs w:val="24"/>
    </w:rPr>
  </w:style>
  <w:style w:type="character" w:customStyle="1" w:styleId="CommentSubjectChar">
    <w:name w:val="Comment Subject Char"/>
    <w:basedOn w:val="CommentTextChar1"/>
    <w:link w:val="CommentSubject"/>
    <w:rsid w:val="00AE4D5A"/>
    <w:rPr>
      <w:b/>
      <w:bCs/>
      <w:szCs w:val="24"/>
    </w:rPr>
  </w:style>
  <w:style w:type="character" w:customStyle="1" w:styleId="FootnoteTextChar">
    <w:name w:val="Footnote Text Char"/>
    <w:basedOn w:val="DefaultParagraphFont"/>
    <w:link w:val="FootnoteText"/>
    <w:rsid w:val="00AE4D5A"/>
    <w:rPr>
      <w:sz w:val="22"/>
    </w:rPr>
  </w:style>
  <w:style w:type="character" w:customStyle="1" w:styleId="Heading1Char">
    <w:name w:val="Heading 1 Char"/>
    <w:basedOn w:val="DefaultParagraphFont"/>
    <w:link w:val="Heading1"/>
    <w:rsid w:val="00AE4D5A"/>
    <w:rPr>
      <w:sz w:val="52"/>
    </w:rPr>
  </w:style>
  <w:style w:type="paragraph" w:customStyle="1" w:styleId="Tb">
    <w:name w:val="Tb"/>
    <w:basedOn w:val="BodyText"/>
    <w:rsid w:val="00AE4D5A"/>
  </w:style>
  <w:style w:type="character" w:styleId="Hyperlink">
    <w:name w:val="Hyperlink"/>
    <w:basedOn w:val="DefaultParagraphFont"/>
    <w:unhideWhenUsed/>
    <w:rsid w:val="00AE4D5A"/>
    <w:rPr>
      <w:color w:val="0000FF"/>
      <w:u w:val="single"/>
    </w:rPr>
  </w:style>
  <w:style w:type="paragraph" w:customStyle="1" w:styleId="TableText">
    <w:name w:val="Table Text"/>
    <w:basedOn w:val="BodyText"/>
    <w:uiPriority w:val="99"/>
    <w:rsid w:val="00AE4D5A"/>
    <w:pPr>
      <w:keepNext/>
      <w:keepLines/>
      <w:widowControl w:val="0"/>
      <w:spacing w:before="0" w:after="60" w:line="220" w:lineRule="exact"/>
      <w:jc w:val="left"/>
    </w:pPr>
    <w:rPr>
      <w:rFonts w:ascii="Arial" w:eastAsiaTheme="minorHAnsi" w:hAnsi="Arial" w:cstheme="minorBidi"/>
      <w:sz w:val="20"/>
      <w:szCs w:val="22"/>
    </w:rPr>
  </w:style>
  <w:style w:type="paragraph" w:customStyle="1" w:styleId="TableColHead">
    <w:name w:val="Table Col Head"/>
    <w:basedOn w:val="TableText"/>
    <w:uiPriority w:val="99"/>
    <w:rsid w:val="00AE4D5A"/>
    <w:rPr>
      <w:i/>
    </w:rPr>
  </w:style>
  <w:style w:type="character" w:styleId="EndnoteReference">
    <w:name w:val="endnote reference"/>
    <w:basedOn w:val="DefaultParagraphFont"/>
    <w:rsid w:val="00AE4D5A"/>
    <w:rPr>
      <w:vertAlign w:val="superscript"/>
    </w:rPr>
  </w:style>
  <w:style w:type="paragraph" w:styleId="Bibliography">
    <w:name w:val="Bibliography"/>
    <w:basedOn w:val="Normal"/>
    <w:next w:val="Normal"/>
    <w:uiPriority w:val="37"/>
    <w:unhideWhenUsed/>
    <w:rsid w:val="00AE4D5A"/>
    <w:pPr>
      <w:spacing w:after="240"/>
      <w:ind w:left="720" w:hanging="720"/>
    </w:pPr>
  </w:style>
  <w:style w:type="paragraph" w:customStyle="1" w:styleId="Default">
    <w:name w:val="Default"/>
    <w:rsid w:val="00AE4D5A"/>
    <w:pPr>
      <w:autoSpaceDE w:val="0"/>
      <w:autoSpaceDN w:val="0"/>
      <w:adjustRightInd w:val="0"/>
    </w:pPr>
    <w:rPr>
      <w:rFonts w:ascii="Tahoma" w:eastAsiaTheme="minorHAnsi" w:hAnsi="Tahoma" w:cs="Tahoma"/>
      <w:color w:val="000000"/>
      <w:sz w:val="24"/>
      <w:szCs w:val="24"/>
      <w:lang w:eastAsia="en-US"/>
    </w:rPr>
  </w:style>
  <w:style w:type="paragraph" w:styleId="Revision">
    <w:name w:val="Revision"/>
    <w:hidden/>
    <w:uiPriority w:val="99"/>
    <w:semiHidden/>
    <w:rsid w:val="00AE4D5A"/>
    <w:rPr>
      <w:sz w:val="26"/>
      <w:szCs w:val="24"/>
    </w:rPr>
  </w:style>
  <w:style w:type="character" w:customStyle="1" w:styleId="Heading5Char">
    <w:name w:val="Heading 5 Char"/>
    <w:basedOn w:val="DefaultParagraphFont"/>
    <w:link w:val="Heading5"/>
    <w:rsid w:val="00AE4D5A"/>
    <w:rPr>
      <w:i/>
      <w:sz w:val="26"/>
    </w:rPr>
  </w:style>
  <w:style w:type="table" w:customStyle="1" w:styleId="TableGrid1">
    <w:name w:val="Table Grid1"/>
    <w:basedOn w:val="TableNormal"/>
    <w:next w:val="TableGrid"/>
    <w:uiPriority w:val="59"/>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6Char">
    <w:name w:val="Heading 6 Char"/>
    <w:basedOn w:val="DefaultParagraphFont"/>
    <w:link w:val="Heading6"/>
    <w:rsid w:val="00AE4D5A"/>
    <w:rPr>
      <w:i/>
      <w:sz w:val="22"/>
    </w:rPr>
  </w:style>
  <w:style w:type="character" w:customStyle="1" w:styleId="Heading7Char">
    <w:name w:val="Heading 7 Char"/>
    <w:basedOn w:val="DefaultParagraphFont"/>
    <w:link w:val="Heading7"/>
    <w:rsid w:val="00AE4D5A"/>
    <w:rPr>
      <w:rFonts w:ascii="Arial" w:hAnsi="Arial"/>
    </w:rPr>
  </w:style>
  <w:style w:type="character" w:customStyle="1" w:styleId="Heading8Char">
    <w:name w:val="Heading 8 Char"/>
    <w:basedOn w:val="DefaultParagraphFont"/>
    <w:link w:val="Heading8"/>
    <w:rsid w:val="00AE4D5A"/>
    <w:rPr>
      <w:rFonts w:ascii="Arial" w:hAnsi="Arial"/>
      <w:i/>
    </w:rPr>
  </w:style>
  <w:style w:type="character" w:customStyle="1" w:styleId="Heading9Char">
    <w:name w:val="Heading 9 Char"/>
    <w:basedOn w:val="DefaultParagraphFont"/>
    <w:link w:val="Heading9"/>
    <w:rsid w:val="00AE4D5A"/>
    <w:rPr>
      <w:rFonts w:ascii="Arial" w:hAnsi="Arial"/>
      <w:b/>
      <w:i/>
      <w:sz w:val="18"/>
    </w:rPr>
  </w:style>
  <w:style w:type="character" w:customStyle="1" w:styleId="HeaderChar">
    <w:name w:val="Header Char"/>
    <w:basedOn w:val="DefaultParagraphFont"/>
    <w:link w:val="Header"/>
    <w:rsid w:val="00AE4D5A"/>
    <w:rPr>
      <w:rFonts w:ascii="Arial" w:hAnsi="Arial"/>
      <w:caps/>
      <w:sz w:val="26"/>
    </w:rPr>
  </w:style>
  <w:style w:type="table" w:customStyle="1" w:styleId="TableGrid2">
    <w:name w:val="Table Grid2"/>
    <w:basedOn w:val="TableNormal"/>
    <w:next w:val="TableGrid"/>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AE4D5A"/>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link w:val="FooterChar"/>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BodyTextChar">
    <w:name w:val="Body Text Char"/>
    <w:basedOn w:val="DefaultParagraphFont"/>
    <w:link w:val="BodyText"/>
    <w:rsid w:val="00AE4D5A"/>
    <w:rPr>
      <w:sz w:val="26"/>
    </w:rPr>
  </w:style>
  <w:style w:type="table" w:styleId="TableGrid">
    <w:name w:val="Table Grid"/>
    <w:basedOn w:val="TableNormal"/>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erChar">
    <w:name w:val="Footer Char"/>
    <w:basedOn w:val="DefaultParagraphFont"/>
    <w:link w:val="Footer"/>
    <w:rsid w:val="00AE4D5A"/>
    <w:rPr>
      <w:caps/>
      <w:spacing w:val="-4"/>
      <w:sz w:val="16"/>
    </w:rPr>
  </w:style>
  <w:style w:type="character" w:customStyle="1" w:styleId="NoteChar">
    <w:name w:val="Note Char"/>
    <w:basedOn w:val="BodyTextChar"/>
    <w:link w:val="Note"/>
    <w:locked/>
    <w:rsid w:val="00AE4D5A"/>
    <w:rPr>
      <w:rFonts w:ascii="Arial" w:hAnsi="Arial"/>
      <w:sz w:val="18"/>
    </w:rPr>
  </w:style>
  <w:style w:type="character" w:customStyle="1" w:styleId="Heading4Char">
    <w:name w:val="Heading 4 Char"/>
    <w:basedOn w:val="DefaultParagraphFont"/>
    <w:link w:val="Heading4"/>
    <w:rsid w:val="00AE4D5A"/>
    <w:rPr>
      <w:rFonts w:ascii="Arial" w:hAnsi="Arial"/>
      <w:i/>
      <w:sz w:val="24"/>
    </w:rPr>
  </w:style>
  <w:style w:type="character" w:customStyle="1" w:styleId="Heading3Char">
    <w:name w:val="Heading 3 Char"/>
    <w:basedOn w:val="DefaultParagraphFont"/>
    <w:link w:val="Heading3"/>
    <w:rsid w:val="00AE4D5A"/>
    <w:rPr>
      <w:rFonts w:ascii="Arial" w:hAnsi="Arial"/>
      <w:b/>
      <w:sz w:val="26"/>
    </w:rPr>
  </w:style>
  <w:style w:type="character" w:customStyle="1" w:styleId="Heading2Char">
    <w:name w:val="Heading 2 Char"/>
    <w:basedOn w:val="DefaultParagraphFont"/>
    <w:link w:val="Heading2"/>
    <w:rsid w:val="00AE4D5A"/>
    <w:rPr>
      <w:rFonts w:ascii="Arial" w:hAnsi="Arial"/>
      <w:b/>
      <w:sz w:val="32"/>
    </w:rPr>
  </w:style>
  <w:style w:type="character" w:customStyle="1" w:styleId="TableTitleChar">
    <w:name w:val="Table Title Char"/>
    <w:basedOn w:val="DefaultParagraphFont"/>
    <w:link w:val="TableTitle"/>
    <w:rsid w:val="00AE4D5A"/>
    <w:rPr>
      <w:rFonts w:ascii="Arial" w:hAnsi="Arial"/>
      <w:b/>
      <w:sz w:val="24"/>
      <w:szCs w:val="24"/>
    </w:rPr>
  </w:style>
  <w:style w:type="character" w:customStyle="1" w:styleId="QuoteChar">
    <w:name w:val="Quote Char"/>
    <w:basedOn w:val="DefaultParagraphFont"/>
    <w:link w:val="Quote"/>
    <w:uiPriority w:val="29"/>
    <w:rsid w:val="00AE4D5A"/>
    <w:rPr>
      <w:sz w:val="24"/>
    </w:rPr>
  </w:style>
  <w:style w:type="character" w:customStyle="1" w:styleId="CommentTextChar">
    <w:name w:val="Comment Text Char"/>
    <w:basedOn w:val="DefaultParagraphFont"/>
    <w:semiHidden/>
    <w:rsid w:val="00AE4D5A"/>
    <w:rPr>
      <w:szCs w:val="24"/>
    </w:rPr>
  </w:style>
  <w:style w:type="paragraph" w:styleId="ListParagraph">
    <w:name w:val="List Paragraph"/>
    <w:basedOn w:val="Normal"/>
    <w:uiPriority w:val="34"/>
    <w:qFormat/>
    <w:rsid w:val="00AE4D5A"/>
    <w:pPr>
      <w:ind w:left="720"/>
    </w:pPr>
    <w:rPr>
      <w:rFonts w:ascii="Calibri" w:eastAsiaTheme="minorHAnsi" w:hAnsi="Calibri"/>
      <w:sz w:val="22"/>
      <w:szCs w:val="22"/>
      <w:lang w:eastAsia="en-US"/>
    </w:rPr>
  </w:style>
  <w:style w:type="paragraph" w:styleId="CommentSubject">
    <w:name w:val="annotation subject"/>
    <w:basedOn w:val="CommentText"/>
    <w:next w:val="CommentText"/>
    <w:link w:val="CommentSubjectChar"/>
    <w:rsid w:val="00AE4D5A"/>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AE4D5A"/>
    <w:rPr>
      <w:szCs w:val="24"/>
    </w:rPr>
  </w:style>
  <w:style w:type="character" w:customStyle="1" w:styleId="CommentSubjectChar">
    <w:name w:val="Comment Subject Char"/>
    <w:basedOn w:val="CommentTextChar1"/>
    <w:link w:val="CommentSubject"/>
    <w:rsid w:val="00AE4D5A"/>
    <w:rPr>
      <w:b/>
      <w:bCs/>
      <w:szCs w:val="24"/>
    </w:rPr>
  </w:style>
  <w:style w:type="character" w:customStyle="1" w:styleId="FootnoteTextChar">
    <w:name w:val="Footnote Text Char"/>
    <w:basedOn w:val="DefaultParagraphFont"/>
    <w:link w:val="FootnoteText"/>
    <w:rsid w:val="00AE4D5A"/>
    <w:rPr>
      <w:sz w:val="22"/>
    </w:rPr>
  </w:style>
  <w:style w:type="character" w:customStyle="1" w:styleId="Heading1Char">
    <w:name w:val="Heading 1 Char"/>
    <w:basedOn w:val="DefaultParagraphFont"/>
    <w:link w:val="Heading1"/>
    <w:rsid w:val="00AE4D5A"/>
    <w:rPr>
      <w:sz w:val="52"/>
    </w:rPr>
  </w:style>
  <w:style w:type="paragraph" w:customStyle="1" w:styleId="Tb">
    <w:name w:val="Tb"/>
    <w:basedOn w:val="BodyText"/>
    <w:rsid w:val="00AE4D5A"/>
  </w:style>
  <w:style w:type="character" w:styleId="Hyperlink">
    <w:name w:val="Hyperlink"/>
    <w:basedOn w:val="DefaultParagraphFont"/>
    <w:unhideWhenUsed/>
    <w:rsid w:val="00AE4D5A"/>
    <w:rPr>
      <w:color w:val="0000FF"/>
      <w:u w:val="single"/>
    </w:rPr>
  </w:style>
  <w:style w:type="paragraph" w:customStyle="1" w:styleId="TableText">
    <w:name w:val="Table Text"/>
    <w:basedOn w:val="BodyText"/>
    <w:uiPriority w:val="99"/>
    <w:rsid w:val="00AE4D5A"/>
    <w:pPr>
      <w:keepNext/>
      <w:keepLines/>
      <w:widowControl w:val="0"/>
      <w:spacing w:before="0" w:after="60" w:line="220" w:lineRule="exact"/>
      <w:jc w:val="left"/>
    </w:pPr>
    <w:rPr>
      <w:rFonts w:ascii="Arial" w:eastAsiaTheme="minorHAnsi" w:hAnsi="Arial" w:cstheme="minorBidi"/>
      <w:sz w:val="20"/>
      <w:szCs w:val="22"/>
    </w:rPr>
  </w:style>
  <w:style w:type="paragraph" w:customStyle="1" w:styleId="TableColHead">
    <w:name w:val="Table Col Head"/>
    <w:basedOn w:val="TableText"/>
    <w:uiPriority w:val="99"/>
    <w:rsid w:val="00AE4D5A"/>
    <w:rPr>
      <w:i/>
    </w:rPr>
  </w:style>
  <w:style w:type="character" w:styleId="EndnoteReference">
    <w:name w:val="endnote reference"/>
    <w:basedOn w:val="DefaultParagraphFont"/>
    <w:rsid w:val="00AE4D5A"/>
    <w:rPr>
      <w:vertAlign w:val="superscript"/>
    </w:rPr>
  </w:style>
  <w:style w:type="paragraph" w:styleId="Bibliography">
    <w:name w:val="Bibliography"/>
    <w:basedOn w:val="Normal"/>
    <w:next w:val="Normal"/>
    <w:uiPriority w:val="37"/>
    <w:unhideWhenUsed/>
    <w:rsid w:val="00AE4D5A"/>
    <w:pPr>
      <w:spacing w:after="240"/>
      <w:ind w:left="720" w:hanging="720"/>
    </w:pPr>
  </w:style>
  <w:style w:type="paragraph" w:customStyle="1" w:styleId="Default">
    <w:name w:val="Default"/>
    <w:rsid w:val="00AE4D5A"/>
    <w:pPr>
      <w:autoSpaceDE w:val="0"/>
      <w:autoSpaceDN w:val="0"/>
      <w:adjustRightInd w:val="0"/>
    </w:pPr>
    <w:rPr>
      <w:rFonts w:ascii="Tahoma" w:eastAsiaTheme="minorHAnsi" w:hAnsi="Tahoma" w:cs="Tahoma"/>
      <w:color w:val="000000"/>
      <w:sz w:val="24"/>
      <w:szCs w:val="24"/>
      <w:lang w:eastAsia="en-US"/>
    </w:rPr>
  </w:style>
  <w:style w:type="paragraph" w:styleId="Revision">
    <w:name w:val="Revision"/>
    <w:hidden/>
    <w:uiPriority w:val="99"/>
    <w:semiHidden/>
    <w:rsid w:val="00AE4D5A"/>
    <w:rPr>
      <w:sz w:val="26"/>
      <w:szCs w:val="24"/>
    </w:rPr>
  </w:style>
  <w:style w:type="character" w:customStyle="1" w:styleId="Heading5Char">
    <w:name w:val="Heading 5 Char"/>
    <w:basedOn w:val="DefaultParagraphFont"/>
    <w:link w:val="Heading5"/>
    <w:rsid w:val="00AE4D5A"/>
    <w:rPr>
      <w:i/>
      <w:sz w:val="26"/>
    </w:rPr>
  </w:style>
  <w:style w:type="table" w:customStyle="1" w:styleId="TableGrid1">
    <w:name w:val="Table Grid1"/>
    <w:basedOn w:val="TableNormal"/>
    <w:next w:val="TableGrid"/>
    <w:uiPriority w:val="59"/>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6Char">
    <w:name w:val="Heading 6 Char"/>
    <w:basedOn w:val="DefaultParagraphFont"/>
    <w:link w:val="Heading6"/>
    <w:rsid w:val="00AE4D5A"/>
    <w:rPr>
      <w:i/>
      <w:sz w:val="22"/>
    </w:rPr>
  </w:style>
  <w:style w:type="character" w:customStyle="1" w:styleId="Heading7Char">
    <w:name w:val="Heading 7 Char"/>
    <w:basedOn w:val="DefaultParagraphFont"/>
    <w:link w:val="Heading7"/>
    <w:rsid w:val="00AE4D5A"/>
    <w:rPr>
      <w:rFonts w:ascii="Arial" w:hAnsi="Arial"/>
    </w:rPr>
  </w:style>
  <w:style w:type="character" w:customStyle="1" w:styleId="Heading8Char">
    <w:name w:val="Heading 8 Char"/>
    <w:basedOn w:val="DefaultParagraphFont"/>
    <w:link w:val="Heading8"/>
    <w:rsid w:val="00AE4D5A"/>
    <w:rPr>
      <w:rFonts w:ascii="Arial" w:hAnsi="Arial"/>
      <w:i/>
    </w:rPr>
  </w:style>
  <w:style w:type="character" w:customStyle="1" w:styleId="Heading9Char">
    <w:name w:val="Heading 9 Char"/>
    <w:basedOn w:val="DefaultParagraphFont"/>
    <w:link w:val="Heading9"/>
    <w:rsid w:val="00AE4D5A"/>
    <w:rPr>
      <w:rFonts w:ascii="Arial" w:hAnsi="Arial"/>
      <w:b/>
      <w:i/>
      <w:sz w:val="18"/>
    </w:rPr>
  </w:style>
  <w:style w:type="character" w:customStyle="1" w:styleId="HeaderChar">
    <w:name w:val="Header Char"/>
    <w:basedOn w:val="DefaultParagraphFont"/>
    <w:link w:val="Header"/>
    <w:rsid w:val="00AE4D5A"/>
    <w:rPr>
      <w:rFonts w:ascii="Arial" w:hAnsi="Arial"/>
      <w:caps/>
      <w:sz w:val="26"/>
    </w:rPr>
  </w:style>
  <w:style w:type="table" w:customStyle="1" w:styleId="TableGrid2">
    <w:name w:val="Table Grid2"/>
    <w:basedOn w:val="TableNormal"/>
    <w:next w:val="TableGrid"/>
    <w:rsid w:val="00AE4D5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AE4D5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3.xml"/><Relationship Id="rId21" Type="http://schemas.openxmlformats.org/officeDocument/2006/relationships/chart" Target="charts/chart8.xml"/><Relationship Id="rId42" Type="http://schemas.openxmlformats.org/officeDocument/2006/relationships/chart" Target="charts/chart17.xml"/><Relationship Id="rId47" Type="http://schemas.openxmlformats.org/officeDocument/2006/relationships/image" Target="media/image5.png"/><Relationship Id="rId63" Type="http://schemas.openxmlformats.org/officeDocument/2006/relationships/chart" Target="charts/chart27.xml"/><Relationship Id="rId68" Type="http://schemas.openxmlformats.org/officeDocument/2006/relationships/footer" Target="footer12.xml"/><Relationship Id="rId84" Type="http://schemas.openxmlformats.org/officeDocument/2006/relationships/footer" Target="footer13.xml"/><Relationship Id="rId89" Type="http://schemas.openxmlformats.org/officeDocument/2006/relationships/image" Target="media/image16.jpeg"/><Relationship Id="rId11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footer" Target="footer4.xml"/><Relationship Id="rId107" Type="http://schemas.openxmlformats.org/officeDocument/2006/relationships/header" Target="header23.xml"/><Relationship Id="rId11" Type="http://schemas.openxmlformats.org/officeDocument/2006/relationships/footer" Target="footer1.xml"/><Relationship Id="rId24" Type="http://schemas.openxmlformats.org/officeDocument/2006/relationships/chart" Target="charts/chart11.xml"/><Relationship Id="rId32" Type="http://schemas.openxmlformats.org/officeDocument/2006/relationships/footer" Target="footer5.xml"/><Relationship Id="rId37" Type="http://schemas.openxmlformats.org/officeDocument/2006/relationships/footer" Target="footer8.xml"/><Relationship Id="rId40" Type="http://schemas.openxmlformats.org/officeDocument/2006/relationships/chart" Target="charts/chart15.xml"/><Relationship Id="rId45" Type="http://schemas.openxmlformats.org/officeDocument/2006/relationships/image" Target="media/image3.emf"/><Relationship Id="rId53" Type="http://schemas.openxmlformats.org/officeDocument/2006/relationships/chart" Target="charts/chart24.xml"/><Relationship Id="rId58" Type="http://schemas.openxmlformats.org/officeDocument/2006/relationships/chart" Target="charts/chart25.xml"/><Relationship Id="rId66" Type="http://schemas.openxmlformats.org/officeDocument/2006/relationships/header" Target="header12.xml"/><Relationship Id="rId74" Type="http://schemas.openxmlformats.org/officeDocument/2006/relationships/image" Target="media/image13.png"/><Relationship Id="rId79" Type="http://schemas.openxmlformats.org/officeDocument/2006/relationships/chart" Target="charts/chart34.xml"/><Relationship Id="rId87" Type="http://schemas.openxmlformats.org/officeDocument/2006/relationships/image" Target="media/image15.png"/><Relationship Id="rId102" Type="http://schemas.openxmlformats.org/officeDocument/2006/relationships/footer" Target="footer20.xml"/><Relationship Id="rId110" Type="http://schemas.openxmlformats.org/officeDocument/2006/relationships/footer" Target="footer24.xml"/><Relationship Id="rId5" Type="http://schemas.openxmlformats.org/officeDocument/2006/relationships/settings" Target="settings.xml"/><Relationship Id="rId61" Type="http://schemas.openxmlformats.org/officeDocument/2006/relationships/image" Target="media/image8.png"/><Relationship Id="rId82" Type="http://schemas.openxmlformats.org/officeDocument/2006/relationships/header" Target="header13.xml"/><Relationship Id="rId90" Type="http://schemas.openxmlformats.org/officeDocument/2006/relationships/image" Target="media/image17.png"/><Relationship Id="rId95" Type="http://schemas.openxmlformats.org/officeDocument/2006/relationships/header" Target="header17.xml"/><Relationship Id="rId19" Type="http://schemas.openxmlformats.org/officeDocument/2006/relationships/image" Target="media/image1.emf"/><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header" Target="header4.xml"/><Relationship Id="rId30" Type="http://schemas.openxmlformats.org/officeDocument/2006/relationships/header" Target="header5.xml"/><Relationship Id="rId35" Type="http://schemas.openxmlformats.org/officeDocument/2006/relationships/header" Target="header8.xml"/><Relationship Id="rId43" Type="http://schemas.openxmlformats.org/officeDocument/2006/relationships/chart" Target="charts/chart18.xml"/><Relationship Id="rId48" Type="http://schemas.openxmlformats.org/officeDocument/2006/relationships/chart" Target="charts/chart19.xml"/><Relationship Id="rId56" Type="http://schemas.openxmlformats.org/officeDocument/2006/relationships/footer" Target="footer9.xml"/><Relationship Id="rId64" Type="http://schemas.openxmlformats.org/officeDocument/2006/relationships/chart" Target="charts/chart28.xml"/><Relationship Id="rId69" Type="http://schemas.openxmlformats.org/officeDocument/2006/relationships/image" Target="media/image9.emf"/><Relationship Id="rId77" Type="http://schemas.openxmlformats.org/officeDocument/2006/relationships/chart" Target="charts/chart32.xml"/><Relationship Id="rId100" Type="http://schemas.openxmlformats.org/officeDocument/2006/relationships/header" Target="header20.xml"/><Relationship Id="rId105" Type="http://schemas.openxmlformats.org/officeDocument/2006/relationships/footer" Target="footer21.xml"/><Relationship Id="rId8" Type="http://schemas.openxmlformats.org/officeDocument/2006/relationships/endnotes" Target="endnotes.xml"/><Relationship Id="rId51" Type="http://schemas.openxmlformats.org/officeDocument/2006/relationships/chart" Target="charts/chart22.xml"/><Relationship Id="rId72" Type="http://schemas.openxmlformats.org/officeDocument/2006/relationships/image" Target="media/image12.emf"/><Relationship Id="rId80" Type="http://schemas.openxmlformats.org/officeDocument/2006/relationships/chart" Target="charts/chart35.xml"/><Relationship Id="rId85" Type="http://schemas.openxmlformats.org/officeDocument/2006/relationships/footer" Target="footer14.xml"/><Relationship Id="rId93" Type="http://schemas.openxmlformats.org/officeDocument/2006/relationships/footer" Target="footer15.xml"/><Relationship Id="rId98" Type="http://schemas.openxmlformats.org/officeDocument/2006/relationships/footer" Target="footer1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chart" Target="charts/chart5.xml"/><Relationship Id="rId25" Type="http://schemas.openxmlformats.org/officeDocument/2006/relationships/chart" Target="charts/chart12.xml"/><Relationship Id="rId33" Type="http://schemas.openxmlformats.org/officeDocument/2006/relationships/footer" Target="footer6.xml"/><Relationship Id="rId38" Type="http://schemas.openxmlformats.org/officeDocument/2006/relationships/chart" Target="charts/chart13.xml"/><Relationship Id="rId46" Type="http://schemas.openxmlformats.org/officeDocument/2006/relationships/image" Target="media/image4.emf"/><Relationship Id="rId59" Type="http://schemas.openxmlformats.org/officeDocument/2006/relationships/image" Target="media/image6.png"/><Relationship Id="rId67" Type="http://schemas.openxmlformats.org/officeDocument/2006/relationships/footer" Target="footer11.xml"/><Relationship Id="rId103" Type="http://schemas.openxmlformats.org/officeDocument/2006/relationships/header" Target="header21.xml"/><Relationship Id="rId108" Type="http://schemas.openxmlformats.org/officeDocument/2006/relationships/header" Target="header24.xml"/><Relationship Id="rId20" Type="http://schemas.openxmlformats.org/officeDocument/2006/relationships/chart" Target="charts/chart7.xml"/><Relationship Id="rId41" Type="http://schemas.openxmlformats.org/officeDocument/2006/relationships/chart" Target="charts/chart16.xml"/><Relationship Id="rId54" Type="http://schemas.openxmlformats.org/officeDocument/2006/relationships/header" Target="header9.xml"/><Relationship Id="rId62" Type="http://schemas.openxmlformats.org/officeDocument/2006/relationships/chart" Target="charts/chart26.xml"/><Relationship Id="rId70" Type="http://schemas.openxmlformats.org/officeDocument/2006/relationships/image" Target="media/image10.emf"/><Relationship Id="rId75" Type="http://schemas.openxmlformats.org/officeDocument/2006/relationships/chart" Target="charts/chart30.xml"/><Relationship Id="rId83" Type="http://schemas.openxmlformats.org/officeDocument/2006/relationships/header" Target="header14.xml"/><Relationship Id="rId88" Type="http://schemas.openxmlformats.org/officeDocument/2006/relationships/chart" Target="charts/chart37.xml"/><Relationship Id="rId91" Type="http://schemas.openxmlformats.org/officeDocument/2006/relationships/header" Target="header15.xml"/><Relationship Id="rId96" Type="http://schemas.openxmlformats.org/officeDocument/2006/relationships/header" Target="header18.xml"/><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0.xml"/><Relationship Id="rId28" Type="http://schemas.openxmlformats.org/officeDocument/2006/relationships/footer" Target="footer3.xml"/><Relationship Id="rId36" Type="http://schemas.openxmlformats.org/officeDocument/2006/relationships/footer" Target="footer7.xml"/><Relationship Id="rId49" Type="http://schemas.openxmlformats.org/officeDocument/2006/relationships/chart" Target="charts/chart20.xml"/><Relationship Id="rId57" Type="http://schemas.openxmlformats.org/officeDocument/2006/relationships/footer" Target="footer10.xml"/><Relationship Id="rId106" Type="http://schemas.openxmlformats.org/officeDocument/2006/relationships/footer" Target="footer22.xml"/><Relationship Id="rId10" Type="http://schemas.openxmlformats.org/officeDocument/2006/relationships/header" Target="header2.xml"/><Relationship Id="rId31" Type="http://schemas.openxmlformats.org/officeDocument/2006/relationships/header" Target="header6.xml"/><Relationship Id="rId44" Type="http://schemas.openxmlformats.org/officeDocument/2006/relationships/image" Target="media/image2.emf"/><Relationship Id="rId52" Type="http://schemas.openxmlformats.org/officeDocument/2006/relationships/chart" Target="charts/chart23.xml"/><Relationship Id="rId60" Type="http://schemas.openxmlformats.org/officeDocument/2006/relationships/image" Target="media/image7.png"/><Relationship Id="rId65" Type="http://schemas.openxmlformats.org/officeDocument/2006/relationships/header" Target="header11.xml"/><Relationship Id="rId73" Type="http://schemas.openxmlformats.org/officeDocument/2006/relationships/chart" Target="charts/chart29.xml"/><Relationship Id="rId78" Type="http://schemas.openxmlformats.org/officeDocument/2006/relationships/chart" Target="charts/chart33.xml"/><Relationship Id="rId81" Type="http://schemas.openxmlformats.org/officeDocument/2006/relationships/image" Target="media/image14.jpeg"/><Relationship Id="rId86" Type="http://schemas.openxmlformats.org/officeDocument/2006/relationships/chart" Target="charts/chart36.xml"/><Relationship Id="rId94" Type="http://schemas.openxmlformats.org/officeDocument/2006/relationships/footer" Target="footer16.xml"/><Relationship Id="rId99" Type="http://schemas.openxmlformats.org/officeDocument/2006/relationships/header" Target="header19.xml"/><Relationship Id="rId101" Type="http://schemas.openxmlformats.org/officeDocument/2006/relationships/footer" Target="footer19.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chart" Target="charts/chart1.xml"/><Relationship Id="rId18" Type="http://schemas.openxmlformats.org/officeDocument/2006/relationships/chart" Target="charts/chart6.xml"/><Relationship Id="rId39" Type="http://schemas.openxmlformats.org/officeDocument/2006/relationships/chart" Target="charts/chart14.xml"/><Relationship Id="rId109" Type="http://schemas.openxmlformats.org/officeDocument/2006/relationships/footer" Target="footer23.xml"/><Relationship Id="rId34" Type="http://schemas.openxmlformats.org/officeDocument/2006/relationships/header" Target="header7.xml"/><Relationship Id="rId50" Type="http://schemas.openxmlformats.org/officeDocument/2006/relationships/chart" Target="charts/chart21.xml"/><Relationship Id="rId55" Type="http://schemas.openxmlformats.org/officeDocument/2006/relationships/header" Target="header10.xml"/><Relationship Id="rId76" Type="http://schemas.openxmlformats.org/officeDocument/2006/relationships/chart" Target="charts/chart31.xml"/><Relationship Id="rId97" Type="http://schemas.openxmlformats.org/officeDocument/2006/relationships/footer" Target="footer17.xml"/><Relationship Id="rId104" Type="http://schemas.openxmlformats.org/officeDocument/2006/relationships/header" Target="header22.xml"/><Relationship Id="rId7" Type="http://schemas.openxmlformats.org/officeDocument/2006/relationships/footnotes" Target="footnotes.xml"/><Relationship Id="rId71" Type="http://schemas.openxmlformats.org/officeDocument/2006/relationships/image" Target="media/image11.emf"/><Relationship Id="rId92" Type="http://schemas.openxmlformats.org/officeDocument/2006/relationships/header" Target="header16.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2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2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2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23.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24.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2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9.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NULL"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7.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564325396825396"/>
          <c:y val="9.9534722222222205E-2"/>
          <c:w val="0.73413531746031746"/>
          <c:h val="0.72577129629629622"/>
        </c:manualLayout>
      </c:layout>
      <c:lineChart>
        <c:grouping val="standard"/>
        <c:varyColors val="0"/>
        <c:ser>
          <c:idx val="0"/>
          <c:order val="0"/>
          <c:spPr>
            <a:ln>
              <a:solidFill>
                <a:srgbClr val="78A22F"/>
              </a:solidFill>
            </a:ln>
          </c:spPr>
          <c:marker>
            <c:symbol val="none"/>
          </c:marker>
          <c:cat>
            <c:strRef>
              <c:f>'fig 2.1 a'!$A$14:$A$34</c:f>
              <c:strCache>
                <c:ptCount val="21"/>
                <c:pt idx="0">
                  <c:v>1992-93</c:v>
                </c:pt>
                <c:pt idx="1">
                  <c:v>Jun-1994</c:v>
                </c:pt>
                <c:pt idx="2">
                  <c:v>Jun-1995</c:v>
                </c:pt>
                <c:pt idx="3">
                  <c:v>Jun-1996</c:v>
                </c:pt>
                <c:pt idx="4">
                  <c:v>Jun-1997</c:v>
                </c:pt>
                <c:pt idx="5">
                  <c:v>Jun-1998</c:v>
                </c:pt>
                <c:pt idx="6">
                  <c:v>Jun-1999</c:v>
                </c:pt>
                <c:pt idx="7">
                  <c:v>Jun-2000</c:v>
                </c:pt>
                <c:pt idx="8">
                  <c:v>Jun-2001</c:v>
                </c:pt>
                <c:pt idx="9">
                  <c:v>Jun-2002</c:v>
                </c:pt>
                <c:pt idx="10">
                  <c:v>2002-03</c:v>
                </c:pt>
                <c:pt idx="11">
                  <c:v>Jun-2004</c:v>
                </c:pt>
                <c:pt idx="12">
                  <c:v>Jun-2005</c:v>
                </c:pt>
                <c:pt idx="13">
                  <c:v>Jun-2006</c:v>
                </c:pt>
                <c:pt idx="14">
                  <c:v>Jun-2007</c:v>
                </c:pt>
                <c:pt idx="15">
                  <c:v>Jun-2008</c:v>
                </c:pt>
                <c:pt idx="16">
                  <c:v>Jun-2009</c:v>
                </c:pt>
                <c:pt idx="17">
                  <c:v>Jun-2010</c:v>
                </c:pt>
                <c:pt idx="18">
                  <c:v>Jun-2011</c:v>
                </c:pt>
                <c:pt idx="19">
                  <c:v>Jun-2012</c:v>
                </c:pt>
                <c:pt idx="20">
                  <c:v>2012-13</c:v>
                </c:pt>
              </c:strCache>
            </c:strRef>
          </c:cat>
          <c:val>
            <c:numRef>
              <c:f>'fig 2.1 a'!$B$14:$B$34</c:f>
              <c:numCache>
                <c:formatCode>0.0;\-0.0;0.0;@</c:formatCode>
                <c:ptCount val="21"/>
                <c:pt idx="0">
                  <c:v>4.0999999999999996</c:v>
                </c:pt>
                <c:pt idx="1">
                  <c:v>4</c:v>
                </c:pt>
                <c:pt idx="2">
                  <c:v>3.7</c:v>
                </c:pt>
                <c:pt idx="3">
                  <c:v>3.9</c:v>
                </c:pt>
                <c:pt idx="4">
                  <c:v>3.9</c:v>
                </c:pt>
                <c:pt idx="5">
                  <c:v>4.4000000000000004</c:v>
                </c:pt>
                <c:pt idx="6">
                  <c:v>5</c:v>
                </c:pt>
                <c:pt idx="7">
                  <c:v>3.9</c:v>
                </c:pt>
                <c:pt idx="8">
                  <c:v>1.9</c:v>
                </c:pt>
                <c:pt idx="9">
                  <c:v>3.9</c:v>
                </c:pt>
                <c:pt idx="10">
                  <c:v>3.1</c:v>
                </c:pt>
                <c:pt idx="11">
                  <c:v>4.2</c:v>
                </c:pt>
                <c:pt idx="12">
                  <c:v>3.2</c:v>
                </c:pt>
                <c:pt idx="13">
                  <c:v>3</c:v>
                </c:pt>
                <c:pt idx="14">
                  <c:v>3.8</c:v>
                </c:pt>
                <c:pt idx="15">
                  <c:v>3.7</c:v>
                </c:pt>
                <c:pt idx="16">
                  <c:v>1.7</c:v>
                </c:pt>
                <c:pt idx="17">
                  <c:v>2</c:v>
                </c:pt>
                <c:pt idx="18">
                  <c:v>2.2000000000000002</c:v>
                </c:pt>
                <c:pt idx="19">
                  <c:v>3.6</c:v>
                </c:pt>
                <c:pt idx="20">
                  <c:v>2.6</c:v>
                </c:pt>
              </c:numCache>
            </c:numRef>
          </c:val>
          <c:smooth val="0"/>
        </c:ser>
        <c:ser>
          <c:idx val="1"/>
          <c:order val="1"/>
          <c:spPr>
            <a:ln>
              <a:solidFill>
                <a:srgbClr val="344893"/>
              </a:solidFill>
              <a:prstDash val="solid"/>
            </a:ln>
            <a:effectLst/>
          </c:spPr>
          <c:marker>
            <c:symbol val="none"/>
          </c:marker>
          <c:cat>
            <c:strRef>
              <c:f>'fig 2.1 a'!$A$14:$A$34</c:f>
              <c:strCache>
                <c:ptCount val="21"/>
                <c:pt idx="0">
                  <c:v>1992-93</c:v>
                </c:pt>
                <c:pt idx="1">
                  <c:v>Jun-1994</c:v>
                </c:pt>
                <c:pt idx="2">
                  <c:v>Jun-1995</c:v>
                </c:pt>
                <c:pt idx="3">
                  <c:v>Jun-1996</c:v>
                </c:pt>
                <c:pt idx="4">
                  <c:v>Jun-1997</c:v>
                </c:pt>
                <c:pt idx="5">
                  <c:v>Jun-1998</c:v>
                </c:pt>
                <c:pt idx="6">
                  <c:v>Jun-1999</c:v>
                </c:pt>
                <c:pt idx="7">
                  <c:v>Jun-2000</c:v>
                </c:pt>
                <c:pt idx="8">
                  <c:v>Jun-2001</c:v>
                </c:pt>
                <c:pt idx="9">
                  <c:v>Jun-2002</c:v>
                </c:pt>
                <c:pt idx="10">
                  <c:v>2002-03</c:v>
                </c:pt>
                <c:pt idx="11">
                  <c:v>Jun-2004</c:v>
                </c:pt>
                <c:pt idx="12">
                  <c:v>Jun-2005</c:v>
                </c:pt>
                <c:pt idx="13">
                  <c:v>Jun-2006</c:v>
                </c:pt>
                <c:pt idx="14">
                  <c:v>Jun-2007</c:v>
                </c:pt>
                <c:pt idx="15">
                  <c:v>Jun-2008</c:v>
                </c:pt>
                <c:pt idx="16">
                  <c:v>Jun-2009</c:v>
                </c:pt>
                <c:pt idx="17">
                  <c:v>Jun-2010</c:v>
                </c:pt>
                <c:pt idx="18">
                  <c:v>Jun-2011</c:v>
                </c:pt>
                <c:pt idx="19">
                  <c:v>Jun-2012</c:v>
                </c:pt>
                <c:pt idx="20">
                  <c:v>2012-13</c:v>
                </c:pt>
              </c:strCache>
            </c:strRef>
          </c:cat>
          <c:val>
            <c:numRef>
              <c:f>'fig 2.1 a'!$C$14:$C$34</c:f>
              <c:numCache>
                <c:formatCode>0.0;\-0.0;0.0;@</c:formatCode>
                <c:ptCount val="21"/>
                <c:pt idx="0">
                  <c:v>3.5</c:v>
                </c:pt>
                <c:pt idx="1">
                  <c:v>1.8</c:v>
                </c:pt>
                <c:pt idx="2">
                  <c:v>2</c:v>
                </c:pt>
                <c:pt idx="3">
                  <c:v>2.8</c:v>
                </c:pt>
                <c:pt idx="4">
                  <c:v>1.6</c:v>
                </c:pt>
                <c:pt idx="5">
                  <c:v>2.9</c:v>
                </c:pt>
                <c:pt idx="6">
                  <c:v>2.2000000000000002</c:v>
                </c:pt>
                <c:pt idx="7">
                  <c:v>1.6</c:v>
                </c:pt>
                <c:pt idx="8">
                  <c:v>-0.5</c:v>
                </c:pt>
                <c:pt idx="9">
                  <c:v>3.6</c:v>
                </c:pt>
                <c:pt idx="10">
                  <c:v>4.0999999999999996</c:v>
                </c:pt>
                <c:pt idx="11">
                  <c:v>5.2</c:v>
                </c:pt>
                <c:pt idx="12">
                  <c:v>1.9</c:v>
                </c:pt>
                <c:pt idx="13">
                  <c:v>2.7</c:v>
                </c:pt>
                <c:pt idx="14">
                  <c:v>2.8</c:v>
                </c:pt>
                <c:pt idx="15">
                  <c:v>2.5</c:v>
                </c:pt>
                <c:pt idx="16">
                  <c:v>2.5</c:v>
                </c:pt>
                <c:pt idx="17">
                  <c:v>0.2</c:v>
                </c:pt>
                <c:pt idx="18">
                  <c:v>0.4</c:v>
                </c:pt>
                <c:pt idx="19">
                  <c:v>0.4</c:v>
                </c:pt>
                <c:pt idx="20">
                  <c:v>-0.6</c:v>
                </c:pt>
              </c:numCache>
            </c:numRef>
          </c:val>
          <c:smooth val="0"/>
        </c:ser>
        <c:dLbls>
          <c:showLegendKey val="0"/>
          <c:showVal val="0"/>
          <c:showCatName val="0"/>
          <c:showSerName val="0"/>
          <c:showPercent val="0"/>
          <c:showBubbleSize val="0"/>
        </c:dLbls>
        <c:marker val="1"/>
        <c:smooth val="0"/>
        <c:axId val="37067008"/>
        <c:axId val="37072896"/>
      </c:lineChart>
      <c:catAx>
        <c:axId val="37067008"/>
        <c:scaling>
          <c:orientation val="minMax"/>
        </c:scaling>
        <c:delete val="0"/>
        <c:axPos val="b"/>
        <c:numFmt formatCode="mmm\-yyyy" sourceLinked="1"/>
        <c:majorTickMark val="out"/>
        <c:minorTickMark val="none"/>
        <c:tickLblPos val="low"/>
        <c:spPr>
          <a:ln>
            <a:solidFill>
              <a:srgbClr val="787878"/>
            </a:solidFill>
          </a:ln>
        </c:spPr>
        <c:crossAx val="37072896"/>
        <c:crosses val="autoZero"/>
        <c:auto val="1"/>
        <c:lblAlgn val="ctr"/>
        <c:lblOffset val="100"/>
        <c:tickLblSkip val="10"/>
        <c:noMultiLvlLbl val="0"/>
      </c:catAx>
      <c:valAx>
        <c:axId val="37072896"/>
        <c:scaling>
          <c:orientation val="minMax"/>
          <c:max val="6"/>
          <c:min val="-2"/>
        </c:scaling>
        <c:delete val="0"/>
        <c:axPos val="l"/>
        <c:title>
          <c:tx>
            <c:rich>
              <a:bodyPr rot="-5400000" vert="horz"/>
              <a:lstStyle/>
              <a:p>
                <a:pPr>
                  <a:defRPr/>
                </a:pPr>
                <a:r>
                  <a:rPr lang="en-US"/>
                  <a:t>Per cent</a:t>
                </a:r>
              </a:p>
            </c:rich>
          </c:tx>
          <c:overlay val="0"/>
        </c:title>
        <c:numFmt formatCode="#,##0" sourceLinked="0"/>
        <c:majorTickMark val="out"/>
        <c:minorTickMark val="none"/>
        <c:tickLblPos val="nextTo"/>
        <c:spPr>
          <a:noFill/>
          <a:ln>
            <a:solidFill>
              <a:srgbClr val="787878"/>
            </a:solidFill>
          </a:ln>
        </c:spPr>
        <c:crossAx val="37067008"/>
        <c:crosses val="autoZero"/>
        <c:crossBetween val="between"/>
        <c:majorUnit val="2"/>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224057567634229"/>
          <c:y val="8.3698148148148147E-2"/>
          <c:w val="0.73668611111111115"/>
          <c:h val="0.6254587962962963"/>
        </c:manualLayout>
      </c:layout>
      <c:lineChart>
        <c:grouping val="standard"/>
        <c:varyColors val="0"/>
        <c:ser>
          <c:idx val="0"/>
          <c:order val="0"/>
          <c:spPr>
            <a:ln>
              <a:solidFill>
                <a:srgbClr val="78A22F"/>
              </a:solidFill>
            </a:ln>
          </c:spPr>
          <c:marker>
            <c:symbol val="none"/>
          </c:marker>
          <c:cat>
            <c:numRef>
              <c:f>'Fig 2.1 B'!$B$382:$B$442</c:f>
              <c:numCache>
                <c:formatCode>mmm\-yyyy</c:formatCode>
                <c:ptCount val="61"/>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pt idx="12">
                  <c:v>40179</c:v>
                </c:pt>
                <c:pt idx="13">
                  <c:v>40210</c:v>
                </c:pt>
                <c:pt idx="14">
                  <c:v>40238</c:v>
                </c:pt>
                <c:pt idx="15">
                  <c:v>40269</c:v>
                </c:pt>
                <c:pt idx="16">
                  <c:v>40299</c:v>
                </c:pt>
                <c:pt idx="17">
                  <c:v>40330</c:v>
                </c:pt>
                <c:pt idx="18">
                  <c:v>40360</c:v>
                </c:pt>
                <c:pt idx="19">
                  <c:v>40391</c:v>
                </c:pt>
                <c:pt idx="20">
                  <c:v>40422</c:v>
                </c:pt>
                <c:pt idx="21">
                  <c:v>40452</c:v>
                </c:pt>
                <c:pt idx="22">
                  <c:v>40483</c:v>
                </c:pt>
                <c:pt idx="23">
                  <c:v>40513</c:v>
                </c:pt>
                <c:pt idx="24">
                  <c:v>40544</c:v>
                </c:pt>
                <c:pt idx="25">
                  <c:v>40575</c:v>
                </c:pt>
                <c:pt idx="26">
                  <c:v>40603</c:v>
                </c:pt>
                <c:pt idx="27">
                  <c:v>40634</c:v>
                </c:pt>
                <c:pt idx="28">
                  <c:v>40664</c:v>
                </c:pt>
                <c:pt idx="29">
                  <c:v>40695</c:v>
                </c:pt>
                <c:pt idx="30">
                  <c:v>40725</c:v>
                </c:pt>
                <c:pt idx="31">
                  <c:v>40756</c:v>
                </c:pt>
                <c:pt idx="32">
                  <c:v>40787</c:v>
                </c:pt>
                <c:pt idx="33">
                  <c:v>40817</c:v>
                </c:pt>
                <c:pt idx="34">
                  <c:v>40848</c:v>
                </c:pt>
                <c:pt idx="35">
                  <c:v>40878</c:v>
                </c:pt>
                <c:pt idx="36">
                  <c:v>40909</c:v>
                </c:pt>
                <c:pt idx="37">
                  <c:v>40940</c:v>
                </c:pt>
                <c:pt idx="38">
                  <c:v>40969</c:v>
                </c:pt>
                <c:pt idx="39">
                  <c:v>41000</c:v>
                </c:pt>
                <c:pt idx="40">
                  <c:v>41030</c:v>
                </c:pt>
                <c:pt idx="41">
                  <c:v>41061</c:v>
                </c:pt>
                <c:pt idx="42">
                  <c:v>41091</c:v>
                </c:pt>
                <c:pt idx="43">
                  <c:v>41122</c:v>
                </c:pt>
                <c:pt idx="44">
                  <c:v>41153</c:v>
                </c:pt>
                <c:pt idx="45">
                  <c:v>41183</c:v>
                </c:pt>
                <c:pt idx="46">
                  <c:v>41214</c:v>
                </c:pt>
                <c:pt idx="47">
                  <c:v>41244</c:v>
                </c:pt>
                <c:pt idx="48">
                  <c:v>41275</c:v>
                </c:pt>
                <c:pt idx="49">
                  <c:v>41306</c:v>
                </c:pt>
                <c:pt idx="50">
                  <c:v>41334</c:v>
                </c:pt>
                <c:pt idx="51">
                  <c:v>41365</c:v>
                </c:pt>
                <c:pt idx="52">
                  <c:v>41395</c:v>
                </c:pt>
                <c:pt idx="53">
                  <c:v>41426</c:v>
                </c:pt>
                <c:pt idx="54">
                  <c:v>41456</c:v>
                </c:pt>
                <c:pt idx="55">
                  <c:v>41487</c:v>
                </c:pt>
                <c:pt idx="56">
                  <c:v>41518</c:v>
                </c:pt>
                <c:pt idx="57">
                  <c:v>41548</c:v>
                </c:pt>
                <c:pt idx="58">
                  <c:v>41579</c:v>
                </c:pt>
                <c:pt idx="59">
                  <c:v>41609</c:v>
                </c:pt>
                <c:pt idx="60">
                  <c:v>41640</c:v>
                </c:pt>
              </c:numCache>
            </c:numRef>
          </c:cat>
          <c:val>
            <c:numRef>
              <c:f>'Fig 2.1 B'!$C$382:$C$442</c:f>
              <c:numCache>
                <c:formatCode>0.0;\-0.0;0.0;@</c:formatCode>
                <c:ptCount val="61"/>
                <c:pt idx="0">
                  <c:v>4.9357552</c:v>
                </c:pt>
                <c:pt idx="1">
                  <c:v>5.2579460999999998</c:v>
                </c:pt>
                <c:pt idx="2">
                  <c:v>5.5581148999999996</c:v>
                </c:pt>
                <c:pt idx="3">
                  <c:v>5.8045213999999996</c:v>
                </c:pt>
                <c:pt idx="4">
                  <c:v>5.9754915999999998</c:v>
                </c:pt>
                <c:pt idx="5">
                  <c:v>6.0694597999999997</c:v>
                </c:pt>
                <c:pt idx="6">
                  <c:v>6.1001314000000004</c:v>
                </c:pt>
                <c:pt idx="7">
                  <c:v>6.0804076</c:v>
                </c:pt>
                <c:pt idx="8">
                  <c:v>6.0169354999999998</c:v>
                </c:pt>
                <c:pt idx="9">
                  <c:v>5.9136126999999998</c:v>
                </c:pt>
                <c:pt idx="10">
                  <c:v>5.7985566000000004</c:v>
                </c:pt>
                <c:pt idx="11">
                  <c:v>5.7001849</c:v>
                </c:pt>
                <c:pt idx="12">
                  <c:v>5.6148663000000001</c:v>
                </c:pt>
                <c:pt idx="13">
                  <c:v>5.5492020000000002</c:v>
                </c:pt>
                <c:pt idx="14">
                  <c:v>5.5052440000000002</c:v>
                </c:pt>
                <c:pt idx="15">
                  <c:v>5.4595894999999999</c:v>
                </c:pt>
                <c:pt idx="16">
                  <c:v>5.3959967999999998</c:v>
                </c:pt>
                <c:pt idx="17">
                  <c:v>5.3170770999999997</c:v>
                </c:pt>
                <c:pt idx="18">
                  <c:v>5.2279353999999998</c:v>
                </c:pt>
                <c:pt idx="19">
                  <c:v>5.1474926999999999</c:v>
                </c:pt>
                <c:pt idx="20">
                  <c:v>5.0915834000000002</c:v>
                </c:pt>
                <c:pt idx="21">
                  <c:v>5.0538910000000001</c:v>
                </c:pt>
                <c:pt idx="22">
                  <c:v>5.0224093999999999</c:v>
                </c:pt>
                <c:pt idx="23">
                  <c:v>4.9924926000000003</c:v>
                </c:pt>
                <c:pt idx="24">
                  <c:v>4.9673825999999996</c:v>
                </c:pt>
                <c:pt idx="25">
                  <c:v>4.9458525</c:v>
                </c:pt>
                <c:pt idx="26">
                  <c:v>4.9350316000000003</c:v>
                </c:pt>
                <c:pt idx="27">
                  <c:v>4.9537427000000003</c:v>
                </c:pt>
                <c:pt idx="28">
                  <c:v>5.0043202999999998</c:v>
                </c:pt>
                <c:pt idx="29">
                  <c:v>5.0762619999999998</c:v>
                </c:pt>
                <c:pt idx="30">
                  <c:v>5.1592532999999996</c:v>
                </c:pt>
                <c:pt idx="31">
                  <c:v>5.2324168000000002</c:v>
                </c:pt>
                <c:pt idx="32">
                  <c:v>5.2771957</c:v>
                </c:pt>
                <c:pt idx="33">
                  <c:v>5.2956142000000002</c:v>
                </c:pt>
                <c:pt idx="34">
                  <c:v>5.2895026999999999</c:v>
                </c:pt>
                <c:pt idx="35">
                  <c:v>5.2600461000000003</c:v>
                </c:pt>
                <c:pt idx="36">
                  <c:v>5.2142536000000002</c:v>
                </c:pt>
                <c:pt idx="37">
                  <c:v>5.1672034</c:v>
                </c:pt>
                <c:pt idx="38">
                  <c:v>5.1291723999999999</c:v>
                </c:pt>
                <c:pt idx="39">
                  <c:v>5.1192837000000004</c:v>
                </c:pt>
                <c:pt idx="40">
                  <c:v>5.1550197000000004</c:v>
                </c:pt>
                <c:pt idx="41">
                  <c:v>5.2299037000000004</c:v>
                </c:pt>
                <c:pt idx="42">
                  <c:v>5.3267407999999996</c:v>
                </c:pt>
                <c:pt idx="43">
                  <c:v>5.4211393000000001</c:v>
                </c:pt>
                <c:pt idx="44">
                  <c:v>5.4828700000000001</c:v>
                </c:pt>
                <c:pt idx="45">
                  <c:v>5.5026752999999999</c:v>
                </c:pt>
                <c:pt idx="46">
                  <c:v>5.4996466000000002</c:v>
                </c:pt>
                <c:pt idx="47">
                  <c:v>5.5037269000000002</c:v>
                </c:pt>
                <c:pt idx="48">
                  <c:v>5.5408201000000004</c:v>
                </c:pt>
                <c:pt idx="49">
                  <c:v>5.6200225000000001</c:v>
                </c:pt>
                <c:pt idx="50">
                  <c:v>5.7270517999999999</c:v>
                </c:pt>
                <c:pt idx="51">
                  <c:v>5.8321778999999996</c:v>
                </c:pt>
                <c:pt idx="52">
                  <c:v>5.9135676999999998</c:v>
                </c:pt>
                <c:pt idx="53">
                  <c:v>5.9650637</c:v>
                </c:pt>
                <c:pt idx="54">
                  <c:v>5.9863523000000001</c:v>
                </c:pt>
                <c:pt idx="55">
                  <c:v>5.9943999999999997</c:v>
                </c:pt>
                <c:pt idx="56">
                  <c:v>6.0165723</c:v>
                </c:pt>
                <c:pt idx="57">
                  <c:v>6.0614799000000001</c:v>
                </c:pt>
                <c:pt idx="58">
                  <c:v>6.1250597000000004</c:v>
                </c:pt>
                <c:pt idx="59">
                  <c:v>6.1968169</c:v>
                </c:pt>
                <c:pt idx="60">
                  <c:v>6.2736283999999998</c:v>
                </c:pt>
              </c:numCache>
            </c:numRef>
          </c:val>
          <c:smooth val="0"/>
        </c:ser>
        <c:ser>
          <c:idx val="1"/>
          <c:order val="1"/>
          <c:spPr>
            <a:ln>
              <a:solidFill>
                <a:srgbClr val="344893"/>
              </a:solidFill>
            </a:ln>
          </c:spPr>
          <c:marker>
            <c:symbol val="none"/>
          </c:marker>
          <c:cat>
            <c:numRef>
              <c:f>'Fig 2.1 B'!$B$382:$B$442</c:f>
              <c:numCache>
                <c:formatCode>mmm\-yyyy</c:formatCode>
                <c:ptCount val="61"/>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pt idx="12">
                  <c:v>40179</c:v>
                </c:pt>
                <c:pt idx="13">
                  <c:v>40210</c:v>
                </c:pt>
                <c:pt idx="14">
                  <c:v>40238</c:v>
                </c:pt>
                <c:pt idx="15">
                  <c:v>40269</c:v>
                </c:pt>
                <c:pt idx="16">
                  <c:v>40299</c:v>
                </c:pt>
                <c:pt idx="17">
                  <c:v>40330</c:v>
                </c:pt>
                <c:pt idx="18">
                  <c:v>40360</c:v>
                </c:pt>
                <c:pt idx="19">
                  <c:v>40391</c:v>
                </c:pt>
                <c:pt idx="20">
                  <c:v>40422</c:v>
                </c:pt>
                <c:pt idx="21">
                  <c:v>40452</c:v>
                </c:pt>
                <c:pt idx="22">
                  <c:v>40483</c:v>
                </c:pt>
                <c:pt idx="23">
                  <c:v>40513</c:v>
                </c:pt>
                <c:pt idx="24">
                  <c:v>40544</c:v>
                </c:pt>
                <c:pt idx="25">
                  <c:v>40575</c:v>
                </c:pt>
                <c:pt idx="26">
                  <c:v>40603</c:v>
                </c:pt>
                <c:pt idx="27">
                  <c:v>40634</c:v>
                </c:pt>
                <c:pt idx="28">
                  <c:v>40664</c:v>
                </c:pt>
                <c:pt idx="29">
                  <c:v>40695</c:v>
                </c:pt>
                <c:pt idx="30">
                  <c:v>40725</c:v>
                </c:pt>
                <c:pt idx="31">
                  <c:v>40756</c:v>
                </c:pt>
                <c:pt idx="32">
                  <c:v>40787</c:v>
                </c:pt>
                <c:pt idx="33">
                  <c:v>40817</c:v>
                </c:pt>
                <c:pt idx="34">
                  <c:v>40848</c:v>
                </c:pt>
                <c:pt idx="35">
                  <c:v>40878</c:v>
                </c:pt>
                <c:pt idx="36">
                  <c:v>40909</c:v>
                </c:pt>
                <c:pt idx="37">
                  <c:v>40940</c:v>
                </c:pt>
                <c:pt idx="38">
                  <c:v>40969</c:v>
                </c:pt>
                <c:pt idx="39">
                  <c:v>41000</c:v>
                </c:pt>
                <c:pt idx="40">
                  <c:v>41030</c:v>
                </c:pt>
                <c:pt idx="41">
                  <c:v>41061</c:v>
                </c:pt>
                <c:pt idx="42">
                  <c:v>41091</c:v>
                </c:pt>
                <c:pt idx="43">
                  <c:v>41122</c:v>
                </c:pt>
                <c:pt idx="44">
                  <c:v>41153</c:v>
                </c:pt>
                <c:pt idx="45">
                  <c:v>41183</c:v>
                </c:pt>
                <c:pt idx="46">
                  <c:v>41214</c:v>
                </c:pt>
                <c:pt idx="47">
                  <c:v>41244</c:v>
                </c:pt>
                <c:pt idx="48">
                  <c:v>41275</c:v>
                </c:pt>
                <c:pt idx="49">
                  <c:v>41306</c:v>
                </c:pt>
                <c:pt idx="50">
                  <c:v>41334</c:v>
                </c:pt>
                <c:pt idx="51">
                  <c:v>41365</c:v>
                </c:pt>
                <c:pt idx="52">
                  <c:v>41395</c:v>
                </c:pt>
                <c:pt idx="53">
                  <c:v>41426</c:v>
                </c:pt>
                <c:pt idx="54">
                  <c:v>41456</c:v>
                </c:pt>
                <c:pt idx="55">
                  <c:v>41487</c:v>
                </c:pt>
                <c:pt idx="56">
                  <c:v>41518</c:v>
                </c:pt>
                <c:pt idx="57">
                  <c:v>41548</c:v>
                </c:pt>
                <c:pt idx="58">
                  <c:v>41579</c:v>
                </c:pt>
                <c:pt idx="59">
                  <c:v>41609</c:v>
                </c:pt>
                <c:pt idx="60">
                  <c:v>41640</c:v>
                </c:pt>
              </c:numCache>
            </c:numRef>
          </c:cat>
          <c:val>
            <c:numRef>
              <c:f>'Fig 2.1 B'!$D$382:$D$442</c:f>
              <c:numCache>
                <c:formatCode>0.0;\-0.0;0.0;@</c:formatCode>
                <c:ptCount val="61"/>
                <c:pt idx="0">
                  <c:v>4.6190671999999999</c:v>
                </c:pt>
                <c:pt idx="1">
                  <c:v>4.7899785000000001</c:v>
                </c:pt>
                <c:pt idx="2">
                  <c:v>4.8665022000000002</c:v>
                </c:pt>
                <c:pt idx="3">
                  <c:v>4.8637195999999996</c:v>
                </c:pt>
                <c:pt idx="4">
                  <c:v>4.8422602000000001</c:v>
                </c:pt>
                <c:pt idx="5">
                  <c:v>4.8555380000000001</c:v>
                </c:pt>
                <c:pt idx="6">
                  <c:v>4.9288666000000001</c:v>
                </c:pt>
                <c:pt idx="7">
                  <c:v>5.0414563000000001</c:v>
                </c:pt>
                <c:pt idx="8">
                  <c:v>5.2112816999999998</c:v>
                </c:pt>
                <c:pt idx="9">
                  <c:v>5.4060822999999996</c:v>
                </c:pt>
                <c:pt idx="10">
                  <c:v>5.5631842000000002</c:v>
                </c:pt>
                <c:pt idx="11">
                  <c:v>5.6272888999999999</c:v>
                </c:pt>
                <c:pt idx="12">
                  <c:v>5.6435719000000004</c:v>
                </c:pt>
                <c:pt idx="13">
                  <c:v>5.7022469999999998</c:v>
                </c:pt>
                <c:pt idx="14">
                  <c:v>5.8456621999999996</c:v>
                </c:pt>
                <c:pt idx="15">
                  <c:v>6.0073192999999998</c:v>
                </c:pt>
                <c:pt idx="16">
                  <c:v>6.1097799999999998</c:v>
                </c:pt>
                <c:pt idx="17">
                  <c:v>6.1163866000000002</c:v>
                </c:pt>
                <c:pt idx="18">
                  <c:v>6.0158718999999996</c:v>
                </c:pt>
                <c:pt idx="19">
                  <c:v>5.8483333999999996</c:v>
                </c:pt>
                <c:pt idx="20">
                  <c:v>5.6771529999999997</c:v>
                </c:pt>
                <c:pt idx="21">
                  <c:v>5.5428660000000001</c:v>
                </c:pt>
                <c:pt idx="22">
                  <c:v>5.4838455000000002</c:v>
                </c:pt>
                <c:pt idx="23">
                  <c:v>5.4982692000000002</c:v>
                </c:pt>
                <c:pt idx="24">
                  <c:v>5.5539117999999998</c:v>
                </c:pt>
                <c:pt idx="25">
                  <c:v>5.5923593</c:v>
                </c:pt>
                <c:pt idx="26">
                  <c:v>5.5824989</c:v>
                </c:pt>
                <c:pt idx="27">
                  <c:v>5.5184965999999998</c:v>
                </c:pt>
                <c:pt idx="28">
                  <c:v>5.4044544999999999</c:v>
                </c:pt>
                <c:pt idx="29">
                  <c:v>5.2697373000000001</c:v>
                </c:pt>
                <c:pt idx="30">
                  <c:v>5.1719374</c:v>
                </c:pt>
                <c:pt idx="31">
                  <c:v>5.1704110999999999</c:v>
                </c:pt>
                <c:pt idx="32">
                  <c:v>5.2943882000000002</c:v>
                </c:pt>
                <c:pt idx="33">
                  <c:v>5.5434188999999998</c:v>
                </c:pt>
                <c:pt idx="34">
                  <c:v>5.9180013000000002</c:v>
                </c:pt>
                <c:pt idx="35">
                  <c:v>6.3447570999999998</c:v>
                </c:pt>
                <c:pt idx="36">
                  <c:v>6.7338148000000002</c:v>
                </c:pt>
                <c:pt idx="37">
                  <c:v>7.0144530999999999</c:v>
                </c:pt>
                <c:pt idx="38">
                  <c:v>7.1322222000000002</c:v>
                </c:pt>
                <c:pt idx="39">
                  <c:v>7.1180456999999997</c:v>
                </c:pt>
                <c:pt idx="40">
                  <c:v>7.0426213999999998</c:v>
                </c:pt>
                <c:pt idx="41">
                  <c:v>6.9377699000000002</c:v>
                </c:pt>
                <c:pt idx="42">
                  <c:v>6.8340855999999999</c:v>
                </c:pt>
                <c:pt idx="43">
                  <c:v>6.8027880999999999</c:v>
                </c:pt>
                <c:pt idx="44">
                  <c:v>6.8477980000000001</c:v>
                </c:pt>
                <c:pt idx="45">
                  <c:v>6.9348165000000002</c:v>
                </c:pt>
                <c:pt idx="46">
                  <c:v>7.0256990000000004</c:v>
                </c:pt>
                <c:pt idx="47">
                  <c:v>7.0600499000000001</c:v>
                </c:pt>
                <c:pt idx="48">
                  <c:v>7.1009093999999999</c:v>
                </c:pt>
                <c:pt idx="49">
                  <c:v>7.1882495999999998</c:v>
                </c:pt>
                <c:pt idx="50">
                  <c:v>7.3607591000000001</c:v>
                </c:pt>
                <c:pt idx="51">
                  <c:v>7.5985383000000004</c:v>
                </c:pt>
                <c:pt idx="52">
                  <c:v>7.8532884999999997</c:v>
                </c:pt>
                <c:pt idx="53">
                  <c:v>8.0739142000000008</c:v>
                </c:pt>
                <c:pt idx="54">
                  <c:v>8.1920169000000005</c:v>
                </c:pt>
                <c:pt idx="55">
                  <c:v>8.1581945999999999</c:v>
                </c:pt>
                <c:pt idx="56">
                  <c:v>8.017652</c:v>
                </c:pt>
                <c:pt idx="57">
                  <c:v>7.8608216999999998</c:v>
                </c:pt>
                <c:pt idx="58">
                  <c:v>7.7279529</c:v>
                </c:pt>
                <c:pt idx="59">
                  <c:v>7.6147014000000004</c:v>
                </c:pt>
                <c:pt idx="60">
                  <c:v>7.5795493</c:v>
                </c:pt>
              </c:numCache>
            </c:numRef>
          </c:val>
          <c:smooth val="0"/>
        </c:ser>
        <c:dLbls>
          <c:showLegendKey val="0"/>
          <c:showVal val="0"/>
          <c:showCatName val="0"/>
          <c:showSerName val="0"/>
          <c:showPercent val="0"/>
          <c:showBubbleSize val="0"/>
        </c:dLbls>
        <c:marker val="1"/>
        <c:smooth val="0"/>
        <c:axId val="162873728"/>
        <c:axId val="162875264"/>
      </c:lineChart>
      <c:dateAx>
        <c:axId val="162873728"/>
        <c:scaling>
          <c:orientation val="minMax"/>
        </c:scaling>
        <c:delete val="0"/>
        <c:axPos val="b"/>
        <c:numFmt formatCode="mmm\-yyyy" sourceLinked="1"/>
        <c:majorTickMark val="out"/>
        <c:minorTickMark val="none"/>
        <c:tickLblPos val="nextTo"/>
        <c:txPr>
          <a:bodyPr/>
          <a:lstStyle/>
          <a:p>
            <a:pPr>
              <a:defRPr sz="1000"/>
            </a:pPr>
            <a:endParaRPr lang="en-US"/>
          </a:p>
        </c:txPr>
        <c:crossAx val="162875264"/>
        <c:crosses val="autoZero"/>
        <c:auto val="1"/>
        <c:lblOffset val="100"/>
        <c:baseTimeUnit val="months"/>
        <c:majorUnit val="12"/>
        <c:majorTimeUnit val="months"/>
      </c:dateAx>
      <c:valAx>
        <c:axId val="162875264"/>
        <c:scaling>
          <c:orientation val="minMax"/>
          <c:max val="9"/>
          <c:min val="4"/>
        </c:scaling>
        <c:delete val="0"/>
        <c:axPos val="l"/>
        <c:title>
          <c:tx>
            <c:rich>
              <a:bodyPr rot="-5400000" vert="horz"/>
              <a:lstStyle/>
              <a:p>
                <a:pPr>
                  <a:defRPr/>
                </a:pPr>
                <a:r>
                  <a:rPr lang="en-US"/>
                  <a:t>Per cent</a:t>
                </a:r>
              </a:p>
            </c:rich>
          </c:tx>
          <c:layout>
            <c:manualLayout>
              <c:xMode val="edge"/>
              <c:yMode val="edge"/>
              <c:x val="2.5150793650793649E-2"/>
              <c:y val="0.30982037037037036"/>
            </c:manualLayout>
          </c:layout>
          <c:overlay val="0"/>
        </c:title>
        <c:numFmt formatCode="#,##0" sourceLinked="0"/>
        <c:majorTickMark val="out"/>
        <c:minorTickMark val="none"/>
        <c:tickLblPos val="nextTo"/>
        <c:spPr>
          <a:ln>
            <a:solidFill>
              <a:srgbClr val="787878"/>
            </a:solidFill>
          </a:ln>
        </c:spPr>
        <c:crossAx val="162873728"/>
        <c:crosses val="autoZero"/>
        <c:crossBetween val="between"/>
        <c:majorUnit val="1"/>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793700787401578"/>
          <c:y val="0.10571574074074074"/>
          <c:w val="0.47098055555555557"/>
          <c:h val="0.74790324074074077"/>
        </c:manualLayout>
      </c:layout>
      <c:barChart>
        <c:barDir val="col"/>
        <c:grouping val="stacked"/>
        <c:varyColors val="0"/>
        <c:ser>
          <c:idx val="4"/>
          <c:order val="0"/>
          <c:tx>
            <c:strRef>
              <c:f>'Fig 2.1 C'!$B$40</c:f>
              <c:strCache>
                <c:ptCount val="1"/>
                <c:pt idx="0">
                  <c:v>Mining</c:v>
                </c:pt>
              </c:strCache>
            </c:strRef>
          </c:tx>
          <c:spPr>
            <a:pattFill prst="dkUpDiag">
              <a:fgClr>
                <a:srgbClr val="787878"/>
              </a:fgClr>
              <a:bgClr>
                <a:schemeClr val="bg1"/>
              </a:bgClr>
            </a:pattFill>
            <a:ln w="3175">
              <a:solidFill>
                <a:srgbClr val="787878"/>
              </a:solidFill>
            </a:ln>
          </c:spPr>
          <c:invertIfNegative val="0"/>
          <c:cat>
            <c:strRef>
              <c:f>'Fig 2.1 C'!$C$27:$D$27</c:f>
              <c:strCache>
                <c:ptCount val="2"/>
                <c:pt idx="0">
                  <c:v>Australia</c:v>
                </c:pt>
                <c:pt idx="1">
                  <c:v>Tasmania</c:v>
                </c:pt>
              </c:strCache>
            </c:strRef>
          </c:cat>
          <c:val>
            <c:numRef>
              <c:f>'Fig 2.1 C'!$C$40:$D$40</c:f>
              <c:numCache>
                <c:formatCode>0;\-0;0;@</c:formatCode>
                <c:ptCount val="2"/>
                <c:pt idx="0">
                  <c:v>9.4117465581736148</c:v>
                </c:pt>
                <c:pt idx="1">
                  <c:v>1.6015344042196116</c:v>
                </c:pt>
              </c:numCache>
            </c:numRef>
          </c:val>
        </c:ser>
        <c:ser>
          <c:idx val="5"/>
          <c:order val="1"/>
          <c:tx>
            <c:strRef>
              <c:f>'Fig 2.1 C'!$B$41</c:f>
              <c:strCache>
                <c:ptCount val="1"/>
                <c:pt idx="0">
                  <c:v>Agriculture</c:v>
                </c:pt>
              </c:strCache>
            </c:strRef>
          </c:tx>
          <c:spPr>
            <a:solidFill>
              <a:srgbClr val="787878"/>
            </a:solidFill>
            <a:ln w="3175">
              <a:solidFill>
                <a:srgbClr val="787878"/>
              </a:solidFill>
            </a:ln>
          </c:spPr>
          <c:invertIfNegative val="0"/>
          <c:cat>
            <c:strRef>
              <c:f>'Fig 2.1 C'!$C$27:$D$27</c:f>
              <c:strCache>
                <c:ptCount val="2"/>
                <c:pt idx="0">
                  <c:v>Australia</c:v>
                </c:pt>
                <c:pt idx="1">
                  <c:v>Tasmania</c:v>
                </c:pt>
              </c:strCache>
            </c:strRef>
          </c:cat>
          <c:val>
            <c:numRef>
              <c:f>'Fig 2.1 C'!$C$41:$D$41</c:f>
              <c:numCache>
                <c:formatCode>0;\-0;0;@</c:formatCode>
                <c:ptCount val="2"/>
                <c:pt idx="0">
                  <c:v>2.6369981874975896</c:v>
                </c:pt>
                <c:pt idx="1">
                  <c:v>8.9043394869335888</c:v>
                </c:pt>
              </c:numCache>
            </c:numRef>
          </c:val>
        </c:ser>
        <c:ser>
          <c:idx val="3"/>
          <c:order val="2"/>
          <c:tx>
            <c:strRef>
              <c:f>'Fig 2.1 C'!$B$39</c:f>
              <c:strCache>
                <c:ptCount val="1"/>
                <c:pt idx="0">
                  <c:v>Manufacturing</c:v>
                </c:pt>
              </c:strCache>
            </c:strRef>
          </c:tx>
          <c:spPr>
            <a:solidFill>
              <a:schemeClr val="bg1"/>
            </a:solidFill>
            <a:ln w="6350">
              <a:solidFill>
                <a:srgbClr val="787878"/>
              </a:solidFill>
            </a:ln>
          </c:spPr>
          <c:invertIfNegative val="0"/>
          <c:cat>
            <c:strRef>
              <c:f>'Fig 2.1 C'!$C$27:$D$27</c:f>
              <c:strCache>
                <c:ptCount val="2"/>
                <c:pt idx="0">
                  <c:v>Australia</c:v>
                </c:pt>
                <c:pt idx="1">
                  <c:v>Tasmania</c:v>
                </c:pt>
              </c:strCache>
            </c:strRef>
          </c:cat>
          <c:val>
            <c:numRef>
              <c:f>'Fig 2.1 C'!$C$39:$D$39</c:f>
              <c:numCache>
                <c:formatCode>0;\-0;0;@</c:formatCode>
                <c:ptCount val="2"/>
                <c:pt idx="0">
                  <c:v>7.822837530369056</c:v>
                </c:pt>
                <c:pt idx="1">
                  <c:v>8.0795972188923528</c:v>
                </c:pt>
              </c:numCache>
            </c:numRef>
          </c:val>
        </c:ser>
        <c:ser>
          <c:idx val="2"/>
          <c:order val="3"/>
          <c:tx>
            <c:strRef>
              <c:f>'Fig 2.1 C'!$B$38</c:f>
              <c:strCache>
                <c:ptCount val="1"/>
                <c:pt idx="0">
                  <c:v>Construction</c:v>
                </c:pt>
              </c:strCache>
            </c:strRef>
          </c:tx>
          <c:spPr>
            <a:solidFill>
              <a:schemeClr val="tx1"/>
            </a:solidFill>
            <a:ln w="3175">
              <a:solidFill>
                <a:schemeClr val="tx1"/>
              </a:solidFill>
            </a:ln>
          </c:spPr>
          <c:invertIfNegative val="0"/>
          <c:cat>
            <c:strRef>
              <c:f>'Fig 2.1 C'!$C$27:$D$27</c:f>
              <c:strCache>
                <c:ptCount val="2"/>
                <c:pt idx="0">
                  <c:v>Australia</c:v>
                </c:pt>
                <c:pt idx="1">
                  <c:v>Tasmania</c:v>
                </c:pt>
              </c:strCache>
            </c:strRef>
          </c:cat>
          <c:val>
            <c:numRef>
              <c:f>'Fig 2.1 C'!$C$38:$D$38</c:f>
              <c:numCache>
                <c:formatCode>0;\-0;0;@</c:formatCode>
                <c:ptCount val="2"/>
                <c:pt idx="0">
                  <c:v>9.0692992942809756</c:v>
                </c:pt>
                <c:pt idx="1">
                  <c:v>6.4492927355550229</c:v>
                </c:pt>
              </c:numCache>
            </c:numRef>
          </c:val>
        </c:ser>
        <c:ser>
          <c:idx val="0"/>
          <c:order val="4"/>
          <c:tx>
            <c:strRef>
              <c:f>'Fig 2.1 C'!$B$37</c:f>
              <c:strCache>
                <c:ptCount val="1"/>
                <c:pt idx="0">
                  <c:v>Private services</c:v>
                </c:pt>
              </c:strCache>
            </c:strRef>
          </c:tx>
          <c:spPr>
            <a:solidFill>
              <a:srgbClr val="78A22F"/>
            </a:solidFill>
            <a:ln w="3175">
              <a:solidFill>
                <a:srgbClr val="78A22F"/>
              </a:solidFill>
            </a:ln>
          </c:spPr>
          <c:invertIfNegative val="0"/>
          <c:cat>
            <c:strRef>
              <c:f>'Fig 2.1 C'!$C$27:$D$27</c:f>
              <c:strCache>
                <c:ptCount val="2"/>
                <c:pt idx="0">
                  <c:v>Australia</c:v>
                </c:pt>
                <c:pt idx="1">
                  <c:v>Tasmania</c:v>
                </c:pt>
              </c:strCache>
            </c:strRef>
          </c:cat>
          <c:val>
            <c:numRef>
              <c:f>'Fig 2.1 C'!$C$37:$D$37</c:f>
              <c:numCache>
                <c:formatCode>0;\-0;0;@</c:formatCode>
                <c:ptCount val="2"/>
                <c:pt idx="0">
                  <c:v>51.987659558057921</c:v>
                </c:pt>
                <c:pt idx="1">
                  <c:v>47.849436585950613</c:v>
                </c:pt>
              </c:numCache>
            </c:numRef>
          </c:val>
        </c:ser>
        <c:ser>
          <c:idx val="1"/>
          <c:order val="5"/>
          <c:tx>
            <c:strRef>
              <c:f>'Fig 2.1 C'!$B$36</c:f>
              <c:strCache>
                <c:ptCount val="1"/>
                <c:pt idx="0">
                  <c:v>Govt. services</c:v>
                </c:pt>
              </c:strCache>
            </c:strRef>
          </c:tx>
          <c:spPr>
            <a:solidFill>
              <a:srgbClr val="344893"/>
            </a:solidFill>
            <a:ln w="3175">
              <a:solidFill>
                <a:srgbClr val="344893"/>
              </a:solidFill>
            </a:ln>
          </c:spPr>
          <c:invertIfNegative val="0"/>
          <c:cat>
            <c:strRef>
              <c:f>'Fig 2.1 C'!$C$27:$D$27</c:f>
              <c:strCache>
                <c:ptCount val="2"/>
                <c:pt idx="0">
                  <c:v>Australia</c:v>
                </c:pt>
                <c:pt idx="1">
                  <c:v>Tasmania</c:v>
                </c:pt>
              </c:strCache>
            </c:strRef>
          </c:cat>
          <c:val>
            <c:numRef>
              <c:f>'Fig 2.1 C'!$C$36:$D$36</c:f>
              <c:numCache>
                <c:formatCode>0;\-0;0;@</c:formatCode>
                <c:ptCount val="2"/>
                <c:pt idx="0">
                  <c:v>19.071458871620838</c:v>
                </c:pt>
                <c:pt idx="1">
                  <c:v>27.115799568448811</c:v>
                </c:pt>
              </c:numCache>
            </c:numRef>
          </c:val>
        </c:ser>
        <c:dLbls>
          <c:showLegendKey val="0"/>
          <c:showVal val="0"/>
          <c:showCatName val="0"/>
          <c:showSerName val="0"/>
          <c:showPercent val="0"/>
          <c:showBubbleSize val="0"/>
        </c:dLbls>
        <c:gapWidth val="42"/>
        <c:overlap val="100"/>
        <c:axId val="162937088"/>
        <c:axId val="162955264"/>
      </c:barChart>
      <c:catAx>
        <c:axId val="162937088"/>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162955264"/>
        <c:crosses val="autoZero"/>
        <c:auto val="1"/>
        <c:lblAlgn val="ctr"/>
        <c:lblOffset val="100"/>
        <c:noMultiLvlLbl val="0"/>
      </c:catAx>
      <c:valAx>
        <c:axId val="162955264"/>
        <c:scaling>
          <c:orientation val="minMax"/>
          <c:max val="100"/>
        </c:scaling>
        <c:delete val="0"/>
        <c:axPos val="l"/>
        <c:title>
          <c:tx>
            <c:rich>
              <a:bodyPr rot="-5400000" vert="horz"/>
              <a:lstStyle/>
              <a:p>
                <a:pPr>
                  <a:defRPr>
                    <a:latin typeface="Arial" pitchFamily="34" charset="0"/>
                    <a:cs typeface="Arial" pitchFamily="34" charset="0"/>
                  </a:defRPr>
                </a:pPr>
                <a:r>
                  <a:rPr lang="en-AU">
                    <a:latin typeface="Arial" pitchFamily="34" charset="0"/>
                    <a:cs typeface="Arial" pitchFamily="34" charset="0"/>
                  </a:rPr>
                  <a:t>Per cent</a:t>
                </a:r>
              </a:p>
            </c:rich>
          </c:tx>
          <c:overlay val="0"/>
        </c:title>
        <c:numFmt formatCode="General" sourceLinked="0"/>
        <c:majorTickMark val="out"/>
        <c:minorTickMark val="none"/>
        <c:tickLblPos val="nextTo"/>
        <c:txPr>
          <a:bodyPr/>
          <a:lstStyle/>
          <a:p>
            <a:pPr>
              <a:defRPr>
                <a:latin typeface="Arial" pitchFamily="34" charset="0"/>
                <a:cs typeface="Arial" pitchFamily="34" charset="0"/>
              </a:defRPr>
            </a:pPr>
            <a:endParaRPr lang="en-US"/>
          </a:p>
        </c:txPr>
        <c:crossAx val="162937088"/>
        <c:crosses val="autoZero"/>
        <c:crossBetween val="between"/>
        <c:majorUnit val="20"/>
      </c:valAx>
      <c:spPr>
        <a:noFill/>
      </c:spPr>
    </c:plotArea>
    <c:legend>
      <c:legendPos val="r"/>
      <c:layout>
        <c:manualLayout>
          <c:xMode val="edge"/>
          <c:yMode val="edge"/>
          <c:x val="0.60913293650793654"/>
          <c:y val="0.20838564814814811"/>
          <c:w val="0.38472103174603173"/>
          <c:h val="0.67617824074074073"/>
        </c:manualLayout>
      </c:layout>
      <c:overlay val="0"/>
      <c:txPr>
        <a:bodyPr/>
        <a:lstStyle/>
        <a:p>
          <a:pPr>
            <a:defRPr sz="900">
              <a:latin typeface="Arial" pitchFamily="34" charset="0"/>
              <a:cs typeface="Arial" pitchFamily="34" charset="0"/>
            </a:defRPr>
          </a:pPr>
          <a:endParaRPr lang="en-US"/>
        </a:p>
      </c:txPr>
    </c:legend>
    <c:plotVisOnly val="1"/>
    <c:dispBlanksAs val="gap"/>
    <c:showDLblsOverMax val="0"/>
  </c:chart>
  <c:spPr>
    <a:noFill/>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503056713672838"/>
          <c:y val="0.11171296296296296"/>
          <c:w val="0.73922433852079716"/>
          <c:h val="0.6774041666666667"/>
        </c:manualLayout>
      </c:layout>
      <c:barChart>
        <c:barDir val="col"/>
        <c:grouping val="clustered"/>
        <c:varyColors val="0"/>
        <c:ser>
          <c:idx val="0"/>
          <c:order val="0"/>
          <c:spPr>
            <a:solidFill>
              <a:srgbClr val="78A22F"/>
            </a:solidFill>
          </c:spPr>
          <c:invertIfNegative val="0"/>
          <c:dPt>
            <c:idx val="5"/>
            <c:invertIfNegative val="0"/>
            <c:bubble3D val="0"/>
            <c:spPr>
              <a:solidFill>
                <a:srgbClr val="344893"/>
              </a:solidFill>
            </c:spPr>
          </c:dPt>
          <c:cat>
            <c:strRef>
              <c:f>Sheet1!$C$7:$K$7</c:f>
              <c:strCache>
                <c:ptCount val="9"/>
                <c:pt idx="0">
                  <c:v>NSW</c:v>
                </c:pt>
                <c:pt idx="1">
                  <c:v>Vic</c:v>
                </c:pt>
                <c:pt idx="2">
                  <c:v>Qld</c:v>
                </c:pt>
                <c:pt idx="3">
                  <c:v>SA</c:v>
                </c:pt>
                <c:pt idx="4">
                  <c:v>WA</c:v>
                </c:pt>
                <c:pt idx="5">
                  <c:v>Tas</c:v>
                </c:pt>
                <c:pt idx="6">
                  <c:v>NT</c:v>
                </c:pt>
                <c:pt idx="7">
                  <c:v>ACT</c:v>
                </c:pt>
                <c:pt idx="8">
                  <c:v>Aust</c:v>
                </c:pt>
              </c:strCache>
            </c:strRef>
          </c:cat>
          <c:val>
            <c:numRef>
              <c:f>Sheet1!$C$8:$K$8</c:f>
              <c:numCache>
                <c:formatCode>#,##0.0</c:formatCode>
                <c:ptCount val="9"/>
                <c:pt idx="0">
                  <c:v>25.9</c:v>
                </c:pt>
                <c:pt idx="1">
                  <c:v>24.3</c:v>
                </c:pt>
                <c:pt idx="2">
                  <c:v>24.9</c:v>
                </c:pt>
                <c:pt idx="3">
                  <c:v>29.2</c:v>
                </c:pt>
                <c:pt idx="4">
                  <c:v>20.5</c:v>
                </c:pt>
                <c:pt idx="5">
                  <c:v>32.700000000000003</c:v>
                </c:pt>
                <c:pt idx="6">
                  <c:v>12.7</c:v>
                </c:pt>
                <c:pt idx="7">
                  <c:v>11.9</c:v>
                </c:pt>
                <c:pt idx="8">
                  <c:v>24.8</c:v>
                </c:pt>
              </c:numCache>
            </c:numRef>
          </c:val>
        </c:ser>
        <c:dLbls>
          <c:showLegendKey val="0"/>
          <c:showVal val="0"/>
          <c:showCatName val="0"/>
          <c:showSerName val="0"/>
          <c:showPercent val="0"/>
          <c:showBubbleSize val="0"/>
        </c:dLbls>
        <c:gapWidth val="60"/>
        <c:axId val="162980608"/>
        <c:axId val="162982144"/>
      </c:barChart>
      <c:catAx>
        <c:axId val="162980608"/>
        <c:scaling>
          <c:orientation val="minMax"/>
        </c:scaling>
        <c:delete val="0"/>
        <c:axPos val="b"/>
        <c:majorTickMark val="out"/>
        <c:minorTickMark val="none"/>
        <c:tickLblPos val="nextTo"/>
        <c:spPr>
          <a:ln>
            <a:solidFill>
              <a:srgbClr val="787878"/>
            </a:solidFill>
          </a:ln>
        </c:spPr>
        <c:crossAx val="162982144"/>
        <c:crosses val="autoZero"/>
        <c:auto val="1"/>
        <c:lblAlgn val="ctr"/>
        <c:lblOffset val="100"/>
        <c:noMultiLvlLbl val="0"/>
      </c:catAx>
      <c:valAx>
        <c:axId val="162982144"/>
        <c:scaling>
          <c:orientation val="minMax"/>
          <c:max val="40"/>
        </c:scaling>
        <c:delete val="0"/>
        <c:axPos val="l"/>
        <c:title>
          <c:tx>
            <c:rich>
              <a:bodyPr rot="-5400000" vert="horz"/>
              <a:lstStyle/>
              <a:p>
                <a:pPr>
                  <a:defRPr/>
                </a:pPr>
                <a:r>
                  <a:rPr lang="en-US"/>
                  <a:t>Per cent</a:t>
                </a:r>
              </a:p>
            </c:rich>
          </c:tx>
          <c:layout>
            <c:manualLayout>
              <c:xMode val="edge"/>
              <c:yMode val="edge"/>
              <c:x val="2.7488546770304571E-3"/>
              <c:y val="0.33244259259259257"/>
            </c:manualLayout>
          </c:layout>
          <c:overlay val="0"/>
        </c:title>
        <c:numFmt formatCode="#,##0" sourceLinked="0"/>
        <c:majorTickMark val="out"/>
        <c:minorTickMark val="none"/>
        <c:tickLblPos val="nextTo"/>
        <c:spPr>
          <a:ln>
            <a:solidFill>
              <a:srgbClr val="787878"/>
            </a:solidFill>
          </a:ln>
        </c:spPr>
        <c:crossAx val="162980608"/>
        <c:crosses val="autoZero"/>
        <c:crossBetween val="between"/>
        <c:majorUnit val="10"/>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495601511349542"/>
          <c:y val="6.9417088188412801E-2"/>
          <c:w val="0.74712660917385321"/>
          <c:h val="0.70760595979840368"/>
        </c:manualLayout>
      </c:layout>
      <c:barChart>
        <c:barDir val="bar"/>
        <c:grouping val="clustered"/>
        <c:varyColors val="0"/>
        <c:ser>
          <c:idx val="0"/>
          <c:order val="0"/>
          <c:spPr>
            <a:solidFill>
              <a:srgbClr val="78A22F"/>
            </a:solidFill>
          </c:spPr>
          <c:invertIfNegative val="0"/>
          <c:dPt>
            <c:idx val="3"/>
            <c:invertIfNegative val="0"/>
            <c:bubble3D val="0"/>
            <c:spPr>
              <a:solidFill>
                <a:srgbClr val="344893"/>
              </a:solidFill>
            </c:spPr>
          </c:dPt>
          <c:dPt>
            <c:idx val="5"/>
            <c:invertIfNegative val="0"/>
            <c:bubble3D val="0"/>
          </c:dPt>
          <c:cat>
            <c:strRef>
              <c:f>'Fig 2.1 E'!$CW$41:$DE$41</c:f>
              <c:strCache>
                <c:ptCount val="9"/>
                <c:pt idx="0">
                  <c:v>Aust</c:v>
                </c:pt>
                <c:pt idx="1">
                  <c:v>ACT</c:v>
                </c:pt>
                <c:pt idx="2">
                  <c:v>NT</c:v>
                </c:pt>
                <c:pt idx="3">
                  <c:v>Tas</c:v>
                </c:pt>
                <c:pt idx="4">
                  <c:v>WA</c:v>
                </c:pt>
                <c:pt idx="5">
                  <c:v>SA</c:v>
                </c:pt>
                <c:pt idx="6">
                  <c:v>Qld</c:v>
                </c:pt>
                <c:pt idx="7">
                  <c:v>Vic</c:v>
                </c:pt>
                <c:pt idx="8">
                  <c:v>NSW</c:v>
                </c:pt>
              </c:strCache>
            </c:strRef>
          </c:cat>
          <c:val>
            <c:numRef>
              <c:f>'Fig 2.1 E'!$CW$42:$DE$42</c:f>
              <c:numCache>
                <c:formatCode>General</c:formatCode>
                <c:ptCount val="9"/>
                <c:pt idx="0" formatCode="0">
                  <c:v>66.397000000000006</c:v>
                </c:pt>
                <c:pt idx="1">
                  <c:v>92.406000000000006</c:v>
                </c:pt>
                <c:pt idx="2">
                  <c:v>84.894000000000005</c:v>
                </c:pt>
                <c:pt idx="3">
                  <c:v>47.551000000000002</c:v>
                </c:pt>
                <c:pt idx="4">
                  <c:v>98.069000000000003</c:v>
                </c:pt>
                <c:pt idx="5">
                  <c:v>57.222999999999999</c:v>
                </c:pt>
                <c:pt idx="6">
                  <c:v>62.889000000000003</c:v>
                </c:pt>
                <c:pt idx="7">
                  <c:v>59.404000000000003</c:v>
                </c:pt>
                <c:pt idx="8">
                  <c:v>64.789000000000001</c:v>
                </c:pt>
              </c:numCache>
            </c:numRef>
          </c:val>
        </c:ser>
        <c:dLbls>
          <c:showLegendKey val="0"/>
          <c:showVal val="0"/>
          <c:showCatName val="0"/>
          <c:showSerName val="0"/>
          <c:showPercent val="0"/>
          <c:showBubbleSize val="0"/>
        </c:dLbls>
        <c:gapWidth val="50"/>
        <c:axId val="191310464"/>
        <c:axId val="191312256"/>
      </c:barChart>
      <c:catAx>
        <c:axId val="191310464"/>
        <c:scaling>
          <c:orientation val="minMax"/>
        </c:scaling>
        <c:delete val="0"/>
        <c:axPos val="l"/>
        <c:majorTickMark val="out"/>
        <c:minorTickMark val="none"/>
        <c:tickLblPos val="nextTo"/>
        <c:spPr>
          <a:ln>
            <a:solidFill>
              <a:srgbClr val="787878"/>
            </a:solidFill>
          </a:ln>
        </c:spPr>
        <c:crossAx val="191312256"/>
        <c:crosses val="autoZero"/>
        <c:auto val="1"/>
        <c:lblAlgn val="ctr"/>
        <c:lblOffset val="100"/>
        <c:noMultiLvlLbl val="0"/>
      </c:catAx>
      <c:valAx>
        <c:axId val="191312256"/>
        <c:scaling>
          <c:orientation val="minMax"/>
          <c:max val="100"/>
        </c:scaling>
        <c:delete val="0"/>
        <c:axPos val="b"/>
        <c:title>
          <c:tx>
            <c:rich>
              <a:bodyPr/>
              <a:lstStyle/>
              <a:p>
                <a:pPr>
                  <a:defRPr/>
                </a:pPr>
                <a:r>
                  <a:rPr lang="en-US"/>
                  <a:t>$ '000</a:t>
                </a:r>
              </a:p>
            </c:rich>
          </c:tx>
          <c:layout>
            <c:manualLayout>
              <c:xMode val="edge"/>
              <c:yMode val="edge"/>
              <c:x val="0.4308811398575178"/>
              <c:y val="0.90059985544741405"/>
            </c:manualLayout>
          </c:layout>
          <c:overlay val="0"/>
        </c:title>
        <c:numFmt formatCode="0" sourceLinked="1"/>
        <c:majorTickMark val="out"/>
        <c:minorTickMark val="none"/>
        <c:tickLblPos val="nextTo"/>
        <c:spPr>
          <a:ln>
            <a:solidFill>
              <a:srgbClr val="787878"/>
            </a:solidFill>
          </a:ln>
        </c:spPr>
        <c:crossAx val="191310464"/>
        <c:crosses val="autoZero"/>
        <c:crossBetween val="between"/>
        <c:majorUnit val="20"/>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370436507936509"/>
          <c:y val="5.8796296296296298E-2"/>
          <c:w val="0.72283849206349204"/>
          <c:h val="0.71871500867383076"/>
        </c:manualLayout>
      </c:layout>
      <c:barChart>
        <c:barDir val="bar"/>
        <c:grouping val="clustered"/>
        <c:varyColors val="0"/>
        <c:ser>
          <c:idx val="0"/>
          <c:order val="0"/>
          <c:spPr>
            <a:solidFill>
              <a:srgbClr val="78A22F"/>
            </a:solidFill>
          </c:spPr>
          <c:invertIfNegative val="0"/>
          <c:dPt>
            <c:idx val="3"/>
            <c:invertIfNegative val="0"/>
            <c:bubble3D val="0"/>
            <c:spPr>
              <a:solidFill>
                <a:srgbClr val="344893"/>
              </a:solidFill>
            </c:spPr>
          </c:dPt>
          <c:cat>
            <c:strRef>
              <c:f>Sheet1!$C$24:$K$24</c:f>
              <c:strCache>
                <c:ptCount val="9"/>
                <c:pt idx="0">
                  <c:v>Aust</c:v>
                </c:pt>
                <c:pt idx="1">
                  <c:v>ACT</c:v>
                </c:pt>
                <c:pt idx="2">
                  <c:v>NT</c:v>
                </c:pt>
                <c:pt idx="3">
                  <c:v>Tas</c:v>
                </c:pt>
                <c:pt idx="4">
                  <c:v>WA</c:v>
                </c:pt>
                <c:pt idx="5">
                  <c:v>SA</c:v>
                </c:pt>
                <c:pt idx="6">
                  <c:v>Qld</c:v>
                </c:pt>
                <c:pt idx="7">
                  <c:v>Vic</c:v>
                </c:pt>
                <c:pt idx="8">
                  <c:v>NSW</c:v>
                </c:pt>
              </c:strCache>
            </c:strRef>
          </c:cat>
          <c:val>
            <c:numRef>
              <c:f>Sheet1!$C$25:$K$25</c:f>
              <c:numCache>
                <c:formatCode>General</c:formatCode>
                <c:ptCount val="9"/>
                <c:pt idx="0">
                  <c:v>20.3</c:v>
                </c:pt>
                <c:pt idx="1">
                  <c:v>11.8</c:v>
                </c:pt>
                <c:pt idx="2">
                  <c:v>21.9</c:v>
                </c:pt>
                <c:pt idx="3">
                  <c:v>30.5</c:v>
                </c:pt>
                <c:pt idx="4">
                  <c:v>19</c:v>
                </c:pt>
                <c:pt idx="5">
                  <c:v>18</c:v>
                </c:pt>
                <c:pt idx="6">
                  <c:v>21.8</c:v>
                </c:pt>
                <c:pt idx="7">
                  <c:v>17.100000000000001</c:v>
                </c:pt>
                <c:pt idx="8">
                  <c:v>22.5</c:v>
                </c:pt>
              </c:numCache>
            </c:numRef>
          </c:val>
        </c:ser>
        <c:dLbls>
          <c:showLegendKey val="0"/>
          <c:showVal val="0"/>
          <c:showCatName val="0"/>
          <c:showSerName val="0"/>
          <c:showPercent val="0"/>
          <c:showBubbleSize val="0"/>
        </c:dLbls>
        <c:gapWidth val="60"/>
        <c:axId val="192086784"/>
        <c:axId val="192088320"/>
      </c:barChart>
      <c:catAx>
        <c:axId val="192086784"/>
        <c:scaling>
          <c:orientation val="minMax"/>
        </c:scaling>
        <c:delete val="0"/>
        <c:axPos val="l"/>
        <c:majorTickMark val="out"/>
        <c:minorTickMark val="none"/>
        <c:tickLblPos val="nextTo"/>
        <c:spPr>
          <a:ln>
            <a:solidFill>
              <a:srgbClr val="787878"/>
            </a:solidFill>
          </a:ln>
        </c:spPr>
        <c:crossAx val="192088320"/>
        <c:crosses val="autoZero"/>
        <c:auto val="1"/>
        <c:lblAlgn val="ctr"/>
        <c:lblOffset val="100"/>
        <c:noMultiLvlLbl val="0"/>
      </c:catAx>
      <c:valAx>
        <c:axId val="192088320"/>
        <c:scaling>
          <c:orientation val="minMax"/>
          <c:max val="35"/>
        </c:scaling>
        <c:delete val="0"/>
        <c:axPos val="b"/>
        <c:title>
          <c:tx>
            <c:rich>
              <a:bodyPr/>
              <a:lstStyle/>
              <a:p>
                <a:pPr>
                  <a:defRPr/>
                </a:pPr>
                <a:r>
                  <a:rPr lang="en-US"/>
                  <a:t>Per cent</a:t>
                </a:r>
              </a:p>
            </c:rich>
          </c:tx>
          <c:layout>
            <c:manualLayout>
              <c:xMode val="edge"/>
              <c:yMode val="edge"/>
              <c:x val="0.3800952851434567"/>
              <c:y val="0.88719626859194634"/>
            </c:manualLayout>
          </c:layout>
          <c:overlay val="0"/>
        </c:title>
        <c:numFmt formatCode="General" sourceLinked="1"/>
        <c:majorTickMark val="out"/>
        <c:minorTickMark val="none"/>
        <c:tickLblPos val="nextTo"/>
        <c:spPr>
          <a:ln>
            <a:solidFill>
              <a:srgbClr val="787878"/>
            </a:solidFill>
          </a:ln>
        </c:spPr>
        <c:crossAx val="192086784"/>
        <c:crosses val="autoZero"/>
        <c:crossBetween val="between"/>
        <c:majorUnit val="5"/>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0289682539682541"/>
          <c:y val="7.1862139917695467E-2"/>
          <c:w val="0.7210840548340548"/>
          <c:h val="0.7140216049382716"/>
        </c:manualLayout>
      </c:layout>
      <c:barChart>
        <c:barDir val="col"/>
        <c:grouping val="clustered"/>
        <c:varyColors val="0"/>
        <c:ser>
          <c:idx val="0"/>
          <c:order val="0"/>
          <c:tx>
            <c:v>TFES</c:v>
          </c:tx>
          <c:spPr>
            <a:solidFill>
              <a:srgbClr val="78A22F"/>
            </a:solidFill>
          </c:spPr>
          <c:invertIfNegative val="0"/>
          <c:cat>
            <c:strRef>
              <c:f>Data!$F$1:$O$1</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Data!$F$5:$O$5</c:f>
              <c:numCache>
                <c:formatCode>#,##0.000</c:formatCode>
                <c:ptCount val="10"/>
                <c:pt idx="0">
                  <c:v>83.632000000000005</c:v>
                </c:pt>
                <c:pt idx="1">
                  <c:v>89.988</c:v>
                </c:pt>
                <c:pt idx="2">
                  <c:v>92.289000000000001</c:v>
                </c:pt>
                <c:pt idx="3">
                  <c:v>89.573999999999998</c:v>
                </c:pt>
                <c:pt idx="4">
                  <c:v>101.252</c:v>
                </c:pt>
                <c:pt idx="5">
                  <c:v>109.41800000000001</c:v>
                </c:pt>
                <c:pt idx="6">
                  <c:v>98.32</c:v>
                </c:pt>
                <c:pt idx="7">
                  <c:v>98.549000000000007</c:v>
                </c:pt>
                <c:pt idx="8">
                  <c:v>93.230999999999995</c:v>
                </c:pt>
                <c:pt idx="9">
                  <c:v>111.04600000000001</c:v>
                </c:pt>
              </c:numCache>
            </c:numRef>
          </c:val>
        </c:ser>
        <c:ser>
          <c:idx val="1"/>
          <c:order val="1"/>
          <c:tx>
            <c:v>BSPVES</c:v>
          </c:tx>
          <c:spPr>
            <a:solidFill>
              <a:srgbClr val="344893"/>
            </a:solidFill>
          </c:spPr>
          <c:invertIfNegative val="0"/>
          <c:cat>
            <c:strRef>
              <c:f>Data!$F$1:$O$1</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Data!$F$13:$O$13</c:f>
              <c:numCache>
                <c:formatCode>0.00</c:formatCode>
                <c:ptCount val="10"/>
                <c:pt idx="0">
                  <c:v>34.340000000000003</c:v>
                </c:pt>
                <c:pt idx="1">
                  <c:v>32.409999999999997</c:v>
                </c:pt>
                <c:pt idx="2">
                  <c:v>31.09</c:v>
                </c:pt>
                <c:pt idx="3">
                  <c:v>28.411999999999999</c:v>
                </c:pt>
                <c:pt idx="4">
                  <c:v>30.103000000000002</c:v>
                </c:pt>
                <c:pt idx="5">
                  <c:v>35.06</c:v>
                </c:pt>
                <c:pt idx="6">
                  <c:v>36.475000000000001</c:v>
                </c:pt>
                <c:pt idx="7" formatCode="#,##0.000">
                  <c:v>36.502000000000002</c:v>
                </c:pt>
                <c:pt idx="8">
                  <c:v>34.56</c:v>
                </c:pt>
                <c:pt idx="9">
                  <c:v>34.5</c:v>
                </c:pt>
              </c:numCache>
            </c:numRef>
          </c:val>
        </c:ser>
        <c:dLbls>
          <c:showLegendKey val="0"/>
          <c:showVal val="0"/>
          <c:showCatName val="0"/>
          <c:showSerName val="0"/>
          <c:showPercent val="0"/>
          <c:showBubbleSize val="0"/>
        </c:dLbls>
        <c:gapWidth val="150"/>
        <c:axId val="192114688"/>
        <c:axId val="192116224"/>
      </c:barChart>
      <c:catAx>
        <c:axId val="192114688"/>
        <c:scaling>
          <c:orientation val="minMax"/>
        </c:scaling>
        <c:delete val="0"/>
        <c:axPos val="b"/>
        <c:majorTickMark val="out"/>
        <c:minorTickMark val="none"/>
        <c:tickLblPos val="nextTo"/>
        <c:txPr>
          <a:bodyPr/>
          <a:lstStyle/>
          <a:p>
            <a:pPr>
              <a:defRPr b="0" baseline="0"/>
            </a:pPr>
            <a:endParaRPr lang="en-US"/>
          </a:p>
        </c:txPr>
        <c:crossAx val="192116224"/>
        <c:crosses val="autoZero"/>
        <c:auto val="1"/>
        <c:lblAlgn val="ctr"/>
        <c:lblOffset val="100"/>
        <c:tickLblSkip val="3"/>
        <c:tickMarkSkip val="2"/>
        <c:noMultiLvlLbl val="0"/>
      </c:catAx>
      <c:valAx>
        <c:axId val="192116224"/>
        <c:scaling>
          <c:orientation val="minMax"/>
        </c:scaling>
        <c:delete val="0"/>
        <c:axPos val="l"/>
        <c:majorGridlines>
          <c:spPr>
            <a:ln w="9525">
              <a:noFill/>
            </a:ln>
          </c:spPr>
        </c:majorGridlines>
        <c:title>
          <c:tx>
            <c:rich>
              <a:bodyPr rot="-5400000" vert="horz"/>
              <a:lstStyle/>
              <a:p>
                <a:pPr>
                  <a:defRPr sz="1000" baseline="0"/>
                </a:pPr>
                <a:r>
                  <a:rPr lang="en-US" sz="1000" baseline="0"/>
                  <a:t>Expenditure ($m)</a:t>
                </a:r>
              </a:p>
            </c:rich>
          </c:tx>
          <c:layout/>
          <c:overlay val="0"/>
        </c:title>
        <c:numFmt formatCode="0" sourceLinked="0"/>
        <c:majorTickMark val="out"/>
        <c:minorTickMark val="none"/>
        <c:tickLblPos val="nextTo"/>
        <c:crossAx val="192114688"/>
        <c:crosses val="autoZero"/>
        <c:crossBetween val="between"/>
      </c:valAx>
      <c:spPr>
        <a:ln>
          <a:noFill/>
        </a:ln>
      </c:spPr>
    </c:plotArea>
    <c:legend>
      <c:legendPos val="b"/>
      <c:layout>
        <c:manualLayout>
          <c:xMode val="edge"/>
          <c:yMode val="edge"/>
          <c:x val="0.28582720057720057"/>
          <c:y val="0.88852726337448551"/>
          <c:w val="0.47416053391053392"/>
          <c:h val="0.11147273662551441"/>
        </c:manualLayout>
      </c:layout>
      <c:overlay val="0"/>
      <c:txPr>
        <a:bodyPr/>
        <a:lstStyle/>
        <a:p>
          <a:pPr>
            <a:defRPr b="1" baseline="0"/>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323841984127984"/>
          <c:y val="6.9982444692515786E-2"/>
          <c:w val="0.7365618773323368"/>
          <c:h val="0.72007022122993691"/>
        </c:manualLayout>
      </c:layout>
      <c:barChart>
        <c:barDir val="col"/>
        <c:grouping val="clustered"/>
        <c:varyColors val="0"/>
        <c:ser>
          <c:idx val="0"/>
          <c:order val="0"/>
          <c:spPr>
            <a:solidFill>
              <a:srgbClr val="78A22F"/>
            </a:solidFill>
          </c:spPr>
          <c:invertIfNegative val="0"/>
          <c:val>
            <c:numRef>
              <c:f>'dsn chart overview'!$D$2:$D$102</c:f>
              <c:numCache>
                <c:formatCode>General</c:formatCode>
                <c:ptCount val="101"/>
                <c:pt idx="0">
                  <c:v>10.7</c:v>
                </c:pt>
                <c:pt idx="1">
                  <c:v>7.827222410000001</c:v>
                </c:pt>
                <c:pt idx="2">
                  <c:v>7.1369534799999981</c:v>
                </c:pt>
                <c:pt idx="3">
                  <c:v>6.2171288700000007</c:v>
                </c:pt>
                <c:pt idx="4">
                  <c:v>4.8213601799999433</c:v>
                </c:pt>
                <c:pt idx="5">
                  <c:v>4.1760000000000002</c:v>
                </c:pt>
                <c:pt idx="6">
                  <c:v>2.8777609100000014</c:v>
                </c:pt>
                <c:pt idx="7">
                  <c:v>2.7361721499999985</c:v>
                </c:pt>
                <c:pt idx="8">
                  <c:v>2.6930839999999998</c:v>
                </c:pt>
                <c:pt idx="9">
                  <c:v>2.5703317800000138</c:v>
                </c:pt>
                <c:pt idx="10">
                  <c:v>2.5103426199999959</c:v>
                </c:pt>
                <c:pt idx="11">
                  <c:v>2.2513642699999945</c:v>
                </c:pt>
                <c:pt idx="12">
                  <c:v>2.233964069999963</c:v>
                </c:pt>
                <c:pt idx="13">
                  <c:v>2.2300547899999992</c:v>
                </c:pt>
                <c:pt idx="14">
                  <c:v>1.8831361900000012</c:v>
                </c:pt>
                <c:pt idx="15">
                  <c:v>1.7147429000000014</c:v>
                </c:pt>
                <c:pt idx="16">
                  <c:v>1.4348050899999905</c:v>
                </c:pt>
                <c:pt idx="17">
                  <c:v>1.3314096299999998</c:v>
                </c:pt>
                <c:pt idx="18">
                  <c:v>1.2918911499999988</c:v>
                </c:pt>
                <c:pt idx="19">
                  <c:v>1.2473938500000101</c:v>
                </c:pt>
                <c:pt idx="20">
                  <c:v>1.1460525399999981</c:v>
                </c:pt>
                <c:pt idx="21">
                  <c:v>1.1158810699999999</c:v>
                </c:pt>
                <c:pt idx="22">
                  <c:v>0.93405539000000004</c:v>
                </c:pt>
                <c:pt idx="23">
                  <c:v>0.86368758999999795</c:v>
                </c:pt>
                <c:pt idx="24">
                  <c:v>0.68817677999999993</c:v>
                </c:pt>
                <c:pt idx="25">
                  <c:v>0.64950614999999934</c:v>
                </c:pt>
                <c:pt idx="26">
                  <c:v>0.64707814999999858</c:v>
                </c:pt>
                <c:pt idx="27">
                  <c:v>0.61078107999999764</c:v>
                </c:pt>
                <c:pt idx="28">
                  <c:v>0.60399526000000003</c:v>
                </c:pt>
                <c:pt idx="29">
                  <c:v>0.60218325999999944</c:v>
                </c:pt>
                <c:pt idx="30">
                  <c:v>0.5932280900000001</c:v>
                </c:pt>
                <c:pt idx="31">
                  <c:v>0.58151688000000112</c:v>
                </c:pt>
                <c:pt idx="32">
                  <c:v>0.57880600000000004</c:v>
                </c:pt>
                <c:pt idx="33">
                  <c:v>0.53461281999999999</c:v>
                </c:pt>
                <c:pt idx="34">
                  <c:v>0.47918252999999877</c:v>
                </c:pt>
                <c:pt idx="35">
                  <c:v>0.45351923</c:v>
                </c:pt>
                <c:pt idx="36">
                  <c:v>0.45217819999999787</c:v>
                </c:pt>
                <c:pt idx="37">
                  <c:v>0.43683145000000151</c:v>
                </c:pt>
                <c:pt idx="38">
                  <c:v>0.43597544999999921</c:v>
                </c:pt>
                <c:pt idx="39">
                  <c:v>0.43179034999999893</c:v>
                </c:pt>
                <c:pt idx="40">
                  <c:v>0.38706099999999999</c:v>
                </c:pt>
                <c:pt idx="41">
                  <c:v>0.36143700000000001</c:v>
                </c:pt>
                <c:pt idx="42">
                  <c:v>0.35999769999999925</c:v>
                </c:pt>
                <c:pt idx="43">
                  <c:v>0.32364523000000062</c:v>
                </c:pt>
                <c:pt idx="44">
                  <c:v>0.32261164000000014</c:v>
                </c:pt>
                <c:pt idx="45">
                  <c:v>0.31785874000000008</c:v>
                </c:pt>
                <c:pt idx="46">
                  <c:v>0.31446836999999983</c:v>
                </c:pt>
                <c:pt idx="47">
                  <c:v>0.3027531100000001</c:v>
                </c:pt>
                <c:pt idx="48">
                  <c:v>0.30011949000000004</c:v>
                </c:pt>
                <c:pt idx="49">
                  <c:v>0.29572878000000002</c:v>
                </c:pt>
                <c:pt idx="50">
                  <c:v>0.29030400000000001</c:v>
                </c:pt>
                <c:pt idx="51">
                  <c:v>0.28998926000000003</c:v>
                </c:pt>
                <c:pt idx="52">
                  <c:v>0.26971393999999999</c:v>
                </c:pt>
                <c:pt idx="53">
                  <c:v>0.26773275999999979</c:v>
                </c:pt>
                <c:pt idx="54">
                  <c:v>0.25232776000000046</c:v>
                </c:pt>
                <c:pt idx="55">
                  <c:v>0.24809220999999998</c:v>
                </c:pt>
                <c:pt idx="56">
                  <c:v>0.23927001999999997</c:v>
                </c:pt>
                <c:pt idx="57">
                  <c:v>0.23206857000000025</c:v>
                </c:pt>
                <c:pt idx="58">
                  <c:v>0.22766033000000013</c:v>
                </c:pt>
                <c:pt idx="59">
                  <c:v>0.21812387999999999</c:v>
                </c:pt>
                <c:pt idx="60">
                  <c:v>0.21744335999999995</c:v>
                </c:pt>
                <c:pt idx="61">
                  <c:v>0.21402941</c:v>
                </c:pt>
                <c:pt idx="62">
                  <c:v>0.20815872999999929</c:v>
                </c:pt>
                <c:pt idx="63">
                  <c:v>0.20070299999999999</c:v>
                </c:pt>
                <c:pt idx="64">
                  <c:v>0.19405008000000007</c:v>
                </c:pt>
                <c:pt idx="65">
                  <c:v>0.19295753000000043</c:v>
                </c:pt>
                <c:pt idx="66">
                  <c:v>0.188913</c:v>
                </c:pt>
                <c:pt idx="67">
                  <c:v>0.18579226000000007</c:v>
                </c:pt>
                <c:pt idx="68">
                  <c:v>0.18411959999999997</c:v>
                </c:pt>
                <c:pt idx="69">
                  <c:v>0.17762178999999986</c:v>
                </c:pt>
                <c:pt idx="70">
                  <c:v>0.17621711000000026</c:v>
                </c:pt>
                <c:pt idx="71">
                  <c:v>0.17527499999999999</c:v>
                </c:pt>
                <c:pt idx="72">
                  <c:v>0.17375738999999996</c:v>
                </c:pt>
                <c:pt idx="73">
                  <c:v>0.17052100000000001</c:v>
                </c:pt>
                <c:pt idx="74">
                  <c:v>0.16998083000000008</c:v>
                </c:pt>
                <c:pt idx="75">
                  <c:v>0.16877700000000001</c:v>
                </c:pt>
                <c:pt idx="76">
                  <c:v>0.16619799000000002</c:v>
                </c:pt>
                <c:pt idx="77">
                  <c:v>0.16201736999999997</c:v>
                </c:pt>
                <c:pt idx="78">
                  <c:v>0.15655674000000008</c:v>
                </c:pt>
                <c:pt idx="79">
                  <c:v>0.15565017999999997</c:v>
                </c:pt>
                <c:pt idx="80">
                  <c:v>0.14942815000000001</c:v>
                </c:pt>
                <c:pt idx="81">
                  <c:v>0.147483</c:v>
                </c:pt>
                <c:pt idx="82">
                  <c:v>0.14699278000000002</c:v>
                </c:pt>
                <c:pt idx="83">
                  <c:v>0.14693545000000002</c:v>
                </c:pt>
                <c:pt idx="84">
                  <c:v>0.14136499999999999</c:v>
                </c:pt>
                <c:pt idx="85">
                  <c:v>0.14102652999999993</c:v>
                </c:pt>
                <c:pt idx="86">
                  <c:v>0.13750581999999822</c:v>
                </c:pt>
                <c:pt idx="87">
                  <c:v>0.13569924999999974</c:v>
                </c:pt>
                <c:pt idx="88">
                  <c:v>0.13505783000000002</c:v>
                </c:pt>
                <c:pt idx="89">
                  <c:v>0.13288375999999996</c:v>
                </c:pt>
                <c:pt idx="90">
                  <c:v>0.13040876999999992</c:v>
                </c:pt>
                <c:pt idx="91">
                  <c:v>0.1284372299999999</c:v>
                </c:pt>
                <c:pt idx="92">
                  <c:v>0.12252449000000003</c:v>
                </c:pt>
                <c:pt idx="93">
                  <c:v>0.12187044999999985</c:v>
                </c:pt>
                <c:pt idx="94">
                  <c:v>0.11997605999999995</c:v>
                </c:pt>
                <c:pt idx="95">
                  <c:v>0.11901319999999986</c:v>
                </c:pt>
                <c:pt idx="96">
                  <c:v>0.11643812000000002</c:v>
                </c:pt>
                <c:pt idx="97">
                  <c:v>0.11330324999999998</c:v>
                </c:pt>
                <c:pt idx="98">
                  <c:v>0.10803607000000001</c:v>
                </c:pt>
                <c:pt idx="99">
                  <c:v>0.10797769000000007</c:v>
                </c:pt>
                <c:pt idx="100">
                  <c:v>0.10556723000000001</c:v>
                </c:pt>
              </c:numCache>
            </c:numRef>
          </c:val>
        </c:ser>
        <c:dLbls>
          <c:showLegendKey val="0"/>
          <c:showVal val="0"/>
          <c:showCatName val="0"/>
          <c:showSerName val="0"/>
          <c:showPercent val="0"/>
          <c:showBubbleSize val="0"/>
        </c:dLbls>
        <c:gapWidth val="70"/>
        <c:axId val="192137088"/>
        <c:axId val="192139264"/>
      </c:barChart>
      <c:catAx>
        <c:axId val="192137088"/>
        <c:scaling>
          <c:orientation val="minMax"/>
        </c:scaling>
        <c:delete val="1"/>
        <c:axPos val="b"/>
        <c:title>
          <c:tx>
            <c:rich>
              <a:bodyPr/>
              <a:lstStyle/>
              <a:p>
                <a:pPr>
                  <a:defRPr>
                    <a:latin typeface="Arial" pitchFamily="34" charset="0"/>
                    <a:cs typeface="Arial" pitchFamily="34" charset="0"/>
                  </a:defRPr>
                </a:pPr>
                <a:r>
                  <a:rPr lang="en-US" b="1">
                    <a:latin typeface="Arial" pitchFamily="34" charset="0"/>
                    <a:cs typeface="Arial" pitchFamily="34" charset="0"/>
                  </a:rPr>
                  <a:t>Order of claimants</a:t>
                </a:r>
                <a:r>
                  <a:rPr lang="en-US"/>
                  <a:t> </a:t>
                </a:r>
                <a:r>
                  <a:rPr lang="en-US" b="1">
                    <a:latin typeface="Arial" pitchFamily="34" charset="0"/>
                    <a:cs typeface="Arial" pitchFamily="34" charset="0"/>
                    <a:sym typeface="Symbol"/>
                  </a:rPr>
                  <a:t></a:t>
                </a:r>
                <a:r>
                  <a:rPr lang="en-US"/>
                  <a:t> </a:t>
                </a:r>
                <a:r>
                  <a:rPr lang="en-US" b="1">
                    <a:latin typeface="Arial" pitchFamily="34" charset="0"/>
                    <a:cs typeface="Arial" pitchFamily="34" charset="0"/>
                  </a:rPr>
                  <a:t>largest to smallest</a:t>
                </a:r>
              </a:p>
            </c:rich>
          </c:tx>
          <c:layout>
            <c:manualLayout>
              <c:xMode val="edge"/>
              <c:yMode val="edge"/>
              <c:x val="0.20457647907647908"/>
              <c:y val="0.86435988562091504"/>
            </c:manualLayout>
          </c:layout>
          <c:overlay val="0"/>
        </c:title>
        <c:majorTickMark val="none"/>
        <c:minorTickMark val="none"/>
        <c:tickLblPos val="nextTo"/>
        <c:crossAx val="192139264"/>
        <c:crossesAt val="0"/>
        <c:auto val="0"/>
        <c:lblAlgn val="ctr"/>
        <c:lblOffset val="100"/>
        <c:tickLblSkip val="20"/>
        <c:tickMarkSkip val="1"/>
        <c:noMultiLvlLbl val="0"/>
      </c:catAx>
      <c:valAx>
        <c:axId val="192139264"/>
        <c:scaling>
          <c:orientation val="minMax"/>
          <c:max val="12"/>
          <c:min val="0"/>
        </c:scaling>
        <c:delete val="0"/>
        <c:axPos val="l"/>
        <c:majorGridlines>
          <c:spPr>
            <a:ln>
              <a:noFill/>
            </a:ln>
          </c:spPr>
        </c:majorGridlines>
        <c:title>
          <c:tx>
            <c:rich>
              <a:bodyPr rot="-5400000" vert="horz"/>
              <a:lstStyle/>
              <a:p>
                <a:pPr>
                  <a:defRPr>
                    <a:latin typeface="Arial" pitchFamily="34" charset="0"/>
                    <a:cs typeface="Arial" pitchFamily="34" charset="0"/>
                  </a:defRPr>
                </a:pPr>
                <a:r>
                  <a:rPr lang="en-US">
                    <a:latin typeface="Arial" pitchFamily="34" charset="0"/>
                    <a:cs typeface="Arial" pitchFamily="34" charset="0"/>
                  </a:rPr>
                  <a:t>Amount paid ($m)</a:t>
                </a:r>
              </a:p>
            </c:rich>
          </c:tx>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92137088"/>
        <c:crosses val="autoZero"/>
        <c:crossBetween val="between"/>
      </c:valAx>
      <c:spPr>
        <a:noFill/>
        <a:ln>
          <a:noFill/>
        </a:ln>
      </c:spPr>
    </c:plotArea>
    <c:plotVisOnly val="1"/>
    <c:dispBlanksAs val="gap"/>
    <c:showDLblsOverMax val="0"/>
  </c:chart>
  <c:spPr>
    <a:ln>
      <a:noFill/>
    </a:ln>
  </c:sp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418205705705705"/>
          <c:y val="5.5953174603174602E-2"/>
          <c:w val="0.683378003003003"/>
          <c:h val="0.80771507936507936"/>
        </c:manualLayout>
      </c:layout>
      <c:barChart>
        <c:barDir val="col"/>
        <c:grouping val="clustered"/>
        <c:varyColors val="0"/>
        <c:ser>
          <c:idx val="0"/>
          <c:order val="0"/>
          <c:tx>
            <c:strRef>
              <c:f>'Overview NB SB'!$B$16</c:f>
              <c:strCache>
                <c:ptCount val="1"/>
                <c:pt idx="0">
                  <c:v>$ million paid</c:v>
                </c:pt>
              </c:strCache>
            </c:strRef>
          </c:tx>
          <c:spPr>
            <a:solidFill>
              <a:srgbClr val="78A22F"/>
            </a:solidFill>
          </c:spPr>
          <c:invertIfNegative val="0"/>
          <c:cat>
            <c:strRef>
              <c:f>'Overview NB SB'!$A$17:$A$18</c:f>
              <c:strCache>
                <c:ptCount val="2"/>
                <c:pt idx="0">
                  <c:v>Northbound</c:v>
                </c:pt>
                <c:pt idx="1">
                  <c:v>Southbound</c:v>
                </c:pt>
              </c:strCache>
            </c:strRef>
          </c:cat>
          <c:val>
            <c:numRef>
              <c:f>'Overview NB SB'!$B$17:$B$18</c:f>
              <c:numCache>
                <c:formatCode>#,##0</c:formatCode>
                <c:ptCount val="2"/>
                <c:pt idx="0">
                  <c:v>66.7</c:v>
                </c:pt>
                <c:pt idx="1">
                  <c:v>27.4</c:v>
                </c:pt>
              </c:numCache>
            </c:numRef>
          </c:val>
        </c:ser>
        <c:dLbls>
          <c:showLegendKey val="0"/>
          <c:showVal val="0"/>
          <c:showCatName val="0"/>
          <c:showSerName val="0"/>
          <c:showPercent val="0"/>
          <c:showBubbleSize val="0"/>
        </c:dLbls>
        <c:gapWidth val="150"/>
        <c:axId val="192146816"/>
        <c:axId val="192304256"/>
      </c:barChart>
      <c:catAx>
        <c:axId val="192146816"/>
        <c:scaling>
          <c:orientation val="minMax"/>
        </c:scaling>
        <c:delete val="0"/>
        <c:axPos val="b"/>
        <c:majorTickMark val="out"/>
        <c:minorTickMark val="none"/>
        <c:tickLblPos val="nextTo"/>
        <c:txPr>
          <a:bodyPr/>
          <a:lstStyle/>
          <a:p>
            <a:pPr>
              <a:defRPr b="0">
                <a:latin typeface="Arial" pitchFamily="34" charset="0"/>
                <a:cs typeface="Arial" pitchFamily="34" charset="0"/>
              </a:defRPr>
            </a:pPr>
            <a:endParaRPr lang="en-US"/>
          </a:p>
        </c:txPr>
        <c:crossAx val="192304256"/>
        <c:crosses val="autoZero"/>
        <c:auto val="1"/>
        <c:lblAlgn val="ctr"/>
        <c:lblOffset val="100"/>
        <c:noMultiLvlLbl val="0"/>
      </c:catAx>
      <c:valAx>
        <c:axId val="192304256"/>
        <c:scaling>
          <c:orientation val="minMax"/>
        </c:scaling>
        <c:delete val="0"/>
        <c:axPos val="l"/>
        <c:majorGridlines>
          <c:spPr>
            <a:ln>
              <a:noFill/>
            </a:ln>
          </c:spPr>
        </c:majorGridlines>
        <c:title>
          <c:tx>
            <c:rich>
              <a:bodyPr rot="-5400000" vert="horz"/>
              <a:lstStyle/>
              <a:p>
                <a:pPr>
                  <a:defRPr>
                    <a:latin typeface="Arial" pitchFamily="34" charset="0"/>
                    <a:cs typeface="Arial" pitchFamily="34" charset="0"/>
                  </a:defRPr>
                </a:pPr>
                <a:r>
                  <a:rPr lang="en-US">
                    <a:latin typeface="Arial" pitchFamily="34" charset="0"/>
                    <a:cs typeface="Arial" pitchFamily="34" charset="0"/>
                  </a:rPr>
                  <a:t>Amount paid ($m)</a:t>
                </a:r>
              </a:p>
            </c:rich>
          </c:tx>
          <c:layout/>
          <c:overlay val="0"/>
        </c:title>
        <c:numFmt formatCode="#,##0" sourceLinked="1"/>
        <c:majorTickMark val="out"/>
        <c:minorTickMark val="none"/>
        <c:tickLblPos val="nextTo"/>
        <c:txPr>
          <a:bodyPr/>
          <a:lstStyle/>
          <a:p>
            <a:pPr>
              <a:defRPr b="0">
                <a:latin typeface="Arial" pitchFamily="34" charset="0"/>
                <a:cs typeface="Arial" pitchFamily="34" charset="0"/>
              </a:defRPr>
            </a:pPr>
            <a:endParaRPr lang="en-US"/>
          </a:p>
        </c:txPr>
        <c:crossAx val="192146816"/>
        <c:crosses val="autoZero"/>
        <c:crossBetween val="between"/>
      </c:valAx>
      <c:spPr>
        <a:noFill/>
        <a:ln>
          <a:noFill/>
        </a:ln>
      </c:spPr>
    </c:plotArea>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Bulk wheat</c:v>
          </c:tx>
          <c:spPr>
            <a:solidFill>
              <a:srgbClr val="344893"/>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Sheet1!$B$6:$H$6</c:f>
              <c:numCache>
                <c:formatCode>General</c:formatCode>
                <c:ptCount val="7"/>
                <c:pt idx="0">
                  <c:v>0</c:v>
                </c:pt>
                <c:pt idx="1">
                  <c:v>31.242000000000001</c:v>
                </c:pt>
                <c:pt idx="2">
                  <c:v>40.570999999999998</c:v>
                </c:pt>
                <c:pt idx="3">
                  <c:v>20.344999999999999</c:v>
                </c:pt>
                <c:pt idx="4">
                  <c:v>0</c:v>
                </c:pt>
                <c:pt idx="5">
                  <c:v>0</c:v>
                </c:pt>
                <c:pt idx="6">
                  <c:v>0</c:v>
                </c:pt>
              </c:numCache>
            </c:numRef>
          </c:val>
        </c:ser>
        <c:ser>
          <c:idx val="1"/>
          <c:order val="1"/>
          <c:tx>
            <c:v>Containerised wheat</c:v>
          </c:tx>
          <c:spPr>
            <a:solidFill>
              <a:srgbClr val="78A22F"/>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Sheet1!$B$7:$H$7</c:f>
              <c:numCache>
                <c:formatCode>0.0</c:formatCode>
                <c:ptCount val="7"/>
                <c:pt idx="0">
                  <c:v>69.78</c:v>
                </c:pt>
                <c:pt idx="1">
                  <c:v>52.777000000000001</c:v>
                </c:pt>
                <c:pt idx="2">
                  <c:v>61.46</c:v>
                </c:pt>
                <c:pt idx="3">
                  <c:v>48.665999999999997</c:v>
                </c:pt>
                <c:pt idx="4">
                  <c:v>43.198999999999998</c:v>
                </c:pt>
                <c:pt idx="5">
                  <c:v>62.244</c:v>
                </c:pt>
                <c:pt idx="6">
                  <c:v>81.459000000000003</c:v>
                </c:pt>
              </c:numCache>
            </c:numRef>
          </c:val>
        </c:ser>
        <c:dLbls>
          <c:showLegendKey val="0"/>
          <c:showVal val="0"/>
          <c:showCatName val="0"/>
          <c:showSerName val="0"/>
          <c:showPercent val="0"/>
          <c:showBubbleSize val="0"/>
        </c:dLbls>
        <c:gapWidth val="100"/>
        <c:axId val="192321408"/>
        <c:axId val="192322944"/>
      </c:barChart>
      <c:catAx>
        <c:axId val="192321408"/>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192322944"/>
        <c:crosses val="autoZero"/>
        <c:auto val="1"/>
        <c:lblAlgn val="ctr"/>
        <c:lblOffset val="100"/>
        <c:tickLblSkip val="3"/>
        <c:noMultiLvlLbl val="0"/>
      </c:catAx>
      <c:valAx>
        <c:axId val="192322944"/>
        <c:scaling>
          <c:orientation val="minMax"/>
        </c:scaling>
        <c:delete val="0"/>
        <c:axPos val="l"/>
        <c:majorGridlines>
          <c:spPr>
            <a:ln>
              <a:noFill/>
            </a:ln>
          </c:spPr>
        </c:majorGridlines>
        <c:title>
          <c:tx>
            <c:rich>
              <a:bodyPr rot="-5400000" vert="horz"/>
              <a:lstStyle/>
              <a:p>
                <a:pPr>
                  <a:defRPr>
                    <a:latin typeface="Arial" pitchFamily="34" charset="0"/>
                    <a:cs typeface="Arial" pitchFamily="34" charset="0"/>
                  </a:defRPr>
                </a:pPr>
                <a:r>
                  <a:rPr lang="en-US">
                    <a:latin typeface="Arial" pitchFamily="34" charset="0"/>
                    <a:cs typeface="Arial" pitchFamily="34" charset="0"/>
                  </a:rPr>
                  <a:t>No. of tonnes ('000)</a:t>
                </a:r>
              </a:p>
            </c:rich>
          </c:tx>
          <c:layout/>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92321408"/>
        <c:crosses val="autoZero"/>
        <c:crossBetween val="between"/>
      </c:valAx>
      <c:spPr>
        <a:ln>
          <a:noFill/>
        </a:ln>
      </c:spPr>
    </c:plotArea>
    <c:legend>
      <c:legendPos val="b"/>
      <c:layout>
        <c:manualLayout>
          <c:xMode val="edge"/>
          <c:yMode val="edge"/>
          <c:x val="9.29054054054054E-2"/>
          <c:y val="0.87368928571428572"/>
          <c:w val="0.87139639639639643"/>
          <c:h val="8.5993253968253969E-2"/>
        </c:manualLayout>
      </c:layout>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047907647907647"/>
          <c:y val="5.2224999999999994E-2"/>
          <c:w val="0.73617929292929296"/>
          <c:h val="0.66246805555555555"/>
        </c:manualLayout>
      </c:layout>
      <c:barChart>
        <c:barDir val="col"/>
        <c:grouping val="clustered"/>
        <c:varyColors val="0"/>
        <c:ser>
          <c:idx val="0"/>
          <c:order val="0"/>
          <c:spPr>
            <a:solidFill>
              <a:srgbClr val="78A22F"/>
            </a:solidFill>
          </c:spPr>
          <c:invertIfNegative val="0"/>
          <c:dPt>
            <c:idx val="0"/>
            <c:invertIfNegative val="0"/>
            <c:bubble3D val="0"/>
          </c:dPt>
          <c:cat>
            <c:strRef>
              <c:f>'fig 2 overview - '!$G$5:$G$9</c:f>
              <c:strCache>
                <c:ptCount val="5"/>
                <c:pt idx="0">
                  <c:v>1996-97</c:v>
                </c:pt>
                <c:pt idx="1">
                  <c:v>2001-02</c:v>
                </c:pt>
                <c:pt idx="2">
                  <c:v>2006-07</c:v>
                </c:pt>
                <c:pt idx="3">
                  <c:v>2010-11</c:v>
                </c:pt>
                <c:pt idx="4">
                  <c:v>2011-12</c:v>
                </c:pt>
              </c:strCache>
            </c:strRef>
          </c:cat>
          <c:val>
            <c:numRef>
              <c:f>'fig 2 overview - '!$H$5:$H$9</c:f>
              <c:numCache>
                <c:formatCode>General</c:formatCode>
                <c:ptCount val="5"/>
                <c:pt idx="0">
                  <c:v>671</c:v>
                </c:pt>
                <c:pt idx="1">
                  <c:v>562</c:v>
                </c:pt>
                <c:pt idx="2">
                  <c:v>653</c:v>
                </c:pt>
                <c:pt idx="3">
                  <c:v>549</c:v>
                </c:pt>
                <c:pt idx="4">
                  <c:v>448</c:v>
                </c:pt>
              </c:numCache>
            </c:numRef>
          </c:val>
        </c:ser>
        <c:dLbls>
          <c:showLegendKey val="0"/>
          <c:showVal val="0"/>
          <c:showCatName val="0"/>
          <c:showSerName val="0"/>
          <c:showPercent val="0"/>
          <c:showBubbleSize val="0"/>
        </c:dLbls>
        <c:gapWidth val="80"/>
        <c:axId val="192372096"/>
        <c:axId val="192382080"/>
      </c:barChart>
      <c:catAx>
        <c:axId val="192372096"/>
        <c:scaling>
          <c:orientation val="minMax"/>
        </c:scaling>
        <c:delete val="0"/>
        <c:axPos val="b"/>
        <c:majorTickMark val="out"/>
        <c:minorTickMark val="none"/>
        <c:tickLblPos val="nextTo"/>
        <c:spPr>
          <a:ln>
            <a:solidFill>
              <a:srgbClr val="787878"/>
            </a:solidFill>
          </a:ln>
        </c:spPr>
        <c:crossAx val="192382080"/>
        <c:crosses val="autoZero"/>
        <c:auto val="1"/>
        <c:lblAlgn val="ctr"/>
        <c:lblOffset val="100"/>
        <c:noMultiLvlLbl val="0"/>
      </c:catAx>
      <c:valAx>
        <c:axId val="192382080"/>
        <c:scaling>
          <c:orientation val="minMax"/>
          <c:max val="800"/>
        </c:scaling>
        <c:delete val="0"/>
        <c:axPos val="l"/>
        <c:title>
          <c:tx>
            <c:rich>
              <a:bodyPr rot="-5400000" vert="horz"/>
              <a:lstStyle/>
              <a:p>
                <a:pPr>
                  <a:defRPr/>
                </a:pPr>
                <a:r>
                  <a:rPr lang="en-US"/>
                  <a:t>$ per TEU of dry freight</a:t>
                </a:r>
              </a:p>
            </c:rich>
          </c:tx>
          <c:layout>
            <c:manualLayout>
              <c:xMode val="edge"/>
              <c:yMode val="edge"/>
              <c:x val="2.216378066378066E-2"/>
              <c:y val="0.15104901960784314"/>
            </c:manualLayout>
          </c:layout>
          <c:overlay val="0"/>
        </c:title>
        <c:numFmt formatCode="General" sourceLinked="1"/>
        <c:majorTickMark val="out"/>
        <c:minorTickMark val="none"/>
        <c:tickLblPos val="nextTo"/>
        <c:spPr>
          <a:ln>
            <a:solidFill>
              <a:srgbClr val="787878"/>
            </a:solidFill>
          </a:ln>
        </c:spPr>
        <c:crossAx val="192372096"/>
        <c:crosses val="autoZero"/>
        <c:crossBetween val="between"/>
        <c:majorUnit val="200"/>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65375612153075"/>
          <c:y val="5.711064814814814E-2"/>
          <c:w val="0.68083894928983457"/>
          <c:h val="0.81523240740740732"/>
        </c:manualLayout>
      </c:layout>
      <c:lineChart>
        <c:grouping val="standard"/>
        <c:varyColors val="0"/>
        <c:ser>
          <c:idx val="0"/>
          <c:order val="0"/>
          <c:tx>
            <c:strRef>
              <c:f>Sheet1!$C$54</c:f>
              <c:strCache>
                <c:ptCount val="1"/>
                <c:pt idx="0">
                  <c:v>Package sea fare (rebate included)</c:v>
                </c:pt>
              </c:strCache>
            </c:strRef>
          </c:tx>
          <c:spPr>
            <a:ln>
              <a:solidFill>
                <a:srgbClr val="78A22F"/>
              </a:solidFill>
            </a:ln>
          </c:spPr>
          <c:marker>
            <c:symbol val="none"/>
          </c:marker>
          <c:cat>
            <c:strRef>
              <c:f>Sheet1!$A$59:$A$89</c:f>
              <c:strCache>
                <c:ptCount val="31"/>
                <c:pt idx="0">
                  <c:v>1982-83</c:v>
                </c:pt>
                <c:pt idx="1">
                  <c:v>1983-84</c:v>
                </c:pt>
                <c:pt idx="2">
                  <c:v>1984-85</c:v>
                </c:pt>
                <c:pt idx="3">
                  <c:v>1985-86</c:v>
                </c:pt>
                <c:pt idx="4">
                  <c:v>1986-87</c:v>
                </c:pt>
                <c:pt idx="5">
                  <c:v>1987-88</c:v>
                </c:pt>
                <c:pt idx="6">
                  <c:v>1988-89</c:v>
                </c:pt>
                <c:pt idx="7">
                  <c:v>1989-90</c:v>
                </c:pt>
                <c:pt idx="8">
                  <c:v>1990-91</c:v>
                </c:pt>
                <c:pt idx="9">
                  <c:v>1991-92</c:v>
                </c:pt>
                <c:pt idx="10">
                  <c:v>1992-93</c:v>
                </c:pt>
                <c:pt idx="11">
                  <c:v>1993-94</c:v>
                </c:pt>
                <c:pt idx="12">
                  <c:v>1994-95</c:v>
                </c:pt>
                <c:pt idx="13">
                  <c:v>1995-96</c:v>
                </c:pt>
                <c:pt idx="14">
                  <c:v>1996-97</c:v>
                </c:pt>
                <c:pt idx="15">
                  <c:v>1997-98</c:v>
                </c:pt>
                <c:pt idx="16">
                  <c:v>1998-99</c:v>
                </c:pt>
                <c:pt idx="17">
                  <c:v>1999-00</c:v>
                </c:pt>
                <c:pt idx="18">
                  <c:v>2000-01</c:v>
                </c:pt>
                <c:pt idx="19">
                  <c:v>2001-02</c:v>
                </c:pt>
                <c:pt idx="20">
                  <c:v>2002-03</c:v>
                </c:pt>
                <c:pt idx="21">
                  <c:v>2003-04</c:v>
                </c:pt>
                <c:pt idx="22">
                  <c:v>2004-05</c:v>
                </c:pt>
                <c:pt idx="23">
                  <c:v>2005-06</c:v>
                </c:pt>
                <c:pt idx="24">
                  <c:v>2006-07</c:v>
                </c:pt>
                <c:pt idx="25">
                  <c:v>2007-08</c:v>
                </c:pt>
                <c:pt idx="26">
                  <c:v>2008-09</c:v>
                </c:pt>
                <c:pt idx="27">
                  <c:v>2009-10</c:v>
                </c:pt>
                <c:pt idx="28">
                  <c:v>2010-11</c:v>
                </c:pt>
                <c:pt idx="29">
                  <c:v>2011-12</c:v>
                </c:pt>
                <c:pt idx="30">
                  <c:v>2012-13</c:v>
                </c:pt>
              </c:strCache>
            </c:strRef>
          </c:cat>
          <c:val>
            <c:numRef>
              <c:f>Sheet1!$J$59:$J$89</c:f>
              <c:numCache>
                <c:formatCode>General</c:formatCode>
                <c:ptCount val="31"/>
                <c:pt idx="13" formatCode="0.0">
                  <c:v>688.36989409984892</c:v>
                </c:pt>
                <c:pt idx="14" formatCode="0.0">
                  <c:v>541.97461739455036</c:v>
                </c:pt>
                <c:pt idx="15" formatCode="0.0">
                  <c:v>566.61314413741616</c:v>
                </c:pt>
                <c:pt idx="16" formatCode="0.0">
                  <c:v>591.17994100294982</c:v>
                </c:pt>
                <c:pt idx="17" formatCode="0.0">
                  <c:v>592.07057976233352</c:v>
                </c:pt>
                <c:pt idx="18" formatCode="0.0">
                  <c:v>659.9014945652176</c:v>
                </c:pt>
                <c:pt idx="19" formatCode="0.0">
                  <c:v>641.59511228533688</c:v>
                </c:pt>
                <c:pt idx="20" formatCode="0.0">
                  <c:v>651.72491183071509</c:v>
                </c:pt>
                <c:pt idx="21" formatCode="0.0">
                  <c:v>651.7877269881028</c:v>
                </c:pt>
                <c:pt idx="22" formatCode="0.0">
                  <c:v>643.94680525833087</c:v>
                </c:pt>
                <c:pt idx="23" formatCode="0.0">
                  <c:v>628.76481042654029</c:v>
                </c:pt>
                <c:pt idx="24" formatCode="0.0">
                  <c:v>696.570771001151</c:v>
                </c:pt>
                <c:pt idx="25" formatCode="0.0">
                  <c:v>663.93915947676055</c:v>
                </c:pt>
                <c:pt idx="26" formatCode="0.0">
                  <c:v>692.50709851551971</c:v>
                </c:pt>
                <c:pt idx="27" formatCode="0.0">
                  <c:v>662.42680031653924</c:v>
                </c:pt>
                <c:pt idx="28" formatCode="0.0">
                  <c:v>681.14351496546442</c:v>
                </c:pt>
                <c:pt idx="29" formatCode="0.0">
                  <c:v>670.57999499874973</c:v>
                </c:pt>
                <c:pt idx="30" formatCode="0.0">
                  <c:v>738.36</c:v>
                </c:pt>
              </c:numCache>
            </c:numRef>
          </c:val>
          <c:smooth val="0"/>
        </c:ser>
        <c:ser>
          <c:idx val="1"/>
          <c:order val="1"/>
          <c:tx>
            <c:strRef>
              <c:f>Sheet1!$D$54</c:f>
              <c:strCache>
                <c:ptCount val="1"/>
                <c:pt idx="0">
                  <c:v>Package sea fare (no rebate)</c:v>
                </c:pt>
              </c:strCache>
            </c:strRef>
          </c:tx>
          <c:spPr>
            <a:ln cmpd="sng">
              <a:solidFill>
                <a:srgbClr val="344893"/>
              </a:solidFill>
              <a:prstDash val="sysDash"/>
            </a:ln>
            <a:effectLst/>
          </c:spPr>
          <c:marker>
            <c:symbol val="none"/>
          </c:marker>
          <c:cat>
            <c:strRef>
              <c:f>Sheet1!$A$59:$A$89</c:f>
              <c:strCache>
                <c:ptCount val="31"/>
                <c:pt idx="0">
                  <c:v>1982-83</c:v>
                </c:pt>
                <c:pt idx="1">
                  <c:v>1983-84</c:v>
                </c:pt>
                <c:pt idx="2">
                  <c:v>1984-85</c:v>
                </c:pt>
                <c:pt idx="3">
                  <c:v>1985-86</c:v>
                </c:pt>
                <c:pt idx="4">
                  <c:v>1986-87</c:v>
                </c:pt>
                <c:pt idx="5">
                  <c:v>1987-88</c:v>
                </c:pt>
                <c:pt idx="6">
                  <c:v>1988-89</c:v>
                </c:pt>
                <c:pt idx="7">
                  <c:v>1989-90</c:v>
                </c:pt>
                <c:pt idx="8">
                  <c:v>1990-91</c:v>
                </c:pt>
                <c:pt idx="9">
                  <c:v>1991-92</c:v>
                </c:pt>
                <c:pt idx="10">
                  <c:v>1992-93</c:v>
                </c:pt>
                <c:pt idx="11">
                  <c:v>1993-94</c:v>
                </c:pt>
                <c:pt idx="12">
                  <c:v>1994-95</c:v>
                </c:pt>
                <c:pt idx="13">
                  <c:v>1995-96</c:v>
                </c:pt>
                <c:pt idx="14">
                  <c:v>1996-97</c:v>
                </c:pt>
                <c:pt idx="15">
                  <c:v>1997-98</c:v>
                </c:pt>
                <c:pt idx="16">
                  <c:v>1998-99</c:v>
                </c:pt>
                <c:pt idx="17">
                  <c:v>1999-00</c:v>
                </c:pt>
                <c:pt idx="18">
                  <c:v>2000-01</c:v>
                </c:pt>
                <c:pt idx="19">
                  <c:v>2001-02</c:v>
                </c:pt>
                <c:pt idx="20">
                  <c:v>2002-03</c:v>
                </c:pt>
                <c:pt idx="21">
                  <c:v>2003-04</c:v>
                </c:pt>
                <c:pt idx="22">
                  <c:v>2004-05</c:v>
                </c:pt>
                <c:pt idx="23">
                  <c:v>2005-06</c:v>
                </c:pt>
                <c:pt idx="24">
                  <c:v>2006-07</c:v>
                </c:pt>
                <c:pt idx="25">
                  <c:v>2007-08</c:v>
                </c:pt>
                <c:pt idx="26">
                  <c:v>2008-09</c:v>
                </c:pt>
                <c:pt idx="27">
                  <c:v>2009-10</c:v>
                </c:pt>
                <c:pt idx="28">
                  <c:v>2010-11</c:v>
                </c:pt>
                <c:pt idx="29">
                  <c:v>2011-12</c:v>
                </c:pt>
                <c:pt idx="30">
                  <c:v>2012-13</c:v>
                </c:pt>
              </c:strCache>
            </c:strRef>
          </c:cat>
          <c:val>
            <c:numRef>
              <c:f>Sheet1!$K$59:$K$89</c:f>
              <c:numCache>
                <c:formatCode>General</c:formatCode>
                <c:ptCount val="31"/>
                <c:pt idx="13" formatCode="0.0">
                  <c:v>688.36989409984892</c:v>
                </c:pt>
                <c:pt idx="14" formatCode="0.0">
                  <c:v>770.97797685703654</c:v>
                </c:pt>
                <c:pt idx="15" formatCode="0.0">
                  <c:v>795.70201643017208</c:v>
                </c:pt>
                <c:pt idx="16" formatCode="0.0">
                  <c:v>817.39675516224179</c:v>
                </c:pt>
                <c:pt idx="17" formatCode="0.0">
                  <c:v>812.99243788260719</c:v>
                </c:pt>
                <c:pt idx="18" formatCode="0.0">
                  <c:v>868.2914402173916</c:v>
                </c:pt>
                <c:pt idx="19" formatCode="0.0">
                  <c:v>844.20409511228536</c:v>
                </c:pt>
                <c:pt idx="20" formatCode="0.0">
                  <c:v>848.42257133696717</c:v>
                </c:pt>
                <c:pt idx="21" formatCode="0.0">
                  <c:v>843.86662492172843</c:v>
                </c:pt>
                <c:pt idx="22" formatCode="0.0">
                  <c:v>831.50412717823292</c:v>
                </c:pt>
                <c:pt idx="23" formatCode="0.0">
                  <c:v>810.48874407582935</c:v>
                </c:pt>
                <c:pt idx="24" formatCode="0.0">
                  <c:v>873.06674338319931</c:v>
                </c:pt>
                <c:pt idx="25" formatCode="0.0">
                  <c:v>855.17767881992791</c:v>
                </c:pt>
                <c:pt idx="26" formatCode="0.0">
                  <c:v>891.21155195681536</c:v>
                </c:pt>
                <c:pt idx="27" formatCode="0.0">
                  <c:v>859.86019519915601</c:v>
                </c:pt>
                <c:pt idx="28" formatCode="0.0">
                  <c:v>877.84855461754944</c:v>
                </c:pt>
                <c:pt idx="29" formatCode="0.0">
                  <c:v>868.99459864966252</c:v>
                </c:pt>
                <c:pt idx="30" formatCode="0.0">
                  <c:v>937.36</c:v>
                </c:pt>
              </c:numCache>
            </c:numRef>
          </c:val>
          <c:smooth val="0"/>
        </c:ser>
        <c:ser>
          <c:idx val="2"/>
          <c:order val="2"/>
          <c:tx>
            <c:strRef>
              <c:f>Sheet1!$B$54</c:f>
              <c:strCache>
                <c:ptCount val="1"/>
                <c:pt idx="0">
                  <c:v>Package sea fare (rebate included)</c:v>
                </c:pt>
              </c:strCache>
            </c:strRef>
          </c:tx>
          <c:spPr>
            <a:ln>
              <a:solidFill>
                <a:srgbClr val="78A22F"/>
              </a:solidFill>
            </a:ln>
          </c:spPr>
          <c:marker>
            <c:symbol val="none"/>
          </c:marker>
          <c:cat>
            <c:strRef>
              <c:f>Sheet1!$A$59:$A$89</c:f>
              <c:strCache>
                <c:ptCount val="31"/>
                <c:pt idx="0">
                  <c:v>1982-83</c:v>
                </c:pt>
                <c:pt idx="1">
                  <c:v>1983-84</c:v>
                </c:pt>
                <c:pt idx="2">
                  <c:v>1984-85</c:v>
                </c:pt>
                <c:pt idx="3">
                  <c:v>1985-86</c:v>
                </c:pt>
                <c:pt idx="4">
                  <c:v>1986-87</c:v>
                </c:pt>
                <c:pt idx="5">
                  <c:v>1987-88</c:v>
                </c:pt>
                <c:pt idx="6">
                  <c:v>1988-89</c:v>
                </c:pt>
                <c:pt idx="7">
                  <c:v>1989-90</c:v>
                </c:pt>
                <c:pt idx="8">
                  <c:v>1990-91</c:v>
                </c:pt>
                <c:pt idx="9">
                  <c:v>1991-92</c:v>
                </c:pt>
                <c:pt idx="10">
                  <c:v>1992-93</c:v>
                </c:pt>
                <c:pt idx="11">
                  <c:v>1993-94</c:v>
                </c:pt>
                <c:pt idx="12">
                  <c:v>1994-95</c:v>
                </c:pt>
                <c:pt idx="13">
                  <c:v>1995-96</c:v>
                </c:pt>
                <c:pt idx="14">
                  <c:v>1996-97</c:v>
                </c:pt>
                <c:pt idx="15">
                  <c:v>1997-98</c:v>
                </c:pt>
                <c:pt idx="16">
                  <c:v>1998-99</c:v>
                </c:pt>
                <c:pt idx="17">
                  <c:v>1999-00</c:v>
                </c:pt>
                <c:pt idx="18">
                  <c:v>2000-01</c:v>
                </c:pt>
                <c:pt idx="19">
                  <c:v>2001-02</c:v>
                </c:pt>
                <c:pt idx="20">
                  <c:v>2002-03</c:v>
                </c:pt>
                <c:pt idx="21">
                  <c:v>2003-04</c:v>
                </c:pt>
                <c:pt idx="22">
                  <c:v>2004-05</c:v>
                </c:pt>
                <c:pt idx="23">
                  <c:v>2005-06</c:v>
                </c:pt>
                <c:pt idx="24">
                  <c:v>2006-07</c:v>
                </c:pt>
                <c:pt idx="25">
                  <c:v>2007-08</c:v>
                </c:pt>
                <c:pt idx="26">
                  <c:v>2008-09</c:v>
                </c:pt>
                <c:pt idx="27">
                  <c:v>2009-10</c:v>
                </c:pt>
                <c:pt idx="28">
                  <c:v>2010-11</c:v>
                </c:pt>
                <c:pt idx="29">
                  <c:v>2011-12</c:v>
                </c:pt>
                <c:pt idx="30">
                  <c:v>2012-13</c:v>
                </c:pt>
              </c:strCache>
            </c:strRef>
          </c:cat>
          <c:val>
            <c:numRef>
              <c:f>Sheet1!$I$59:$I$72</c:f>
              <c:numCache>
                <c:formatCode>0.0</c:formatCode>
                <c:ptCount val="14"/>
                <c:pt idx="0">
                  <c:v>725.48217840612142</c:v>
                </c:pt>
                <c:pt idx="1">
                  <c:v>724.8852846931004</c:v>
                </c:pt>
                <c:pt idx="2">
                  <c:v>734.20262728618684</c:v>
                </c:pt>
                <c:pt idx="3">
                  <c:v>726.54469026584877</c:v>
                </c:pt>
                <c:pt idx="4">
                  <c:v>724.72330911123549</c:v>
                </c:pt>
                <c:pt idx="5">
                  <c:v>674.92451847995835</c:v>
                </c:pt>
                <c:pt idx="6">
                  <c:v>700.51916545366328</c:v>
                </c:pt>
                <c:pt idx="7">
                  <c:v>716.25505163897628</c:v>
                </c:pt>
                <c:pt idx="8">
                  <c:v>745.06399317406147</c:v>
                </c:pt>
                <c:pt idx="9">
                  <c:v>770.72864321608051</c:v>
                </c:pt>
                <c:pt idx="10">
                  <c:v>700.02900953170331</c:v>
                </c:pt>
                <c:pt idx="11">
                  <c:v>687.49287749287748</c:v>
                </c:pt>
                <c:pt idx="12">
                  <c:v>717.68533123028408</c:v>
                </c:pt>
                <c:pt idx="13">
                  <c:v>688.36989409984892</c:v>
                </c:pt>
              </c:numCache>
            </c:numRef>
          </c:val>
          <c:smooth val="0"/>
        </c:ser>
        <c:dLbls>
          <c:showLegendKey val="0"/>
          <c:showVal val="0"/>
          <c:showCatName val="0"/>
          <c:showSerName val="0"/>
          <c:showPercent val="0"/>
          <c:showBubbleSize val="0"/>
        </c:dLbls>
        <c:marker val="1"/>
        <c:smooth val="0"/>
        <c:axId val="192446848"/>
        <c:axId val="192448384"/>
      </c:lineChart>
      <c:catAx>
        <c:axId val="192446848"/>
        <c:scaling>
          <c:orientation val="minMax"/>
        </c:scaling>
        <c:delete val="0"/>
        <c:axPos val="b"/>
        <c:numFmt formatCode="General" sourceLinked="1"/>
        <c:majorTickMark val="out"/>
        <c:minorTickMark val="none"/>
        <c:tickLblPos val="nextTo"/>
        <c:spPr>
          <a:ln>
            <a:solidFill>
              <a:srgbClr val="787878"/>
            </a:solidFill>
          </a:ln>
        </c:spPr>
        <c:crossAx val="192448384"/>
        <c:crosses val="autoZero"/>
        <c:auto val="1"/>
        <c:lblAlgn val="ctr"/>
        <c:lblOffset val="100"/>
        <c:tickLblSkip val="10"/>
        <c:tickMarkSkip val="5"/>
        <c:noMultiLvlLbl val="0"/>
      </c:catAx>
      <c:valAx>
        <c:axId val="192448384"/>
        <c:scaling>
          <c:orientation val="minMax"/>
        </c:scaling>
        <c:delete val="0"/>
        <c:axPos val="l"/>
        <c:title>
          <c:tx>
            <c:rich>
              <a:bodyPr rot="-5400000" vert="horz"/>
              <a:lstStyle/>
              <a:p>
                <a:pPr>
                  <a:defRPr/>
                </a:pPr>
                <a:r>
                  <a:rPr lang="en-US"/>
                  <a:t>$, '000</a:t>
                </a:r>
              </a:p>
            </c:rich>
          </c:tx>
          <c:layout/>
          <c:overlay val="0"/>
        </c:title>
        <c:numFmt formatCode="0.0" sourceLinked="0"/>
        <c:majorTickMark val="out"/>
        <c:minorTickMark val="none"/>
        <c:tickLblPos val="nextTo"/>
        <c:spPr>
          <a:ln>
            <a:solidFill>
              <a:srgbClr val="787878"/>
            </a:solidFill>
          </a:ln>
        </c:spPr>
        <c:crossAx val="192446848"/>
        <c:crosses val="autoZero"/>
        <c:crossBetween val="midCat"/>
        <c:majorUnit val="200"/>
        <c:dispUnits>
          <c:builtInUnit val="thousands"/>
        </c:dispUnits>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564325396825396"/>
          <c:y val="9.9534722222222205E-2"/>
          <c:w val="0.73413531746031746"/>
          <c:h val="0.72577129629629622"/>
        </c:manualLayout>
      </c:layout>
      <c:lineChart>
        <c:grouping val="standard"/>
        <c:varyColors val="0"/>
        <c:ser>
          <c:idx val="0"/>
          <c:order val="0"/>
          <c:spPr>
            <a:ln>
              <a:solidFill>
                <a:srgbClr val="78A22F"/>
              </a:solidFill>
            </a:ln>
          </c:spPr>
          <c:marker>
            <c:symbol val="none"/>
          </c:marker>
          <c:cat>
            <c:strRef>
              <c:f>'fig 2.1 a'!$A$14:$A$34</c:f>
              <c:strCache>
                <c:ptCount val="21"/>
                <c:pt idx="0">
                  <c:v>1992-93</c:v>
                </c:pt>
                <c:pt idx="1">
                  <c:v>Jun-1994</c:v>
                </c:pt>
                <c:pt idx="2">
                  <c:v>Jun-1995</c:v>
                </c:pt>
                <c:pt idx="3">
                  <c:v>Jun-1996</c:v>
                </c:pt>
                <c:pt idx="4">
                  <c:v>Jun-1997</c:v>
                </c:pt>
                <c:pt idx="5">
                  <c:v>Jun-1998</c:v>
                </c:pt>
                <c:pt idx="6">
                  <c:v>Jun-1999</c:v>
                </c:pt>
                <c:pt idx="7">
                  <c:v>Jun-2000</c:v>
                </c:pt>
                <c:pt idx="8">
                  <c:v>Jun-2001</c:v>
                </c:pt>
                <c:pt idx="9">
                  <c:v>Jun-2002</c:v>
                </c:pt>
                <c:pt idx="10">
                  <c:v>2002-03</c:v>
                </c:pt>
                <c:pt idx="11">
                  <c:v>Jun-2004</c:v>
                </c:pt>
                <c:pt idx="12">
                  <c:v>Jun-2005</c:v>
                </c:pt>
                <c:pt idx="13">
                  <c:v>Jun-2006</c:v>
                </c:pt>
                <c:pt idx="14">
                  <c:v>Jun-2007</c:v>
                </c:pt>
                <c:pt idx="15">
                  <c:v>Jun-2008</c:v>
                </c:pt>
                <c:pt idx="16">
                  <c:v>Jun-2009</c:v>
                </c:pt>
                <c:pt idx="17">
                  <c:v>Jun-2010</c:v>
                </c:pt>
                <c:pt idx="18">
                  <c:v>Jun-2011</c:v>
                </c:pt>
                <c:pt idx="19">
                  <c:v>Jun-2012</c:v>
                </c:pt>
                <c:pt idx="20">
                  <c:v>2012-13</c:v>
                </c:pt>
              </c:strCache>
            </c:strRef>
          </c:cat>
          <c:val>
            <c:numRef>
              <c:f>'fig 2.1 a'!$B$14:$B$34</c:f>
              <c:numCache>
                <c:formatCode>0.0;\-0.0;0.0;@</c:formatCode>
                <c:ptCount val="21"/>
                <c:pt idx="0">
                  <c:v>4.0999999999999996</c:v>
                </c:pt>
                <c:pt idx="1">
                  <c:v>4</c:v>
                </c:pt>
                <c:pt idx="2">
                  <c:v>3.7</c:v>
                </c:pt>
                <c:pt idx="3">
                  <c:v>3.9</c:v>
                </c:pt>
                <c:pt idx="4">
                  <c:v>3.9</c:v>
                </c:pt>
                <c:pt idx="5">
                  <c:v>4.4000000000000004</c:v>
                </c:pt>
                <c:pt idx="6">
                  <c:v>5</c:v>
                </c:pt>
                <c:pt idx="7">
                  <c:v>3.9</c:v>
                </c:pt>
                <c:pt idx="8">
                  <c:v>1.9</c:v>
                </c:pt>
                <c:pt idx="9">
                  <c:v>3.9</c:v>
                </c:pt>
                <c:pt idx="10">
                  <c:v>3.1</c:v>
                </c:pt>
                <c:pt idx="11">
                  <c:v>4.2</c:v>
                </c:pt>
                <c:pt idx="12">
                  <c:v>3.2</c:v>
                </c:pt>
                <c:pt idx="13">
                  <c:v>3</c:v>
                </c:pt>
                <c:pt idx="14">
                  <c:v>3.8</c:v>
                </c:pt>
                <c:pt idx="15">
                  <c:v>3.7</c:v>
                </c:pt>
                <c:pt idx="16">
                  <c:v>1.7</c:v>
                </c:pt>
                <c:pt idx="17">
                  <c:v>2</c:v>
                </c:pt>
                <c:pt idx="18">
                  <c:v>2.2000000000000002</c:v>
                </c:pt>
                <c:pt idx="19">
                  <c:v>3.6</c:v>
                </c:pt>
                <c:pt idx="20">
                  <c:v>2.6</c:v>
                </c:pt>
              </c:numCache>
            </c:numRef>
          </c:val>
          <c:smooth val="0"/>
        </c:ser>
        <c:ser>
          <c:idx val="1"/>
          <c:order val="1"/>
          <c:spPr>
            <a:ln>
              <a:solidFill>
                <a:srgbClr val="344893"/>
              </a:solidFill>
              <a:prstDash val="solid"/>
            </a:ln>
            <a:effectLst/>
          </c:spPr>
          <c:marker>
            <c:symbol val="none"/>
          </c:marker>
          <c:cat>
            <c:strRef>
              <c:f>'fig 2.1 a'!$A$14:$A$34</c:f>
              <c:strCache>
                <c:ptCount val="21"/>
                <c:pt idx="0">
                  <c:v>1992-93</c:v>
                </c:pt>
                <c:pt idx="1">
                  <c:v>Jun-1994</c:v>
                </c:pt>
                <c:pt idx="2">
                  <c:v>Jun-1995</c:v>
                </c:pt>
                <c:pt idx="3">
                  <c:v>Jun-1996</c:v>
                </c:pt>
                <c:pt idx="4">
                  <c:v>Jun-1997</c:v>
                </c:pt>
                <c:pt idx="5">
                  <c:v>Jun-1998</c:v>
                </c:pt>
                <c:pt idx="6">
                  <c:v>Jun-1999</c:v>
                </c:pt>
                <c:pt idx="7">
                  <c:v>Jun-2000</c:v>
                </c:pt>
                <c:pt idx="8">
                  <c:v>Jun-2001</c:v>
                </c:pt>
                <c:pt idx="9">
                  <c:v>Jun-2002</c:v>
                </c:pt>
                <c:pt idx="10">
                  <c:v>2002-03</c:v>
                </c:pt>
                <c:pt idx="11">
                  <c:v>Jun-2004</c:v>
                </c:pt>
                <c:pt idx="12">
                  <c:v>Jun-2005</c:v>
                </c:pt>
                <c:pt idx="13">
                  <c:v>Jun-2006</c:v>
                </c:pt>
                <c:pt idx="14">
                  <c:v>Jun-2007</c:v>
                </c:pt>
                <c:pt idx="15">
                  <c:v>Jun-2008</c:v>
                </c:pt>
                <c:pt idx="16">
                  <c:v>Jun-2009</c:v>
                </c:pt>
                <c:pt idx="17">
                  <c:v>Jun-2010</c:v>
                </c:pt>
                <c:pt idx="18">
                  <c:v>Jun-2011</c:v>
                </c:pt>
                <c:pt idx="19">
                  <c:v>Jun-2012</c:v>
                </c:pt>
                <c:pt idx="20">
                  <c:v>2012-13</c:v>
                </c:pt>
              </c:strCache>
            </c:strRef>
          </c:cat>
          <c:val>
            <c:numRef>
              <c:f>'fig 2.1 a'!$C$14:$C$34</c:f>
              <c:numCache>
                <c:formatCode>0.0;\-0.0;0.0;@</c:formatCode>
                <c:ptCount val="21"/>
                <c:pt idx="0">
                  <c:v>3.5</c:v>
                </c:pt>
                <c:pt idx="1">
                  <c:v>1.8</c:v>
                </c:pt>
                <c:pt idx="2">
                  <c:v>2</c:v>
                </c:pt>
                <c:pt idx="3">
                  <c:v>2.8</c:v>
                </c:pt>
                <c:pt idx="4">
                  <c:v>1.6</c:v>
                </c:pt>
                <c:pt idx="5">
                  <c:v>2.9</c:v>
                </c:pt>
                <c:pt idx="6">
                  <c:v>2.2000000000000002</c:v>
                </c:pt>
                <c:pt idx="7">
                  <c:v>1.6</c:v>
                </c:pt>
                <c:pt idx="8">
                  <c:v>-0.5</c:v>
                </c:pt>
                <c:pt idx="9">
                  <c:v>3.6</c:v>
                </c:pt>
                <c:pt idx="10">
                  <c:v>4.0999999999999996</c:v>
                </c:pt>
                <c:pt idx="11">
                  <c:v>5.2</c:v>
                </c:pt>
                <c:pt idx="12">
                  <c:v>1.9</c:v>
                </c:pt>
                <c:pt idx="13">
                  <c:v>2.7</c:v>
                </c:pt>
                <c:pt idx="14">
                  <c:v>2.8</c:v>
                </c:pt>
                <c:pt idx="15">
                  <c:v>2.5</c:v>
                </c:pt>
                <c:pt idx="16">
                  <c:v>2.5</c:v>
                </c:pt>
                <c:pt idx="17">
                  <c:v>0.2</c:v>
                </c:pt>
                <c:pt idx="18">
                  <c:v>0.4</c:v>
                </c:pt>
                <c:pt idx="19">
                  <c:v>0.4</c:v>
                </c:pt>
                <c:pt idx="20">
                  <c:v>-0.6</c:v>
                </c:pt>
              </c:numCache>
            </c:numRef>
          </c:val>
          <c:smooth val="0"/>
        </c:ser>
        <c:dLbls>
          <c:showLegendKey val="0"/>
          <c:showVal val="0"/>
          <c:showCatName val="0"/>
          <c:showSerName val="0"/>
          <c:showPercent val="0"/>
          <c:showBubbleSize val="0"/>
        </c:dLbls>
        <c:marker val="1"/>
        <c:smooth val="0"/>
        <c:axId val="192157184"/>
        <c:axId val="192158720"/>
      </c:lineChart>
      <c:catAx>
        <c:axId val="192157184"/>
        <c:scaling>
          <c:orientation val="minMax"/>
        </c:scaling>
        <c:delete val="0"/>
        <c:axPos val="b"/>
        <c:numFmt formatCode="mmm\-yyyy" sourceLinked="1"/>
        <c:majorTickMark val="out"/>
        <c:minorTickMark val="none"/>
        <c:tickLblPos val="low"/>
        <c:spPr>
          <a:ln>
            <a:solidFill>
              <a:srgbClr val="787878"/>
            </a:solidFill>
          </a:ln>
        </c:spPr>
        <c:crossAx val="192158720"/>
        <c:crosses val="autoZero"/>
        <c:auto val="1"/>
        <c:lblAlgn val="ctr"/>
        <c:lblOffset val="100"/>
        <c:tickLblSkip val="10"/>
        <c:noMultiLvlLbl val="0"/>
      </c:catAx>
      <c:valAx>
        <c:axId val="192158720"/>
        <c:scaling>
          <c:orientation val="minMax"/>
          <c:max val="6"/>
          <c:min val="-2"/>
        </c:scaling>
        <c:delete val="0"/>
        <c:axPos val="l"/>
        <c:title>
          <c:tx>
            <c:rich>
              <a:bodyPr rot="-5400000" vert="horz"/>
              <a:lstStyle/>
              <a:p>
                <a:pPr>
                  <a:defRPr/>
                </a:pPr>
                <a:r>
                  <a:rPr lang="en-US"/>
                  <a:t>Per cent</a:t>
                </a:r>
              </a:p>
            </c:rich>
          </c:tx>
          <c:overlay val="0"/>
        </c:title>
        <c:numFmt formatCode="#,##0" sourceLinked="0"/>
        <c:majorTickMark val="out"/>
        <c:minorTickMark val="none"/>
        <c:tickLblPos val="nextTo"/>
        <c:spPr>
          <a:noFill/>
          <a:ln>
            <a:solidFill>
              <a:srgbClr val="787878"/>
            </a:solidFill>
          </a:ln>
        </c:spPr>
        <c:crossAx val="192157184"/>
        <c:crosses val="autoZero"/>
        <c:crossBetween val="between"/>
        <c:majorUnit val="2"/>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224057567634229"/>
          <c:y val="8.3698148148148147E-2"/>
          <c:w val="0.73668611111111115"/>
          <c:h val="0.6254587962962963"/>
        </c:manualLayout>
      </c:layout>
      <c:lineChart>
        <c:grouping val="standard"/>
        <c:varyColors val="0"/>
        <c:ser>
          <c:idx val="0"/>
          <c:order val="0"/>
          <c:spPr>
            <a:ln>
              <a:solidFill>
                <a:srgbClr val="78A22F"/>
              </a:solidFill>
            </a:ln>
          </c:spPr>
          <c:marker>
            <c:symbol val="none"/>
          </c:marker>
          <c:cat>
            <c:numRef>
              <c:f>'Fig 2.1 B'!$B$382:$B$442</c:f>
              <c:numCache>
                <c:formatCode>mmm\-yyyy</c:formatCode>
                <c:ptCount val="61"/>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pt idx="12">
                  <c:v>40179</c:v>
                </c:pt>
                <c:pt idx="13">
                  <c:v>40210</c:v>
                </c:pt>
                <c:pt idx="14">
                  <c:v>40238</c:v>
                </c:pt>
                <c:pt idx="15">
                  <c:v>40269</c:v>
                </c:pt>
                <c:pt idx="16">
                  <c:v>40299</c:v>
                </c:pt>
                <c:pt idx="17">
                  <c:v>40330</c:v>
                </c:pt>
                <c:pt idx="18">
                  <c:v>40360</c:v>
                </c:pt>
                <c:pt idx="19">
                  <c:v>40391</c:v>
                </c:pt>
                <c:pt idx="20">
                  <c:v>40422</c:v>
                </c:pt>
                <c:pt idx="21">
                  <c:v>40452</c:v>
                </c:pt>
                <c:pt idx="22">
                  <c:v>40483</c:v>
                </c:pt>
                <c:pt idx="23">
                  <c:v>40513</c:v>
                </c:pt>
                <c:pt idx="24">
                  <c:v>40544</c:v>
                </c:pt>
                <c:pt idx="25">
                  <c:v>40575</c:v>
                </c:pt>
                <c:pt idx="26">
                  <c:v>40603</c:v>
                </c:pt>
                <c:pt idx="27">
                  <c:v>40634</c:v>
                </c:pt>
                <c:pt idx="28">
                  <c:v>40664</c:v>
                </c:pt>
                <c:pt idx="29">
                  <c:v>40695</c:v>
                </c:pt>
                <c:pt idx="30">
                  <c:v>40725</c:v>
                </c:pt>
                <c:pt idx="31">
                  <c:v>40756</c:v>
                </c:pt>
                <c:pt idx="32">
                  <c:v>40787</c:v>
                </c:pt>
                <c:pt idx="33">
                  <c:v>40817</c:v>
                </c:pt>
                <c:pt idx="34">
                  <c:v>40848</c:v>
                </c:pt>
                <c:pt idx="35">
                  <c:v>40878</c:v>
                </c:pt>
                <c:pt idx="36">
                  <c:v>40909</c:v>
                </c:pt>
                <c:pt idx="37">
                  <c:v>40940</c:v>
                </c:pt>
                <c:pt idx="38">
                  <c:v>40969</c:v>
                </c:pt>
                <c:pt idx="39">
                  <c:v>41000</c:v>
                </c:pt>
                <c:pt idx="40">
                  <c:v>41030</c:v>
                </c:pt>
                <c:pt idx="41">
                  <c:v>41061</c:v>
                </c:pt>
                <c:pt idx="42">
                  <c:v>41091</c:v>
                </c:pt>
                <c:pt idx="43">
                  <c:v>41122</c:v>
                </c:pt>
                <c:pt idx="44">
                  <c:v>41153</c:v>
                </c:pt>
                <c:pt idx="45">
                  <c:v>41183</c:v>
                </c:pt>
                <c:pt idx="46">
                  <c:v>41214</c:v>
                </c:pt>
                <c:pt idx="47">
                  <c:v>41244</c:v>
                </c:pt>
                <c:pt idx="48">
                  <c:v>41275</c:v>
                </c:pt>
                <c:pt idx="49">
                  <c:v>41306</c:v>
                </c:pt>
                <c:pt idx="50">
                  <c:v>41334</c:v>
                </c:pt>
                <c:pt idx="51">
                  <c:v>41365</c:v>
                </c:pt>
                <c:pt idx="52">
                  <c:v>41395</c:v>
                </c:pt>
                <c:pt idx="53">
                  <c:v>41426</c:v>
                </c:pt>
                <c:pt idx="54">
                  <c:v>41456</c:v>
                </c:pt>
                <c:pt idx="55">
                  <c:v>41487</c:v>
                </c:pt>
                <c:pt idx="56">
                  <c:v>41518</c:v>
                </c:pt>
                <c:pt idx="57">
                  <c:v>41548</c:v>
                </c:pt>
                <c:pt idx="58">
                  <c:v>41579</c:v>
                </c:pt>
                <c:pt idx="59">
                  <c:v>41609</c:v>
                </c:pt>
                <c:pt idx="60">
                  <c:v>41640</c:v>
                </c:pt>
              </c:numCache>
            </c:numRef>
          </c:cat>
          <c:val>
            <c:numRef>
              <c:f>'Fig 2.1 B'!$C$382:$C$442</c:f>
              <c:numCache>
                <c:formatCode>0.0;\-0.0;0.0;@</c:formatCode>
                <c:ptCount val="61"/>
                <c:pt idx="0">
                  <c:v>4.9357552</c:v>
                </c:pt>
                <c:pt idx="1">
                  <c:v>5.2579460999999998</c:v>
                </c:pt>
                <c:pt idx="2">
                  <c:v>5.5581148999999996</c:v>
                </c:pt>
                <c:pt idx="3">
                  <c:v>5.8045213999999996</c:v>
                </c:pt>
                <c:pt idx="4">
                  <c:v>5.9754915999999998</c:v>
                </c:pt>
                <c:pt idx="5">
                  <c:v>6.0694597999999997</c:v>
                </c:pt>
                <c:pt idx="6">
                  <c:v>6.1001314000000004</c:v>
                </c:pt>
                <c:pt idx="7">
                  <c:v>6.0804076</c:v>
                </c:pt>
                <c:pt idx="8">
                  <c:v>6.0169354999999998</c:v>
                </c:pt>
                <c:pt idx="9">
                  <c:v>5.9136126999999998</c:v>
                </c:pt>
                <c:pt idx="10">
                  <c:v>5.7985566000000004</c:v>
                </c:pt>
                <c:pt idx="11">
                  <c:v>5.7001849</c:v>
                </c:pt>
                <c:pt idx="12">
                  <c:v>5.6148663000000001</c:v>
                </c:pt>
                <c:pt idx="13">
                  <c:v>5.5492020000000002</c:v>
                </c:pt>
                <c:pt idx="14">
                  <c:v>5.5052440000000002</c:v>
                </c:pt>
                <c:pt idx="15">
                  <c:v>5.4595894999999999</c:v>
                </c:pt>
                <c:pt idx="16">
                  <c:v>5.3959967999999998</c:v>
                </c:pt>
                <c:pt idx="17">
                  <c:v>5.3170770999999997</c:v>
                </c:pt>
                <c:pt idx="18">
                  <c:v>5.2279353999999998</c:v>
                </c:pt>
                <c:pt idx="19">
                  <c:v>5.1474926999999999</c:v>
                </c:pt>
                <c:pt idx="20">
                  <c:v>5.0915834000000002</c:v>
                </c:pt>
                <c:pt idx="21">
                  <c:v>5.0538910000000001</c:v>
                </c:pt>
                <c:pt idx="22">
                  <c:v>5.0224093999999999</c:v>
                </c:pt>
                <c:pt idx="23">
                  <c:v>4.9924926000000003</c:v>
                </c:pt>
                <c:pt idx="24">
                  <c:v>4.9673825999999996</c:v>
                </c:pt>
                <c:pt idx="25">
                  <c:v>4.9458525</c:v>
                </c:pt>
                <c:pt idx="26">
                  <c:v>4.9350316000000003</c:v>
                </c:pt>
                <c:pt idx="27">
                  <c:v>4.9537427000000003</c:v>
                </c:pt>
                <c:pt idx="28">
                  <c:v>5.0043202999999998</c:v>
                </c:pt>
                <c:pt idx="29">
                  <c:v>5.0762619999999998</c:v>
                </c:pt>
                <c:pt idx="30">
                  <c:v>5.1592532999999996</c:v>
                </c:pt>
                <c:pt idx="31">
                  <c:v>5.2324168000000002</c:v>
                </c:pt>
                <c:pt idx="32">
                  <c:v>5.2771957</c:v>
                </c:pt>
                <c:pt idx="33">
                  <c:v>5.2956142000000002</c:v>
                </c:pt>
                <c:pt idx="34">
                  <c:v>5.2895026999999999</c:v>
                </c:pt>
                <c:pt idx="35">
                  <c:v>5.2600461000000003</c:v>
                </c:pt>
                <c:pt idx="36">
                  <c:v>5.2142536000000002</c:v>
                </c:pt>
                <c:pt idx="37">
                  <c:v>5.1672034</c:v>
                </c:pt>
                <c:pt idx="38">
                  <c:v>5.1291723999999999</c:v>
                </c:pt>
                <c:pt idx="39">
                  <c:v>5.1192837000000004</c:v>
                </c:pt>
                <c:pt idx="40">
                  <c:v>5.1550197000000004</c:v>
                </c:pt>
                <c:pt idx="41">
                  <c:v>5.2299037000000004</c:v>
                </c:pt>
                <c:pt idx="42">
                  <c:v>5.3267407999999996</c:v>
                </c:pt>
                <c:pt idx="43">
                  <c:v>5.4211393000000001</c:v>
                </c:pt>
                <c:pt idx="44">
                  <c:v>5.4828700000000001</c:v>
                </c:pt>
                <c:pt idx="45">
                  <c:v>5.5026752999999999</c:v>
                </c:pt>
                <c:pt idx="46">
                  <c:v>5.4996466000000002</c:v>
                </c:pt>
                <c:pt idx="47">
                  <c:v>5.5037269000000002</c:v>
                </c:pt>
                <c:pt idx="48">
                  <c:v>5.5408201000000004</c:v>
                </c:pt>
                <c:pt idx="49">
                  <c:v>5.6200225000000001</c:v>
                </c:pt>
                <c:pt idx="50">
                  <c:v>5.7270517999999999</c:v>
                </c:pt>
                <c:pt idx="51">
                  <c:v>5.8321778999999996</c:v>
                </c:pt>
                <c:pt idx="52">
                  <c:v>5.9135676999999998</c:v>
                </c:pt>
                <c:pt idx="53">
                  <c:v>5.9650637</c:v>
                </c:pt>
                <c:pt idx="54">
                  <c:v>5.9863523000000001</c:v>
                </c:pt>
                <c:pt idx="55">
                  <c:v>5.9943999999999997</c:v>
                </c:pt>
                <c:pt idx="56">
                  <c:v>6.0165723</c:v>
                </c:pt>
                <c:pt idx="57">
                  <c:v>6.0614799000000001</c:v>
                </c:pt>
                <c:pt idx="58">
                  <c:v>6.1250597000000004</c:v>
                </c:pt>
                <c:pt idx="59">
                  <c:v>6.1968169</c:v>
                </c:pt>
                <c:pt idx="60">
                  <c:v>6.2736283999999998</c:v>
                </c:pt>
              </c:numCache>
            </c:numRef>
          </c:val>
          <c:smooth val="0"/>
        </c:ser>
        <c:ser>
          <c:idx val="1"/>
          <c:order val="1"/>
          <c:spPr>
            <a:ln>
              <a:solidFill>
                <a:srgbClr val="344893"/>
              </a:solidFill>
            </a:ln>
          </c:spPr>
          <c:marker>
            <c:symbol val="none"/>
          </c:marker>
          <c:cat>
            <c:numRef>
              <c:f>'Fig 2.1 B'!$B$382:$B$442</c:f>
              <c:numCache>
                <c:formatCode>mmm\-yyyy</c:formatCode>
                <c:ptCount val="61"/>
                <c:pt idx="0">
                  <c:v>39814</c:v>
                </c:pt>
                <c:pt idx="1">
                  <c:v>39845</c:v>
                </c:pt>
                <c:pt idx="2">
                  <c:v>39873</c:v>
                </c:pt>
                <c:pt idx="3">
                  <c:v>39904</c:v>
                </c:pt>
                <c:pt idx="4">
                  <c:v>39934</c:v>
                </c:pt>
                <c:pt idx="5">
                  <c:v>39965</c:v>
                </c:pt>
                <c:pt idx="6">
                  <c:v>39995</c:v>
                </c:pt>
                <c:pt idx="7">
                  <c:v>40026</c:v>
                </c:pt>
                <c:pt idx="8">
                  <c:v>40057</c:v>
                </c:pt>
                <c:pt idx="9">
                  <c:v>40087</c:v>
                </c:pt>
                <c:pt idx="10">
                  <c:v>40118</c:v>
                </c:pt>
                <c:pt idx="11">
                  <c:v>40148</c:v>
                </c:pt>
                <c:pt idx="12">
                  <c:v>40179</c:v>
                </c:pt>
                <c:pt idx="13">
                  <c:v>40210</c:v>
                </c:pt>
                <c:pt idx="14">
                  <c:v>40238</c:v>
                </c:pt>
                <c:pt idx="15">
                  <c:v>40269</c:v>
                </c:pt>
                <c:pt idx="16">
                  <c:v>40299</c:v>
                </c:pt>
                <c:pt idx="17">
                  <c:v>40330</c:v>
                </c:pt>
                <c:pt idx="18">
                  <c:v>40360</c:v>
                </c:pt>
                <c:pt idx="19">
                  <c:v>40391</c:v>
                </c:pt>
                <c:pt idx="20">
                  <c:v>40422</c:v>
                </c:pt>
                <c:pt idx="21">
                  <c:v>40452</c:v>
                </c:pt>
                <c:pt idx="22">
                  <c:v>40483</c:v>
                </c:pt>
                <c:pt idx="23">
                  <c:v>40513</c:v>
                </c:pt>
                <c:pt idx="24">
                  <c:v>40544</c:v>
                </c:pt>
                <c:pt idx="25">
                  <c:v>40575</c:v>
                </c:pt>
                <c:pt idx="26">
                  <c:v>40603</c:v>
                </c:pt>
                <c:pt idx="27">
                  <c:v>40634</c:v>
                </c:pt>
                <c:pt idx="28">
                  <c:v>40664</c:v>
                </c:pt>
                <c:pt idx="29">
                  <c:v>40695</c:v>
                </c:pt>
                <c:pt idx="30">
                  <c:v>40725</c:v>
                </c:pt>
                <c:pt idx="31">
                  <c:v>40756</c:v>
                </c:pt>
                <c:pt idx="32">
                  <c:v>40787</c:v>
                </c:pt>
                <c:pt idx="33">
                  <c:v>40817</c:v>
                </c:pt>
                <c:pt idx="34">
                  <c:v>40848</c:v>
                </c:pt>
                <c:pt idx="35">
                  <c:v>40878</c:v>
                </c:pt>
                <c:pt idx="36">
                  <c:v>40909</c:v>
                </c:pt>
                <c:pt idx="37">
                  <c:v>40940</c:v>
                </c:pt>
                <c:pt idx="38">
                  <c:v>40969</c:v>
                </c:pt>
                <c:pt idx="39">
                  <c:v>41000</c:v>
                </c:pt>
                <c:pt idx="40">
                  <c:v>41030</c:v>
                </c:pt>
                <c:pt idx="41">
                  <c:v>41061</c:v>
                </c:pt>
                <c:pt idx="42">
                  <c:v>41091</c:v>
                </c:pt>
                <c:pt idx="43">
                  <c:v>41122</c:v>
                </c:pt>
                <c:pt idx="44">
                  <c:v>41153</c:v>
                </c:pt>
                <c:pt idx="45">
                  <c:v>41183</c:v>
                </c:pt>
                <c:pt idx="46">
                  <c:v>41214</c:v>
                </c:pt>
                <c:pt idx="47">
                  <c:v>41244</c:v>
                </c:pt>
                <c:pt idx="48">
                  <c:v>41275</c:v>
                </c:pt>
                <c:pt idx="49">
                  <c:v>41306</c:v>
                </c:pt>
                <c:pt idx="50">
                  <c:v>41334</c:v>
                </c:pt>
                <c:pt idx="51">
                  <c:v>41365</c:v>
                </c:pt>
                <c:pt idx="52">
                  <c:v>41395</c:v>
                </c:pt>
                <c:pt idx="53">
                  <c:v>41426</c:v>
                </c:pt>
                <c:pt idx="54">
                  <c:v>41456</c:v>
                </c:pt>
                <c:pt idx="55">
                  <c:v>41487</c:v>
                </c:pt>
                <c:pt idx="56">
                  <c:v>41518</c:v>
                </c:pt>
                <c:pt idx="57">
                  <c:v>41548</c:v>
                </c:pt>
                <c:pt idx="58">
                  <c:v>41579</c:v>
                </c:pt>
                <c:pt idx="59">
                  <c:v>41609</c:v>
                </c:pt>
                <c:pt idx="60">
                  <c:v>41640</c:v>
                </c:pt>
              </c:numCache>
            </c:numRef>
          </c:cat>
          <c:val>
            <c:numRef>
              <c:f>'Fig 2.1 B'!$D$382:$D$442</c:f>
              <c:numCache>
                <c:formatCode>0.0;\-0.0;0.0;@</c:formatCode>
                <c:ptCount val="61"/>
                <c:pt idx="0">
                  <c:v>4.6190671999999999</c:v>
                </c:pt>
                <c:pt idx="1">
                  <c:v>4.7899785000000001</c:v>
                </c:pt>
                <c:pt idx="2">
                  <c:v>4.8665022000000002</c:v>
                </c:pt>
                <c:pt idx="3">
                  <c:v>4.8637195999999996</c:v>
                </c:pt>
                <c:pt idx="4">
                  <c:v>4.8422602000000001</c:v>
                </c:pt>
                <c:pt idx="5">
                  <c:v>4.8555380000000001</c:v>
                </c:pt>
                <c:pt idx="6">
                  <c:v>4.9288666000000001</c:v>
                </c:pt>
                <c:pt idx="7">
                  <c:v>5.0414563000000001</c:v>
                </c:pt>
                <c:pt idx="8">
                  <c:v>5.2112816999999998</c:v>
                </c:pt>
                <c:pt idx="9">
                  <c:v>5.4060822999999996</c:v>
                </c:pt>
                <c:pt idx="10">
                  <c:v>5.5631842000000002</c:v>
                </c:pt>
                <c:pt idx="11">
                  <c:v>5.6272888999999999</c:v>
                </c:pt>
                <c:pt idx="12">
                  <c:v>5.6435719000000004</c:v>
                </c:pt>
                <c:pt idx="13">
                  <c:v>5.7022469999999998</c:v>
                </c:pt>
                <c:pt idx="14">
                  <c:v>5.8456621999999996</c:v>
                </c:pt>
                <c:pt idx="15">
                  <c:v>6.0073192999999998</c:v>
                </c:pt>
                <c:pt idx="16">
                  <c:v>6.1097799999999998</c:v>
                </c:pt>
                <c:pt idx="17">
                  <c:v>6.1163866000000002</c:v>
                </c:pt>
                <c:pt idx="18">
                  <c:v>6.0158718999999996</c:v>
                </c:pt>
                <c:pt idx="19">
                  <c:v>5.8483333999999996</c:v>
                </c:pt>
                <c:pt idx="20">
                  <c:v>5.6771529999999997</c:v>
                </c:pt>
                <c:pt idx="21">
                  <c:v>5.5428660000000001</c:v>
                </c:pt>
                <c:pt idx="22">
                  <c:v>5.4838455000000002</c:v>
                </c:pt>
                <c:pt idx="23">
                  <c:v>5.4982692000000002</c:v>
                </c:pt>
                <c:pt idx="24">
                  <c:v>5.5539117999999998</c:v>
                </c:pt>
                <c:pt idx="25">
                  <c:v>5.5923593</c:v>
                </c:pt>
                <c:pt idx="26">
                  <c:v>5.5824989</c:v>
                </c:pt>
                <c:pt idx="27">
                  <c:v>5.5184965999999998</c:v>
                </c:pt>
                <c:pt idx="28">
                  <c:v>5.4044544999999999</c:v>
                </c:pt>
                <c:pt idx="29">
                  <c:v>5.2697373000000001</c:v>
                </c:pt>
                <c:pt idx="30">
                  <c:v>5.1719374</c:v>
                </c:pt>
                <c:pt idx="31">
                  <c:v>5.1704110999999999</c:v>
                </c:pt>
                <c:pt idx="32">
                  <c:v>5.2943882000000002</c:v>
                </c:pt>
                <c:pt idx="33">
                  <c:v>5.5434188999999998</c:v>
                </c:pt>
                <c:pt idx="34">
                  <c:v>5.9180013000000002</c:v>
                </c:pt>
                <c:pt idx="35">
                  <c:v>6.3447570999999998</c:v>
                </c:pt>
                <c:pt idx="36">
                  <c:v>6.7338148000000002</c:v>
                </c:pt>
                <c:pt idx="37">
                  <c:v>7.0144530999999999</c:v>
                </c:pt>
                <c:pt idx="38">
                  <c:v>7.1322222000000002</c:v>
                </c:pt>
                <c:pt idx="39">
                  <c:v>7.1180456999999997</c:v>
                </c:pt>
                <c:pt idx="40">
                  <c:v>7.0426213999999998</c:v>
                </c:pt>
                <c:pt idx="41">
                  <c:v>6.9377699000000002</c:v>
                </c:pt>
                <c:pt idx="42">
                  <c:v>6.8340855999999999</c:v>
                </c:pt>
                <c:pt idx="43">
                  <c:v>6.8027880999999999</c:v>
                </c:pt>
                <c:pt idx="44">
                  <c:v>6.8477980000000001</c:v>
                </c:pt>
                <c:pt idx="45">
                  <c:v>6.9348165000000002</c:v>
                </c:pt>
                <c:pt idx="46">
                  <c:v>7.0256990000000004</c:v>
                </c:pt>
                <c:pt idx="47">
                  <c:v>7.0600499000000001</c:v>
                </c:pt>
                <c:pt idx="48">
                  <c:v>7.1009093999999999</c:v>
                </c:pt>
                <c:pt idx="49">
                  <c:v>7.1882495999999998</c:v>
                </c:pt>
                <c:pt idx="50">
                  <c:v>7.3607591000000001</c:v>
                </c:pt>
                <c:pt idx="51">
                  <c:v>7.5985383000000004</c:v>
                </c:pt>
                <c:pt idx="52">
                  <c:v>7.8532884999999997</c:v>
                </c:pt>
                <c:pt idx="53">
                  <c:v>8.0739142000000008</c:v>
                </c:pt>
                <c:pt idx="54">
                  <c:v>8.1920169000000005</c:v>
                </c:pt>
                <c:pt idx="55">
                  <c:v>8.1581945999999999</c:v>
                </c:pt>
                <c:pt idx="56">
                  <c:v>8.017652</c:v>
                </c:pt>
                <c:pt idx="57">
                  <c:v>7.8608216999999998</c:v>
                </c:pt>
                <c:pt idx="58">
                  <c:v>7.7279529</c:v>
                </c:pt>
                <c:pt idx="59">
                  <c:v>7.6147014000000004</c:v>
                </c:pt>
                <c:pt idx="60">
                  <c:v>7.5795493</c:v>
                </c:pt>
              </c:numCache>
            </c:numRef>
          </c:val>
          <c:smooth val="0"/>
        </c:ser>
        <c:dLbls>
          <c:showLegendKey val="0"/>
          <c:showVal val="0"/>
          <c:showCatName val="0"/>
          <c:showSerName val="0"/>
          <c:showPercent val="0"/>
          <c:showBubbleSize val="0"/>
        </c:dLbls>
        <c:marker val="1"/>
        <c:smooth val="0"/>
        <c:axId val="192204160"/>
        <c:axId val="192214144"/>
      </c:lineChart>
      <c:dateAx>
        <c:axId val="192204160"/>
        <c:scaling>
          <c:orientation val="minMax"/>
        </c:scaling>
        <c:delete val="0"/>
        <c:axPos val="b"/>
        <c:numFmt formatCode="mmm\-yyyy" sourceLinked="1"/>
        <c:majorTickMark val="out"/>
        <c:minorTickMark val="none"/>
        <c:tickLblPos val="nextTo"/>
        <c:txPr>
          <a:bodyPr/>
          <a:lstStyle/>
          <a:p>
            <a:pPr>
              <a:defRPr sz="1000"/>
            </a:pPr>
            <a:endParaRPr lang="en-US"/>
          </a:p>
        </c:txPr>
        <c:crossAx val="192214144"/>
        <c:crosses val="autoZero"/>
        <c:auto val="1"/>
        <c:lblOffset val="100"/>
        <c:baseTimeUnit val="months"/>
        <c:majorUnit val="12"/>
        <c:majorTimeUnit val="months"/>
      </c:dateAx>
      <c:valAx>
        <c:axId val="192214144"/>
        <c:scaling>
          <c:orientation val="minMax"/>
          <c:max val="9"/>
          <c:min val="4"/>
        </c:scaling>
        <c:delete val="0"/>
        <c:axPos val="l"/>
        <c:title>
          <c:tx>
            <c:rich>
              <a:bodyPr rot="-5400000" vert="horz"/>
              <a:lstStyle/>
              <a:p>
                <a:pPr>
                  <a:defRPr/>
                </a:pPr>
                <a:r>
                  <a:rPr lang="en-US"/>
                  <a:t>Per cent</a:t>
                </a:r>
              </a:p>
            </c:rich>
          </c:tx>
          <c:layout>
            <c:manualLayout>
              <c:xMode val="edge"/>
              <c:yMode val="edge"/>
              <c:x val="2.5150793650793649E-2"/>
              <c:y val="0.30982037037037036"/>
            </c:manualLayout>
          </c:layout>
          <c:overlay val="0"/>
        </c:title>
        <c:numFmt formatCode="#,##0" sourceLinked="0"/>
        <c:majorTickMark val="out"/>
        <c:minorTickMark val="none"/>
        <c:tickLblPos val="nextTo"/>
        <c:spPr>
          <a:ln>
            <a:solidFill>
              <a:srgbClr val="787878"/>
            </a:solidFill>
          </a:ln>
        </c:spPr>
        <c:crossAx val="192204160"/>
        <c:crosses val="autoZero"/>
        <c:crossBetween val="between"/>
        <c:majorUnit val="1"/>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793700787401578"/>
          <c:y val="0.10571574074074074"/>
          <c:w val="0.47098055555555557"/>
          <c:h val="0.74790324074074077"/>
        </c:manualLayout>
      </c:layout>
      <c:barChart>
        <c:barDir val="col"/>
        <c:grouping val="stacked"/>
        <c:varyColors val="0"/>
        <c:ser>
          <c:idx val="4"/>
          <c:order val="0"/>
          <c:tx>
            <c:strRef>
              <c:f>'Fig 2.1 C'!$B$40</c:f>
              <c:strCache>
                <c:ptCount val="1"/>
                <c:pt idx="0">
                  <c:v>Mining</c:v>
                </c:pt>
              </c:strCache>
            </c:strRef>
          </c:tx>
          <c:spPr>
            <a:pattFill prst="dkUpDiag">
              <a:fgClr>
                <a:srgbClr val="787878"/>
              </a:fgClr>
              <a:bgClr>
                <a:schemeClr val="bg1"/>
              </a:bgClr>
            </a:pattFill>
            <a:ln w="3175">
              <a:solidFill>
                <a:srgbClr val="787878"/>
              </a:solidFill>
            </a:ln>
          </c:spPr>
          <c:invertIfNegative val="0"/>
          <c:cat>
            <c:strRef>
              <c:f>'Fig 2.1 C'!$C$27:$D$27</c:f>
              <c:strCache>
                <c:ptCount val="2"/>
                <c:pt idx="0">
                  <c:v>Australia</c:v>
                </c:pt>
                <c:pt idx="1">
                  <c:v>Tasmania</c:v>
                </c:pt>
              </c:strCache>
            </c:strRef>
          </c:cat>
          <c:val>
            <c:numRef>
              <c:f>'Fig 2.1 C'!$C$40:$D$40</c:f>
              <c:numCache>
                <c:formatCode>0;\-0;0;@</c:formatCode>
                <c:ptCount val="2"/>
                <c:pt idx="0">
                  <c:v>9.4117465581736148</c:v>
                </c:pt>
                <c:pt idx="1">
                  <c:v>1.6015344042196116</c:v>
                </c:pt>
              </c:numCache>
            </c:numRef>
          </c:val>
        </c:ser>
        <c:ser>
          <c:idx val="5"/>
          <c:order val="1"/>
          <c:tx>
            <c:strRef>
              <c:f>'Fig 2.1 C'!$B$41</c:f>
              <c:strCache>
                <c:ptCount val="1"/>
                <c:pt idx="0">
                  <c:v>Agriculture</c:v>
                </c:pt>
              </c:strCache>
            </c:strRef>
          </c:tx>
          <c:spPr>
            <a:solidFill>
              <a:srgbClr val="787878"/>
            </a:solidFill>
            <a:ln w="3175">
              <a:solidFill>
                <a:srgbClr val="787878"/>
              </a:solidFill>
            </a:ln>
          </c:spPr>
          <c:invertIfNegative val="0"/>
          <c:cat>
            <c:strRef>
              <c:f>'Fig 2.1 C'!$C$27:$D$27</c:f>
              <c:strCache>
                <c:ptCount val="2"/>
                <c:pt idx="0">
                  <c:v>Australia</c:v>
                </c:pt>
                <c:pt idx="1">
                  <c:v>Tasmania</c:v>
                </c:pt>
              </c:strCache>
            </c:strRef>
          </c:cat>
          <c:val>
            <c:numRef>
              <c:f>'Fig 2.1 C'!$C$41:$D$41</c:f>
              <c:numCache>
                <c:formatCode>0;\-0;0;@</c:formatCode>
                <c:ptCount val="2"/>
                <c:pt idx="0">
                  <c:v>2.6369981874975896</c:v>
                </c:pt>
                <c:pt idx="1">
                  <c:v>8.9043394869335888</c:v>
                </c:pt>
              </c:numCache>
            </c:numRef>
          </c:val>
        </c:ser>
        <c:ser>
          <c:idx val="3"/>
          <c:order val="2"/>
          <c:tx>
            <c:strRef>
              <c:f>'Fig 2.1 C'!$B$39</c:f>
              <c:strCache>
                <c:ptCount val="1"/>
                <c:pt idx="0">
                  <c:v>Manufacturing</c:v>
                </c:pt>
              </c:strCache>
            </c:strRef>
          </c:tx>
          <c:spPr>
            <a:solidFill>
              <a:schemeClr val="bg1"/>
            </a:solidFill>
            <a:ln w="3175">
              <a:solidFill>
                <a:srgbClr val="787878"/>
              </a:solidFill>
            </a:ln>
          </c:spPr>
          <c:invertIfNegative val="0"/>
          <c:cat>
            <c:strRef>
              <c:f>'Fig 2.1 C'!$C$27:$D$27</c:f>
              <c:strCache>
                <c:ptCount val="2"/>
                <c:pt idx="0">
                  <c:v>Australia</c:v>
                </c:pt>
                <c:pt idx="1">
                  <c:v>Tasmania</c:v>
                </c:pt>
              </c:strCache>
            </c:strRef>
          </c:cat>
          <c:val>
            <c:numRef>
              <c:f>'Fig 2.1 C'!$C$39:$D$39</c:f>
              <c:numCache>
                <c:formatCode>0;\-0;0;@</c:formatCode>
                <c:ptCount val="2"/>
                <c:pt idx="0">
                  <c:v>7.822837530369056</c:v>
                </c:pt>
                <c:pt idx="1">
                  <c:v>8.0795972188923528</c:v>
                </c:pt>
              </c:numCache>
            </c:numRef>
          </c:val>
        </c:ser>
        <c:ser>
          <c:idx val="2"/>
          <c:order val="3"/>
          <c:tx>
            <c:strRef>
              <c:f>'Fig 2.1 C'!$B$38</c:f>
              <c:strCache>
                <c:ptCount val="1"/>
                <c:pt idx="0">
                  <c:v>Construction</c:v>
                </c:pt>
              </c:strCache>
            </c:strRef>
          </c:tx>
          <c:spPr>
            <a:solidFill>
              <a:schemeClr val="tx1"/>
            </a:solidFill>
            <a:ln w="3175">
              <a:solidFill>
                <a:schemeClr val="tx1"/>
              </a:solidFill>
            </a:ln>
          </c:spPr>
          <c:invertIfNegative val="0"/>
          <c:cat>
            <c:strRef>
              <c:f>'Fig 2.1 C'!$C$27:$D$27</c:f>
              <c:strCache>
                <c:ptCount val="2"/>
                <c:pt idx="0">
                  <c:v>Australia</c:v>
                </c:pt>
                <c:pt idx="1">
                  <c:v>Tasmania</c:v>
                </c:pt>
              </c:strCache>
            </c:strRef>
          </c:cat>
          <c:val>
            <c:numRef>
              <c:f>'Fig 2.1 C'!$C$38:$D$38</c:f>
              <c:numCache>
                <c:formatCode>0;\-0;0;@</c:formatCode>
                <c:ptCount val="2"/>
                <c:pt idx="0">
                  <c:v>9.0692992942809756</c:v>
                </c:pt>
                <c:pt idx="1">
                  <c:v>6.4492927355550229</c:v>
                </c:pt>
              </c:numCache>
            </c:numRef>
          </c:val>
        </c:ser>
        <c:ser>
          <c:idx val="0"/>
          <c:order val="4"/>
          <c:tx>
            <c:strRef>
              <c:f>'Fig 2.1 C'!$B$37</c:f>
              <c:strCache>
                <c:ptCount val="1"/>
                <c:pt idx="0">
                  <c:v>Private services</c:v>
                </c:pt>
              </c:strCache>
            </c:strRef>
          </c:tx>
          <c:spPr>
            <a:solidFill>
              <a:srgbClr val="78A22F"/>
            </a:solidFill>
            <a:ln w="3175">
              <a:solidFill>
                <a:srgbClr val="78A22F"/>
              </a:solidFill>
            </a:ln>
          </c:spPr>
          <c:invertIfNegative val="0"/>
          <c:cat>
            <c:strRef>
              <c:f>'Fig 2.1 C'!$C$27:$D$27</c:f>
              <c:strCache>
                <c:ptCount val="2"/>
                <c:pt idx="0">
                  <c:v>Australia</c:v>
                </c:pt>
                <c:pt idx="1">
                  <c:v>Tasmania</c:v>
                </c:pt>
              </c:strCache>
            </c:strRef>
          </c:cat>
          <c:val>
            <c:numRef>
              <c:f>'Fig 2.1 C'!$C$37:$D$37</c:f>
              <c:numCache>
                <c:formatCode>0;\-0;0;@</c:formatCode>
                <c:ptCount val="2"/>
                <c:pt idx="0">
                  <c:v>51.987659558057921</c:v>
                </c:pt>
                <c:pt idx="1">
                  <c:v>47.849436585950613</c:v>
                </c:pt>
              </c:numCache>
            </c:numRef>
          </c:val>
        </c:ser>
        <c:ser>
          <c:idx val="1"/>
          <c:order val="5"/>
          <c:tx>
            <c:strRef>
              <c:f>'Fig 2.1 C'!$B$36</c:f>
              <c:strCache>
                <c:ptCount val="1"/>
                <c:pt idx="0">
                  <c:v>Govt. services</c:v>
                </c:pt>
              </c:strCache>
            </c:strRef>
          </c:tx>
          <c:spPr>
            <a:solidFill>
              <a:srgbClr val="344893"/>
            </a:solidFill>
            <a:ln w="3175">
              <a:solidFill>
                <a:srgbClr val="344893"/>
              </a:solidFill>
            </a:ln>
          </c:spPr>
          <c:invertIfNegative val="0"/>
          <c:cat>
            <c:strRef>
              <c:f>'Fig 2.1 C'!$C$27:$D$27</c:f>
              <c:strCache>
                <c:ptCount val="2"/>
                <c:pt idx="0">
                  <c:v>Australia</c:v>
                </c:pt>
                <c:pt idx="1">
                  <c:v>Tasmania</c:v>
                </c:pt>
              </c:strCache>
            </c:strRef>
          </c:cat>
          <c:val>
            <c:numRef>
              <c:f>'Fig 2.1 C'!$C$36:$D$36</c:f>
              <c:numCache>
                <c:formatCode>0;\-0;0;@</c:formatCode>
                <c:ptCount val="2"/>
                <c:pt idx="0">
                  <c:v>19.071458871620838</c:v>
                </c:pt>
                <c:pt idx="1">
                  <c:v>27.115799568448811</c:v>
                </c:pt>
              </c:numCache>
            </c:numRef>
          </c:val>
        </c:ser>
        <c:dLbls>
          <c:showLegendKey val="0"/>
          <c:showVal val="0"/>
          <c:showCatName val="0"/>
          <c:showSerName val="0"/>
          <c:showPercent val="0"/>
          <c:showBubbleSize val="0"/>
        </c:dLbls>
        <c:gapWidth val="42"/>
        <c:overlap val="100"/>
        <c:axId val="192517632"/>
        <c:axId val="192519168"/>
      </c:barChart>
      <c:catAx>
        <c:axId val="192517632"/>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192519168"/>
        <c:crosses val="autoZero"/>
        <c:auto val="1"/>
        <c:lblAlgn val="ctr"/>
        <c:lblOffset val="100"/>
        <c:noMultiLvlLbl val="0"/>
      </c:catAx>
      <c:valAx>
        <c:axId val="192519168"/>
        <c:scaling>
          <c:orientation val="minMax"/>
          <c:max val="100"/>
        </c:scaling>
        <c:delete val="0"/>
        <c:axPos val="l"/>
        <c:title>
          <c:tx>
            <c:rich>
              <a:bodyPr rot="-5400000" vert="horz"/>
              <a:lstStyle/>
              <a:p>
                <a:pPr>
                  <a:defRPr>
                    <a:latin typeface="Arial" pitchFamily="34" charset="0"/>
                    <a:cs typeface="Arial" pitchFamily="34" charset="0"/>
                  </a:defRPr>
                </a:pPr>
                <a:r>
                  <a:rPr lang="en-AU">
                    <a:latin typeface="Arial" pitchFamily="34" charset="0"/>
                    <a:cs typeface="Arial" pitchFamily="34" charset="0"/>
                  </a:rPr>
                  <a:t>Per cent</a:t>
                </a:r>
              </a:p>
            </c:rich>
          </c:tx>
          <c:overlay val="0"/>
        </c:title>
        <c:numFmt formatCode="General" sourceLinked="0"/>
        <c:majorTickMark val="out"/>
        <c:minorTickMark val="none"/>
        <c:tickLblPos val="nextTo"/>
        <c:txPr>
          <a:bodyPr/>
          <a:lstStyle/>
          <a:p>
            <a:pPr>
              <a:defRPr>
                <a:latin typeface="Arial" pitchFamily="34" charset="0"/>
                <a:cs typeface="Arial" pitchFamily="34" charset="0"/>
              </a:defRPr>
            </a:pPr>
            <a:endParaRPr lang="en-US"/>
          </a:p>
        </c:txPr>
        <c:crossAx val="192517632"/>
        <c:crosses val="autoZero"/>
        <c:crossBetween val="between"/>
        <c:majorUnit val="20"/>
      </c:valAx>
      <c:spPr>
        <a:noFill/>
      </c:spPr>
    </c:plotArea>
    <c:legend>
      <c:legendPos val="r"/>
      <c:layout>
        <c:manualLayout>
          <c:xMode val="edge"/>
          <c:yMode val="edge"/>
          <c:x val="0.60913293650793654"/>
          <c:y val="0.20838564814814811"/>
          <c:w val="0.38472103174603173"/>
          <c:h val="0.67617824074074073"/>
        </c:manualLayout>
      </c:layout>
      <c:overlay val="0"/>
      <c:txPr>
        <a:bodyPr/>
        <a:lstStyle/>
        <a:p>
          <a:pPr>
            <a:defRPr sz="900">
              <a:latin typeface="Arial" pitchFamily="34" charset="0"/>
              <a:cs typeface="Arial" pitchFamily="34" charset="0"/>
            </a:defRPr>
          </a:pPr>
          <a:endParaRPr lang="en-US"/>
        </a:p>
      </c:txPr>
    </c:legend>
    <c:plotVisOnly val="1"/>
    <c:dispBlanksAs val="gap"/>
    <c:showDLblsOverMax val="0"/>
  </c:chart>
  <c:spPr>
    <a:noFill/>
    <a:ln>
      <a:no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503056713672838"/>
          <c:y val="0.11171296296296296"/>
          <c:w val="0.73922433852079716"/>
          <c:h val="0.6774041666666667"/>
        </c:manualLayout>
      </c:layout>
      <c:barChart>
        <c:barDir val="col"/>
        <c:grouping val="clustered"/>
        <c:varyColors val="0"/>
        <c:ser>
          <c:idx val="0"/>
          <c:order val="0"/>
          <c:spPr>
            <a:solidFill>
              <a:srgbClr val="78A22F"/>
            </a:solidFill>
          </c:spPr>
          <c:invertIfNegative val="0"/>
          <c:dPt>
            <c:idx val="5"/>
            <c:invertIfNegative val="0"/>
            <c:bubble3D val="0"/>
            <c:spPr>
              <a:solidFill>
                <a:srgbClr val="344893"/>
              </a:solidFill>
            </c:spPr>
          </c:dPt>
          <c:cat>
            <c:strRef>
              <c:f>Sheet1!$C$7:$K$7</c:f>
              <c:strCache>
                <c:ptCount val="9"/>
                <c:pt idx="0">
                  <c:v>NSW</c:v>
                </c:pt>
                <c:pt idx="1">
                  <c:v>Vic</c:v>
                </c:pt>
                <c:pt idx="2">
                  <c:v>Qld</c:v>
                </c:pt>
                <c:pt idx="3">
                  <c:v>SA</c:v>
                </c:pt>
                <c:pt idx="4">
                  <c:v>WA</c:v>
                </c:pt>
                <c:pt idx="5">
                  <c:v>Tas</c:v>
                </c:pt>
                <c:pt idx="6">
                  <c:v>NT</c:v>
                </c:pt>
                <c:pt idx="7">
                  <c:v>ACT</c:v>
                </c:pt>
                <c:pt idx="8">
                  <c:v>Aust</c:v>
                </c:pt>
              </c:strCache>
            </c:strRef>
          </c:cat>
          <c:val>
            <c:numRef>
              <c:f>Sheet1!$C$8:$K$8</c:f>
              <c:numCache>
                <c:formatCode>#,##0.0</c:formatCode>
                <c:ptCount val="9"/>
                <c:pt idx="0">
                  <c:v>25.9</c:v>
                </c:pt>
                <c:pt idx="1">
                  <c:v>24.3</c:v>
                </c:pt>
                <c:pt idx="2">
                  <c:v>24.9</c:v>
                </c:pt>
                <c:pt idx="3">
                  <c:v>29.2</c:v>
                </c:pt>
                <c:pt idx="4">
                  <c:v>20.5</c:v>
                </c:pt>
                <c:pt idx="5">
                  <c:v>32.700000000000003</c:v>
                </c:pt>
                <c:pt idx="6">
                  <c:v>12.7</c:v>
                </c:pt>
                <c:pt idx="7">
                  <c:v>11.9</c:v>
                </c:pt>
                <c:pt idx="8">
                  <c:v>24.8</c:v>
                </c:pt>
              </c:numCache>
            </c:numRef>
          </c:val>
        </c:ser>
        <c:dLbls>
          <c:showLegendKey val="0"/>
          <c:showVal val="0"/>
          <c:showCatName val="0"/>
          <c:showSerName val="0"/>
          <c:showPercent val="0"/>
          <c:showBubbleSize val="0"/>
        </c:dLbls>
        <c:gapWidth val="60"/>
        <c:axId val="192630784"/>
        <c:axId val="192632320"/>
      </c:barChart>
      <c:catAx>
        <c:axId val="192630784"/>
        <c:scaling>
          <c:orientation val="minMax"/>
        </c:scaling>
        <c:delete val="0"/>
        <c:axPos val="b"/>
        <c:majorTickMark val="out"/>
        <c:minorTickMark val="none"/>
        <c:tickLblPos val="nextTo"/>
        <c:spPr>
          <a:ln>
            <a:solidFill>
              <a:srgbClr val="787878"/>
            </a:solidFill>
          </a:ln>
        </c:spPr>
        <c:crossAx val="192632320"/>
        <c:crosses val="autoZero"/>
        <c:auto val="1"/>
        <c:lblAlgn val="ctr"/>
        <c:lblOffset val="100"/>
        <c:noMultiLvlLbl val="0"/>
      </c:catAx>
      <c:valAx>
        <c:axId val="192632320"/>
        <c:scaling>
          <c:orientation val="minMax"/>
          <c:max val="40"/>
        </c:scaling>
        <c:delete val="0"/>
        <c:axPos val="l"/>
        <c:title>
          <c:tx>
            <c:rich>
              <a:bodyPr rot="-5400000" vert="horz"/>
              <a:lstStyle/>
              <a:p>
                <a:pPr>
                  <a:defRPr/>
                </a:pPr>
                <a:r>
                  <a:rPr lang="en-US"/>
                  <a:t>Per cent</a:t>
                </a:r>
              </a:p>
            </c:rich>
          </c:tx>
          <c:layout>
            <c:manualLayout>
              <c:xMode val="edge"/>
              <c:yMode val="edge"/>
              <c:x val="2.7488546770304571E-3"/>
              <c:y val="0.33244259259259257"/>
            </c:manualLayout>
          </c:layout>
          <c:overlay val="0"/>
        </c:title>
        <c:numFmt formatCode="#,##0" sourceLinked="0"/>
        <c:majorTickMark val="out"/>
        <c:minorTickMark val="none"/>
        <c:tickLblPos val="nextTo"/>
        <c:spPr>
          <a:ln>
            <a:solidFill>
              <a:srgbClr val="787878"/>
            </a:solidFill>
          </a:ln>
        </c:spPr>
        <c:crossAx val="192630784"/>
        <c:crosses val="autoZero"/>
        <c:crossBetween val="between"/>
        <c:majorUnit val="10"/>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495601511349542"/>
          <c:y val="6.9417088188412801E-2"/>
          <c:w val="0.74712660917385321"/>
          <c:h val="0.70760595979840368"/>
        </c:manualLayout>
      </c:layout>
      <c:barChart>
        <c:barDir val="bar"/>
        <c:grouping val="clustered"/>
        <c:varyColors val="0"/>
        <c:ser>
          <c:idx val="0"/>
          <c:order val="0"/>
          <c:spPr>
            <a:solidFill>
              <a:srgbClr val="78A22F"/>
            </a:solidFill>
          </c:spPr>
          <c:invertIfNegative val="0"/>
          <c:dPt>
            <c:idx val="3"/>
            <c:invertIfNegative val="0"/>
            <c:bubble3D val="0"/>
            <c:spPr>
              <a:solidFill>
                <a:srgbClr val="344893"/>
              </a:solidFill>
            </c:spPr>
          </c:dPt>
          <c:dPt>
            <c:idx val="5"/>
            <c:invertIfNegative val="0"/>
            <c:bubble3D val="0"/>
          </c:dPt>
          <c:cat>
            <c:strRef>
              <c:f>'Fig 2.1 E'!$CW$41:$DE$41</c:f>
              <c:strCache>
                <c:ptCount val="9"/>
                <c:pt idx="0">
                  <c:v>Aust</c:v>
                </c:pt>
                <c:pt idx="1">
                  <c:v>ACT</c:v>
                </c:pt>
                <c:pt idx="2">
                  <c:v>NT</c:v>
                </c:pt>
                <c:pt idx="3">
                  <c:v>Tas</c:v>
                </c:pt>
                <c:pt idx="4">
                  <c:v>WA</c:v>
                </c:pt>
                <c:pt idx="5">
                  <c:v>SA</c:v>
                </c:pt>
                <c:pt idx="6">
                  <c:v>Qld</c:v>
                </c:pt>
                <c:pt idx="7">
                  <c:v>Vic</c:v>
                </c:pt>
                <c:pt idx="8">
                  <c:v>NSW</c:v>
                </c:pt>
              </c:strCache>
            </c:strRef>
          </c:cat>
          <c:val>
            <c:numRef>
              <c:f>'Fig 2.1 E'!$CW$42:$DE$42</c:f>
              <c:numCache>
                <c:formatCode>General</c:formatCode>
                <c:ptCount val="9"/>
                <c:pt idx="0" formatCode="0">
                  <c:v>66.397000000000006</c:v>
                </c:pt>
                <c:pt idx="1">
                  <c:v>92.406000000000006</c:v>
                </c:pt>
                <c:pt idx="2">
                  <c:v>84.894000000000005</c:v>
                </c:pt>
                <c:pt idx="3">
                  <c:v>47.551000000000002</c:v>
                </c:pt>
                <c:pt idx="4">
                  <c:v>98.069000000000003</c:v>
                </c:pt>
                <c:pt idx="5">
                  <c:v>57.222999999999999</c:v>
                </c:pt>
                <c:pt idx="6">
                  <c:v>62.889000000000003</c:v>
                </c:pt>
                <c:pt idx="7">
                  <c:v>59.404000000000003</c:v>
                </c:pt>
                <c:pt idx="8">
                  <c:v>64.789000000000001</c:v>
                </c:pt>
              </c:numCache>
            </c:numRef>
          </c:val>
        </c:ser>
        <c:dLbls>
          <c:showLegendKey val="0"/>
          <c:showVal val="0"/>
          <c:showCatName val="0"/>
          <c:showSerName val="0"/>
          <c:showPercent val="0"/>
          <c:showBubbleSize val="0"/>
        </c:dLbls>
        <c:gapWidth val="50"/>
        <c:axId val="192657280"/>
        <c:axId val="192658816"/>
      </c:barChart>
      <c:catAx>
        <c:axId val="192657280"/>
        <c:scaling>
          <c:orientation val="minMax"/>
        </c:scaling>
        <c:delete val="0"/>
        <c:axPos val="l"/>
        <c:majorTickMark val="out"/>
        <c:minorTickMark val="none"/>
        <c:tickLblPos val="nextTo"/>
        <c:spPr>
          <a:ln>
            <a:solidFill>
              <a:srgbClr val="787878"/>
            </a:solidFill>
          </a:ln>
        </c:spPr>
        <c:crossAx val="192658816"/>
        <c:crosses val="autoZero"/>
        <c:auto val="1"/>
        <c:lblAlgn val="ctr"/>
        <c:lblOffset val="100"/>
        <c:noMultiLvlLbl val="0"/>
      </c:catAx>
      <c:valAx>
        <c:axId val="192658816"/>
        <c:scaling>
          <c:orientation val="minMax"/>
          <c:max val="100"/>
        </c:scaling>
        <c:delete val="0"/>
        <c:axPos val="b"/>
        <c:title>
          <c:tx>
            <c:rich>
              <a:bodyPr/>
              <a:lstStyle/>
              <a:p>
                <a:pPr>
                  <a:defRPr/>
                </a:pPr>
                <a:r>
                  <a:rPr lang="en-US"/>
                  <a:t>$ '000</a:t>
                </a:r>
              </a:p>
            </c:rich>
          </c:tx>
          <c:layout>
            <c:manualLayout>
              <c:xMode val="edge"/>
              <c:yMode val="edge"/>
              <c:x val="0.4308811398575178"/>
              <c:y val="0.90059985544741405"/>
            </c:manualLayout>
          </c:layout>
          <c:overlay val="0"/>
        </c:title>
        <c:numFmt formatCode="0" sourceLinked="1"/>
        <c:majorTickMark val="out"/>
        <c:minorTickMark val="none"/>
        <c:tickLblPos val="nextTo"/>
        <c:spPr>
          <a:ln>
            <a:solidFill>
              <a:srgbClr val="787878"/>
            </a:solidFill>
          </a:ln>
        </c:spPr>
        <c:crossAx val="192657280"/>
        <c:crosses val="autoZero"/>
        <c:crossBetween val="between"/>
        <c:majorUnit val="20"/>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370436507936509"/>
          <c:y val="5.8796296296296298E-2"/>
          <c:w val="0.72283849206349204"/>
          <c:h val="0.71871500867383076"/>
        </c:manualLayout>
      </c:layout>
      <c:barChart>
        <c:barDir val="bar"/>
        <c:grouping val="clustered"/>
        <c:varyColors val="0"/>
        <c:ser>
          <c:idx val="0"/>
          <c:order val="0"/>
          <c:spPr>
            <a:solidFill>
              <a:srgbClr val="78A22F"/>
            </a:solidFill>
          </c:spPr>
          <c:invertIfNegative val="0"/>
          <c:dPt>
            <c:idx val="3"/>
            <c:invertIfNegative val="0"/>
            <c:bubble3D val="0"/>
            <c:spPr>
              <a:solidFill>
                <a:srgbClr val="344893"/>
              </a:solidFill>
            </c:spPr>
          </c:dPt>
          <c:cat>
            <c:strRef>
              <c:f>Sheet1!$C$24:$K$24</c:f>
              <c:strCache>
                <c:ptCount val="9"/>
                <c:pt idx="0">
                  <c:v>Aust</c:v>
                </c:pt>
                <c:pt idx="1">
                  <c:v>ACT</c:v>
                </c:pt>
                <c:pt idx="2">
                  <c:v>NT</c:v>
                </c:pt>
                <c:pt idx="3">
                  <c:v>Tas</c:v>
                </c:pt>
                <c:pt idx="4">
                  <c:v>WA</c:v>
                </c:pt>
                <c:pt idx="5">
                  <c:v>SA</c:v>
                </c:pt>
                <c:pt idx="6">
                  <c:v>Qld</c:v>
                </c:pt>
                <c:pt idx="7">
                  <c:v>Vic</c:v>
                </c:pt>
                <c:pt idx="8">
                  <c:v>NSW</c:v>
                </c:pt>
              </c:strCache>
            </c:strRef>
          </c:cat>
          <c:val>
            <c:numRef>
              <c:f>Sheet1!$C$25:$K$25</c:f>
              <c:numCache>
                <c:formatCode>General</c:formatCode>
                <c:ptCount val="9"/>
                <c:pt idx="0">
                  <c:v>20.3</c:v>
                </c:pt>
                <c:pt idx="1">
                  <c:v>11.8</c:v>
                </c:pt>
                <c:pt idx="2">
                  <c:v>21.9</c:v>
                </c:pt>
                <c:pt idx="3">
                  <c:v>30.5</c:v>
                </c:pt>
                <c:pt idx="4">
                  <c:v>19</c:v>
                </c:pt>
                <c:pt idx="5">
                  <c:v>18</c:v>
                </c:pt>
                <c:pt idx="6">
                  <c:v>21.8</c:v>
                </c:pt>
                <c:pt idx="7">
                  <c:v>17.100000000000001</c:v>
                </c:pt>
                <c:pt idx="8">
                  <c:v>22.5</c:v>
                </c:pt>
              </c:numCache>
            </c:numRef>
          </c:val>
        </c:ser>
        <c:dLbls>
          <c:showLegendKey val="0"/>
          <c:showVal val="0"/>
          <c:showCatName val="0"/>
          <c:showSerName val="0"/>
          <c:showPercent val="0"/>
          <c:showBubbleSize val="0"/>
        </c:dLbls>
        <c:gapWidth val="60"/>
        <c:axId val="192695296"/>
        <c:axId val="192697088"/>
      </c:barChart>
      <c:catAx>
        <c:axId val="192695296"/>
        <c:scaling>
          <c:orientation val="minMax"/>
        </c:scaling>
        <c:delete val="0"/>
        <c:axPos val="l"/>
        <c:majorTickMark val="out"/>
        <c:minorTickMark val="none"/>
        <c:tickLblPos val="nextTo"/>
        <c:spPr>
          <a:ln>
            <a:solidFill>
              <a:srgbClr val="787878"/>
            </a:solidFill>
          </a:ln>
        </c:spPr>
        <c:crossAx val="192697088"/>
        <c:crosses val="autoZero"/>
        <c:auto val="1"/>
        <c:lblAlgn val="ctr"/>
        <c:lblOffset val="100"/>
        <c:noMultiLvlLbl val="0"/>
      </c:catAx>
      <c:valAx>
        <c:axId val="192697088"/>
        <c:scaling>
          <c:orientation val="minMax"/>
          <c:max val="35"/>
        </c:scaling>
        <c:delete val="0"/>
        <c:axPos val="b"/>
        <c:title>
          <c:tx>
            <c:rich>
              <a:bodyPr/>
              <a:lstStyle/>
              <a:p>
                <a:pPr>
                  <a:defRPr/>
                </a:pPr>
                <a:r>
                  <a:rPr lang="en-US"/>
                  <a:t>Per cent</a:t>
                </a:r>
              </a:p>
            </c:rich>
          </c:tx>
          <c:layout>
            <c:manualLayout>
              <c:xMode val="edge"/>
              <c:yMode val="edge"/>
              <c:x val="0.3800952851434567"/>
              <c:y val="0.88719626859194634"/>
            </c:manualLayout>
          </c:layout>
          <c:overlay val="0"/>
        </c:title>
        <c:numFmt formatCode="General" sourceLinked="1"/>
        <c:majorTickMark val="out"/>
        <c:minorTickMark val="none"/>
        <c:tickLblPos val="nextTo"/>
        <c:spPr>
          <a:ln>
            <a:solidFill>
              <a:srgbClr val="787878"/>
            </a:solidFill>
          </a:ln>
        </c:spPr>
        <c:crossAx val="192695296"/>
        <c:crosses val="autoZero"/>
        <c:crossBetween val="between"/>
        <c:majorUnit val="5"/>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369266064361947E-2"/>
          <c:y val="2.197807641519511E-2"/>
          <c:w val="0.87925746172593156"/>
          <c:h val="0.90441961708380103"/>
        </c:manualLayout>
      </c:layout>
      <c:lineChart>
        <c:grouping val="standard"/>
        <c:varyColors val="0"/>
        <c:ser>
          <c:idx val="0"/>
          <c:order val="0"/>
          <c:tx>
            <c:strRef>
              <c:f>'fig 2.5'!$N$2</c:f>
              <c:strCache>
                <c:ptCount val="1"/>
                <c:pt idx="0">
                  <c:v>Road</c:v>
                </c:pt>
              </c:strCache>
            </c:strRef>
          </c:tx>
          <c:spPr>
            <a:ln>
              <a:solidFill>
                <a:srgbClr val="344893"/>
              </a:solidFill>
              <a:prstDash val="sysDash"/>
            </a:ln>
          </c:spPr>
          <c:marker>
            <c:symbol val="none"/>
          </c:marker>
          <c:cat>
            <c:strRef>
              <c:f>'fig 2.5'!$M$6:$M$46</c:f>
              <c:strCache>
                <c:ptCount val="41"/>
                <c:pt idx="0">
                  <c:v>1967-68</c:v>
                </c:pt>
                <c:pt idx="1">
                  <c:v>1968-69</c:v>
                </c:pt>
                <c:pt idx="2">
                  <c:v>1969-70</c:v>
                </c:pt>
                <c:pt idx="3">
                  <c:v>1970-71</c:v>
                </c:pt>
                <c:pt idx="4">
                  <c:v>1971-72</c:v>
                </c:pt>
                <c:pt idx="5">
                  <c:v>1972-73</c:v>
                </c:pt>
                <c:pt idx="6">
                  <c:v>1973-74</c:v>
                </c:pt>
                <c:pt idx="7">
                  <c:v>1974-75</c:v>
                </c:pt>
                <c:pt idx="8">
                  <c:v>1975-76</c:v>
                </c:pt>
                <c:pt idx="9">
                  <c:v>1976-77</c:v>
                </c:pt>
                <c:pt idx="10">
                  <c:v>1977-78</c:v>
                </c:pt>
                <c:pt idx="11">
                  <c:v>1978-79</c:v>
                </c:pt>
                <c:pt idx="12">
                  <c:v>1979-80</c:v>
                </c:pt>
                <c:pt idx="13">
                  <c:v>1980-81</c:v>
                </c:pt>
                <c:pt idx="14">
                  <c:v>1981-82</c:v>
                </c:pt>
                <c:pt idx="15">
                  <c:v>1982-83</c:v>
                </c:pt>
                <c:pt idx="16">
                  <c:v>1983-84</c:v>
                </c:pt>
                <c:pt idx="17">
                  <c:v>1984-85</c:v>
                </c:pt>
                <c:pt idx="18">
                  <c:v>1985-86</c:v>
                </c:pt>
                <c:pt idx="19">
                  <c:v>1986-87</c:v>
                </c:pt>
                <c:pt idx="20">
                  <c:v>1987-88</c:v>
                </c:pt>
                <c:pt idx="21">
                  <c:v>1988-89</c:v>
                </c:pt>
                <c:pt idx="22">
                  <c:v>1989-90</c:v>
                </c:pt>
                <c:pt idx="23">
                  <c:v>1990-91</c:v>
                </c:pt>
                <c:pt idx="24">
                  <c:v>1991-92</c:v>
                </c:pt>
                <c:pt idx="25">
                  <c:v>1992-93</c:v>
                </c:pt>
                <c:pt idx="26">
                  <c:v>1993-94</c:v>
                </c:pt>
                <c:pt idx="27">
                  <c:v>1994-95</c:v>
                </c:pt>
                <c:pt idx="28">
                  <c:v>1995-96</c:v>
                </c:pt>
                <c:pt idx="29">
                  <c:v>1996-97</c:v>
                </c:pt>
                <c:pt idx="30">
                  <c:v>1997-98</c:v>
                </c:pt>
                <c:pt idx="31">
                  <c:v>1998-99</c:v>
                </c:pt>
                <c:pt idx="32">
                  <c:v>1999-00</c:v>
                </c:pt>
                <c:pt idx="33">
                  <c:v>2000-01</c:v>
                </c:pt>
                <c:pt idx="34">
                  <c:v>2001-02</c:v>
                </c:pt>
                <c:pt idx="35">
                  <c:v>2002-03</c:v>
                </c:pt>
                <c:pt idx="36">
                  <c:v>2003-04</c:v>
                </c:pt>
                <c:pt idx="37">
                  <c:v>2004-05</c:v>
                </c:pt>
                <c:pt idx="38">
                  <c:v>2005-06</c:v>
                </c:pt>
                <c:pt idx="39">
                  <c:v>2006-07</c:v>
                </c:pt>
                <c:pt idx="40">
                  <c:v>2007-08</c:v>
                </c:pt>
              </c:strCache>
            </c:strRef>
          </c:cat>
          <c:val>
            <c:numRef>
              <c:f>'fig 2.5'!$N$6:$N$46</c:f>
              <c:numCache>
                <c:formatCode>0.0</c:formatCode>
                <c:ptCount val="41"/>
                <c:pt idx="0">
                  <c:v>180.05537427074063</c:v>
                </c:pt>
                <c:pt idx="1">
                  <c:v>183.51626619203009</c:v>
                </c:pt>
                <c:pt idx="2">
                  <c:v>181.8451498071789</c:v>
                </c:pt>
                <c:pt idx="3">
                  <c:v>184.29743893997826</c:v>
                </c:pt>
                <c:pt idx="4">
                  <c:v>181.08375358449521</c:v>
                </c:pt>
                <c:pt idx="5">
                  <c:v>183.03174132304954</c:v>
                </c:pt>
                <c:pt idx="6">
                  <c:v>177.53386729951549</c:v>
                </c:pt>
                <c:pt idx="7">
                  <c:v>171.37347967962032</c:v>
                </c:pt>
                <c:pt idx="8">
                  <c:v>165.62839909027986</c:v>
                </c:pt>
                <c:pt idx="9">
                  <c:v>156.60041530703057</c:v>
                </c:pt>
                <c:pt idx="10">
                  <c:v>150.09393849500643</c:v>
                </c:pt>
                <c:pt idx="11">
                  <c:v>145.40690200731734</c:v>
                </c:pt>
                <c:pt idx="12">
                  <c:v>133.37288638386235</c:v>
                </c:pt>
                <c:pt idx="13">
                  <c:v>125.72925936912887</c:v>
                </c:pt>
                <c:pt idx="14">
                  <c:v>120.65658063878178</c:v>
                </c:pt>
                <c:pt idx="15">
                  <c:v>115.40591318105409</c:v>
                </c:pt>
                <c:pt idx="16">
                  <c:v>110.33323445070702</c:v>
                </c:pt>
                <c:pt idx="17">
                  <c:v>109.78938000593297</c:v>
                </c:pt>
                <c:pt idx="18">
                  <c:v>106.30871155937902</c:v>
                </c:pt>
                <c:pt idx="19">
                  <c:v>107.58429743893998</c:v>
                </c:pt>
                <c:pt idx="20">
                  <c:v>106.21971719568873</c:v>
                </c:pt>
                <c:pt idx="21">
                  <c:v>104.48927123504401</c:v>
                </c:pt>
                <c:pt idx="22">
                  <c:v>103.03569662810246</c:v>
                </c:pt>
                <c:pt idx="23">
                  <c:v>102.89726095125087</c:v>
                </c:pt>
                <c:pt idx="24">
                  <c:v>104.66725996242461</c:v>
                </c:pt>
                <c:pt idx="25">
                  <c:v>105.25066745772769</c:v>
                </c:pt>
                <c:pt idx="26">
                  <c:v>106.24938198358549</c:v>
                </c:pt>
                <c:pt idx="27">
                  <c:v>103.64876891130228</c:v>
                </c:pt>
                <c:pt idx="28">
                  <c:v>100.20765351527739</c:v>
                </c:pt>
                <c:pt idx="29">
                  <c:v>100</c:v>
                </c:pt>
                <c:pt idx="30">
                  <c:v>101.20636804113516</c:v>
                </c:pt>
                <c:pt idx="31">
                  <c:v>101.10748541481263</c:v>
                </c:pt>
                <c:pt idx="32">
                  <c:v>101.51290418273508</c:v>
                </c:pt>
                <c:pt idx="33">
                  <c:v>98.88262632255514</c:v>
                </c:pt>
                <c:pt idx="34">
                  <c:v>97.25106298823296</c:v>
                </c:pt>
                <c:pt idx="35">
                  <c:v>97.804805695639274</c:v>
                </c:pt>
                <c:pt idx="36">
                  <c:v>97.359833877187768</c:v>
                </c:pt>
                <c:pt idx="37">
                  <c:v>103.45100365865719</c:v>
                </c:pt>
                <c:pt idx="38">
                  <c:v>106.41748244833384</c:v>
                </c:pt>
                <c:pt idx="39">
                  <c:v>105.04301394245033</c:v>
                </c:pt>
                <c:pt idx="40">
                  <c:v>107.79195095421737</c:v>
                </c:pt>
              </c:numCache>
            </c:numRef>
          </c:val>
          <c:smooth val="0"/>
        </c:ser>
        <c:ser>
          <c:idx val="1"/>
          <c:order val="1"/>
          <c:tx>
            <c:strRef>
              <c:f>'fig 2.5'!$O$2</c:f>
              <c:strCache>
                <c:ptCount val="1"/>
                <c:pt idx="0">
                  <c:v>Rail</c:v>
                </c:pt>
              </c:strCache>
            </c:strRef>
          </c:tx>
          <c:spPr>
            <a:ln w="22225">
              <a:solidFill>
                <a:srgbClr val="344893"/>
              </a:solidFill>
              <a:prstDash val="solid"/>
            </a:ln>
            <a:effectLst/>
          </c:spPr>
          <c:marker>
            <c:symbol val="none"/>
          </c:marker>
          <c:cat>
            <c:strRef>
              <c:f>'fig 2.5'!$M$6:$M$46</c:f>
              <c:strCache>
                <c:ptCount val="41"/>
                <c:pt idx="0">
                  <c:v>1967-68</c:v>
                </c:pt>
                <c:pt idx="1">
                  <c:v>1968-69</c:v>
                </c:pt>
                <c:pt idx="2">
                  <c:v>1969-70</c:v>
                </c:pt>
                <c:pt idx="3">
                  <c:v>1970-71</c:v>
                </c:pt>
                <c:pt idx="4">
                  <c:v>1971-72</c:v>
                </c:pt>
                <c:pt idx="5">
                  <c:v>1972-73</c:v>
                </c:pt>
                <c:pt idx="6">
                  <c:v>1973-74</c:v>
                </c:pt>
                <c:pt idx="7">
                  <c:v>1974-75</c:v>
                </c:pt>
                <c:pt idx="8">
                  <c:v>1975-76</c:v>
                </c:pt>
                <c:pt idx="9">
                  <c:v>1976-77</c:v>
                </c:pt>
                <c:pt idx="10">
                  <c:v>1977-78</c:v>
                </c:pt>
                <c:pt idx="11">
                  <c:v>1978-79</c:v>
                </c:pt>
                <c:pt idx="12">
                  <c:v>1979-80</c:v>
                </c:pt>
                <c:pt idx="13">
                  <c:v>1980-81</c:v>
                </c:pt>
                <c:pt idx="14">
                  <c:v>1981-82</c:v>
                </c:pt>
                <c:pt idx="15">
                  <c:v>1982-83</c:v>
                </c:pt>
                <c:pt idx="16">
                  <c:v>1983-84</c:v>
                </c:pt>
                <c:pt idx="17">
                  <c:v>1984-85</c:v>
                </c:pt>
                <c:pt idx="18">
                  <c:v>1985-86</c:v>
                </c:pt>
                <c:pt idx="19">
                  <c:v>1986-87</c:v>
                </c:pt>
                <c:pt idx="20">
                  <c:v>1987-88</c:v>
                </c:pt>
                <c:pt idx="21">
                  <c:v>1988-89</c:v>
                </c:pt>
                <c:pt idx="22">
                  <c:v>1989-90</c:v>
                </c:pt>
                <c:pt idx="23">
                  <c:v>1990-91</c:v>
                </c:pt>
                <c:pt idx="24">
                  <c:v>1991-92</c:v>
                </c:pt>
                <c:pt idx="25">
                  <c:v>1992-93</c:v>
                </c:pt>
                <c:pt idx="26">
                  <c:v>1993-94</c:v>
                </c:pt>
                <c:pt idx="27">
                  <c:v>1994-95</c:v>
                </c:pt>
                <c:pt idx="28">
                  <c:v>1995-96</c:v>
                </c:pt>
                <c:pt idx="29">
                  <c:v>1996-97</c:v>
                </c:pt>
                <c:pt idx="30">
                  <c:v>1997-98</c:v>
                </c:pt>
                <c:pt idx="31">
                  <c:v>1998-99</c:v>
                </c:pt>
                <c:pt idx="32">
                  <c:v>1999-00</c:v>
                </c:pt>
                <c:pt idx="33">
                  <c:v>2000-01</c:v>
                </c:pt>
                <c:pt idx="34">
                  <c:v>2001-02</c:v>
                </c:pt>
                <c:pt idx="35">
                  <c:v>2002-03</c:v>
                </c:pt>
                <c:pt idx="36">
                  <c:v>2003-04</c:v>
                </c:pt>
                <c:pt idx="37">
                  <c:v>2004-05</c:v>
                </c:pt>
                <c:pt idx="38">
                  <c:v>2005-06</c:v>
                </c:pt>
                <c:pt idx="39">
                  <c:v>2006-07</c:v>
                </c:pt>
                <c:pt idx="40">
                  <c:v>2007-08</c:v>
                </c:pt>
              </c:strCache>
            </c:strRef>
          </c:cat>
          <c:val>
            <c:numRef>
              <c:f>'fig 2.5'!$O$6:$O$46</c:f>
              <c:numCache>
                <c:formatCode>0.0</c:formatCode>
                <c:ptCount val="41"/>
                <c:pt idx="0">
                  <c:v>266.50162045372701</c:v>
                </c:pt>
                <c:pt idx="1">
                  <c:v>265.45732805185452</c:v>
                </c:pt>
                <c:pt idx="2">
                  <c:v>262.81958948505581</c:v>
                </c:pt>
                <c:pt idx="3">
                  <c:v>266.78069859560674</c:v>
                </c:pt>
                <c:pt idx="4">
                  <c:v>258.12027367662949</c:v>
                </c:pt>
                <c:pt idx="5">
                  <c:v>237.61253150882249</c:v>
                </c:pt>
                <c:pt idx="6">
                  <c:v>215.80842635938063</c:v>
                </c:pt>
                <c:pt idx="7">
                  <c:v>207.96723082463089</c:v>
                </c:pt>
                <c:pt idx="8">
                  <c:v>218.88728844076343</c:v>
                </c:pt>
                <c:pt idx="9">
                  <c:v>216.35758012243431</c:v>
                </c:pt>
                <c:pt idx="10">
                  <c:v>236.14512063377745</c:v>
                </c:pt>
                <c:pt idx="11">
                  <c:v>226.9715520345697</c:v>
                </c:pt>
                <c:pt idx="12">
                  <c:v>224.20777817788982</c:v>
                </c:pt>
                <c:pt idx="13">
                  <c:v>228.781058696435</c:v>
                </c:pt>
                <c:pt idx="14">
                  <c:v>228.67302844796544</c:v>
                </c:pt>
                <c:pt idx="15">
                  <c:v>214.82715160244871</c:v>
                </c:pt>
                <c:pt idx="16">
                  <c:v>216.47461289160964</c:v>
                </c:pt>
                <c:pt idx="17">
                  <c:v>217.62693554195175</c:v>
                </c:pt>
                <c:pt idx="18">
                  <c:v>197.4252790781419</c:v>
                </c:pt>
                <c:pt idx="19">
                  <c:v>186.64926179330214</c:v>
                </c:pt>
                <c:pt idx="20">
                  <c:v>165.880446525027</c:v>
                </c:pt>
                <c:pt idx="21">
                  <c:v>164.85415916456608</c:v>
                </c:pt>
                <c:pt idx="22">
                  <c:v>150.8372344256392</c:v>
                </c:pt>
                <c:pt idx="23">
                  <c:v>145.34569679510264</c:v>
                </c:pt>
                <c:pt idx="24">
                  <c:v>137.82859200576161</c:v>
                </c:pt>
                <c:pt idx="25">
                  <c:v>129.38422758372346</c:v>
                </c:pt>
                <c:pt idx="26">
                  <c:v>124.9189773136478</c:v>
                </c:pt>
                <c:pt idx="27">
                  <c:v>109.69571480014405</c:v>
                </c:pt>
                <c:pt idx="28">
                  <c:v>102.63773856679872</c:v>
                </c:pt>
                <c:pt idx="29">
                  <c:v>100</c:v>
                </c:pt>
                <c:pt idx="30">
                  <c:v>98.442563917897004</c:v>
                </c:pt>
                <c:pt idx="31">
                  <c:v>98.136478213899906</c:v>
                </c:pt>
                <c:pt idx="32">
                  <c:v>98.559596687072386</c:v>
                </c:pt>
                <c:pt idx="33">
                  <c:v>90.025207057976232</c:v>
                </c:pt>
                <c:pt idx="34">
                  <c:v>89.575081022686348</c:v>
                </c:pt>
                <c:pt idx="35">
                  <c:v>89.557075981274764</c:v>
                </c:pt>
                <c:pt idx="36">
                  <c:v>90.376305365502347</c:v>
                </c:pt>
                <c:pt idx="37">
                  <c:v>91.348577601728493</c:v>
                </c:pt>
                <c:pt idx="38">
                  <c:v>92.554915376305374</c:v>
                </c:pt>
                <c:pt idx="39">
                  <c:v>94.490457328051846</c:v>
                </c:pt>
                <c:pt idx="40">
                  <c:v>94.562477493698239</c:v>
                </c:pt>
              </c:numCache>
            </c:numRef>
          </c:val>
          <c:smooth val="0"/>
        </c:ser>
        <c:ser>
          <c:idx val="2"/>
          <c:order val="2"/>
          <c:tx>
            <c:strRef>
              <c:f>'fig 2.5'!$P$2</c:f>
              <c:strCache>
                <c:ptCount val="1"/>
                <c:pt idx="0">
                  <c:v>Shipping (Tasmania)</c:v>
                </c:pt>
              </c:strCache>
            </c:strRef>
          </c:tx>
          <c:spPr>
            <a:ln cmpd="sng">
              <a:solidFill>
                <a:srgbClr val="78A22F"/>
              </a:solidFill>
              <a:prstDash val="solid"/>
            </a:ln>
            <a:effectLst/>
          </c:spPr>
          <c:marker>
            <c:symbol val="none"/>
          </c:marker>
          <c:cat>
            <c:strRef>
              <c:f>'fig 2.5'!$M$6:$M$46</c:f>
              <c:strCache>
                <c:ptCount val="41"/>
                <c:pt idx="0">
                  <c:v>1967-68</c:v>
                </c:pt>
                <c:pt idx="1">
                  <c:v>1968-69</c:v>
                </c:pt>
                <c:pt idx="2">
                  <c:v>1969-70</c:v>
                </c:pt>
                <c:pt idx="3">
                  <c:v>1970-71</c:v>
                </c:pt>
                <c:pt idx="4">
                  <c:v>1971-72</c:v>
                </c:pt>
                <c:pt idx="5">
                  <c:v>1972-73</c:v>
                </c:pt>
                <c:pt idx="6">
                  <c:v>1973-74</c:v>
                </c:pt>
                <c:pt idx="7">
                  <c:v>1974-75</c:v>
                </c:pt>
                <c:pt idx="8">
                  <c:v>1975-76</c:v>
                </c:pt>
                <c:pt idx="9">
                  <c:v>1976-77</c:v>
                </c:pt>
                <c:pt idx="10">
                  <c:v>1977-78</c:v>
                </c:pt>
                <c:pt idx="11">
                  <c:v>1978-79</c:v>
                </c:pt>
                <c:pt idx="12">
                  <c:v>1979-80</c:v>
                </c:pt>
                <c:pt idx="13">
                  <c:v>1980-81</c:v>
                </c:pt>
                <c:pt idx="14">
                  <c:v>1981-82</c:v>
                </c:pt>
                <c:pt idx="15">
                  <c:v>1982-83</c:v>
                </c:pt>
                <c:pt idx="16">
                  <c:v>1983-84</c:v>
                </c:pt>
                <c:pt idx="17">
                  <c:v>1984-85</c:v>
                </c:pt>
                <c:pt idx="18">
                  <c:v>1985-86</c:v>
                </c:pt>
                <c:pt idx="19">
                  <c:v>1986-87</c:v>
                </c:pt>
                <c:pt idx="20">
                  <c:v>1987-88</c:v>
                </c:pt>
                <c:pt idx="21">
                  <c:v>1988-89</c:v>
                </c:pt>
                <c:pt idx="22">
                  <c:v>1989-90</c:v>
                </c:pt>
                <c:pt idx="23">
                  <c:v>1990-91</c:v>
                </c:pt>
                <c:pt idx="24">
                  <c:v>1991-92</c:v>
                </c:pt>
                <c:pt idx="25">
                  <c:v>1992-93</c:v>
                </c:pt>
                <c:pt idx="26">
                  <c:v>1993-94</c:v>
                </c:pt>
                <c:pt idx="27">
                  <c:v>1994-95</c:v>
                </c:pt>
                <c:pt idx="28">
                  <c:v>1995-96</c:v>
                </c:pt>
                <c:pt idx="29">
                  <c:v>1996-97</c:v>
                </c:pt>
                <c:pt idx="30">
                  <c:v>1997-98</c:v>
                </c:pt>
                <c:pt idx="31">
                  <c:v>1998-99</c:v>
                </c:pt>
                <c:pt idx="32">
                  <c:v>1999-00</c:v>
                </c:pt>
                <c:pt idx="33">
                  <c:v>2000-01</c:v>
                </c:pt>
                <c:pt idx="34">
                  <c:v>2001-02</c:v>
                </c:pt>
                <c:pt idx="35">
                  <c:v>2002-03</c:v>
                </c:pt>
                <c:pt idx="36">
                  <c:v>2003-04</c:v>
                </c:pt>
                <c:pt idx="37">
                  <c:v>2004-05</c:v>
                </c:pt>
                <c:pt idx="38">
                  <c:v>2005-06</c:v>
                </c:pt>
                <c:pt idx="39">
                  <c:v>2006-07</c:v>
                </c:pt>
                <c:pt idx="40">
                  <c:v>2007-08</c:v>
                </c:pt>
              </c:strCache>
            </c:strRef>
          </c:cat>
          <c:val>
            <c:numRef>
              <c:f>'fig 2.5'!$P$6:$P$46</c:f>
              <c:numCache>
                <c:formatCode>0.0</c:formatCode>
                <c:ptCount val="41"/>
                <c:pt idx="0">
                  <c:v>60.798816568047343</c:v>
                </c:pt>
                <c:pt idx="1">
                  <c:v>61.242603550295861</c:v>
                </c:pt>
                <c:pt idx="2">
                  <c:v>64.071745562130175</c:v>
                </c:pt>
                <c:pt idx="3">
                  <c:v>67.769970414201183</c:v>
                </c:pt>
                <c:pt idx="4">
                  <c:v>67.557322485207095</c:v>
                </c:pt>
                <c:pt idx="5">
                  <c:v>70.257026627218934</c:v>
                </c:pt>
                <c:pt idx="6">
                  <c:v>67.335428994082832</c:v>
                </c:pt>
                <c:pt idx="7">
                  <c:v>63.637204142011839</c:v>
                </c:pt>
                <c:pt idx="8">
                  <c:v>78.189718934911241</c:v>
                </c:pt>
                <c:pt idx="9">
                  <c:v>107.31323964497041</c:v>
                </c:pt>
                <c:pt idx="10">
                  <c:v>117.30769230769231</c:v>
                </c:pt>
                <c:pt idx="11">
                  <c:v>118.03809171597635</c:v>
                </c:pt>
                <c:pt idx="12">
                  <c:v>132.8494822485207</c:v>
                </c:pt>
                <c:pt idx="13">
                  <c:v>143.019600591716</c:v>
                </c:pt>
                <c:pt idx="14">
                  <c:v>152.67196745562131</c:v>
                </c:pt>
                <c:pt idx="15">
                  <c:v>153.02329881656803</c:v>
                </c:pt>
                <c:pt idx="16">
                  <c:v>146.23705621301775</c:v>
                </c:pt>
                <c:pt idx="17">
                  <c:v>140.26442307692309</c:v>
                </c:pt>
                <c:pt idx="18">
                  <c:v>128.81841715976333</c:v>
                </c:pt>
                <c:pt idx="19">
                  <c:v>116.8639053254438</c:v>
                </c:pt>
                <c:pt idx="20">
                  <c:v>113.8590976331361</c:v>
                </c:pt>
                <c:pt idx="21">
                  <c:v>107.8125</c:v>
                </c:pt>
                <c:pt idx="22">
                  <c:v>97.938239644970423</c:v>
                </c:pt>
                <c:pt idx="23">
                  <c:v>101.26664201183434</c:v>
                </c:pt>
                <c:pt idx="24">
                  <c:v>98.132396449704146</c:v>
                </c:pt>
                <c:pt idx="25">
                  <c:v>96.301775147928993</c:v>
                </c:pt>
                <c:pt idx="26">
                  <c:v>96.939718934911241</c:v>
                </c:pt>
                <c:pt idx="27">
                  <c:v>95.053624260355036</c:v>
                </c:pt>
                <c:pt idx="28">
                  <c:v>91.179733727810657</c:v>
                </c:pt>
                <c:pt idx="29">
                  <c:v>100</c:v>
                </c:pt>
                <c:pt idx="30">
                  <c:v>107.25776627218934</c:v>
                </c:pt>
                <c:pt idx="31">
                  <c:v>95.146079881656803</c:v>
                </c:pt>
                <c:pt idx="32">
                  <c:v>92.224482248520715</c:v>
                </c:pt>
                <c:pt idx="33">
                  <c:v>92.455621301775153</c:v>
                </c:pt>
                <c:pt idx="34">
                  <c:v>83.311760355029591</c:v>
                </c:pt>
                <c:pt idx="35">
                  <c:v>87.786612426035504</c:v>
                </c:pt>
                <c:pt idx="36">
                  <c:v>95.460428994082847</c:v>
                </c:pt>
                <c:pt idx="37">
                  <c:v>89.746671597633139</c:v>
                </c:pt>
                <c:pt idx="38">
                  <c:v>84.227071005917153</c:v>
                </c:pt>
                <c:pt idx="39">
                  <c:v>92.464866863905343</c:v>
                </c:pt>
                <c:pt idx="40">
                  <c:v>89.210428994082832</c:v>
                </c:pt>
              </c:numCache>
            </c:numRef>
          </c:val>
          <c:smooth val="0"/>
        </c:ser>
        <c:ser>
          <c:idx val="3"/>
          <c:order val="3"/>
          <c:tx>
            <c:strRef>
              <c:f>'fig 2.5'!$Q$2</c:f>
              <c:strCache>
                <c:ptCount val="1"/>
                <c:pt idx="0">
                  <c:v>Shipping (Perth)</c:v>
                </c:pt>
              </c:strCache>
            </c:strRef>
          </c:tx>
          <c:spPr>
            <a:ln w="22225" cmpd="sng">
              <a:solidFill>
                <a:sysClr val="windowText" lastClr="000000"/>
              </a:solidFill>
              <a:prstDash val="solid"/>
            </a:ln>
          </c:spPr>
          <c:marker>
            <c:symbol val="none"/>
          </c:marker>
          <c:cat>
            <c:strRef>
              <c:f>'fig 2.5'!$M$6:$M$46</c:f>
              <c:strCache>
                <c:ptCount val="41"/>
                <c:pt idx="0">
                  <c:v>1967-68</c:v>
                </c:pt>
                <c:pt idx="1">
                  <c:v>1968-69</c:v>
                </c:pt>
                <c:pt idx="2">
                  <c:v>1969-70</c:v>
                </c:pt>
                <c:pt idx="3">
                  <c:v>1970-71</c:v>
                </c:pt>
                <c:pt idx="4">
                  <c:v>1971-72</c:v>
                </c:pt>
                <c:pt idx="5">
                  <c:v>1972-73</c:v>
                </c:pt>
                <c:pt idx="6">
                  <c:v>1973-74</c:v>
                </c:pt>
                <c:pt idx="7">
                  <c:v>1974-75</c:v>
                </c:pt>
                <c:pt idx="8">
                  <c:v>1975-76</c:v>
                </c:pt>
                <c:pt idx="9">
                  <c:v>1976-77</c:v>
                </c:pt>
                <c:pt idx="10">
                  <c:v>1977-78</c:v>
                </c:pt>
                <c:pt idx="11">
                  <c:v>1978-79</c:v>
                </c:pt>
                <c:pt idx="12">
                  <c:v>1979-80</c:v>
                </c:pt>
                <c:pt idx="13">
                  <c:v>1980-81</c:v>
                </c:pt>
                <c:pt idx="14">
                  <c:v>1981-82</c:v>
                </c:pt>
                <c:pt idx="15">
                  <c:v>1982-83</c:v>
                </c:pt>
                <c:pt idx="16">
                  <c:v>1983-84</c:v>
                </c:pt>
                <c:pt idx="17">
                  <c:v>1984-85</c:v>
                </c:pt>
                <c:pt idx="18">
                  <c:v>1985-86</c:v>
                </c:pt>
                <c:pt idx="19">
                  <c:v>1986-87</c:v>
                </c:pt>
                <c:pt idx="20">
                  <c:v>1987-88</c:v>
                </c:pt>
                <c:pt idx="21">
                  <c:v>1988-89</c:v>
                </c:pt>
                <c:pt idx="22">
                  <c:v>1989-90</c:v>
                </c:pt>
                <c:pt idx="23">
                  <c:v>1990-91</c:v>
                </c:pt>
                <c:pt idx="24">
                  <c:v>1991-92</c:v>
                </c:pt>
                <c:pt idx="25">
                  <c:v>1992-93</c:v>
                </c:pt>
                <c:pt idx="26">
                  <c:v>1993-94</c:v>
                </c:pt>
                <c:pt idx="27">
                  <c:v>1994-95</c:v>
                </c:pt>
                <c:pt idx="28">
                  <c:v>1995-96</c:v>
                </c:pt>
                <c:pt idx="29">
                  <c:v>1996-97</c:v>
                </c:pt>
                <c:pt idx="30">
                  <c:v>1997-98</c:v>
                </c:pt>
                <c:pt idx="31">
                  <c:v>1998-99</c:v>
                </c:pt>
                <c:pt idx="32">
                  <c:v>1999-00</c:v>
                </c:pt>
                <c:pt idx="33">
                  <c:v>2000-01</c:v>
                </c:pt>
                <c:pt idx="34">
                  <c:v>2001-02</c:v>
                </c:pt>
                <c:pt idx="35">
                  <c:v>2002-03</c:v>
                </c:pt>
                <c:pt idx="36">
                  <c:v>2003-04</c:v>
                </c:pt>
                <c:pt idx="37">
                  <c:v>2004-05</c:v>
                </c:pt>
                <c:pt idx="38">
                  <c:v>2005-06</c:v>
                </c:pt>
                <c:pt idx="39">
                  <c:v>2006-07</c:v>
                </c:pt>
                <c:pt idx="40">
                  <c:v>2007-08</c:v>
                </c:pt>
              </c:strCache>
            </c:strRef>
          </c:cat>
          <c:val>
            <c:numRef>
              <c:f>'fig 2.5'!$Q$6:$Q$46</c:f>
              <c:numCache>
                <c:formatCode>General</c:formatCode>
                <c:ptCount val="41"/>
                <c:pt idx="22" formatCode="0.0">
                  <c:v>132.97872340425533</c:v>
                </c:pt>
                <c:pt idx="23" formatCode="0.0">
                  <c:v>128.58409321175279</c:v>
                </c:pt>
                <c:pt idx="24" formatCode="0.0">
                  <c:v>123.53090172239109</c:v>
                </c:pt>
                <c:pt idx="25" formatCode="0.0">
                  <c:v>120.2887537993921</c:v>
                </c:pt>
                <c:pt idx="26" formatCode="0.0">
                  <c:v>115.33687943262412</c:v>
                </c:pt>
                <c:pt idx="27" formatCode="0.0">
                  <c:v>108.52330293819657</c:v>
                </c:pt>
                <c:pt idx="28" formatCode="0.0">
                  <c:v>103.02684903748734</c:v>
                </c:pt>
                <c:pt idx="29" formatCode="0.0">
                  <c:v>100</c:v>
                </c:pt>
                <c:pt idx="30" formatCode="0.0">
                  <c:v>96.681864235055741</c:v>
                </c:pt>
                <c:pt idx="31" formatCode="0.0">
                  <c:v>93.465045592705181</c:v>
                </c:pt>
                <c:pt idx="32" formatCode="0.0">
                  <c:v>88.449848024316125</c:v>
                </c:pt>
                <c:pt idx="33" formatCode="0.0">
                  <c:v>83.421985815602852</c:v>
                </c:pt>
                <c:pt idx="34" formatCode="0.0">
                  <c:v>83.713272543059787</c:v>
                </c:pt>
                <c:pt idx="35" formatCode="0.0">
                  <c:v>83.599290780141857</c:v>
                </c:pt>
                <c:pt idx="36" formatCode="0.0">
                  <c:v>84.878419452887542</c:v>
                </c:pt>
                <c:pt idx="37" formatCode="0.0">
                  <c:v>85.334346504559264</c:v>
                </c:pt>
                <c:pt idx="38" formatCode="0.0">
                  <c:v>77.672239108409329</c:v>
                </c:pt>
                <c:pt idx="39" formatCode="0.0">
                  <c:v>83.219351570415398</c:v>
                </c:pt>
                <c:pt idx="40" formatCode="0.0">
                  <c:v>92.04660587639313</c:v>
                </c:pt>
              </c:numCache>
            </c:numRef>
          </c:val>
          <c:smooth val="0"/>
        </c:ser>
        <c:dLbls>
          <c:showLegendKey val="0"/>
          <c:showVal val="0"/>
          <c:showCatName val="0"/>
          <c:showSerName val="0"/>
          <c:showPercent val="0"/>
          <c:showBubbleSize val="0"/>
        </c:dLbls>
        <c:marker val="1"/>
        <c:smooth val="0"/>
        <c:axId val="194127360"/>
        <c:axId val="194128896"/>
      </c:lineChart>
      <c:catAx>
        <c:axId val="194127360"/>
        <c:scaling>
          <c:orientation val="minMax"/>
        </c:scaling>
        <c:delete val="0"/>
        <c:axPos val="b"/>
        <c:majorTickMark val="out"/>
        <c:minorTickMark val="none"/>
        <c:tickLblPos val="nextTo"/>
        <c:spPr>
          <a:ln>
            <a:solidFill>
              <a:srgbClr val="787878"/>
            </a:solidFill>
          </a:ln>
        </c:spPr>
        <c:crossAx val="194128896"/>
        <c:crosses val="autoZero"/>
        <c:auto val="1"/>
        <c:lblAlgn val="ctr"/>
        <c:lblOffset val="100"/>
        <c:tickLblSkip val="8"/>
        <c:tickMarkSkip val="1"/>
        <c:noMultiLvlLbl val="0"/>
      </c:catAx>
      <c:valAx>
        <c:axId val="194128896"/>
        <c:scaling>
          <c:orientation val="minMax"/>
          <c:min val="50"/>
        </c:scaling>
        <c:delete val="0"/>
        <c:axPos val="l"/>
        <c:numFmt formatCode="0" sourceLinked="0"/>
        <c:majorTickMark val="out"/>
        <c:minorTickMark val="none"/>
        <c:tickLblPos val="nextTo"/>
        <c:spPr>
          <a:ln>
            <a:solidFill>
              <a:srgbClr val="787878"/>
            </a:solidFill>
          </a:ln>
        </c:spPr>
        <c:crossAx val="194127360"/>
        <c:crosses val="autoZero"/>
        <c:crossBetween val="between"/>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353125675768101E-2"/>
          <c:y val="2.6347466802511144E-2"/>
          <c:w val="0.84915507040925897"/>
          <c:h val="0.88207781155737475"/>
        </c:manualLayout>
      </c:layout>
      <c:lineChart>
        <c:grouping val="standard"/>
        <c:varyColors val="0"/>
        <c:ser>
          <c:idx val="0"/>
          <c:order val="0"/>
          <c:tx>
            <c:strRef>
              <c:f>SKM!$C$5</c:f>
              <c:strCache>
                <c:ptCount val="1"/>
                <c:pt idx="0">
                  <c:v>Inter-capital road</c:v>
                </c:pt>
              </c:strCache>
            </c:strRef>
          </c:tx>
          <c:spPr>
            <a:ln>
              <a:solidFill>
                <a:srgbClr val="78A22F"/>
              </a:solidFill>
            </a:ln>
          </c:spPr>
          <c:marker>
            <c:symbol val="none"/>
          </c:marker>
          <c:cat>
            <c:strRef>
              <c:f>SKM!$B$6:$B$21</c:f>
              <c:strCache>
                <c:ptCount val="16"/>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strCache>
            </c:strRef>
          </c:cat>
          <c:val>
            <c:numRef>
              <c:f>SKM!$C$6:$C$21</c:f>
              <c:numCache>
                <c:formatCode>0.00</c:formatCode>
                <c:ptCount val="16"/>
                <c:pt idx="0">
                  <c:v>100</c:v>
                </c:pt>
                <c:pt idx="1">
                  <c:v>101.18925445215817</c:v>
                </c:pt>
                <c:pt idx="2">
                  <c:v>102.40869302746754</c:v>
                </c:pt>
                <c:pt idx="3">
                  <c:v>105.27014790220343</c:v>
                </c:pt>
                <c:pt idx="4">
                  <c:v>108.66888016903107</c:v>
                </c:pt>
                <c:pt idx="5">
                  <c:v>109.92453969212193</c:v>
                </c:pt>
                <c:pt idx="6">
                  <c:v>113.97524901901599</c:v>
                </c:pt>
                <c:pt idx="7">
                  <c:v>116.11832176275276</c:v>
                </c:pt>
                <c:pt idx="8">
                  <c:v>126.39903410805913</c:v>
                </c:pt>
                <c:pt idx="9">
                  <c:v>134.18653788107454</c:v>
                </c:pt>
                <c:pt idx="10">
                  <c:v>136.31150015092061</c:v>
                </c:pt>
                <c:pt idx="11">
                  <c:v>144.63024449139749</c:v>
                </c:pt>
                <c:pt idx="12">
                  <c:v>146.543917899185</c:v>
                </c:pt>
                <c:pt idx="13">
                  <c:v>150.00905523694533</c:v>
                </c:pt>
                <c:pt idx="14">
                  <c:v>153.64355160203328</c:v>
                </c:pt>
                <c:pt idx="15">
                  <c:v>160.92347514834478</c:v>
                </c:pt>
              </c:numCache>
            </c:numRef>
          </c:val>
          <c:smooth val="0"/>
        </c:ser>
        <c:ser>
          <c:idx val="1"/>
          <c:order val="1"/>
          <c:tx>
            <c:strRef>
              <c:f>SKM!$D$5</c:f>
              <c:strCache>
                <c:ptCount val="1"/>
                <c:pt idx="0">
                  <c:v>Bass Strait shipping</c:v>
                </c:pt>
              </c:strCache>
            </c:strRef>
          </c:tx>
          <c:spPr>
            <a:ln>
              <a:solidFill>
                <a:srgbClr val="344893"/>
              </a:solidFill>
              <a:prstDash val="solid"/>
            </a:ln>
            <a:effectLst/>
          </c:spPr>
          <c:marker>
            <c:symbol val="none"/>
          </c:marker>
          <c:cat>
            <c:strRef>
              <c:f>SKM!$B$6:$B$21</c:f>
              <c:strCache>
                <c:ptCount val="16"/>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strCache>
            </c:strRef>
          </c:cat>
          <c:val>
            <c:numRef>
              <c:f>SKM!$D$6:$D$21</c:f>
              <c:numCache>
                <c:formatCode>0.00</c:formatCode>
                <c:ptCount val="16"/>
                <c:pt idx="0">
                  <c:v>100</c:v>
                </c:pt>
                <c:pt idx="1">
                  <c:v>107.23822578567517</c:v>
                </c:pt>
                <c:pt idx="2">
                  <c:v>96.373835446991947</c:v>
                </c:pt>
                <c:pt idx="3">
                  <c:v>95.635156574095575</c:v>
                </c:pt>
                <c:pt idx="4">
                  <c:v>101.60231310791914</c:v>
                </c:pt>
                <c:pt idx="5">
                  <c:v>94.165267253696825</c:v>
                </c:pt>
                <c:pt idx="6">
                  <c:v>102.29184007206847</c:v>
                </c:pt>
                <c:pt idx="7">
                  <c:v>113.8493345083819</c:v>
                </c:pt>
                <c:pt idx="8">
                  <c:v>109.64550362126144</c:v>
                </c:pt>
                <c:pt idx="9">
                  <c:v>106.19987442834027</c:v>
                </c:pt>
                <c:pt idx="10">
                  <c:v>119.98287309382427</c:v>
                </c:pt>
                <c:pt idx="11">
                  <c:v>119.96179371401561</c:v>
                </c:pt>
                <c:pt idx="12">
                  <c:v>120.5594833653504</c:v>
                </c:pt>
                <c:pt idx="13">
                  <c:v>113.24882733794919</c:v>
                </c:pt>
                <c:pt idx="14">
                  <c:v>125.7520457416571</c:v>
                </c:pt>
                <c:pt idx="15">
                  <c:v>128.17937882450053</c:v>
                </c:pt>
              </c:numCache>
            </c:numRef>
          </c:val>
          <c:smooth val="0"/>
        </c:ser>
        <c:dLbls>
          <c:showLegendKey val="0"/>
          <c:showVal val="0"/>
          <c:showCatName val="0"/>
          <c:showSerName val="0"/>
          <c:showPercent val="0"/>
          <c:showBubbleSize val="0"/>
        </c:dLbls>
        <c:marker val="1"/>
        <c:smooth val="0"/>
        <c:axId val="194169472"/>
        <c:axId val="193872256"/>
      </c:lineChart>
      <c:catAx>
        <c:axId val="194169472"/>
        <c:scaling>
          <c:orientation val="minMax"/>
        </c:scaling>
        <c:delete val="0"/>
        <c:axPos val="b"/>
        <c:majorTickMark val="out"/>
        <c:minorTickMark val="none"/>
        <c:tickLblPos val="nextTo"/>
        <c:spPr>
          <a:ln>
            <a:solidFill>
              <a:srgbClr val="787878"/>
            </a:solidFill>
          </a:ln>
        </c:spPr>
        <c:crossAx val="193872256"/>
        <c:crosses val="autoZero"/>
        <c:auto val="1"/>
        <c:lblAlgn val="ctr"/>
        <c:lblOffset val="100"/>
        <c:tickLblSkip val="3"/>
        <c:noMultiLvlLbl val="0"/>
      </c:catAx>
      <c:valAx>
        <c:axId val="193872256"/>
        <c:scaling>
          <c:orientation val="minMax"/>
          <c:max val="170"/>
          <c:min val="90"/>
        </c:scaling>
        <c:delete val="0"/>
        <c:axPos val="l"/>
        <c:numFmt formatCode="0" sourceLinked="0"/>
        <c:majorTickMark val="out"/>
        <c:minorTickMark val="none"/>
        <c:tickLblPos val="nextTo"/>
        <c:spPr>
          <a:ln>
            <a:solidFill>
              <a:srgbClr val="787878"/>
            </a:solidFill>
          </a:ln>
        </c:spPr>
        <c:crossAx val="194169472"/>
        <c:crosses val="autoZero"/>
        <c:crossBetween val="midCat"/>
        <c:majorUnit val="10"/>
      </c:valAx>
      <c:spPr>
        <a:noFill/>
        <a:ln w="25400">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2694858254210501E-2"/>
          <c:y val="4.8506944444444443E-2"/>
          <c:w val="0.88842578211171286"/>
          <c:h val="0.84693090277777783"/>
        </c:manualLayout>
      </c:layout>
      <c:lineChart>
        <c:grouping val="standard"/>
        <c:varyColors val="0"/>
        <c:ser>
          <c:idx val="0"/>
          <c:order val="0"/>
          <c:spPr>
            <a:ln>
              <a:solidFill>
                <a:srgbClr val="78A22F"/>
              </a:solidFill>
            </a:ln>
          </c:spPr>
          <c:marker>
            <c:symbol val="none"/>
          </c:marker>
          <c:cat>
            <c:numRef>
              <c:f>indexed!$A$21:$A$82</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indexed!$B$21:$B$82</c:f>
              <c:numCache>
                <c:formatCode>0.0;\-0.0;0.0;@</c:formatCode>
                <c:ptCount val="62"/>
                <c:pt idx="0">
                  <c:v>100</c:v>
                </c:pt>
                <c:pt idx="1">
                  <c:v>100.30674846625767</c:v>
                </c:pt>
                <c:pt idx="2">
                  <c:v>101.07361963190185</c:v>
                </c:pt>
                <c:pt idx="3">
                  <c:v>100.92024539877301</c:v>
                </c:pt>
                <c:pt idx="4">
                  <c:v>101.07361963190185</c:v>
                </c:pt>
                <c:pt idx="5">
                  <c:v>101.22699386503066</c:v>
                </c:pt>
                <c:pt idx="6">
                  <c:v>101.38036809815949</c:v>
                </c:pt>
                <c:pt idx="7">
                  <c:v>102.30061349693251</c:v>
                </c:pt>
                <c:pt idx="8">
                  <c:v>102.14723926380367</c:v>
                </c:pt>
                <c:pt idx="9">
                  <c:v>103.22085889570552</c:v>
                </c:pt>
                <c:pt idx="10">
                  <c:v>104.29447852760735</c:v>
                </c:pt>
                <c:pt idx="11">
                  <c:v>104.75460122699386</c:v>
                </c:pt>
                <c:pt idx="12">
                  <c:v>105.06134969325154</c:v>
                </c:pt>
                <c:pt idx="13">
                  <c:v>105.3680981595092</c:v>
                </c:pt>
                <c:pt idx="14">
                  <c:v>105.82822085889569</c:v>
                </c:pt>
                <c:pt idx="15">
                  <c:v>105.82822085889569</c:v>
                </c:pt>
                <c:pt idx="16">
                  <c:v>105.98159509202452</c:v>
                </c:pt>
                <c:pt idx="17">
                  <c:v>107.20858895705523</c:v>
                </c:pt>
                <c:pt idx="18">
                  <c:v>108.74233128834356</c:v>
                </c:pt>
                <c:pt idx="19">
                  <c:v>109.81595092024538</c:v>
                </c:pt>
                <c:pt idx="20">
                  <c:v>109.81595092024538</c:v>
                </c:pt>
                <c:pt idx="21">
                  <c:v>110.42944785276072</c:v>
                </c:pt>
                <c:pt idx="22">
                  <c:v>111.34969325153372</c:v>
                </c:pt>
                <c:pt idx="23">
                  <c:v>111.65644171779141</c:v>
                </c:pt>
                <c:pt idx="24">
                  <c:v>113.34355828220859</c:v>
                </c:pt>
                <c:pt idx="25">
                  <c:v>116.25766871165644</c:v>
                </c:pt>
                <c:pt idx="26">
                  <c:v>117.02453987730061</c:v>
                </c:pt>
                <c:pt idx="27">
                  <c:v>119.17177914110428</c:v>
                </c:pt>
                <c:pt idx="28">
                  <c:v>120.70552147239265</c:v>
                </c:pt>
                <c:pt idx="29">
                  <c:v>122.3926380368098</c:v>
                </c:pt>
                <c:pt idx="30">
                  <c:v>124.84662576687117</c:v>
                </c:pt>
                <c:pt idx="31">
                  <c:v>126.53374233128834</c:v>
                </c:pt>
                <c:pt idx="32">
                  <c:v>128.52760736196319</c:v>
                </c:pt>
                <c:pt idx="33">
                  <c:v>126.68711656441715</c:v>
                </c:pt>
                <c:pt idx="34">
                  <c:v>126.99386503067484</c:v>
                </c:pt>
                <c:pt idx="35">
                  <c:v>128.2208588957055</c:v>
                </c:pt>
                <c:pt idx="36">
                  <c:v>129.60122699386503</c:v>
                </c:pt>
                <c:pt idx="37">
                  <c:v>130.67484662576686</c:v>
                </c:pt>
                <c:pt idx="38">
                  <c:v>133.58895705521471</c:v>
                </c:pt>
                <c:pt idx="39">
                  <c:v>136.34969325153375</c:v>
                </c:pt>
                <c:pt idx="40">
                  <c:v>142.94478527607362</c:v>
                </c:pt>
                <c:pt idx="41">
                  <c:v>144.78527607361963</c:v>
                </c:pt>
                <c:pt idx="42">
                  <c:v>140.79754601226992</c:v>
                </c:pt>
                <c:pt idx="43">
                  <c:v>138.95705521472391</c:v>
                </c:pt>
                <c:pt idx="44">
                  <c:v>140.03067484662574</c:v>
                </c:pt>
                <c:pt idx="45">
                  <c:v>140.79754601226992</c:v>
                </c:pt>
                <c:pt idx="46">
                  <c:v>140.95092024539878</c:v>
                </c:pt>
                <c:pt idx="47">
                  <c:v>142.63803680981596</c:v>
                </c:pt>
                <c:pt idx="48">
                  <c:v>144.6319018404908</c:v>
                </c:pt>
                <c:pt idx="49">
                  <c:v>145.09202453987729</c:v>
                </c:pt>
                <c:pt idx="50">
                  <c:v>147.08588957055215</c:v>
                </c:pt>
                <c:pt idx="51">
                  <c:v>151.22699386503066</c:v>
                </c:pt>
                <c:pt idx="52">
                  <c:v>151.22699386503066</c:v>
                </c:pt>
                <c:pt idx="53">
                  <c:v>153.06748466257667</c:v>
                </c:pt>
                <c:pt idx="54">
                  <c:v>154.60122699386503</c:v>
                </c:pt>
                <c:pt idx="55">
                  <c:v>154.75460122699388</c:v>
                </c:pt>
                <c:pt idx="56">
                  <c:v>158.58895705521471</c:v>
                </c:pt>
                <c:pt idx="57">
                  <c:v>160.73619631901838</c:v>
                </c:pt>
                <c:pt idx="58">
                  <c:v>159.04907975460122</c:v>
                </c:pt>
                <c:pt idx="59">
                  <c:v>161.04294478527606</c:v>
                </c:pt>
                <c:pt idx="60">
                  <c:v>160.42944785276072</c:v>
                </c:pt>
                <c:pt idx="61">
                  <c:v>161.80981595092024</c:v>
                </c:pt>
              </c:numCache>
            </c:numRef>
          </c:val>
          <c:smooth val="0"/>
        </c:ser>
        <c:ser>
          <c:idx val="2"/>
          <c:order val="1"/>
          <c:spPr>
            <a:ln w="28575">
              <a:solidFill>
                <a:srgbClr val="344893"/>
              </a:solidFill>
              <a:prstDash val="solid"/>
            </a:ln>
            <a:effectLst/>
          </c:spPr>
          <c:marker>
            <c:symbol val="none"/>
          </c:marker>
          <c:cat>
            <c:numRef>
              <c:f>indexed!$A$21:$A$82</c:f>
              <c:numCache>
                <c:formatCode>mmm\-yyyy</c:formatCode>
                <c:ptCount val="62"/>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numCache>
            </c:numRef>
          </c:cat>
          <c:val>
            <c:numRef>
              <c:f>indexed!$D$21:$D$82</c:f>
              <c:numCache>
                <c:formatCode>0.0;\-0.0;0.0;@</c:formatCode>
                <c:ptCount val="62"/>
                <c:pt idx="0">
                  <c:v>100</c:v>
                </c:pt>
                <c:pt idx="1">
                  <c:v>98.593073593073584</c:v>
                </c:pt>
                <c:pt idx="2">
                  <c:v>97.61904761904762</c:v>
                </c:pt>
                <c:pt idx="3">
                  <c:v>96.53679653679653</c:v>
                </c:pt>
                <c:pt idx="4">
                  <c:v>97.943722943722932</c:v>
                </c:pt>
                <c:pt idx="5">
                  <c:v>100.32467532467533</c:v>
                </c:pt>
                <c:pt idx="6">
                  <c:v>102.8138528138528</c:v>
                </c:pt>
                <c:pt idx="7">
                  <c:v>106.70995670995669</c:v>
                </c:pt>
                <c:pt idx="8">
                  <c:v>106.81818181818181</c:v>
                </c:pt>
                <c:pt idx="9">
                  <c:v>106.81818181818181</c:v>
                </c:pt>
                <c:pt idx="10">
                  <c:v>108.33333333333333</c:v>
                </c:pt>
                <c:pt idx="11">
                  <c:v>109.41558441558441</c:v>
                </c:pt>
                <c:pt idx="12">
                  <c:v>109.09090909090908</c:v>
                </c:pt>
                <c:pt idx="13">
                  <c:v>107.57575757575756</c:v>
                </c:pt>
                <c:pt idx="14">
                  <c:v>106.27705627705627</c:v>
                </c:pt>
                <c:pt idx="15">
                  <c:v>106.70995670995669</c:v>
                </c:pt>
                <c:pt idx="16">
                  <c:v>104.76190476190474</c:v>
                </c:pt>
                <c:pt idx="17">
                  <c:v>105.3030303030303</c:v>
                </c:pt>
                <c:pt idx="18">
                  <c:v>104.76190476190474</c:v>
                </c:pt>
                <c:pt idx="19">
                  <c:v>102.70562770562771</c:v>
                </c:pt>
                <c:pt idx="20">
                  <c:v>99.242424242424249</c:v>
                </c:pt>
                <c:pt idx="21">
                  <c:v>100.2164502164502</c:v>
                </c:pt>
                <c:pt idx="22">
                  <c:v>106.60173160173159</c:v>
                </c:pt>
                <c:pt idx="23">
                  <c:v>107.14285714285714</c:v>
                </c:pt>
                <c:pt idx="24">
                  <c:v>112.12121212121211</c:v>
                </c:pt>
                <c:pt idx="25">
                  <c:v>114.06926406926408</c:v>
                </c:pt>
                <c:pt idx="26">
                  <c:v>109.95670995670994</c:v>
                </c:pt>
                <c:pt idx="27">
                  <c:v>112.98701298701299</c:v>
                </c:pt>
                <c:pt idx="28">
                  <c:v>107.90043290043289</c:v>
                </c:pt>
                <c:pt idx="29">
                  <c:v>110.4978354978355</c:v>
                </c:pt>
                <c:pt idx="30">
                  <c:v>109.52380952380952</c:v>
                </c:pt>
                <c:pt idx="31">
                  <c:v>109.09090909090908</c:v>
                </c:pt>
                <c:pt idx="32">
                  <c:v>108.87445887445885</c:v>
                </c:pt>
                <c:pt idx="33">
                  <c:v>110.3896103896104</c:v>
                </c:pt>
                <c:pt idx="34">
                  <c:v>108.98268398268398</c:v>
                </c:pt>
                <c:pt idx="35">
                  <c:v>106.06060606060606</c:v>
                </c:pt>
                <c:pt idx="36">
                  <c:v>105.73593073593072</c:v>
                </c:pt>
                <c:pt idx="37">
                  <c:v>106.70995670995669</c:v>
                </c:pt>
                <c:pt idx="38">
                  <c:v>106.27705627705627</c:v>
                </c:pt>
                <c:pt idx="39">
                  <c:v>107.46753246753246</c:v>
                </c:pt>
                <c:pt idx="40">
                  <c:v>113.74458874458873</c:v>
                </c:pt>
                <c:pt idx="41">
                  <c:v>123.80952380952381</c:v>
                </c:pt>
                <c:pt idx="42">
                  <c:v>116.12554112554112</c:v>
                </c:pt>
                <c:pt idx="43">
                  <c:v>117.74891774891773</c:v>
                </c:pt>
                <c:pt idx="44">
                  <c:v>110.93073593073592</c:v>
                </c:pt>
                <c:pt idx="45">
                  <c:v>103.67965367965365</c:v>
                </c:pt>
                <c:pt idx="46">
                  <c:v>105.84415584415584</c:v>
                </c:pt>
                <c:pt idx="47">
                  <c:v>109.30735930735931</c:v>
                </c:pt>
                <c:pt idx="48">
                  <c:v>108.11688311688312</c:v>
                </c:pt>
                <c:pt idx="49">
                  <c:v>101.08225108225109</c:v>
                </c:pt>
                <c:pt idx="50">
                  <c:v>104.32900432900433</c:v>
                </c:pt>
                <c:pt idx="51">
                  <c:v>107.57575757575756</c:v>
                </c:pt>
                <c:pt idx="52">
                  <c:v>105.84415584415584</c:v>
                </c:pt>
                <c:pt idx="53">
                  <c:v>106.70995670995669</c:v>
                </c:pt>
                <c:pt idx="54">
                  <c:v>104.65367965367965</c:v>
                </c:pt>
                <c:pt idx="55">
                  <c:v>115.69264069264069</c:v>
                </c:pt>
                <c:pt idx="56">
                  <c:v>116.12554112554112</c:v>
                </c:pt>
                <c:pt idx="57">
                  <c:v>119.69696969696967</c:v>
                </c:pt>
                <c:pt idx="58">
                  <c:v>116.23376623376622</c:v>
                </c:pt>
                <c:pt idx="59">
                  <c:v>114.39393939393938</c:v>
                </c:pt>
                <c:pt idx="60">
                  <c:v>113.74458874458873</c:v>
                </c:pt>
                <c:pt idx="61">
                  <c:v>115.36796536796537</c:v>
                </c:pt>
              </c:numCache>
            </c:numRef>
          </c:val>
          <c:smooth val="0"/>
        </c:ser>
        <c:dLbls>
          <c:showLegendKey val="0"/>
          <c:showVal val="0"/>
          <c:showCatName val="0"/>
          <c:showSerName val="0"/>
          <c:showPercent val="0"/>
          <c:showBubbleSize val="0"/>
        </c:dLbls>
        <c:marker val="1"/>
        <c:smooth val="0"/>
        <c:axId val="193901696"/>
        <c:axId val="193903232"/>
      </c:lineChart>
      <c:dateAx>
        <c:axId val="193901696"/>
        <c:scaling>
          <c:orientation val="minMax"/>
        </c:scaling>
        <c:delete val="0"/>
        <c:axPos val="b"/>
        <c:numFmt formatCode="mmm\-yyyy" sourceLinked="1"/>
        <c:majorTickMark val="out"/>
        <c:minorTickMark val="none"/>
        <c:tickLblPos val="nextTo"/>
        <c:spPr>
          <a:ln>
            <a:solidFill>
              <a:srgbClr val="787878"/>
            </a:solidFill>
          </a:ln>
        </c:spPr>
        <c:crossAx val="193903232"/>
        <c:crosses val="autoZero"/>
        <c:auto val="1"/>
        <c:lblOffset val="100"/>
        <c:baseTimeUnit val="months"/>
        <c:majorUnit val="30"/>
        <c:majorTimeUnit val="months"/>
      </c:dateAx>
      <c:valAx>
        <c:axId val="193903232"/>
        <c:scaling>
          <c:orientation val="minMax"/>
          <c:max val="170"/>
          <c:min val="90"/>
        </c:scaling>
        <c:delete val="0"/>
        <c:axPos val="l"/>
        <c:numFmt formatCode="#,##0" sourceLinked="0"/>
        <c:majorTickMark val="out"/>
        <c:minorTickMark val="none"/>
        <c:tickLblPos val="nextTo"/>
        <c:spPr>
          <a:ln>
            <a:solidFill>
              <a:srgbClr val="787878"/>
            </a:solidFill>
          </a:ln>
        </c:spPr>
        <c:crossAx val="193901696"/>
        <c:crosses val="autoZero"/>
        <c:crossBetween val="between"/>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736894962638365"/>
          <c:y val="3.170203013437433E-2"/>
          <c:w val="0.75980131696301489"/>
          <c:h val="0.86213206550826627"/>
        </c:manualLayout>
      </c:layout>
      <c:areaChart>
        <c:grouping val="stacked"/>
        <c:varyColors val="0"/>
        <c:ser>
          <c:idx val="1"/>
          <c:order val="0"/>
          <c:tx>
            <c:strRef>
              <c:f>'fig 2.8, 2.9  '!$S$1</c:f>
              <c:strCache>
                <c:ptCount val="1"/>
                <c:pt idx="0">
                  <c:v>Sea</c:v>
                </c:pt>
              </c:strCache>
            </c:strRef>
          </c:tx>
          <c:spPr>
            <a:solidFill>
              <a:srgbClr val="78A22F"/>
            </a:solidFill>
            <a:ln>
              <a:noFill/>
              <a:prstDash val="dashDot"/>
            </a:ln>
            <a:effectLst/>
          </c:spPr>
          <c:cat>
            <c:strRef>
              <c:f>'fig 2.8, 2.9  '!$Q$2:$Q$21</c:f>
              <c:strCache>
                <c:ptCount val="20"/>
                <c:pt idx="0">
                  <c:v>1993-94</c:v>
                </c:pt>
                <c:pt idx="1">
                  <c:v>1994-95</c:v>
                </c:pt>
                <c:pt idx="2">
                  <c:v>1995-96</c:v>
                </c:pt>
                <c:pt idx="3">
                  <c:v>1996-97</c:v>
                </c:pt>
                <c:pt idx="4">
                  <c:v>1997-98</c:v>
                </c:pt>
                <c:pt idx="5">
                  <c:v>1998-99</c:v>
                </c:pt>
                <c:pt idx="6">
                  <c:v>1999-00</c:v>
                </c:pt>
                <c:pt idx="7">
                  <c:v>2000-01</c:v>
                </c:pt>
                <c:pt idx="8">
                  <c:v>2001-02</c:v>
                </c:pt>
                <c:pt idx="9">
                  <c:v>2002-03</c:v>
                </c:pt>
                <c:pt idx="10">
                  <c:v>2003-04</c:v>
                </c:pt>
                <c:pt idx="11">
                  <c:v>2004-05</c:v>
                </c:pt>
                <c:pt idx="12">
                  <c:v>2005-06</c:v>
                </c:pt>
                <c:pt idx="13">
                  <c:v>2006-07</c:v>
                </c:pt>
                <c:pt idx="14">
                  <c:v>2007-08</c:v>
                </c:pt>
                <c:pt idx="15">
                  <c:v>2008-09</c:v>
                </c:pt>
                <c:pt idx="16">
                  <c:v>2009-10</c:v>
                </c:pt>
                <c:pt idx="17">
                  <c:v>2010-11</c:v>
                </c:pt>
                <c:pt idx="18">
                  <c:v>2011-12</c:v>
                </c:pt>
                <c:pt idx="19">
                  <c:v>2012-13</c:v>
                </c:pt>
              </c:strCache>
            </c:strRef>
          </c:cat>
          <c:val>
            <c:numRef>
              <c:f>'fig 2.8, 2.9  '!$U$2:$U$21</c:f>
              <c:numCache>
                <c:formatCode>0.0</c:formatCode>
                <c:ptCount val="20"/>
                <c:pt idx="0">
                  <c:v>0.10231999999999999</c:v>
                </c:pt>
                <c:pt idx="1">
                  <c:v>0.1217</c:v>
                </c:pt>
                <c:pt idx="2">
                  <c:v>0.10730000000000001</c:v>
                </c:pt>
                <c:pt idx="3">
                  <c:v>0.129</c:v>
                </c:pt>
                <c:pt idx="4">
                  <c:v>0.15629999999999999</c:v>
                </c:pt>
                <c:pt idx="5">
                  <c:v>0.1716</c:v>
                </c:pt>
                <c:pt idx="6">
                  <c:v>0.16189999999999999</c:v>
                </c:pt>
                <c:pt idx="7">
                  <c:v>0.16398599999999999</c:v>
                </c:pt>
                <c:pt idx="8">
                  <c:v>0.169486</c:v>
                </c:pt>
                <c:pt idx="9">
                  <c:v>0.248417</c:v>
                </c:pt>
                <c:pt idx="10">
                  <c:v>0.24992800000000001</c:v>
                </c:pt>
                <c:pt idx="11">
                  <c:v>0.224551</c:v>
                </c:pt>
                <c:pt idx="12">
                  <c:v>0.21709600000000001</c:v>
                </c:pt>
                <c:pt idx="13">
                  <c:v>0.196212</c:v>
                </c:pt>
                <c:pt idx="14">
                  <c:v>0.18767</c:v>
                </c:pt>
                <c:pt idx="15">
                  <c:v>0.19377900000000001</c:v>
                </c:pt>
                <c:pt idx="16">
                  <c:v>0.20227000000000001</c:v>
                </c:pt>
                <c:pt idx="17">
                  <c:v>0.20127999999999999</c:v>
                </c:pt>
                <c:pt idx="18">
                  <c:v>0.17926800000000001</c:v>
                </c:pt>
                <c:pt idx="19">
                  <c:v>0.16475000000000001</c:v>
                </c:pt>
              </c:numCache>
            </c:numRef>
          </c:val>
        </c:ser>
        <c:ser>
          <c:idx val="0"/>
          <c:order val="1"/>
          <c:tx>
            <c:strRef>
              <c:f>'fig 2.8, 2.9  '!$R$1</c:f>
              <c:strCache>
                <c:ptCount val="1"/>
                <c:pt idx="0">
                  <c:v>Air</c:v>
                </c:pt>
              </c:strCache>
            </c:strRef>
          </c:tx>
          <c:spPr>
            <a:solidFill>
              <a:srgbClr val="B4C98B"/>
            </a:solidFill>
            <a:ln>
              <a:noFill/>
            </a:ln>
          </c:spPr>
          <c:cat>
            <c:strRef>
              <c:f>'fig 2.8, 2.9  '!$Q$2:$Q$21</c:f>
              <c:strCache>
                <c:ptCount val="20"/>
                <c:pt idx="0">
                  <c:v>1993-94</c:v>
                </c:pt>
                <c:pt idx="1">
                  <c:v>1994-95</c:v>
                </c:pt>
                <c:pt idx="2">
                  <c:v>1995-96</c:v>
                </c:pt>
                <c:pt idx="3">
                  <c:v>1996-97</c:v>
                </c:pt>
                <c:pt idx="4">
                  <c:v>1997-98</c:v>
                </c:pt>
                <c:pt idx="5">
                  <c:v>1998-99</c:v>
                </c:pt>
                <c:pt idx="6">
                  <c:v>1999-00</c:v>
                </c:pt>
                <c:pt idx="7">
                  <c:v>2000-01</c:v>
                </c:pt>
                <c:pt idx="8">
                  <c:v>2001-02</c:v>
                </c:pt>
                <c:pt idx="9">
                  <c:v>2002-03</c:v>
                </c:pt>
                <c:pt idx="10">
                  <c:v>2003-04</c:v>
                </c:pt>
                <c:pt idx="11">
                  <c:v>2004-05</c:v>
                </c:pt>
                <c:pt idx="12">
                  <c:v>2005-06</c:v>
                </c:pt>
                <c:pt idx="13">
                  <c:v>2006-07</c:v>
                </c:pt>
                <c:pt idx="14">
                  <c:v>2007-08</c:v>
                </c:pt>
                <c:pt idx="15">
                  <c:v>2008-09</c:v>
                </c:pt>
                <c:pt idx="16">
                  <c:v>2009-10</c:v>
                </c:pt>
                <c:pt idx="17">
                  <c:v>2010-11</c:v>
                </c:pt>
                <c:pt idx="18">
                  <c:v>2011-12</c:v>
                </c:pt>
                <c:pt idx="19">
                  <c:v>2012-13</c:v>
                </c:pt>
              </c:strCache>
            </c:strRef>
          </c:cat>
          <c:val>
            <c:numRef>
              <c:f>'fig 2.8, 2.9  '!$T$2:$T$21</c:f>
              <c:numCache>
                <c:formatCode>0.0</c:formatCode>
                <c:ptCount val="20"/>
                <c:pt idx="0">
                  <c:v>0.66849999999999998</c:v>
                </c:pt>
                <c:pt idx="1">
                  <c:v>0.76749999999999996</c:v>
                </c:pt>
                <c:pt idx="2">
                  <c:v>0.82940000000000003</c:v>
                </c:pt>
                <c:pt idx="3">
                  <c:v>0.81230000000000002</c:v>
                </c:pt>
                <c:pt idx="4">
                  <c:v>0.80730000000000002</c:v>
                </c:pt>
                <c:pt idx="5">
                  <c:v>0.79290000000000005</c:v>
                </c:pt>
                <c:pt idx="6">
                  <c:v>0.82930000000000004</c:v>
                </c:pt>
                <c:pt idx="7">
                  <c:v>0.82062800000000002</c:v>
                </c:pt>
                <c:pt idx="8">
                  <c:v>0.83171700000000004</c:v>
                </c:pt>
                <c:pt idx="9">
                  <c:v>0.90622499999999995</c:v>
                </c:pt>
                <c:pt idx="10">
                  <c:v>1.0710409999999999</c:v>
                </c:pt>
                <c:pt idx="11">
                  <c:v>1.287193</c:v>
                </c:pt>
                <c:pt idx="12">
                  <c:v>1.3865970000000001</c:v>
                </c:pt>
                <c:pt idx="13">
                  <c:v>1.431638</c:v>
                </c:pt>
                <c:pt idx="14">
                  <c:v>1.554387</c:v>
                </c:pt>
                <c:pt idx="15">
                  <c:v>1.6362840000000001</c:v>
                </c:pt>
                <c:pt idx="16">
                  <c:v>1.6164780000000001</c:v>
                </c:pt>
                <c:pt idx="17">
                  <c:v>1.650488</c:v>
                </c:pt>
                <c:pt idx="18">
                  <c:v>1.5886210000000001</c:v>
                </c:pt>
                <c:pt idx="19">
                  <c:v>1.798662</c:v>
                </c:pt>
              </c:numCache>
            </c:numRef>
          </c:val>
        </c:ser>
        <c:dLbls>
          <c:showLegendKey val="0"/>
          <c:showVal val="0"/>
          <c:showCatName val="0"/>
          <c:showSerName val="0"/>
          <c:showPercent val="0"/>
          <c:showBubbleSize val="0"/>
        </c:dLbls>
        <c:axId val="193944960"/>
        <c:axId val="193946752"/>
      </c:areaChart>
      <c:catAx>
        <c:axId val="193944960"/>
        <c:scaling>
          <c:orientation val="minMax"/>
        </c:scaling>
        <c:delete val="0"/>
        <c:axPos val="b"/>
        <c:majorTickMark val="out"/>
        <c:minorTickMark val="none"/>
        <c:tickLblPos val="nextTo"/>
        <c:spPr>
          <a:ln>
            <a:solidFill>
              <a:srgbClr val="787878"/>
            </a:solidFill>
          </a:ln>
        </c:spPr>
        <c:crossAx val="193946752"/>
        <c:crosses val="autoZero"/>
        <c:auto val="1"/>
        <c:lblAlgn val="ctr"/>
        <c:lblOffset val="100"/>
        <c:tickLblSkip val="19"/>
        <c:noMultiLvlLbl val="0"/>
      </c:catAx>
      <c:valAx>
        <c:axId val="193946752"/>
        <c:scaling>
          <c:orientation val="minMax"/>
          <c:max val="2"/>
        </c:scaling>
        <c:delete val="0"/>
        <c:axPos val="l"/>
        <c:numFmt formatCode="0.0" sourceLinked="1"/>
        <c:majorTickMark val="out"/>
        <c:minorTickMark val="none"/>
        <c:tickLblPos val="nextTo"/>
        <c:spPr>
          <a:ln>
            <a:solidFill>
              <a:srgbClr val="787878"/>
            </a:solidFill>
          </a:ln>
        </c:spPr>
        <c:crossAx val="193944960"/>
        <c:crosses val="autoZero"/>
        <c:crossBetween val="midCat"/>
        <c:majorUnit val="0.4"/>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096498484304495"/>
          <c:y val="3.1434488410467677E-2"/>
          <c:w val="0.7678231569756353"/>
          <c:h val="0.86503576110354274"/>
        </c:manualLayout>
      </c:layout>
      <c:lineChart>
        <c:grouping val="standard"/>
        <c:varyColors val="0"/>
        <c:ser>
          <c:idx val="0"/>
          <c:order val="0"/>
          <c:tx>
            <c:strRef>
              <c:f>'fig 2.8, 2.9  '!$J$1</c:f>
              <c:strCache>
                <c:ptCount val="1"/>
                <c:pt idx="0">
                  <c:v>Motor vehicle passengers</c:v>
                </c:pt>
              </c:strCache>
            </c:strRef>
          </c:tx>
          <c:spPr>
            <a:ln>
              <a:solidFill>
                <a:srgbClr val="78A22F"/>
              </a:solidFill>
            </a:ln>
          </c:spPr>
          <c:marker>
            <c:symbol val="none"/>
          </c:marker>
          <c:cat>
            <c:strRef>
              <c:f>'fig 2.8, 2.9  '!$I$2:$I$31</c:f>
              <c:strCache>
                <c:ptCount val="30"/>
                <c:pt idx="0">
                  <c:v>1983-84</c:v>
                </c:pt>
                <c:pt idx="1">
                  <c:v>1984-85</c:v>
                </c:pt>
                <c:pt idx="2">
                  <c:v>1985-86</c:v>
                </c:pt>
                <c:pt idx="3">
                  <c:v>1986-87</c:v>
                </c:pt>
                <c:pt idx="4">
                  <c:v>1987-88</c:v>
                </c:pt>
                <c:pt idx="5">
                  <c:v>1988-89</c:v>
                </c:pt>
                <c:pt idx="6">
                  <c:v>1989-90</c:v>
                </c:pt>
                <c:pt idx="7">
                  <c:v>1990-91</c:v>
                </c:pt>
                <c:pt idx="8">
                  <c:v>1991-92</c:v>
                </c:pt>
                <c:pt idx="9">
                  <c:v>1992-93</c:v>
                </c:pt>
                <c:pt idx="10">
                  <c:v>1993-94</c:v>
                </c:pt>
                <c:pt idx="11">
                  <c:v>1994-95</c:v>
                </c:pt>
                <c:pt idx="12">
                  <c:v>1995-96</c:v>
                </c:pt>
                <c:pt idx="13">
                  <c:v>1996-97</c:v>
                </c:pt>
                <c:pt idx="14">
                  <c:v>1997-98</c:v>
                </c:pt>
                <c:pt idx="15">
                  <c:v>1998-99</c:v>
                </c:pt>
                <c:pt idx="16">
                  <c:v>1999-00</c:v>
                </c:pt>
                <c:pt idx="17">
                  <c:v>2000-01</c:v>
                </c:pt>
                <c:pt idx="18">
                  <c:v>2001-02</c:v>
                </c:pt>
                <c:pt idx="19">
                  <c:v>2002-03</c:v>
                </c:pt>
                <c:pt idx="20">
                  <c:v>2003-04</c:v>
                </c:pt>
                <c:pt idx="21">
                  <c:v>2004-05</c:v>
                </c:pt>
                <c:pt idx="22">
                  <c:v>2005-06</c:v>
                </c:pt>
                <c:pt idx="23">
                  <c:v>2006-07</c:v>
                </c:pt>
                <c:pt idx="24">
                  <c:v>2007-08</c:v>
                </c:pt>
                <c:pt idx="25">
                  <c:v>2008-09</c:v>
                </c:pt>
                <c:pt idx="26">
                  <c:v>2009-10</c:v>
                </c:pt>
                <c:pt idx="27">
                  <c:v>2010-11</c:v>
                </c:pt>
                <c:pt idx="28">
                  <c:v>2011-12</c:v>
                </c:pt>
                <c:pt idx="29">
                  <c:v>2012-13</c:v>
                </c:pt>
              </c:strCache>
            </c:strRef>
          </c:cat>
          <c:val>
            <c:numRef>
              <c:f>'fig 2.8, 2.9  '!$L$2:$L$31</c:f>
              <c:numCache>
                <c:formatCode>0.0</c:formatCode>
                <c:ptCount val="30"/>
                <c:pt idx="0">
                  <c:v>7.2113640158000786E-2</c:v>
                </c:pt>
                <c:pt idx="1">
                  <c:v>6.4144376086882893E-2</c:v>
                </c:pt>
                <c:pt idx="2">
                  <c:v>9.9508893595495709E-2</c:v>
                </c:pt>
                <c:pt idx="3">
                  <c:v>0.10033508976645299</c:v>
                </c:pt>
                <c:pt idx="4">
                  <c:v>0.1019148266661979</c:v>
                </c:pt>
                <c:pt idx="5">
                  <c:v>0.11478314340932369</c:v>
                </c:pt>
                <c:pt idx="6">
                  <c:v>0.12155878235908374</c:v>
                </c:pt>
                <c:pt idx="7">
                  <c:v>0.11778485110581664</c:v>
                </c:pt>
                <c:pt idx="8">
                  <c:v>9.0069913722775438E-2</c:v>
                </c:pt>
                <c:pt idx="9">
                  <c:v>0.1036419503200583</c:v>
                </c:pt>
                <c:pt idx="10">
                  <c:v>0.13154164011318795</c:v>
                </c:pt>
                <c:pt idx="11">
                  <c:v>0.14413386617606924</c:v>
                </c:pt>
                <c:pt idx="12">
                  <c:v>0.13145500000000002</c:v>
                </c:pt>
                <c:pt idx="13">
                  <c:v>0.16778800000000002</c:v>
                </c:pt>
                <c:pt idx="14">
                  <c:v>0.23109800000000003</c:v>
                </c:pt>
                <c:pt idx="15">
                  <c:v>0.26148700000000002</c:v>
                </c:pt>
                <c:pt idx="16">
                  <c:v>0.24874499999999999</c:v>
                </c:pt>
                <c:pt idx="17">
                  <c:v>0.259438</c:v>
                </c:pt>
                <c:pt idx="18">
                  <c:v>0.272922</c:v>
                </c:pt>
                <c:pt idx="19">
                  <c:v>0.43249799999999999</c:v>
                </c:pt>
                <c:pt idx="20">
                  <c:v>0.43884099999999998</c:v>
                </c:pt>
                <c:pt idx="21">
                  <c:v>0.395928</c:v>
                </c:pt>
                <c:pt idx="22">
                  <c:v>0.38497399999999998</c:v>
                </c:pt>
                <c:pt idx="23">
                  <c:v>0.34027300000000005</c:v>
                </c:pt>
                <c:pt idx="24">
                  <c:v>0.33588099999999999</c:v>
                </c:pt>
                <c:pt idx="25">
                  <c:v>0.34209899999999999</c:v>
                </c:pt>
                <c:pt idx="26">
                  <c:v>0.35612500000000002</c:v>
                </c:pt>
                <c:pt idx="27">
                  <c:v>0.35486399999999996</c:v>
                </c:pt>
                <c:pt idx="28">
                  <c:v>0.31861499999999998</c:v>
                </c:pt>
                <c:pt idx="29">
                  <c:v>0.29713400000000001</c:v>
                </c:pt>
              </c:numCache>
            </c:numRef>
          </c:val>
          <c:smooth val="0"/>
        </c:ser>
        <c:ser>
          <c:idx val="1"/>
          <c:order val="1"/>
          <c:tx>
            <c:strRef>
              <c:f>'fig 2.8, 2.9  '!$K$1</c:f>
              <c:strCache>
                <c:ptCount val="1"/>
                <c:pt idx="0">
                  <c:v>Berth-only (foot) passengers</c:v>
                </c:pt>
              </c:strCache>
            </c:strRef>
          </c:tx>
          <c:spPr>
            <a:ln>
              <a:solidFill>
                <a:srgbClr val="344893"/>
              </a:solidFill>
              <a:prstDash val="solid"/>
            </a:ln>
            <a:effectLst/>
          </c:spPr>
          <c:marker>
            <c:symbol val="none"/>
          </c:marker>
          <c:cat>
            <c:strRef>
              <c:f>'fig 2.8, 2.9  '!$I$2:$I$31</c:f>
              <c:strCache>
                <c:ptCount val="30"/>
                <c:pt idx="0">
                  <c:v>1983-84</c:v>
                </c:pt>
                <c:pt idx="1">
                  <c:v>1984-85</c:v>
                </c:pt>
                <c:pt idx="2">
                  <c:v>1985-86</c:v>
                </c:pt>
                <c:pt idx="3">
                  <c:v>1986-87</c:v>
                </c:pt>
                <c:pt idx="4">
                  <c:v>1987-88</c:v>
                </c:pt>
                <c:pt idx="5">
                  <c:v>1988-89</c:v>
                </c:pt>
                <c:pt idx="6">
                  <c:v>1989-90</c:v>
                </c:pt>
                <c:pt idx="7">
                  <c:v>1990-91</c:v>
                </c:pt>
                <c:pt idx="8">
                  <c:v>1991-92</c:v>
                </c:pt>
                <c:pt idx="9">
                  <c:v>1992-93</c:v>
                </c:pt>
                <c:pt idx="10">
                  <c:v>1993-94</c:v>
                </c:pt>
                <c:pt idx="11">
                  <c:v>1994-95</c:v>
                </c:pt>
                <c:pt idx="12">
                  <c:v>1995-96</c:v>
                </c:pt>
                <c:pt idx="13">
                  <c:v>1996-97</c:v>
                </c:pt>
                <c:pt idx="14">
                  <c:v>1997-98</c:v>
                </c:pt>
                <c:pt idx="15">
                  <c:v>1998-99</c:v>
                </c:pt>
                <c:pt idx="16">
                  <c:v>1999-00</c:v>
                </c:pt>
                <c:pt idx="17">
                  <c:v>2000-01</c:v>
                </c:pt>
                <c:pt idx="18">
                  <c:v>2001-02</c:v>
                </c:pt>
                <c:pt idx="19">
                  <c:v>2002-03</c:v>
                </c:pt>
                <c:pt idx="20">
                  <c:v>2003-04</c:v>
                </c:pt>
                <c:pt idx="21">
                  <c:v>2004-05</c:v>
                </c:pt>
                <c:pt idx="22">
                  <c:v>2005-06</c:v>
                </c:pt>
                <c:pt idx="23">
                  <c:v>2006-07</c:v>
                </c:pt>
                <c:pt idx="24">
                  <c:v>2007-08</c:v>
                </c:pt>
                <c:pt idx="25">
                  <c:v>2008-09</c:v>
                </c:pt>
                <c:pt idx="26">
                  <c:v>2009-10</c:v>
                </c:pt>
                <c:pt idx="27">
                  <c:v>2010-11</c:v>
                </c:pt>
                <c:pt idx="28">
                  <c:v>2011-12</c:v>
                </c:pt>
                <c:pt idx="29">
                  <c:v>2012-13</c:v>
                </c:pt>
              </c:strCache>
            </c:strRef>
          </c:cat>
          <c:val>
            <c:numRef>
              <c:f>'fig 2.8, 2.9  '!$M$2:$M$31</c:f>
              <c:numCache>
                <c:formatCode>0.0</c:formatCode>
                <c:ptCount val="30"/>
                <c:pt idx="0">
                  <c:v>5.2550359841999204E-2</c:v>
                </c:pt>
                <c:pt idx="1">
                  <c:v>4.7467623913117117E-2</c:v>
                </c:pt>
                <c:pt idx="2">
                  <c:v>8.9170106404504276E-2</c:v>
                </c:pt>
                <c:pt idx="3">
                  <c:v>8.0662910233547019E-2</c:v>
                </c:pt>
                <c:pt idx="4">
                  <c:v>8.128217333380211E-2</c:v>
                </c:pt>
                <c:pt idx="5">
                  <c:v>0.10198485659067631</c:v>
                </c:pt>
                <c:pt idx="6">
                  <c:v>0.12515921764091625</c:v>
                </c:pt>
                <c:pt idx="7">
                  <c:v>9.6378148894183349E-2</c:v>
                </c:pt>
                <c:pt idx="8">
                  <c:v>7.3425086277224563E-2</c:v>
                </c:pt>
                <c:pt idx="9">
                  <c:v>7.6643049679941691E-2</c:v>
                </c:pt>
                <c:pt idx="10">
                  <c:v>9.3146359886812052E-2</c:v>
                </c:pt>
                <c:pt idx="11">
                  <c:v>0.10416913382393078</c:v>
                </c:pt>
                <c:pt idx="12">
                  <c:v>8.4531000000000009E-2</c:v>
                </c:pt>
                <c:pt idx="13">
                  <c:v>9.1381000000000004E-2</c:v>
                </c:pt>
                <c:pt idx="14">
                  <c:v>8.3134E-2</c:v>
                </c:pt>
                <c:pt idx="15">
                  <c:v>8.1850999999999993E-2</c:v>
                </c:pt>
                <c:pt idx="16">
                  <c:v>7.4465999999999991E-2</c:v>
                </c:pt>
                <c:pt idx="17">
                  <c:v>7.1484999999999993E-2</c:v>
                </c:pt>
                <c:pt idx="18">
                  <c:v>7.5513000000000011E-2</c:v>
                </c:pt>
                <c:pt idx="19">
                  <c:v>7.1899000000000005E-2</c:v>
                </c:pt>
                <c:pt idx="20">
                  <c:v>6.6797999999999996E-2</c:v>
                </c:pt>
                <c:pt idx="21">
                  <c:v>5.5987000000000002E-2</c:v>
                </c:pt>
                <c:pt idx="22">
                  <c:v>5.5573999999999998E-2</c:v>
                </c:pt>
                <c:pt idx="23">
                  <c:v>5.3404E-2</c:v>
                </c:pt>
                <c:pt idx="24">
                  <c:v>4.9137E-2</c:v>
                </c:pt>
                <c:pt idx="25">
                  <c:v>4.8633000000000003E-2</c:v>
                </c:pt>
                <c:pt idx="26">
                  <c:v>4.9429000000000001E-2</c:v>
                </c:pt>
                <c:pt idx="27">
                  <c:v>5.2771999999999999E-2</c:v>
                </c:pt>
                <c:pt idx="28">
                  <c:v>3.9816999999999998E-2</c:v>
                </c:pt>
                <c:pt idx="29">
                  <c:v>1.2955E-2</c:v>
                </c:pt>
              </c:numCache>
            </c:numRef>
          </c:val>
          <c:smooth val="0"/>
        </c:ser>
        <c:dLbls>
          <c:showLegendKey val="0"/>
          <c:showVal val="0"/>
          <c:showCatName val="0"/>
          <c:showSerName val="0"/>
          <c:showPercent val="0"/>
          <c:showBubbleSize val="0"/>
        </c:dLbls>
        <c:marker val="1"/>
        <c:smooth val="0"/>
        <c:axId val="193965440"/>
        <c:axId val="194012288"/>
      </c:lineChart>
      <c:catAx>
        <c:axId val="193965440"/>
        <c:scaling>
          <c:orientation val="minMax"/>
        </c:scaling>
        <c:delete val="0"/>
        <c:axPos val="b"/>
        <c:majorTickMark val="out"/>
        <c:minorTickMark val="none"/>
        <c:tickLblPos val="nextTo"/>
        <c:spPr>
          <a:ln>
            <a:solidFill>
              <a:srgbClr val="787878"/>
            </a:solidFill>
          </a:ln>
        </c:spPr>
        <c:crossAx val="194012288"/>
        <c:crosses val="autoZero"/>
        <c:auto val="1"/>
        <c:lblAlgn val="ctr"/>
        <c:lblOffset val="100"/>
        <c:tickLblSkip val="15"/>
        <c:tickMarkSkip val="2"/>
        <c:noMultiLvlLbl val="0"/>
      </c:catAx>
      <c:valAx>
        <c:axId val="194012288"/>
        <c:scaling>
          <c:orientation val="minMax"/>
          <c:max val="0.8"/>
        </c:scaling>
        <c:delete val="0"/>
        <c:axPos val="l"/>
        <c:numFmt formatCode="0.0" sourceLinked="1"/>
        <c:majorTickMark val="out"/>
        <c:minorTickMark val="none"/>
        <c:tickLblPos val="nextTo"/>
        <c:spPr>
          <a:ln>
            <a:solidFill>
              <a:srgbClr val="787878"/>
            </a:solidFill>
          </a:ln>
        </c:spPr>
        <c:crossAx val="193965440"/>
        <c:crosses val="autoZero"/>
        <c:crossBetween val="between"/>
        <c:majorUnit val="0.2"/>
      </c:val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71185185185185"/>
          <c:y val="7.1443698059987779E-2"/>
          <c:w val="0.78433796296296299"/>
          <c:h val="0.83740875906562362"/>
        </c:manualLayout>
      </c:layout>
      <c:areaChart>
        <c:grouping val="standard"/>
        <c:varyColors val="0"/>
        <c:ser>
          <c:idx val="3"/>
          <c:order val="3"/>
          <c:spPr>
            <a:solidFill>
              <a:srgbClr val="78A22F"/>
            </a:solidFill>
            <a:ln>
              <a:noFill/>
            </a:ln>
          </c:spPr>
          <c:val>
            <c:numRef>
              <c:f>'fig 2.8, 2.9  '!$M$55:$M$89</c:f>
              <c:numCache>
                <c:formatCode>General</c:formatCode>
                <c:ptCount val="35"/>
                <c:pt idx="5">
                  <c:v>72.113640158000791</c:v>
                </c:pt>
                <c:pt idx="6">
                  <c:v>64.144376086882886</c:v>
                </c:pt>
                <c:pt idx="7">
                  <c:v>99.508893595495707</c:v>
                </c:pt>
                <c:pt idx="8">
                  <c:v>100.33508976645298</c:v>
                </c:pt>
                <c:pt idx="9">
                  <c:v>101.9148266661979</c:v>
                </c:pt>
                <c:pt idx="10">
                  <c:v>114.78314340932369</c:v>
                </c:pt>
                <c:pt idx="11">
                  <c:v>121.55878235908374</c:v>
                </c:pt>
                <c:pt idx="12">
                  <c:v>117.78485110581664</c:v>
                </c:pt>
                <c:pt idx="13">
                  <c:v>90.069913722775439</c:v>
                </c:pt>
                <c:pt idx="14">
                  <c:v>103.6419503200583</c:v>
                </c:pt>
                <c:pt idx="15">
                  <c:v>131.54164011318795</c:v>
                </c:pt>
                <c:pt idx="16">
                  <c:v>144.13386617606923</c:v>
                </c:pt>
                <c:pt idx="17">
                  <c:v>131.45500000000001</c:v>
                </c:pt>
                <c:pt idx="18">
                  <c:v>167.78800000000001</c:v>
                </c:pt>
                <c:pt idx="19">
                  <c:v>231.09800000000001</c:v>
                </c:pt>
                <c:pt idx="20">
                  <c:v>261.48700000000002</c:v>
                </c:pt>
                <c:pt idx="21">
                  <c:v>248.745</c:v>
                </c:pt>
                <c:pt idx="22">
                  <c:v>259.43799999999999</c:v>
                </c:pt>
                <c:pt idx="23">
                  <c:v>272.92200000000003</c:v>
                </c:pt>
                <c:pt idx="24">
                  <c:v>432.49799999999999</c:v>
                </c:pt>
                <c:pt idx="25">
                  <c:v>438.84100000000001</c:v>
                </c:pt>
                <c:pt idx="26">
                  <c:v>395.928</c:v>
                </c:pt>
                <c:pt idx="27">
                  <c:v>384.97399999999999</c:v>
                </c:pt>
                <c:pt idx="28">
                  <c:v>340.27300000000002</c:v>
                </c:pt>
                <c:pt idx="29">
                  <c:v>335.88099999999997</c:v>
                </c:pt>
                <c:pt idx="30">
                  <c:v>342.09899999999999</c:v>
                </c:pt>
                <c:pt idx="31">
                  <c:v>356.125</c:v>
                </c:pt>
                <c:pt idx="32">
                  <c:v>354.86399999999998</c:v>
                </c:pt>
                <c:pt idx="33">
                  <c:v>318.61500000000001</c:v>
                </c:pt>
                <c:pt idx="34">
                  <c:v>297.13400000000001</c:v>
                </c:pt>
              </c:numCache>
            </c:numRef>
          </c:val>
        </c:ser>
        <c:dLbls>
          <c:showLegendKey val="0"/>
          <c:showVal val="0"/>
          <c:showCatName val="0"/>
          <c:showSerName val="0"/>
          <c:showPercent val="0"/>
          <c:showBubbleSize val="0"/>
        </c:dLbls>
        <c:axId val="194070400"/>
        <c:axId val="194068480"/>
      </c:areaChart>
      <c:lineChart>
        <c:grouping val="standard"/>
        <c:varyColors val="0"/>
        <c:ser>
          <c:idx val="0"/>
          <c:order val="0"/>
          <c:tx>
            <c:strRef>
              <c:f>'fig 2.8, 2.9  '!$C$54</c:f>
              <c:strCache>
                <c:ptCount val="1"/>
                <c:pt idx="0">
                  <c:v>Package sea fare (rebate included)</c:v>
                </c:pt>
              </c:strCache>
            </c:strRef>
          </c:tx>
          <c:spPr>
            <a:ln>
              <a:solidFill>
                <a:srgbClr val="78A22F"/>
              </a:solidFill>
            </a:ln>
          </c:spPr>
          <c:marker>
            <c:symbol val="none"/>
          </c:marker>
          <c:cat>
            <c:strRef>
              <c:f>'fig 2.8, 2.9  '!$A$55:$A$89</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'fig 2.8, 2.9  '!$J$55:$J$89</c:f>
              <c:numCache>
                <c:formatCode>General</c:formatCode>
                <c:ptCount val="35"/>
                <c:pt idx="17" formatCode="0.0">
                  <c:v>688.36989409984892</c:v>
                </c:pt>
                <c:pt idx="18" formatCode="0.0">
                  <c:v>541.97461739455036</c:v>
                </c:pt>
                <c:pt idx="19" formatCode="0.0">
                  <c:v>566.61314413741616</c:v>
                </c:pt>
                <c:pt idx="20" formatCode="0.0">
                  <c:v>591.17994100294982</c:v>
                </c:pt>
                <c:pt idx="21" formatCode="0.0">
                  <c:v>592.07057976233352</c:v>
                </c:pt>
                <c:pt idx="22" formatCode="0.0">
                  <c:v>659.9014945652176</c:v>
                </c:pt>
                <c:pt idx="23" formatCode="0.0">
                  <c:v>641.59511228533688</c:v>
                </c:pt>
                <c:pt idx="24" formatCode="0.0">
                  <c:v>651.72491183071509</c:v>
                </c:pt>
                <c:pt idx="25" formatCode="0.0">
                  <c:v>651.7877269881028</c:v>
                </c:pt>
                <c:pt idx="26" formatCode="0.0">
                  <c:v>643.94680525833087</c:v>
                </c:pt>
                <c:pt idx="27" formatCode="0.0">
                  <c:v>628.76481042654029</c:v>
                </c:pt>
                <c:pt idx="28" formatCode="0.0">
                  <c:v>696.570771001151</c:v>
                </c:pt>
                <c:pt idx="29" formatCode="0.0">
                  <c:v>663.93915947676055</c:v>
                </c:pt>
                <c:pt idx="30" formatCode="0.0">
                  <c:v>692.50709851551971</c:v>
                </c:pt>
                <c:pt idx="31" formatCode="0.0">
                  <c:v>662.42680031653924</c:v>
                </c:pt>
                <c:pt idx="32" formatCode="0.0">
                  <c:v>681.14351496546442</c:v>
                </c:pt>
                <c:pt idx="33" formatCode="0.0">
                  <c:v>670.57999499874973</c:v>
                </c:pt>
                <c:pt idx="34" formatCode="0.0">
                  <c:v>738.36</c:v>
                </c:pt>
              </c:numCache>
            </c:numRef>
          </c:val>
          <c:smooth val="0"/>
        </c:ser>
        <c:ser>
          <c:idx val="1"/>
          <c:order val="1"/>
          <c:tx>
            <c:strRef>
              <c:f>'fig 2.8, 2.9  '!$D$54</c:f>
              <c:strCache>
                <c:ptCount val="1"/>
                <c:pt idx="0">
                  <c:v>Package sea fare (no rebate)</c:v>
                </c:pt>
              </c:strCache>
            </c:strRef>
          </c:tx>
          <c:spPr>
            <a:ln cmpd="sng">
              <a:solidFill>
                <a:srgbClr val="344893"/>
              </a:solidFill>
              <a:prstDash val="sysDash"/>
            </a:ln>
            <a:effectLst/>
          </c:spPr>
          <c:marker>
            <c:symbol val="none"/>
          </c:marker>
          <c:cat>
            <c:strRef>
              <c:f>'fig 2.8, 2.9  '!$A$55:$A$89</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'fig 2.8, 2.9  '!$K$55:$K$89</c:f>
              <c:numCache>
                <c:formatCode>General</c:formatCode>
                <c:ptCount val="35"/>
                <c:pt idx="17" formatCode="0.0">
                  <c:v>688.36989409984892</c:v>
                </c:pt>
                <c:pt idx="18" formatCode="0.0">
                  <c:v>770.97797685703654</c:v>
                </c:pt>
                <c:pt idx="19" formatCode="0.0">
                  <c:v>795.70201643017208</c:v>
                </c:pt>
                <c:pt idx="20" formatCode="0.0">
                  <c:v>817.39675516224179</c:v>
                </c:pt>
                <c:pt idx="21" formatCode="0.0">
                  <c:v>812.99243788260719</c:v>
                </c:pt>
                <c:pt idx="22" formatCode="0.0">
                  <c:v>868.2914402173916</c:v>
                </c:pt>
                <c:pt idx="23" formatCode="0.0">
                  <c:v>844.20409511228536</c:v>
                </c:pt>
                <c:pt idx="24" formatCode="0.0">
                  <c:v>848.42257133696717</c:v>
                </c:pt>
                <c:pt idx="25" formatCode="0.0">
                  <c:v>843.86662492172843</c:v>
                </c:pt>
                <c:pt idx="26" formatCode="0.0">
                  <c:v>831.50412717823292</c:v>
                </c:pt>
                <c:pt idx="27" formatCode="0.0">
                  <c:v>810.48874407582935</c:v>
                </c:pt>
                <c:pt idx="28" formatCode="0.0">
                  <c:v>873.06674338319931</c:v>
                </c:pt>
                <c:pt idx="29" formatCode="0.0">
                  <c:v>855.17767881992791</c:v>
                </c:pt>
                <c:pt idx="30" formatCode="0.0">
                  <c:v>891.21155195681536</c:v>
                </c:pt>
                <c:pt idx="31" formatCode="0.0">
                  <c:v>859.86019519915601</c:v>
                </c:pt>
                <c:pt idx="32" formatCode="0.0">
                  <c:v>877.84855461754944</c:v>
                </c:pt>
                <c:pt idx="33" formatCode="0.0">
                  <c:v>868.99459864966252</c:v>
                </c:pt>
                <c:pt idx="34" formatCode="0.0">
                  <c:v>937.36</c:v>
                </c:pt>
              </c:numCache>
            </c:numRef>
          </c:val>
          <c:smooth val="0"/>
        </c:ser>
        <c:ser>
          <c:idx val="2"/>
          <c:order val="2"/>
          <c:tx>
            <c:strRef>
              <c:f>'fig 2.8, 2.9  '!$B$54</c:f>
              <c:strCache>
                <c:ptCount val="1"/>
                <c:pt idx="0">
                  <c:v>Package sea fare (rebate included)</c:v>
                </c:pt>
              </c:strCache>
            </c:strRef>
          </c:tx>
          <c:spPr>
            <a:ln>
              <a:solidFill>
                <a:srgbClr val="78A22F"/>
              </a:solidFill>
            </a:ln>
          </c:spPr>
          <c:marker>
            <c:symbol val="none"/>
          </c:marker>
          <c:cat>
            <c:strRef>
              <c:f>'fig 2.8, 2.9  '!$A$55:$A$89</c:f>
              <c:strCache>
                <c:ptCount val="35"/>
                <c:pt idx="0">
                  <c:v>1978-79</c:v>
                </c:pt>
                <c:pt idx="1">
                  <c:v>1979-80</c:v>
                </c:pt>
                <c:pt idx="2">
                  <c:v>1980-81</c:v>
                </c:pt>
                <c:pt idx="3">
                  <c:v>1981-82</c:v>
                </c:pt>
                <c:pt idx="4">
                  <c:v>1982-83</c:v>
                </c:pt>
                <c:pt idx="5">
                  <c:v>1983-84</c:v>
                </c:pt>
                <c:pt idx="6">
                  <c:v>1984-85</c:v>
                </c:pt>
                <c:pt idx="7">
                  <c:v>1985-86</c:v>
                </c:pt>
                <c:pt idx="8">
                  <c:v>1986-87</c:v>
                </c:pt>
                <c:pt idx="9">
                  <c:v>1987-88</c:v>
                </c:pt>
                <c:pt idx="10">
                  <c:v>1988-89</c:v>
                </c:pt>
                <c:pt idx="11">
                  <c:v>1989-90</c:v>
                </c:pt>
                <c:pt idx="12">
                  <c:v>1990-91</c:v>
                </c:pt>
                <c:pt idx="13">
                  <c:v>1991-92</c:v>
                </c:pt>
                <c:pt idx="14">
                  <c:v>1992-93</c:v>
                </c:pt>
                <c:pt idx="15">
                  <c:v>1993-94</c:v>
                </c:pt>
                <c:pt idx="16">
                  <c:v>1994-95</c:v>
                </c:pt>
                <c:pt idx="17">
                  <c:v>1995-96</c:v>
                </c:pt>
                <c:pt idx="18">
                  <c:v>1996-97</c:v>
                </c:pt>
                <c:pt idx="19">
                  <c:v>1997-98</c:v>
                </c:pt>
                <c:pt idx="20">
                  <c:v>1998-99</c:v>
                </c:pt>
                <c:pt idx="21">
                  <c:v>1999-00</c:v>
                </c:pt>
                <c:pt idx="22">
                  <c:v>2000-01</c:v>
                </c:pt>
                <c:pt idx="23">
                  <c:v>2001-02</c:v>
                </c:pt>
                <c:pt idx="24">
                  <c:v>2002-03</c:v>
                </c:pt>
                <c:pt idx="25">
                  <c:v>2003-04</c:v>
                </c:pt>
                <c:pt idx="26">
                  <c:v>2004-05</c:v>
                </c:pt>
                <c:pt idx="27">
                  <c:v>2005-06</c:v>
                </c:pt>
                <c:pt idx="28">
                  <c:v>2006-07</c:v>
                </c:pt>
                <c:pt idx="29">
                  <c:v>2007-08</c:v>
                </c:pt>
                <c:pt idx="30">
                  <c:v>2008-09</c:v>
                </c:pt>
                <c:pt idx="31">
                  <c:v>2009-10</c:v>
                </c:pt>
                <c:pt idx="32">
                  <c:v>2010-11</c:v>
                </c:pt>
                <c:pt idx="33">
                  <c:v>2011-12</c:v>
                </c:pt>
                <c:pt idx="34">
                  <c:v>2012-13</c:v>
                </c:pt>
              </c:strCache>
            </c:strRef>
          </c:cat>
          <c:val>
            <c:numRef>
              <c:f>'fig 2.8, 2.9  '!$I$55:$I$72</c:f>
              <c:numCache>
                <c:formatCode>0.0</c:formatCode>
                <c:ptCount val="18"/>
                <c:pt idx="0">
                  <c:v>708.5294030885874</c:v>
                </c:pt>
                <c:pt idx="1">
                  <c:v>705.73862852685659</c:v>
                </c:pt>
                <c:pt idx="2">
                  <c:v>705.47308968461925</c:v>
                </c:pt>
                <c:pt idx="3">
                  <c:v>704.05557979069226</c:v>
                </c:pt>
                <c:pt idx="4">
                  <c:v>725.48217840612142</c:v>
                </c:pt>
                <c:pt idx="5">
                  <c:v>724.8852846931004</c:v>
                </c:pt>
                <c:pt idx="6">
                  <c:v>734.20262728618684</c:v>
                </c:pt>
                <c:pt idx="7">
                  <c:v>726.54469026584877</c:v>
                </c:pt>
                <c:pt idx="8">
                  <c:v>724.72330911123549</c:v>
                </c:pt>
                <c:pt idx="9">
                  <c:v>674.92451847995835</c:v>
                </c:pt>
                <c:pt idx="10">
                  <c:v>700.51916545366328</c:v>
                </c:pt>
                <c:pt idx="11">
                  <c:v>716.25505163897628</c:v>
                </c:pt>
                <c:pt idx="12">
                  <c:v>745.06399317406147</c:v>
                </c:pt>
                <c:pt idx="13">
                  <c:v>770.72864321608051</c:v>
                </c:pt>
                <c:pt idx="14">
                  <c:v>700.02900953170331</c:v>
                </c:pt>
                <c:pt idx="15">
                  <c:v>687.49287749287748</c:v>
                </c:pt>
                <c:pt idx="16">
                  <c:v>717.68533123028408</c:v>
                </c:pt>
                <c:pt idx="17">
                  <c:v>688.36989409984892</c:v>
                </c:pt>
              </c:numCache>
            </c:numRef>
          </c:val>
          <c:smooth val="0"/>
        </c:ser>
        <c:dLbls>
          <c:showLegendKey val="0"/>
          <c:showVal val="0"/>
          <c:showCatName val="0"/>
          <c:showSerName val="0"/>
          <c:showPercent val="0"/>
          <c:showBubbleSize val="0"/>
        </c:dLbls>
        <c:marker val="1"/>
        <c:smooth val="0"/>
        <c:axId val="194052480"/>
        <c:axId val="194054016"/>
      </c:lineChart>
      <c:catAx>
        <c:axId val="194052480"/>
        <c:scaling>
          <c:orientation val="minMax"/>
        </c:scaling>
        <c:delete val="0"/>
        <c:axPos val="b"/>
        <c:numFmt formatCode="General" sourceLinked="1"/>
        <c:majorTickMark val="out"/>
        <c:minorTickMark val="none"/>
        <c:tickLblPos val="nextTo"/>
        <c:spPr>
          <a:ln>
            <a:solidFill>
              <a:srgbClr val="787878"/>
            </a:solidFill>
          </a:ln>
        </c:spPr>
        <c:crossAx val="194054016"/>
        <c:crosses val="autoZero"/>
        <c:auto val="1"/>
        <c:lblAlgn val="ctr"/>
        <c:lblOffset val="100"/>
        <c:tickLblSkip val="6"/>
        <c:noMultiLvlLbl val="0"/>
      </c:catAx>
      <c:valAx>
        <c:axId val="194054016"/>
        <c:scaling>
          <c:orientation val="minMax"/>
        </c:scaling>
        <c:delete val="0"/>
        <c:axPos val="l"/>
        <c:title>
          <c:tx>
            <c:rich>
              <a:bodyPr rot="-5400000" vert="horz"/>
              <a:lstStyle/>
              <a:p>
                <a:pPr>
                  <a:defRPr/>
                </a:pPr>
                <a:r>
                  <a:rPr lang="en-AU"/>
                  <a:t>Package</a:t>
                </a:r>
                <a:r>
                  <a:rPr lang="en-AU" baseline="0"/>
                  <a:t> sea fare ($)</a:t>
                </a:r>
                <a:endParaRPr lang="en-AU"/>
              </a:p>
            </c:rich>
          </c:tx>
          <c:layout/>
          <c:overlay val="0"/>
        </c:title>
        <c:numFmt formatCode="0" sourceLinked="0"/>
        <c:majorTickMark val="out"/>
        <c:minorTickMark val="none"/>
        <c:tickLblPos val="nextTo"/>
        <c:spPr>
          <a:ln>
            <a:solidFill>
              <a:srgbClr val="787878"/>
            </a:solidFill>
          </a:ln>
        </c:spPr>
        <c:crossAx val="194052480"/>
        <c:crosses val="autoZero"/>
        <c:crossBetween val="midCat"/>
        <c:majorUnit val="200"/>
      </c:valAx>
      <c:valAx>
        <c:axId val="194068480"/>
        <c:scaling>
          <c:orientation val="minMax"/>
          <c:max val="1000"/>
        </c:scaling>
        <c:delete val="0"/>
        <c:axPos val="r"/>
        <c:title>
          <c:tx>
            <c:rich>
              <a:bodyPr rot="-5400000" vert="horz"/>
              <a:lstStyle/>
              <a:p>
                <a:pPr>
                  <a:defRPr/>
                </a:pPr>
                <a:r>
                  <a:rPr lang="en-AU"/>
                  <a:t>Passengers ('000)</a:t>
                </a:r>
              </a:p>
            </c:rich>
          </c:tx>
          <c:layout/>
          <c:overlay val="0"/>
        </c:title>
        <c:numFmt formatCode="General" sourceLinked="1"/>
        <c:majorTickMark val="out"/>
        <c:minorTickMark val="none"/>
        <c:tickLblPos val="nextTo"/>
        <c:crossAx val="194070400"/>
        <c:crosses val="max"/>
        <c:crossBetween val="between"/>
        <c:majorUnit val="200"/>
      </c:valAx>
      <c:catAx>
        <c:axId val="194070400"/>
        <c:scaling>
          <c:orientation val="minMax"/>
        </c:scaling>
        <c:delete val="1"/>
        <c:axPos val="b"/>
        <c:majorTickMark val="out"/>
        <c:minorTickMark val="none"/>
        <c:tickLblPos val="nextTo"/>
        <c:crossAx val="194068480"/>
        <c:crosses val="autoZero"/>
        <c:auto val="1"/>
        <c:lblAlgn val="ctr"/>
        <c:lblOffset val="100"/>
        <c:noMultiLvlLbl val="0"/>
      </c:catAx>
      <c:spPr>
        <a:noFill/>
        <a:ln>
          <a:noFill/>
        </a:ln>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userShapes r:id="rId3"/>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TFES</c:v>
          </c:tx>
          <c:spPr>
            <a:solidFill>
              <a:srgbClr val="78A22F"/>
            </a:solidFill>
          </c:spPr>
          <c:invertIfNegative val="0"/>
          <c:cat>
            <c:strRef>
              <c:f>Data!$F$1:$O$1</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Data!$F$5:$O$5</c:f>
              <c:numCache>
                <c:formatCode>#,##0.000</c:formatCode>
                <c:ptCount val="10"/>
                <c:pt idx="0">
                  <c:v>83.632000000000005</c:v>
                </c:pt>
                <c:pt idx="1">
                  <c:v>89.988</c:v>
                </c:pt>
                <c:pt idx="2">
                  <c:v>92.289000000000001</c:v>
                </c:pt>
                <c:pt idx="3">
                  <c:v>89.573999999999998</c:v>
                </c:pt>
                <c:pt idx="4">
                  <c:v>101.252</c:v>
                </c:pt>
                <c:pt idx="5">
                  <c:v>109.41800000000001</c:v>
                </c:pt>
                <c:pt idx="6">
                  <c:v>98.32</c:v>
                </c:pt>
                <c:pt idx="7">
                  <c:v>98.549000000000007</c:v>
                </c:pt>
                <c:pt idx="8">
                  <c:v>93.230999999999995</c:v>
                </c:pt>
                <c:pt idx="9">
                  <c:v>111.04600000000001</c:v>
                </c:pt>
              </c:numCache>
            </c:numRef>
          </c:val>
        </c:ser>
        <c:ser>
          <c:idx val="1"/>
          <c:order val="1"/>
          <c:tx>
            <c:v>BSPVES</c:v>
          </c:tx>
          <c:spPr>
            <a:solidFill>
              <a:srgbClr val="344893"/>
            </a:solidFill>
          </c:spPr>
          <c:invertIfNegative val="0"/>
          <c:cat>
            <c:strRef>
              <c:f>Data!$F$1:$O$1</c:f>
              <c:strCache>
                <c:ptCount val="10"/>
                <c:pt idx="0">
                  <c:v>2003-04</c:v>
                </c:pt>
                <c:pt idx="1">
                  <c:v>2004-05</c:v>
                </c:pt>
                <c:pt idx="2">
                  <c:v>2005-06</c:v>
                </c:pt>
                <c:pt idx="3">
                  <c:v>2006-07</c:v>
                </c:pt>
                <c:pt idx="4">
                  <c:v>2007-08</c:v>
                </c:pt>
                <c:pt idx="5">
                  <c:v>2008-09</c:v>
                </c:pt>
                <c:pt idx="6">
                  <c:v>2009-10</c:v>
                </c:pt>
                <c:pt idx="7">
                  <c:v>2010-11</c:v>
                </c:pt>
                <c:pt idx="8">
                  <c:v>2011-12</c:v>
                </c:pt>
                <c:pt idx="9">
                  <c:v>2012-13</c:v>
                </c:pt>
              </c:strCache>
            </c:strRef>
          </c:cat>
          <c:val>
            <c:numRef>
              <c:f>Data!$F$13:$O$13</c:f>
              <c:numCache>
                <c:formatCode>0.00</c:formatCode>
                <c:ptCount val="10"/>
                <c:pt idx="0">
                  <c:v>34.340000000000003</c:v>
                </c:pt>
                <c:pt idx="1">
                  <c:v>32.409999999999997</c:v>
                </c:pt>
                <c:pt idx="2">
                  <c:v>31.09</c:v>
                </c:pt>
                <c:pt idx="3">
                  <c:v>28.411999999999999</c:v>
                </c:pt>
                <c:pt idx="4">
                  <c:v>30.103000000000002</c:v>
                </c:pt>
                <c:pt idx="5">
                  <c:v>35.06</c:v>
                </c:pt>
                <c:pt idx="6">
                  <c:v>36.475000000000001</c:v>
                </c:pt>
                <c:pt idx="7" formatCode="#,##0.000">
                  <c:v>36.502000000000002</c:v>
                </c:pt>
                <c:pt idx="8">
                  <c:v>34.56</c:v>
                </c:pt>
                <c:pt idx="9">
                  <c:v>34.5</c:v>
                </c:pt>
              </c:numCache>
            </c:numRef>
          </c:val>
        </c:ser>
        <c:dLbls>
          <c:showLegendKey val="0"/>
          <c:showVal val="0"/>
          <c:showCatName val="0"/>
          <c:showSerName val="0"/>
          <c:showPercent val="0"/>
          <c:showBubbleSize val="0"/>
        </c:dLbls>
        <c:gapWidth val="150"/>
        <c:axId val="194114304"/>
        <c:axId val="194115840"/>
      </c:barChart>
      <c:catAx>
        <c:axId val="194114304"/>
        <c:scaling>
          <c:orientation val="minMax"/>
        </c:scaling>
        <c:delete val="0"/>
        <c:axPos val="b"/>
        <c:majorTickMark val="out"/>
        <c:minorTickMark val="none"/>
        <c:tickLblPos val="nextTo"/>
        <c:txPr>
          <a:bodyPr/>
          <a:lstStyle/>
          <a:p>
            <a:pPr>
              <a:defRPr b="0" baseline="0"/>
            </a:pPr>
            <a:endParaRPr lang="en-US"/>
          </a:p>
        </c:txPr>
        <c:crossAx val="194115840"/>
        <c:crosses val="autoZero"/>
        <c:auto val="1"/>
        <c:lblAlgn val="ctr"/>
        <c:lblOffset val="100"/>
        <c:tickLblSkip val="3"/>
        <c:tickMarkSkip val="2"/>
        <c:noMultiLvlLbl val="0"/>
      </c:catAx>
      <c:valAx>
        <c:axId val="194115840"/>
        <c:scaling>
          <c:orientation val="minMax"/>
        </c:scaling>
        <c:delete val="0"/>
        <c:axPos val="l"/>
        <c:majorGridlines>
          <c:spPr>
            <a:ln w="9525">
              <a:noFill/>
            </a:ln>
          </c:spPr>
        </c:majorGridlines>
        <c:title>
          <c:tx>
            <c:rich>
              <a:bodyPr rot="-5400000" vert="horz"/>
              <a:lstStyle/>
              <a:p>
                <a:pPr>
                  <a:defRPr sz="1000" baseline="0"/>
                </a:pPr>
                <a:r>
                  <a:rPr lang="en-US" sz="1000" baseline="0"/>
                  <a:t>Expenditure ($m)</a:t>
                </a:r>
              </a:p>
            </c:rich>
          </c:tx>
          <c:overlay val="0"/>
        </c:title>
        <c:numFmt formatCode="0" sourceLinked="0"/>
        <c:majorTickMark val="out"/>
        <c:minorTickMark val="none"/>
        <c:tickLblPos val="nextTo"/>
        <c:crossAx val="194114304"/>
        <c:crosses val="autoZero"/>
        <c:crossBetween val="between"/>
      </c:valAx>
      <c:spPr>
        <a:ln>
          <a:noFill/>
        </a:ln>
      </c:spPr>
    </c:plotArea>
    <c:legend>
      <c:legendPos val="b"/>
      <c:overlay val="0"/>
      <c:txPr>
        <a:bodyPr/>
        <a:lstStyle/>
        <a:p>
          <a:pPr>
            <a:defRPr b="1" baseline="0"/>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v>Bulk wheat</c:v>
          </c:tx>
          <c:spPr>
            <a:solidFill>
              <a:srgbClr val="344893"/>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Sheet1!$B$6:$H$6</c:f>
              <c:numCache>
                <c:formatCode>General</c:formatCode>
                <c:ptCount val="7"/>
                <c:pt idx="0">
                  <c:v>0</c:v>
                </c:pt>
                <c:pt idx="1">
                  <c:v>31.242000000000001</c:v>
                </c:pt>
                <c:pt idx="2">
                  <c:v>40.570999999999998</c:v>
                </c:pt>
                <c:pt idx="3">
                  <c:v>20.344999999999999</c:v>
                </c:pt>
                <c:pt idx="4">
                  <c:v>0</c:v>
                </c:pt>
                <c:pt idx="5">
                  <c:v>0</c:v>
                </c:pt>
                <c:pt idx="6">
                  <c:v>0</c:v>
                </c:pt>
              </c:numCache>
            </c:numRef>
          </c:val>
        </c:ser>
        <c:ser>
          <c:idx val="1"/>
          <c:order val="1"/>
          <c:tx>
            <c:v>Containerised wheat</c:v>
          </c:tx>
          <c:spPr>
            <a:solidFill>
              <a:srgbClr val="78A22F"/>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Sheet1!$B$7:$H$7</c:f>
              <c:numCache>
                <c:formatCode>0.0</c:formatCode>
                <c:ptCount val="7"/>
                <c:pt idx="0">
                  <c:v>69.78</c:v>
                </c:pt>
                <c:pt idx="1">
                  <c:v>52.777000000000001</c:v>
                </c:pt>
                <c:pt idx="2">
                  <c:v>61.46</c:v>
                </c:pt>
                <c:pt idx="3">
                  <c:v>48.665999999999997</c:v>
                </c:pt>
                <c:pt idx="4">
                  <c:v>43.198999999999998</c:v>
                </c:pt>
                <c:pt idx="5">
                  <c:v>62.244</c:v>
                </c:pt>
                <c:pt idx="6">
                  <c:v>81.459000000000003</c:v>
                </c:pt>
              </c:numCache>
            </c:numRef>
          </c:val>
        </c:ser>
        <c:dLbls>
          <c:showLegendKey val="0"/>
          <c:showVal val="0"/>
          <c:showCatName val="0"/>
          <c:showSerName val="0"/>
          <c:showPercent val="0"/>
          <c:showBubbleSize val="0"/>
        </c:dLbls>
        <c:gapWidth val="100"/>
        <c:axId val="194486656"/>
        <c:axId val="194488192"/>
      </c:barChart>
      <c:catAx>
        <c:axId val="194486656"/>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194488192"/>
        <c:crosses val="autoZero"/>
        <c:auto val="1"/>
        <c:lblAlgn val="ctr"/>
        <c:lblOffset val="100"/>
        <c:tickLblSkip val="3"/>
        <c:noMultiLvlLbl val="0"/>
      </c:catAx>
      <c:valAx>
        <c:axId val="194488192"/>
        <c:scaling>
          <c:orientation val="minMax"/>
        </c:scaling>
        <c:delete val="0"/>
        <c:axPos val="l"/>
        <c:majorGridlines>
          <c:spPr>
            <a:ln>
              <a:noFill/>
            </a:ln>
          </c:spPr>
        </c:majorGridlines>
        <c:title>
          <c:tx>
            <c:rich>
              <a:bodyPr rot="-5400000" vert="horz"/>
              <a:lstStyle/>
              <a:p>
                <a:pPr>
                  <a:defRPr>
                    <a:latin typeface="Arial" pitchFamily="34" charset="0"/>
                    <a:cs typeface="Arial" pitchFamily="34" charset="0"/>
                  </a:defRPr>
                </a:pPr>
                <a:r>
                  <a:rPr lang="en-US">
                    <a:latin typeface="Arial" pitchFamily="34" charset="0"/>
                    <a:cs typeface="Arial" pitchFamily="34" charset="0"/>
                  </a:rPr>
                  <a:t>No. of tonnes ('000)</a:t>
                </a:r>
              </a:p>
            </c:rich>
          </c:tx>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94486656"/>
        <c:crosses val="autoZero"/>
        <c:crossBetween val="between"/>
      </c:valAx>
      <c:spPr>
        <a:ln>
          <a:noFill/>
        </a:ln>
      </c:spPr>
    </c:plotArea>
    <c:legend>
      <c:legendPos val="b"/>
      <c:layout>
        <c:manualLayout>
          <c:xMode val="edge"/>
          <c:yMode val="edge"/>
          <c:x val="9.29054054054054E-2"/>
          <c:y val="0.87368928571428572"/>
          <c:w val="0.87139639639639643"/>
          <c:h val="8.5993253968253969E-2"/>
        </c:manualLayout>
      </c:layout>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Sheet1!$A$9</c:f>
              <c:strCache>
                <c:ptCount val="1"/>
                <c:pt idx="0">
                  <c:v>Bulk wheat</c:v>
                </c:pt>
              </c:strCache>
            </c:strRef>
          </c:tx>
          <c:spPr>
            <a:solidFill>
              <a:srgbClr val="344893"/>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Sheet1!$B$9:$H$9</c:f>
              <c:numCache>
                <c:formatCode>General</c:formatCode>
                <c:ptCount val="7"/>
                <c:pt idx="0">
                  <c:v>0</c:v>
                </c:pt>
                <c:pt idx="1">
                  <c:v>20.65</c:v>
                </c:pt>
                <c:pt idx="2">
                  <c:v>20.65</c:v>
                </c:pt>
                <c:pt idx="3">
                  <c:v>20.65</c:v>
                </c:pt>
                <c:pt idx="4">
                  <c:v>0</c:v>
                </c:pt>
                <c:pt idx="5">
                  <c:v>0</c:v>
                </c:pt>
                <c:pt idx="6">
                  <c:v>0</c:v>
                </c:pt>
              </c:numCache>
            </c:numRef>
          </c:val>
        </c:ser>
        <c:ser>
          <c:idx val="1"/>
          <c:order val="1"/>
          <c:tx>
            <c:strRef>
              <c:f>Sheet1!$A$10</c:f>
              <c:strCache>
                <c:ptCount val="1"/>
                <c:pt idx="0">
                  <c:v>Containerised wheat</c:v>
                </c:pt>
              </c:strCache>
            </c:strRef>
          </c:tx>
          <c:spPr>
            <a:solidFill>
              <a:srgbClr val="78A22F"/>
            </a:solidFill>
          </c:spPr>
          <c:invertIfNegative val="0"/>
          <c:cat>
            <c:strRef>
              <c:f>Sheet1!$B$4:$H$4</c:f>
              <c:strCache>
                <c:ptCount val="7"/>
                <c:pt idx="0">
                  <c:v>2005-06</c:v>
                </c:pt>
                <c:pt idx="1">
                  <c:v>2006-07</c:v>
                </c:pt>
                <c:pt idx="2">
                  <c:v>2007-08</c:v>
                </c:pt>
                <c:pt idx="3">
                  <c:v>2008-09</c:v>
                </c:pt>
                <c:pt idx="4">
                  <c:v>2009-10</c:v>
                </c:pt>
                <c:pt idx="5">
                  <c:v>2010-11</c:v>
                </c:pt>
                <c:pt idx="6">
                  <c:v>2011-12</c:v>
                </c:pt>
              </c:strCache>
            </c:strRef>
          </c:cat>
          <c:val>
            <c:numRef>
              <c:f>Sheet1!$B$10:$H$10</c:f>
              <c:numCache>
                <c:formatCode>General</c:formatCode>
                <c:ptCount val="7"/>
                <c:pt idx="0">
                  <c:v>29.66</c:v>
                </c:pt>
                <c:pt idx="1">
                  <c:v>32.159999999999997</c:v>
                </c:pt>
                <c:pt idx="2">
                  <c:v>34.549999999999997</c:v>
                </c:pt>
                <c:pt idx="3">
                  <c:v>33.369999999999997</c:v>
                </c:pt>
                <c:pt idx="4">
                  <c:v>34.659999999999997</c:v>
                </c:pt>
                <c:pt idx="5">
                  <c:v>36.18</c:v>
                </c:pt>
                <c:pt idx="6">
                  <c:v>35.18</c:v>
                </c:pt>
              </c:numCache>
            </c:numRef>
          </c:val>
        </c:ser>
        <c:dLbls>
          <c:showLegendKey val="0"/>
          <c:showVal val="0"/>
          <c:showCatName val="0"/>
          <c:showSerName val="0"/>
          <c:showPercent val="0"/>
          <c:showBubbleSize val="0"/>
        </c:dLbls>
        <c:gapWidth val="100"/>
        <c:axId val="194501632"/>
        <c:axId val="194511616"/>
      </c:barChart>
      <c:catAx>
        <c:axId val="194501632"/>
        <c:scaling>
          <c:orientation val="minMax"/>
        </c:scaling>
        <c:delete val="0"/>
        <c:axPos val="b"/>
        <c:majorTickMark val="out"/>
        <c:minorTickMark val="none"/>
        <c:tickLblPos val="nextTo"/>
        <c:txPr>
          <a:bodyPr/>
          <a:lstStyle/>
          <a:p>
            <a:pPr>
              <a:defRPr>
                <a:latin typeface="Arial" pitchFamily="34" charset="0"/>
                <a:cs typeface="Arial" pitchFamily="34" charset="0"/>
              </a:defRPr>
            </a:pPr>
            <a:endParaRPr lang="en-US"/>
          </a:p>
        </c:txPr>
        <c:crossAx val="194511616"/>
        <c:crosses val="autoZero"/>
        <c:auto val="1"/>
        <c:lblAlgn val="ctr"/>
        <c:lblOffset val="100"/>
        <c:tickLblSkip val="3"/>
        <c:noMultiLvlLbl val="0"/>
      </c:catAx>
      <c:valAx>
        <c:axId val="194511616"/>
        <c:scaling>
          <c:orientation val="minMax"/>
        </c:scaling>
        <c:delete val="0"/>
        <c:axPos val="l"/>
        <c:majorGridlines>
          <c:spPr>
            <a:ln>
              <a:noFill/>
            </a:ln>
          </c:spPr>
        </c:majorGridlines>
        <c:title>
          <c:tx>
            <c:rich>
              <a:bodyPr rot="-5400000" vert="horz"/>
              <a:lstStyle/>
              <a:p>
                <a:pPr>
                  <a:defRPr>
                    <a:latin typeface="Arial" pitchFamily="34" charset="0"/>
                    <a:cs typeface="Arial" pitchFamily="34" charset="0"/>
                  </a:defRPr>
                </a:pPr>
                <a:r>
                  <a:rPr lang="en-US">
                    <a:latin typeface="Arial" pitchFamily="34" charset="0"/>
                    <a:cs typeface="Arial" pitchFamily="34" charset="0"/>
                  </a:rPr>
                  <a:t>Subsidy per tonne ($)</a:t>
                </a:r>
              </a:p>
            </c:rich>
          </c:tx>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194501632"/>
        <c:crosses val="autoZero"/>
        <c:crossBetween val="between"/>
      </c:valAx>
      <c:spPr>
        <a:ln>
          <a:noFill/>
        </a:ln>
      </c:spPr>
    </c:plotArea>
    <c:legend>
      <c:legendPos val="b"/>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0"/>
    <c:plotArea>
      <c:layout>
        <c:manualLayout>
          <c:layoutTarget val="inner"/>
          <c:xMode val="edge"/>
          <c:yMode val="edge"/>
          <c:x val="9.5947914056170716E-2"/>
          <c:y val="4.8166368083454356E-2"/>
          <c:w val="0.84394106035599503"/>
          <c:h val="0.84800562963821091"/>
        </c:manualLayout>
      </c:layout>
      <c:lineChart>
        <c:grouping val="standard"/>
        <c:varyColors val="0"/>
        <c:ser>
          <c:idx val="0"/>
          <c:order val="0"/>
          <c:spPr>
            <a:ln>
              <a:solidFill>
                <a:srgbClr val="78A22F"/>
              </a:solidFill>
            </a:ln>
          </c:spPr>
          <c:marker>
            <c:symbol val="none"/>
          </c:marker>
          <c:cat>
            <c:strRef>
              <c:f>'Ratio sea to air'!$B$20:$R$20</c:f>
              <c:strCache>
                <c:ptCount val="17"/>
                <c:pt idx="0">
                  <c:v>1996-97</c:v>
                </c:pt>
                <c:pt idx="1">
                  <c:v>1997-98</c:v>
                </c:pt>
                <c:pt idx="2">
                  <c:v>1998-99</c:v>
                </c:pt>
                <c:pt idx="3">
                  <c:v>1999-00</c:v>
                </c:pt>
                <c:pt idx="4">
                  <c:v>2000-01</c:v>
                </c:pt>
                <c:pt idx="5">
                  <c:v>2001-02</c:v>
                </c:pt>
                <c:pt idx="6">
                  <c:v>2002-03</c:v>
                </c:pt>
                <c:pt idx="7">
                  <c:v>2003-04</c:v>
                </c:pt>
                <c:pt idx="8">
                  <c:v>2004-05</c:v>
                </c:pt>
                <c:pt idx="9">
                  <c:v>2005-06</c:v>
                </c:pt>
                <c:pt idx="10">
                  <c:v>2006-07</c:v>
                </c:pt>
                <c:pt idx="11">
                  <c:v>2007-08</c:v>
                </c:pt>
                <c:pt idx="12">
                  <c:v>2008-09</c:v>
                </c:pt>
                <c:pt idx="13">
                  <c:v>2009-10</c:v>
                </c:pt>
                <c:pt idx="14">
                  <c:v>2010-11</c:v>
                </c:pt>
                <c:pt idx="15">
                  <c:v>2011-12</c:v>
                </c:pt>
                <c:pt idx="16">
                  <c:v>2012-13</c:v>
                </c:pt>
              </c:strCache>
            </c:strRef>
          </c:cat>
          <c:val>
            <c:numRef>
              <c:f>'Ratio sea to air'!$B$21:$R$21</c:f>
              <c:numCache>
                <c:formatCode>0.0</c:formatCode>
                <c:ptCount val="17"/>
                <c:pt idx="0">
                  <c:v>0.18059628543499512</c:v>
                </c:pt>
                <c:pt idx="1">
                  <c:v>0.23863636363636362</c:v>
                </c:pt>
                <c:pt idx="2">
                  <c:v>0.27842850170815031</c:v>
                </c:pt>
                <c:pt idx="3">
                  <c:v>0.26752503576537912</c:v>
                </c:pt>
                <c:pt idx="4">
                  <c:v>0.26723507917174177</c:v>
                </c:pt>
                <c:pt idx="5">
                  <c:v>0.27090464547677262</c:v>
                </c:pt>
                <c:pt idx="6">
                  <c:v>0.37827557058326289</c:v>
                </c:pt>
                <c:pt idx="7">
                  <c:v>0.28979947689625107</c:v>
                </c:pt>
                <c:pt idx="8">
                  <c:v>0.23936518324607331</c:v>
                </c:pt>
                <c:pt idx="9">
                  <c:v>0.20961738871520025</c:v>
                </c:pt>
                <c:pt idx="10">
                  <c:v>0.18275418275418276</c:v>
                </c:pt>
                <c:pt idx="11">
                  <c:v>0.16861504607344244</c:v>
                </c:pt>
                <c:pt idx="12">
                  <c:v>0.16322605462238748</c:v>
                </c:pt>
                <c:pt idx="13">
                  <c:v>0.16767158434894161</c:v>
                </c:pt>
                <c:pt idx="14">
                  <c:v>0.17614606593983975</c:v>
                </c:pt>
                <c:pt idx="15">
                  <c:v>0.15131933225632743</c:v>
                </c:pt>
                <c:pt idx="16">
                  <c:v>0.11854350860865519</c:v>
                </c:pt>
              </c:numCache>
            </c:numRef>
          </c:val>
          <c:smooth val="0"/>
        </c:ser>
        <c:dLbls>
          <c:showLegendKey val="0"/>
          <c:showVal val="0"/>
          <c:showCatName val="0"/>
          <c:showSerName val="0"/>
          <c:showPercent val="0"/>
          <c:showBubbleSize val="0"/>
        </c:dLbls>
        <c:marker val="1"/>
        <c:smooth val="0"/>
        <c:axId val="194556672"/>
        <c:axId val="194558208"/>
      </c:lineChart>
      <c:catAx>
        <c:axId val="194556672"/>
        <c:scaling>
          <c:orientation val="minMax"/>
        </c:scaling>
        <c:delete val="0"/>
        <c:axPos val="b"/>
        <c:majorTickMark val="out"/>
        <c:minorTickMark val="none"/>
        <c:tickLblPos val="nextTo"/>
        <c:txPr>
          <a:bodyPr/>
          <a:lstStyle/>
          <a:p>
            <a:pPr>
              <a:defRPr b="0">
                <a:latin typeface="Arial" pitchFamily="34" charset="0"/>
                <a:cs typeface="Arial" pitchFamily="34" charset="0"/>
              </a:defRPr>
            </a:pPr>
            <a:endParaRPr lang="en-US"/>
          </a:p>
        </c:txPr>
        <c:crossAx val="194558208"/>
        <c:crosses val="autoZero"/>
        <c:auto val="1"/>
        <c:lblAlgn val="ctr"/>
        <c:lblOffset val="100"/>
        <c:tickLblSkip val="2"/>
        <c:tickMarkSkip val="1"/>
        <c:noMultiLvlLbl val="0"/>
      </c:catAx>
      <c:valAx>
        <c:axId val="194558208"/>
        <c:scaling>
          <c:orientation val="minMax"/>
          <c:min val="0.1"/>
        </c:scaling>
        <c:delete val="0"/>
        <c:axPos val="l"/>
        <c:majorGridlines>
          <c:spPr>
            <a:ln>
              <a:noFill/>
            </a:ln>
          </c:spPr>
        </c:majorGridlines>
        <c:title>
          <c:tx>
            <c:rich>
              <a:bodyPr rot="-5400000" vert="horz"/>
              <a:lstStyle/>
              <a:p>
                <a:pPr>
                  <a:defRPr baseline="0">
                    <a:latin typeface="Arial" pitchFamily="34" charset="0"/>
                  </a:defRPr>
                </a:pPr>
                <a:r>
                  <a:rPr lang="en-US" baseline="0">
                    <a:latin typeface="Arial" pitchFamily="34" charset="0"/>
                  </a:rPr>
                  <a:t>Ratio</a:t>
                </a:r>
              </a:p>
            </c:rich>
          </c:tx>
          <c:layout>
            <c:manualLayout>
              <c:xMode val="edge"/>
              <c:yMode val="edge"/>
              <c:x val="4.6439270757423689E-3"/>
              <c:y val="0.40429821912008285"/>
            </c:manualLayout>
          </c:layout>
          <c:overlay val="0"/>
        </c:title>
        <c:numFmt formatCode="0.0" sourceLinked="1"/>
        <c:majorTickMark val="out"/>
        <c:minorTickMark val="none"/>
        <c:tickLblPos val="nextTo"/>
        <c:txPr>
          <a:bodyPr/>
          <a:lstStyle/>
          <a:p>
            <a:pPr>
              <a:defRPr b="0" baseline="0">
                <a:latin typeface="Arial" pitchFamily="34" charset="0"/>
                <a:cs typeface="Arial" pitchFamily="34" charset="0"/>
              </a:defRPr>
            </a:pPr>
            <a:endParaRPr lang="en-US"/>
          </a:p>
        </c:txPr>
        <c:crossAx val="194556672"/>
        <c:crosses val="autoZero"/>
        <c:crossBetween val="midCat"/>
        <c:majorUnit val="0.1"/>
      </c:valAx>
      <c:spPr>
        <a:noFill/>
        <a:ln>
          <a:noFill/>
        </a:ln>
      </c:spPr>
    </c:plotArea>
    <c:plotVisOnly val="1"/>
    <c:dispBlanksAs val="gap"/>
    <c:showDLblsOverMax val="0"/>
  </c:chart>
  <c:spPr>
    <a:ln>
      <a:noFill/>
    </a:ln>
  </c:sp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597222222222223"/>
          <c:y val="5.8701922968196284E-2"/>
          <c:w val="0.81327074074074079"/>
          <c:h val="0.74924550127662659"/>
        </c:manualLayout>
      </c:layout>
      <c:areaChart>
        <c:grouping val="stacked"/>
        <c:varyColors val="0"/>
        <c:ser>
          <c:idx val="1"/>
          <c:order val="0"/>
          <c:tx>
            <c:v>Outward</c:v>
          </c:tx>
          <c:spPr>
            <a:solidFill>
              <a:srgbClr val="78A22F"/>
            </a:solidFill>
            <a:ln>
              <a:noFill/>
              <a:prstDash val="solid"/>
            </a:ln>
          </c:spPr>
          <c:cat>
            <c:strRef>
              <c:f>[1]Sheet2!$A$23:$A$36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Sheet1!$C$2:$C$15</c:f>
              <c:numCache>
                <c:formatCode>#,##0</c:formatCode>
                <c:ptCount val="14"/>
                <c:pt idx="0">
                  <c:v>155366</c:v>
                </c:pt>
                <c:pt idx="1">
                  <c:v>158887</c:v>
                </c:pt>
                <c:pt idx="2">
                  <c:v>168956</c:v>
                </c:pt>
                <c:pt idx="3">
                  <c:v>192540</c:v>
                </c:pt>
                <c:pt idx="4">
                  <c:v>215631</c:v>
                </c:pt>
                <c:pt idx="5">
                  <c:v>229501</c:v>
                </c:pt>
                <c:pt idx="6">
                  <c:v>225452</c:v>
                </c:pt>
                <c:pt idx="7">
                  <c:v>228974</c:v>
                </c:pt>
                <c:pt idx="8">
                  <c:v>245154</c:v>
                </c:pt>
                <c:pt idx="9">
                  <c:v>238589</c:v>
                </c:pt>
                <c:pt idx="10">
                  <c:v>230666</c:v>
                </c:pt>
                <c:pt idx="11">
                  <c:v>230233</c:v>
                </c:pt>
                <c:pt idx="12">
                  <c:v>227144</c:v>
                </c:pt>
                <c:pt idx="13">
                  <c:v>228474</c:v>
                </c:pt>
              </c:numCache>
            </c:numRef>
          </c:val>
        </c:ser>
        <c:ser>
          <c:idx val="2"/>
          <c:order val="1"/>
          <c:tx>
            <c:v>Inward</c:v>
          </c:tx>
          <c:spPr>
            <a:solidFill>
              <a:srgbClr val="344893"/>
            </a:solidFill>
            <a:ln>
              <a:noFill/>
              <a:prstDash val="sysDash"/>
            </a:ln>
          </c:spPr>
          <c:cat>
            <c:strRef>
              <c:f>[1]Sheet2!$A$23:$A$36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Sheet1!$B$2:$B$15</c:f>
              <c:numCache>
                <c:formatCode>#,##0</c:formatCode>
                <c:ptCount val="14"/>
                <c:pt idx="0">
                  <c:v>137502</c:v>
                </c:pt>
                <c:pt idx="1">
                  <c:v>147056</c:v>
                </c:pt>
                <c:pt idx="2">
                  <c:v>160771</c:v>
                </c:pt>
                <c:pt idx="3">
                  <c:v>182494</c:v>
                </c:pt>
                <c:pt idx="4">
                  <c:v>208902</c:v>
                </c:pt>
                <c:pt idx="5">
                  <c:v>223204</c:v>
                </c:pt>
                <c:pt idx="6">
                  <c:v>224621</c:v>
                </c:pt>
                <c:pt idx="7">
                  <c:v>221446</c:v>
                </c:pt>
                <c:pt idx="8">
                  <c:v>246331</c:v>
                </c:pt>
                <c:pt idx="9">
                  <c:v>235596</c:v>
                </c:pt>
                <c:pt idx="10">
                  <c:v>230291</c:v>
                </c:pt>
                <c:pt idx="11">
                  <c:v>233113</c:v>
                </c:pt>
                <c:pt idx="12">
                  <c:v>229681</c:v>
                </c:pt>
                <c:pt idx="13">
                  <c:v>230879</c:v>
                </c:pt>
              </c:numCache>
            </c:numRef>
          </c:val>
        </c:ser>
        <c:dLbls>
          <c:showLegendKey val="0"/>
          <c:showVal val="0"/>
          <c:showCatName val="0"/>
          <c:showSerName val="0"/>
          <c:showPercent val="0"/>
          <c:showBubbleSize val="0"/>
        </c:dLbls>
        <c:axId val="194256256"/>
        <c:axId val="194262144"/>
      </c:areaChart>
      <c:catAx>
        <c:axId val="194256256"/>
        <c:scaling>
          <c:orientation val="minMax"/>
        </c:scaling>
        <c:delete val="0"/>
        <c:axPos val="b"/>
        <c:majorTickMark val="out"/>
        <c:minorTickMark val="none"/>
        <c:tickLblPos val="nextTo"/>
        <c:txPr>
          <a:bodyPr rot="-5400000" vert="horz"/>
          <a:lstStyle/>
          <a:p>
            <a:pPr>
              <a:defRPr sz="1000">
                <a:latin typeface="Arial" pitchFamily="34" charset="0"/>
                <a:cs typeface="Arial" pitchFamily="34" charset="0"/>
              </a:defRPr>
            </a:pPr>
            <a:endParaRPr lang="en-US"/>
          </a:p>
        </c:txPr>
        <c:crossAx val="194262144"/>
        <c:crosses val="autoZero"/>
        <c:auto val="1"/>
        <c:lblAlgn val="ctr"/>
        <c:lblOffset val="100"/>
        <c:noMultiLvlLbl val="0"/>
      </c:catAx>
      <c:valAx>
        <c:axId val="194262144"/>
        <c:scaling>
          <c:orientation val="minMax"/>
          <c:max val="500000"/>
        </c:scaling>
        <c:delete val="0"/>
        <c:axPos val="l"/>
        <c:majorGridlines>
          <c:spPr>
            <a:ln>
              <a:noFill/>
            </a:ln>
          </c:spPr>
        </c:majorGridlines>
        <c:title>
          <c:tx>
            <c:rich>
              <a:bodyPr rot="-5400000" vert="horz"/>
              <a:lstStyle/>
              <a:p>
                <a:pPr>
                  <a:defRPr sz="1000" b="1">
                    <a:latin typeface="Arial" pitchFamily="34" charset="0"/>
                    <a:cs typeface="Arial" pitchFamily="34" charset="0"/>
                  </a:defRPr>
                </a:pPr>
                <a:r>
                  <a:rPr lang="en-AU" sz="1000" b="1">
                    <a:latin typeface="Arial" pitchFamily="34" charset="0"/>
                    <a:cs typeface="Arial" pitchFamily="34" charset="0"/>
                  </a:rPr>
                  <a:t>TEUs</a:t>
                </a:r>
              </a:p>
            </c:rich>
          </c:tx>
          <c:layout>
            <c:manualLayout>
              <c:xMode val="edge"/>
              <c:yMode val="edge"/>
              <c:x val="1.0993333333333332E-2"/>
              <c:y val="0.39737517912175702"/>
            </c:manualLayout>
          </c:layout>
          <c:overlay val="0"/>
        </c:title>
        <c:numFmt formatCode="#,##0" sourceLinked="1"/>
        <c:majorTickMark val="out"/>
        <c:minorTickMark val="none"/>
        <c:tickLblPos val="nextTo"/>
        <c:txPr>
          <a:bodyPr/>
          <a:lstStyle/>
          <a:p>
            <a:pPr>
              <a:defRPr sz="1000">
                <a:latin typeface="Arial" pitchFamily="34" charset="0"/>
                <a:cs typeface="Arial" pitchFamily="34" charset="0"/>
              </a:defRPr>
            </a:pPr>
            <a:endParaRPr lang="en-US"/>
          </a:p>
        </c:txPr>
        <c:crossAx val="194256256"/>
        <c:crosses val="autoZero"/>
        <c:crossBetween val="midCat"/>
      </c:valAx>
    </c:plotArea>
    <c:plotVisOnly val="1"/>
    <c:dispBlanksAs val="gap"/>
    <c:showDLblsOverMax val="0"/>
  </c:chart>
  <c:spPr>
    <a:ln>
      <a:noFill/>
    </a:ln>
  </c:spPr>
  <c:externalData r:id="rId1">
    <c:autoUpdate val="0"/>
  </c:externalData>
  <c:userShapes r:id="rId2"/>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Sheet2!$B$21</c:f>
              <c:strCache>
                <c:ptCount val="1"/>
                <c:pt idx="0">
                  <c:v>Bell Bay</c:v>
                </c:pt>
              </c:strCache>
            </c:strRef>
          </c:tx>
          <c:spPr>
            <a:ln>
              <a:solidFill>
                <a:srgbClr val="78A22F"/>
              </a:solidFill>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Sheet2!$B$23:$B$36</c:f>
              <c:numCache>
                <c:formatCode>#,##0</c:formatCode>
                <c:ptCount val="14"/>
                <c:pt idx="0">
                  <c:v>10593</c:v>
                </c:pt>
                <c:pt idx="1">
                  <c:v>15798</c:v>
                </c:pt>
                <c:pt idx="2">
                  <c:v>21946</c:v>
                </c:pt>
                <c:pt idx="3">
                  <c:v>31572</c:v>
                </c:pt>
                <c:pt idx="4">
                  <c:v>41330</c:v>
                </c:pt>
                <c:pt idx="5">
                  <c:v>44502</c:v>
                </c:pt>
                <c:pt idx="6">
                  <c:v>42779</c:v>
                </c:pt>
                <c:pt idx="7">
                  <c:v>43443</c:v>
                </c:pt>
                <c:pt idx="8">
                  <c:v>46372</c:v>
                </c:pt>
                <c:pt idx="9">
                  <c:v>45339</c:v>
                </c:pt>
                <c:pt idx="10">
                  <c:v>22246</c:v>
                </c:pt>
                <c:pt idx="11">
                  <c:v>24689</c:v>
                </c:pt>
                <c:pt idx="12">
                  <c:v>2412</c:v>
                </c:pt>
                <c:pt idx="13" formatCode="General">
                  <c:v>849</c:v>
                </c:pt>
              </c:numCache>
            </c:numRef>
          </c:val>
          <c:smooth val="0"/>
        </c:ser>
        <c:ser>
          <c:idx val="2"/>
          <c:order val="1"/>
          <c:tx>
            <c:strRef>
              <c:f>Sheet2!$D$21</c:f>
              <c:strCache>
                <c:ptCount val="1"/>
                <c:pt idx="0">
                  <c:v>Devonport</c:v>
                </c:pt>
              </c:strCache>
            </c:strRef>
          </c:tx>
          <c:spPr>
            <a:ln>
              <a:solidFill>
                <a:srgbClr val="344893"/>
              </a:solidFill>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Sheet2!$D$23:$D$36</c:f>
              <c:numCache>
                <c:formatCode>#,##0</c:formatCode>
                <c:ptCount val="14"/>
                <c:pt idx="0">
                  <c:v>65797</c:v>
                </c:pt>
                <c:pt idx="1">
                  <c:v>67797</c:v>
                </c:pt>
                <c:pt idx="2">
                  <c:v>73624</c:v>
                </c:pt>
                <c:pt idx="3">
                  <c:v>80160</c:v>
                </c:pt>
                <c:pt idx="4">
                  <c:v>88476</c:v>
                </c:pt>
                <c:pt idx="5">
                  <c:v>92618</c:v>
                </c:pt>
                <c:pt idx="6">
                  <c:v>90243</c:v>
                </c:pt>
                <c:pt idx="7">
                  <c:v>80204</c:v>
                </c:pt>
                <c:pt idx="8">
                  <c:v>87913</c:v>
                </c:pt>
                <c:pt idx="9">
                  <c:v>86782</c:v>
                </c:pt>
                <c:pt idx="10">
                  <c:v>93840</c:v>
                </c:pt>
                <c:pt idx="11">
                  <c:v>93282</c:v>
                </c:pt>
                <c:pt idx="12">
                  <c:v>101341</c:v>
                </c:pt>
                <c:pt idx="13">
                  <c:v>98883</c:v>
                </c:pt>
              </c:numCache>
            </c:numRef>
          </c:val>
          <c:smooth val="0"/>
        </c:ser>
        <c:ser>
          <c:idx val="3"/>
          <c:order val="2"/>
          <c:tx>
            <c:strRef>
              <c:f>Sheet2!$F$21</c:f>
              <c:strCache>
                <c:ptCount val="1"/>
                <c:pt idx="0">
                  <c:v>Burnie</c:v>
                </c:pt>
              </c:strCache>
            </c:strRef>
          </c:tx>
          <c:spPr>
            <a:ln>
              <a:solidFill>
                <a:srgbClr val="787878"/>
              </a:solidFill>
              <a:prstDash val="sysDash"/>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Sheet2!$F$23:$F$36</c:f>
              <c:numCache>
                <c:formatCode>#,##0</c:formatCode>
                <c:ptCount val="14"/>
                <c:pt idx="0">
                  <c:v>60433</c:v>
                </c:pt>
                <c:pt idx="1">
                  <c:v>62216</c:v>
                </c:pt>
                <c:pt idx="2">
                  <c:v>64863</c:v>
                </c:pt>
                <c:pt idx="3">
                  <c:v>70340</c:v>
                </c:pt>
                <c:pt idx="4">
                  <c:v>78652</c:v>
                </c:pt>
                <c:pt idx="5">
                  <c:v>85798</c:v>
                </c:pt>
                <c:pt idx="6">
                  <c:v>91475</c:v>
                </c:pt>
                <c:pt idx="7">
                  <c:v>97659</c:v>
                </c:pt>
                <c:pt idx="8">
                  <c:v>109970</c:v>
                </c:pt>
                <c:pt idx="9">
                  <c:v>103475</c:v>
                </c:pt>
                <c:pt idx="10">
                  <c:v>114205</c:v>
                </c:pt>
                <c:pt idx="11">
                  <c:v>115142</c:v>
                </c:pt>
                <c:pt idx="12">
                  <c:v>121776</c:v>
                </c:pt>
                <c:pt idx="13">
                  <c:v>126986</c:v>
                </c:pt>
              </c:numCache>
            </c:numRef>
          </c:val>
          <c:smooth val="0"/>
        </c:ser>
        <c:ser>
          <c:idx val="4"/>
          <c:order val="3"/>
          <c:tx>
            <c:strRef>
              <c:f>Sheet2!$H$21</c:f>
              <c:strCache>
                <c:ptCount val="1"/>
                <c:pt idx="0">
                  <c:v>Hobart</c:v>
                </c:pt>
              </c:strCache>
            </c:strRef>
          </c:tx>
          <c:spPr>
            <a:ln>
              <a:solidFill>
                <a:srgbClr val="39580D"/>
              </a:solidFill>
              <a:prstDash val="sysDash"/>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Sheet2!$H$22:$H$36</c:f>
              <c:numCache>
                <c:formatCode>#,##0</c:formatCode>
                <c:ptCount val="15"/>
                <c:pt idx="0" formatCode="General">
                  <c:v>0</c:v>
                </c:pt>
                <c:pt idx="1">
                  <c:v>679</c:v>
                </c:pt>
                <c:pt idx="2">
                  <c:v>1245</c:v>
                </c:pt>
                <c:pt idx="3">
                  <c:v>338</c:v>
                </c:pt>
                <c:pt idx="4">
                  <c:v>422</c:v>
                </c:pt>
                <c:pt idx="5">
                  <c:v>444</c:v>
                </c:pt>
                <c:pt idx="6">
                  <c:v>286</c:v>
                </c:pt>
                <c:pt idx="7">
                  <c:v>124</c:v>
                </c:pt>
                <c:pt idx="8">
                  <c:v>140</c:v>
                </c:pt>
                <c:pt idx="9">
                  <c:v>2076</c:v>
                </c:pt>
                <c:pt idx="10">
                  <c:v>0</c:v>
                </c:pt>
                <c:pt idx="11">
                  <c:v>0</c:v>
                </c:pt>
                <c:pt idx="12">
                  <c:v>0</c:v>
                </c:pt>
                <c:pt idx="13">
                  <c:v>0</c:v>
                </c:pt>
                <c:pt idx="14">
                  <c:v>0</c:v>
                </c:pt>
              </c:numCache>
            </c:numRef>
          </c:val>
          <c:smooth val="0"/>
        </c:ser>
        <c:dLbls>
          <c:showLegendKey val="0"/>
          <c:showVal val="0"/>
          <c:showCatName val="0"/>
          <c:showSerName val="0"/>
          <c:showPercent val="0"/>
          <c:showBubbleSize val="0"/>
        </c:dLbls>
        <c:marker val="1"/>
        <c:smooth val="0"/>
        <c:axId val="194310144"/>
        <c:axId val="194311680"/>
      </c:lineChart>
      <c:dateAx>
        <c:axId val="194310144"/>
        <c:scaling>
          <c:orientation val="minMax"/>
        </c:scaling>
        <c:delete val="0"/>
        <c:axPos val="b"/>
        <c:numFmt formatCode="yy\-yy" sourceLinked="0"/>
        <c:majorTickMark val="out"/>
        <c:minorTickMark val="none"/>
        <c:tickLblPos val="nextTo"/>
        <c:txPr>
          <a:bodyPr/>
          <a:lstStyle/>
          <a:p>
            <a:pPr>
              <a:defRPr sz="800">
                <a:latin typeface="Arial" pitchFamily="34" charset="0"/>
                <a:cs typeface="Arial" pitchFamily="34" charset="0"/>
              </a:defRPr>
            </a:pPr>
            <a:endParaRPr lang="en-US"/>
          </a:p>
        </c:txPr>
        <c:crossAx val="194311680"/>
        <c:crosses val="autoZero"/>
        <c:auto val="0"/>
        <c:lblOffset val="100"/>
        <c:baseTimeUnit val="days"/>
      </c:dateAx>
      <c:valAx>
        <c:axId val="194311680"/>
        <c:scaling>
          <c:orientation val="minMax"/>
        </c:scaling>
        <c:delete val="0"/>
        <c:axPos val="l"/>
        <c:majorGridlines>
          <c:spPr>
            <a:ln>
              <a:noFill/>
            </a:ln>
          </c:spPr>
        </c:majorGridlines>
        <c:numFmt formatCode="#,##0" sourceLinked="1"/>
        <c:majorTickMark val="out"/>
        <c:minorTickMark val="none"/>
        <c:tickLblPos val="nextTo"/>
        <c:txPr>
          <a:bodyPr/>
          <a:lstStyle/>
          <a:p>
            <a:pPr>
              <a:defRPr sz="800">
                <a:latin typeface="Arial" pitchFamily="34" charset="0"/>
                <a:cs typeface="Arial" pitchFamily="34" charset="0"/>
              </a:defRPr>
            </a:pPr>
            <a:endParaRPr lang="en-US"/>
          </a:p>
        </c:txPr>
        <c:crossAx val="194310144"/>
        <c:crosses val="autoZero"/>
        <c:crossBetween val="between"/>
        <c:dispUnits>
          <c:builtInUnit val="thousands"/>
        </c:dispUnits>
      </c:valAx>
    </c:plotArea>
    <c:plotVisOnly val="1"/>
    <c:dispBlanksAs val="gap"/>
    <c:showDLblsOverMax val="0"/>
  </c:chart>
  <c:spPr>
    <a:ln>
      <a:noFill/>
    </a:ln>
  </c:sp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Sheet2!$B$21</c:f>
              <c:strCache>
                <c:ptCount val="1"/>
                <c:pt idx="0">
                  <c:v>Bell Bay</c:v>
                </c:pt>
              </c:strCache>
            </c:strRef>
          </c:tx>
          <c:spPr>
            <a:ln>
              <a:solidFill>
                <a:srgbClr val="78A22F"/>
              </a:solidFill>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Sheet2!$C$23:$C$36</c:f>
              <c:numCache>
                <c:formatCode>#,##0</c:formatCode>
                <c:ptCount val="14"/>
                <c:pt idx="0">
                  <c:v>1174563</c:v>
                </c:pt>
                <c:pt idx="1">
                  <c:v>1321214</c:v>
                </c:pt>
                <c:pt idx="2">
                  <c:v>1438675</c:v>
                </c:pt>
                <c:pt idx="3">
                  <c:v>1518771</c:v>
                </c:pt>
                <c:pt idx="4">
                  <c:v>1506918</c:v>
                </c:pt>
                <c:pt idx="5">
                  <c:v>2122627</c:v>
                </c:pt>
                <c:pt idx="6">
                  <c:v>1512356</c:v>
                </c:pt>
                <c:pt idx="7">
                  <c:v>1417049</c:v>
                </c:pt>
                <c:pt idx="8">
                  <c:v>1646474</c:v>
                </c:pt>
                <c:pt idx="9">
                  <c:v>1598558</c:v>
                </c:pt>
                <c:pt idx="10">
                  <c:v>1262014</c:v>
                </c:pt>
                <c:pt idx="11">
                  <c:v>1519945</c:v>
                </c:pt>
                <c:pt idx="12">
                  <c:v>1160359</c:v>
                </c:pt>
                <c:pt idx="13">
                  <c:v>1226603</c:v>
                </c:pt>
              </c:numCache>
            </c:numRef>
          </c:val>
          <c:smooth val="0"/>
        </c:ser>
        <c:ser>
          <c:idx val="2"/>
          <c:order val="1"/>
          <c:tx>
            <c:strRef>
              <c:f>Sheet2!$D$21</c:f>
              <c:strCache>
                <c:ptCount val="1"/>
                <c:pt idx="0">
                  <c:v>Devonport</c:v>
                </c:pt>
              </c:strCache>
            </c:strRef>
          </c:tx>
          <c:spPr>
            <a:ln>
              <a:solidFill>
                <a:srgbClr val="344893"/>
              </a:solidFill>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Sheet2!$E$23:$E$36</c:f>
              <c:numCache>
                <c:formatCode>#,##0</c:formatCode>
                <c:ptCount val="14"/>
                <c:pt idx="0">
                  <c:v>1087645</c:v>
                </c:pt>
                <c:pt idx="1">
                  <c:v>1131047</c:v>
                </c:pt>
                <c:pt idx="2">
                  <c:v>1148850</c:v>
                </c:pt>
                <c:pt idx="3">
                  <c:v>1248852</c:v>
                </c:pt>
                <c:pt idx="4">
                  <c:v>1285329</c:v>
                </c:pt>
                <c:pt idx="5">
                  <c:v>1328754</c:v>
                </c:pt>
                <c:pt idx="6">
                  <c:v>1297773</c:v>
                </c:pt>
                <c:pt idx="7">
                  <c:v>1317496</c:v>
                </c:pt>
                <c:pt idx="8">
                  <c:v>1375408</c:v>
                </c:pt>
                <c:pt idx="9">
                  <c:v>1327270</c:v>
                </c:pt>
                <c:pt idx="10">
                  <c:v>1359929</c:v>
                </c:pt>
                <c:pt idx="11">
                  <c:v>1349652</c:v>
                </c:pt>
                <c:pt idx="12">
                  <c:v>1385711</c:v>
                </c:pt>
                <c:pt idx="13">
                  <c:v>1344913</c:v>
                </c:pt>
              </c:numCache>
            </c:numRef>
          </c:val>
          <c:smooth val="0"/>
        </c:ser>
        <c:ser>
          <c:idx val="3"/>
          <c:order val="2"/>
          <c:tx>
            <c:strRef>
              <c:f>Sheet2!$F$21</c:f>
              <c:strCache>
                <c:ptCount val="1"/>
                <c:pt idx="0">
                  <c:v>Burnie</c:v>
                </c:pt>
              </c:strCache>
            </c:strRef>
          </c:tx>
          <c:spPr>
            <a:ln>
              <a:solidFill>
                <a:srgbClr val="787878"/>
              </a:solidFill>
              <a:prstDash val="sysDash"/>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Sheet2!$G$23:$G$36</c:f>
              <c:numCache>
                <c:formatCode>#,##0</c:formatCode>
                <c:ptCount val="14"/>
                <c:pt idx="0">
                  <c:v>875283</c:v>
                </c:pt>
                <c:pt idx="1">
                  <c:v>877516</c:v>
                </c:pt>
                <c:pt idx="2">
                  <c:v>894476</c:v>
                </c:pt>
                <c:pt idx="3">
                  <c:v>898248</c:v>
                </c:pt>
                <c:pt idx="4">
                  <c:v>1115281</c:v>
                </c:pt>
                <c:pt idx="5">
                  <c:v>1133983</c:v>
                </c:pt>
                <c:pt idx="6">
                  <c:v>1251495</c:v>
                </c:pt>
                <c:pt idx="7">
                  <c:v>1260495</c:v>
                </c:pt>
                <c:pt idx="8">
                  <c:v>1357817</c:v>
                </c:pt>
                <c:pt idx="9">
                  <c:v>1291547</c:v>
                </c:pt>
                <c:pt idx="10">
                  <c:v>1280401</c:v>
                </c:pt>
                <c:pt idx="11">
                  <c:v>1161080</c:v>
                </c:pt>
                <c:pt idx="12">
                  <c:v>1238958</c:v>
                </c:pt>
                <c:pt idx="13">
                  <c:v>1264739</c:v>
                </c:pt>
              </c:numCache>
            </c:numRef>
          </c:val>
          <c:smooth val="0"/>
        </c:ser>
        <c:ser>
          <c:idx val="4"/>
          <c:order val="3"/>
          <c:tx>
            <c:strRef>
              <c:f>Sheet2!$H$21</c:f>
              <c:strCache>
                <c:ptCount val="1"/>
                <c:pt idx="0">
                  <c:v>Hobart</c:v>
                </c:pt>
              </c:strCache>
            </c:strRef>
          </c:tx>
          <c:spPr>
            <a:ln>
              <a:solidFill>
                <a:srgbClr val="39580D"/>
              </a:solidFill>
              <a:prstDash val="sysDash"/>
            </a:ln>
          </c:spPr>
          <c:marker>
            <c:symbol val="none"/>
          </c:marker>
          <c:cat>
            <c:strRef>
              <c:f>Sheet2!$A$23:$A$36</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Sheet2!$I$23:$I$36</c:f>
              <c:numCache>
                <c:formatCode>#,##0</c:formatCode>
                <c:ptCount val="14"/>
                <c:pt idx="0">
                  <c:v>887070</c:v>
                </c:pt>
                <c:pt idx="1">
                  <c:v>904012</c:v>
                </c:pt>
                <c:pt idx="2">
                  <c:v>1125604</c:v>
                </c:pt>
                <c:pt idx="3">
                  <c:v>1039589</c:v>
                </c:pt>
                <c:pt idx="4">
                  <c:v>1123397</c:v>
                </c:pt>
                <c:pt idx="5">
                  <c:v>1144236</c:v>
                </c:pt>
                <c:pt idx="6">
                  <c:v>1051241</c:v>
                </c:pt>
                <c:pt idx="7">
                  <c:v>990636</c:v>
                </c:pt>
                <c:pt idx="8">
                  <c:v>1137381</c:v>
                </c:pt>
                <c:pt idx="9">
                  <c:v>1068036</c:v>
                </c:pt>
                <c:pt idx="10">
                  <c:v>920632</c:v>
                </c:pt>
                <c:pt idx="11">
                  <c:v>1043514</c:v>
                </c:pt>
                <c:pt idx="12">
                  <c:v>910069</c:v>
                </c:pt>
                <c:pt idx="13">
                  <c:v>995750</c:v>
                </c:pt>
              </c:numCache>
            </c:numRef>
          </c:val>
          <c:smooth val="0"/>
        </c:ser>
        <c:dLbls>
          <c:showLegendKey val="0"/>
          <c:showVal val="0"/>
          <c:showCatName val="0"/>
          <c:showSerName val="0"/>
          <c:showPercent val="0"/>
          <c:showBubbleSize val="0"/>
        </c:dLbls>
        <c:marker val="1"/>
        <c:smooth val="0"/>
        <c:axId val="194740224"/>
        <c:axId val="194741760"/>
      </c:lineChart>
      <c:catAx>
        <c:axId val="194740224"/>
        <c:scaling>
          <c:orientation val="minMax"/>
        </c:scaling>
        <c:delete val="0"/>
        <c:axPos val="b"/>
        <c:majorTickMark val="out"/>
        <c:minorTickMark val="none"/>
        <c:tickLblPos val="nextTo"/>
        <c:txPr>
          <a:bodyPr/>
          <a:lstStyle/>
          <a:p>
            <a:pPr>
              <a:defRPr sz="800">
                <a:latin typeface="Arial" pitchFamily="34" charset="0"/>
                <a:cs typeface="Arial" pitchFamily="34" charset="0"/>
              </a:defRPr>
            </a:pPr>
            <a:endParaRPr lang="en-US"/>
          </a:p>
        </c:txPr>
        <c:crossAx val="194741760"/>
        <c:crosses val="autoZero"/>
        <c:auto val="1"/>
        <c:lblAlgn val="ctr"/>
        <c:lblOffset val="100"/>
        <c:noMultiLvlLbl val="0"/>
      </c:catAx>
      <c:valAx>
        <c:axId val="194741760"/>
        <c:scaling>
          <c:orientation val="minMax"/>
        </c:scaling>
        <c:delete val="0"/>
        <c:axPos val="l"/>
        <c:majorGridlines>
          <c:spPr>
            <a:ln>
              <a:noFill/>
            </a:ln>
          </c:spPr>
        </c:majorGridlines>
        <c:numFmt formatCode="#,##0.0" sourceLinked="0"/>
        <c:majorTickMark val="out"/>
        <c:minorTickMark val="none"/>
        <c:tickLblPos val="nextTo"/>
        <c:txPr>
          <a:bodyPr/>
          <a:lstStyle/>
          <a:p>
            <a:pPr>
              <a:defRPr sz="800">
                <a:latin typeface="Arial" pitchFamily="34" charset="0"/>
                <a:cs typeface="Arial" pitchFamily="34" charset="0"/>
              </a:defRPr>
            </a:pPr>
            <a:endParaRPr lang="en-US"/>
          </a:p>
        </c:txPr>
        <c:crossAx val="194740224"/>
        <c:crosses val="autoZero"/>
        <c:crossBetween val="between"/>
        <c:dispUnits>
          <c:builtInUnit val="millions"/>
        </c:dispUnits>
      </c:valAx>
    </c:plotArea>
    <c:plotVisOnly val="1"/>
    <c:dispBlanksAs val="gap"/>
    <c:showDLblsOverMax val="0"/>
  </c:chart>
  <c:spPr>
    <a:ln>
      <a:noFill/>
    </a:ln>
  </c:sp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Sheet2!$B$38</c:f>
              <c:strCache>
                <c:ptCount val="1"/>
                <c:pt idx="0">
                  <c:v>Bell Bay</c:v>
                </c:pt>
              </c:strCache>
            </c:strRef>
          </c:tx>
          <c:spPr>
            <a:ln>
              <a:solidFill>
                <a:srgbClr val="78A22F"/>
              </a:solidFill>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Sheet2!$B$40:$B$53</c:f>
              <c:numCache>
                <c:formatCode>#,##0</c:formatCode>
                <c:ptCount val="14"/>
                <c:pt idx="0">
                  <c:v>12855</c:v>
                </c:pt>
                <c:pt idx="1">
                  <c:v>18774</c:v>
                </c:pt>
                <c:pt idx="2">
                  <c:v>26858</c:v>
                </c:pt>
                <c:pt idx="3">
                  <c:v>38932</c:v>
                </c:pt>
                <c:pt idx="4">
                  <c:v>46872</c:v>
                </c:pt>
                <c:pt idx="5">
                  <c:v>50521</c:v>
                </c:pt>
                <c:pt idx="6">
                  <c:v>46211</c:v>
                </c:pt>
                <c:pt idx="7">
                  <c:v>45857</c:v>
                </c:pt>
                <c:pt idx="8">
                  <c:v>43086</c:v>
                </c:pt>
                <c:pt idx="9">
                  <c:v>46587</c:v>
                </c:pt>
                <c:pt idx="10">
                  <c:v>24117</c:v>
                </c:pt>
                <c:pt idx="11">
                  <c:v>23001</c:v>
                </c:pt>
                <c:pt idx="12">
                  <c:v>3473</c:v>
                </c:pt>
                <c:pt idx="13" formatCode="General">
                  <c:v>434</c:v>
                </c:pt>
              </c:numCache>
            </c:numRef>
          </c:val>
          <c:smooth val="0"/>
        </c:ser>
        <c:ser>
          <c:idx val="2"/>
          <c:order val="1"/>
          <c:tx>
            <c:strRef>
              <c:f>Sheet2!$D$38</c:f>
              <c:strCache>
                <c:ptCount val="1"/>
                <c:pt idx="0">
                  <c:v>Devonport</c:v>
                </c:pt>
              </c:strCache>
            </c:strRef>
          </c:tx>
          <c:spPr>
            <a:ln>
              <a:solidFill>
                <a:srgbClr val="344893"/>
              </a:solidFill>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Sheet2!$D$40:$D$53</c:f>
              <c:numCache>
                <c:formatCode>#,##0</c:formatCode>
                <c:ptCount val="14"/>
                <c:pt idx="0">
                  <c:v>62005</c:v>
                </c:pt>
                <c:pt idx="1">
                  <c:v>61320</c:v>
                </c:pt>
                <c:pt idx="2">
                  <c:v>65162</c:v>
                </c:pt>
                <c:pt idx="3">
                  <c:v>69825</c:v>
                </c:pt>
                <c:pt idx="4">
                  <c:v>77435</c:v>
                </c:pt>
                <c:pt idx="5">
                  <c:v>80094</c:v>
                </c:pt>
                <c:pt idx="6">
                  <c:v>75854</c:v>
                </c:pt>
                <c:pt idx="7">
                  <c:v>76260</c:v>
                </c:pt>
                <c:pt idx="8">
                  <c:v>83123</c:v>
                </c:pt>
                <c:pt idx="9">
                  <c:v>82282</c:v>
                </c:pt>
                <c:pt idx="10">
                  <c:v>90902</c:v>
                </c:pt>
                <c:pt idx="11">
                  <c:v>90759</c:v>
                </c:pt>
                <c:pt idx="12">
                  <c:v>99353</c:v>
                </c:pt>
                <c:pt idx="13">
                  <c:v>97244</c:v>
                </c:pt>
              </c:numCache>
            </c:numRef>
          </c:val>
          <c:smooth val="0"/>
        </c:ser>
        <c:ser>
          <c:idx val="4"/>
          <c:order val="2"/>
          <c:tx>
            <c:strRef>
              <c:f>Sheet2!$F$38</c:f>
              <c:strCache>
                <c:ptCount val="1"/>
                <c:pt idx="0">
                  <c:v>Burnie</c:v>
                </c:pt>
              </c:strCache>
            </c:strRef>
          </c:tx>
          <c:spPr>
            <a:ln>
              <a:solidFill>
                <a:srgbClr val="787878"/>
              </a:solidFill>
              <a:prstDash val="sysDash"/>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Sheet2!$F$40:$F$53</c:f>
              <c:numCache>
                <c:formatCode>#,##0</c:formatCode>
                <c:ptCount val="14"/>
                <c:pt idx="0">
                  <c:v>79086</c:v>
                </c:pt>
                <c:pt idx="1">
                  <c:v>78356</c:v>
                </c:pt>
                <c:pt idx="2">
                  <c:v>76620</c:v>
                </c:pt>
                <c:pt idx="3">
                  <c:v>83482</c:v>
                </c:pt>
                <c:pt idx="4">
                  <c:v>88302</c:v>
                </c:pt>
                <c:pt idx="5">
                  <c:v>96181</c:v>
                </c:pt>
                <c:pt idx="6">
                  <c:v>103031</c:v>
                </c:pt>
                <c:pt idx="7">
                  <c:v>106369</c:v>
                </c:pt>
                <c:pt idx="8">
                  <c:v>117267</c:v>
                </c:pt>
                <c:pt idx="9">
                  <c:v>109720</c:v>
                </c:pt>
                <c:pt idx="10">
                  <c:v>115646</c:v>
                </c:pt>
                <c:pt idx="11">
                  <c:v>116473</c:v>
                </c:pt>
                <c:pt idx="12">
                  <c:v>120508</c:v>
                </c:pt>
                <c:pt idx="13">
                  <c:v>126847</c:v>
                </c:pt>
              </c:numCache>
            </c:numRef>
          </c:val>
          <c:smooth val="0"/>
        </c:ser>
        <c:ser>
          <c:idx val="6"/>
          <c:order val="3"/>
          <c:tx>
            <c:strRef>
              <c:f>Sheet2!$H$38</c:f>
              <c:strCache>
                <c:ptCount val="1"/>
                <c:pt idx="0">
                  <c:v>Hobart</c:v>
                </c:pt>
              </c:strCache>
            </c:strRef>
          </c:tx>
          <c:spPr>
            <a:ln>
              <a:solidFill>
                <a:srgbClr val="39580D"/>
              </a:solidFill>
              <a:prstDash val="sysDash"/>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Sheet2!$H$40:$H$53</c:f>
              <c:numCache>
                <c:formatCode>#,##0</c:formatCode>
                <c:ptCount val="14"/>
                <c:pt idx="0">
                  <c:v>1420</c:v>
                </c:pt>
                <c:pt idx="1">
                  <c:v>437</c:v>
                </c:pt>
                <c:pt idx="2">
                  <c:v>316</c:v>
                </c:pt>
                <c:pt idx="3">
                  <c:v>301</c:v>
                </c:pt>
                <c:pt idx="4">
                  <c:v>3022</c:v>
                </c:pt>
                <c:pt idx="5">
                  <c:v>2705</c:v>
                </c:pt>
                <c:pt idx="6">
                  <c:v>356</c:v>
                </c:pt>
                <c:pt idx="7">
                  <c:v>488</c:v>
                </c:pt>
                <c:pt idx="8">
                  <c:v>1678</c:v>
                </c:pt>
                <c:pt idx="9">
                  <c:v>0</c:v>
                </c:pt>
                <c:pt idx="10">
                  <c:v>1</c:v>
                </c:pt>
                <c:pt idx="11">
                  <c:v>1</c:v>
                </c:pt>
                <c:pt idx="12">
                  <c:v>0</c:v>
                </c:pt>
                <c:pt idx="13">
                  <c:v>0</c:v>
                </c:pt>
              </c:numCache>
            </c:numRef>
          </c:val>
          <c:smooth val="0"/>
        </c:ser>
        <c:dLbls>
          <c:showLegendKey val="0"/>
          <c:showVal val="0"/>
          <c:showCatName val="0"/>
          <c:showSerName val="0"/>
          <c:showPercent val="0"/>
          <c:showBubbleSize val="0"/>
        </c:dLbls>
        <c:marker val="1"/>
        <c:smooth val="0"/>
        <c:axId val="195047424"/>
        <c:axId val="195048960"/>
      </c:lineChart>
      <c:catAx>
        <c:axId val="195047424"/>
        <c:scaling>
          <c:orientation val="minMax"/>
        </c:scaling>
        <c:delete val="0"/>
        <c:axPos val="b"/>
        <c:majorTickMark val="out"/>
        <c:minorTickMark val="none"/>
        <c:tickLblPos val="nextTo"/>
        <c:txPr>
          <a:bodyPr/>
          <a:lstStyle/>
          <a:p>
            <a:pPr>
              <a:defRPr sz="800">
                <a:latin typeface="Arial" pitchFamily="34" charset="0"/>
                <a:cs typeface="Arial" pitchFamily="34" charset="0"/>
              </a:defRPr>
            </a:pPr>
            <a:endParaRPr lang="en-US"/>
          </a:p>
        </c:txPr>
        <c:crossAx val="195048960"/>
        <c:crosses val="autoZero"/>
        <c:auto val="1"/>
        <c:lblAlgn val="ctr"/>
        <c:lblOffset val="100"/>
        <c:noMultiLvlLbl val="0"/>
      </c:catAx>
      <c:valAx>
        <c:axId val="195048960"/>
        <c:scaling>
          <c:orientation val="minMax"/>
        </c:scaling>
        <c:delete val="0"/>
        <c:axPos val="l"/>
        <c:majorGridlines>
          <c:spPr>
            <a:ln>
              <a:noFill/>
            </a:ln>
          </c:spPr>
        </c:majorGridlines>
        <c:numFmt formatCode="#,##0" sourceLinked="1"/>
        <c:majorTickMark val="out"/>
        <c:minorTickMark val="none"/>
        <c:tickLblPos val="nextTo"/>
        <c:txPr>
          <a:bodyPr/>
          <a:lstStyle/>
          <a:p>
            <a:pPr>
              <a:defRPr sz="800">
                <a:latin typeface="Arial" pitchFamily="34" charset="0"/>
                <a:cs typeface="Arial" pitchFamily="34" charset="0"/>
              </a:defRPr>
            </a:pPr>
            <a:endParaRPr lang="en-US"/>
          </a:p>
        </c:txPr>
        <c:crossAx val="195047424"/>
        <c:crosses val="autoZero"/>
        <c:crossBetween val="between"/>
        <c:dispUnits>
          <c:builtInUnit val="thousands"/>
        </c:dispUnits>
      </c:valAx>
    </c:plotArea>
    <c:plotVisOnly val="1"/>
    <c:dispBlanksAs val="gap"/>
    <c:showDLblsOverMax val="0"/>
  </c:chart>
  <c:spPr>
    <a:ln>
      <a:noFill/>
    </a:ln>
  </c:sp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Sheet2!$B$38</c:f>
              <c:strCache>
                <c:ptCount val="1"/>
                <c:pt idx="0">
                  <c:v>Bell Bay</c:v>
                </c:pt>
              </c:strCache>
            </c:strRef>
          </c:tx>
          <c:spPr>
            <a:ln>
              <a:solidFill>
                <a:srgbClr val="78A22F"/>
              </a:solidFill>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Sheet2!$C$40:$C$53</c:f>
              <c:numCache>
                <c:formatCode>#,##0</c:formatCode>
                <c:ptCount val="14"/>
                <c:pt idx="0">
                  <c:v>3149211</c:v>
                </c:pt>
                <c:pt idx="1">
                  <c:v>3488712</c:v>
                </c:pt>
                <c:pt idx="2">
                  <c:v>3303322</c:v>
                </c:pt>
                <c:pt idx="3">
                  <c:v>3778699</c:v>
                </c:pt>
                <c:pt idx="4">
                  <c:v>3779929</c:v>
                </c:pt>
                <c:pt idx="5">
                  <c:v>3924893</c:v>
                </c:pt>
                <c:pt idx="6">
                  <c:v>3424957</c:v>
                </c:pt>
                <c:pt idx="7">
                  <c:v>3829923</c:v>
                </c:pt>
                <c:pt idx="8">
                  <c:v>3866118</c:v>
                </c:pt>
                <c:pt idx="9">
                  <c:v>3105760</c:v>
                </c:pt>
                <c:pt idx="10">
                  <c:v>2523076</c:v>
                </c:pt>
                <c:pt idx="11">
                  <c:v>2514306</c:v>
                </c:pt>
                <c:pt idx="12">
                  <c:v>1172498</c:v>
                </c:pt>
                <c:pt idx="13">
                  <c:v>1190124</c:v>
                </c:pt>
              </c:numCache>
            </c:numRef>
          </c:val>
          <c:smooth val="0"/>
        </c:ser>
        <c:ser>
          <c:idx val="3"/>
          <c:order val="1"/>
          <c:tx>
            <c:strRef>
              <c:f>Sheet2!$D$38</c:f>
              <c:strCache>
                <c:ptCount val="1"/>
                <c:pt idx="0">
                  <c:v>Devonport</c:v>
                </c:pt>
              </c:strCache>
            </c:strRef>
          </c:tx>
          <c:spPr>
            <a:ln>
              <a:solidFill>
                <a:srgbClr val="344893"/>
              </a:solidFill>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Sheet2!$E$40:$E$53</c:f>
              <c:numCache>
                <c:formatCode>#,##0</c:formatCode>
                <c:ptCount val="14"/>
                <c:pt idx="0">
                  <c:v>1770019</c:v>
                </c:pt>
                <c:pt idx="1">
                  <c:v>1680110</c:v>
                </c:pt>
                <c:pt idx="2">
                  <c:v>1890273</c:v>
                </c:pt>
                <c:pt idx="3">
                  <c:v>1905834</c:v>
                </c:pt>
                <c:pt idx="4">
                  <c:v>1910137</c:v>
                </c:pt>
                <c:pt idx="5">
                  <c:v>1873780</c:v>
                </c:pt>
                <c:pt idx="6">
                  <c:v>1842299</c:v>
                </c:pt>
                <c:pt idx="7">
                  <c:v>1805453</c:v>
                </c:pt>
                <c:pt idx="8">
                  <c:v>1888480</c:v>
                </c:pt>
                <c:pt idx="9">
                  <c:v>1865337</c:v>
                </c:pt>
                <c:pt idx="10">
                  <c:v>1907112</c:v>
                </c:pt>
                <c:pt idx="11">
                  <c:v>1853380</c:v>
                </c:pt>
                <c:pt idx="12">
                  <c:v>1971614</c:v>
                </c:pt>
                <c:pt idx="13">
                  <c:v>2109886</c:v>
                </c:pt>
              </c:numCache>
            </c:numRef>
          </c:val>
          <c:smooth val="0"/>
        </c:ser>
        <c:ser>
          <c:idx val="5"/>
          <c:order val="2"/>
          <c:tx>
            <c:strRef>
              <c:f>Sheet2!$F$38</c:f>
              <c:strCache>
                <c:ptCount val="1"/>
                <c:pt idx="0">
                  <c:v>Burnie</c:v>
                </c:pt>
              </c:strCache>
            </c:strRef>
          </c:tx>
          <c:spPr>
            <a:ln>
              <a:solidFill>
                <a:srgbClr val="787878"/>
              </a:solidFill>
              <a:prstDash val="sysDash"/>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Sheet2!$G$40:$G$53</c:f>
              <c:numCache>
                <c:formatCode>#,##0</c:formatCode>
                <c:ptCount val="14"/>
                <c:pt idx="0">
                  <c:v>2835391</c:v>
                </c:pt>
                <c:pt idx="1">
                  <c:v>2604054</c:v>
                </c:pt>
                <c:pt idx="2">
                  <c:v>2874324</c:v>
                </c:pt>
                <c:pt idx="3">
                  <c:v>2985284</c:v>
                </c:pt>
                <c:pt idx="4">
                  <c:v>3067082</c:v>
                </c:pt>
                <c:pt idx="5">
                  <c:v>2929451</c:v>
                </c:pt>
                <c:pt idx="6">
                  <c:v>2899227</c:v>
                </c:pt>
                <c:pt idx="7">
                  <c:v>3016948</c:v>
                </c:pt>
                <c:pt idx="8">
                  <c:v>3099244</c:v>
                </c:pt>
                <c:pt idx="9">
                  <c:v>2874827</c:v>
                </c:pt>
                <c:pt idx="10">
                  <c:v>2821438</c:v>
                </c:pt>
                <c:pt idx="11">
                  <c:v>2819162</c:v>
                </c:pt>
                <c:pt idx="12">
                  <c:v>2505391</c:v>
                </c:pt>
                <c:pt idx="13">
                  <c:v>2371866</c:v>
                </c:pt>
              </c:numCache>
            </c:numRef>
          </c:val>
          <c:smooth val="0"/>
        </c:ser>
        <c:ser>
          <c:idx val="7"/>
          <c:order val="3"/>
          <c:tx>
            <c:strRef>
              <c:f>Sheet2!$H$55</c:f>
              <c:strCache>
                <c:ptCount val="1"/>
                <c:pt idx="0">
                  <c:v>Hobart</c:v>
                </c:pt>
              </c:strCache>
            </c:strRef>
          </c:tx>
          <c:spPr>
            <a:ln>
              <a:solidFill>
                <a:srgbClr val="39580D"/>
              </a:solidFill>
              <a:prstDash val="sysDash"/>
            </a:ln>
          </c:spPr>
          <c:marker>
            <c:symbol val="none"/>
          </c:marker>
          <c:cat>
            <c:strRef>
              <c:f>Sheet2!$A$40:$A$53</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Sheet2!$I$40:$I$53</c:f>
              <c:numCache>
                <c:formatCode>#,##0</c:formatCode>
                <c:ptCount val="14"/>
                <c:pt idx="0">
                  <c:v>1720055</c:v>
                </c:pt>
                <c:pt idx="1">
                  <c:v>1707945</c:v>
                </c:pt>
                <c:pt idx="2">
                  <c:v>1894583</c:v>
                </c:pt>
                <c:pt idx="3">
                  <c:v>2072612</c:v>
                </c:pt>
                <c:pt idx="4">
                  <c:v>2065629</c:v>
                </c:pt>
                <c:pt idx="5">
                  <c:v>1942404</c:v>
                </c:pt>
                <c:pt idx="6">
                  <c:v>1515265</c:v>
                </c:pt>
                <c:pt idx="7">
                  <c:v>1557424</c:v>
                </c:pt>
                <c:pt idx="8">
                  <c:v>1851611</c:v>
                </c:pt>
                <c:pt idx="9">
                  <c:v>1722995</c:v>
                </c:pt>
                <c:pt idx="10">
                  <c:v>1350741</c:v>
                </c:pt>
                <c:pt idx="11">
                  <c:v>1276986</c:v>
                </c:pt>
                <c:pt idx="12">
                  <c:v>870332</c:v>
                </c:pt>
                <c:pt idx="13">
                  <c:v>719163</c:v>
                </c:pt>
              </c:numCache>
            </c:numRef>
          </c:val>
          <c:smooth val="0"/>
        </c:ser>
        <c:dLbls>
          <c:showLegendKey val="0"/>
          <c:showVal val="0"/>
          <c:showCatName val="0"/>
          <c:showSerName val="0"/>
          <c:showPercent val="0"/>
          <c:showBubbleSize val="0"/>
        </c:dLbls>
        <c:marker val="1"/>
        <c:smooth val="0"/>
        <c:axId val="195084288"/>
        <c:axId val="195085824"/>
      </c:lineChart>
      <c:catAx>
        <c:axId val="195084288"/>
        <c:scaling>
          <c:orientation val="minMax"/>
        </c:scaling>
        <c:delete val="0"/>
        <c:axPos val="b"/>
        <c:numFmt formatCode="yy\-yy" sourceLinked="0"/>
        <c:majorTickMark val="out"/>
        <c:minorTickMark val="none"/>
        <c:tickLblPos val="nextTo"/>
        <c:txPr>
          <a:bodyPr/>
          <a:lstStyle/>
          <a:p>
            <a:pPr>
              <a:defRPr sz="800">
                <a:latin typeface="Arial" pitchFamily="34" charset="0"/>
                <a:cs typeface="Arial" pitchFamily="34" charset="0"/>
              </a:defRPr>
            </a:pPr>
            <a:endParaRPr lang="en-US"/>
          </a:p>
        </c:txPr>
        <c:crossAx val="195085824"/>
        <c:crosses val="autoZero"/>
        <c:auto val="1"/>
        <c:lblAlgn val="ctr"/>
        <c:lblOffset val="100"/>
        <c:noMultiLvlLbl val="0"/>
      </c:catAx>
      <c:valAx>
        <c:axId val="195085824"/>
        <c:scaling>
          <c:orientation val="minMax"/>
        </c:scaling>
        <c:delete val="0"/>
        <c:axPos val="l"/>
        <c:majorGridlines>
          <c:spPr>
            <a:ln>
              <a:noFill/>
            </a:ln>
          </c:spPr>
        </c:majorGridlines>
        <c:numFmt formatCode="#,##0.0" sourceLinked="0"/>
        <c:majorTickMark val="out"/>
        <c:minorTickMark val="none"/>
        <c:tickLblPos val="nextTo"/>
        <c:txPr>
          <a:bodyPr/>
          <a:lstStyle/>
          <a:p>
            <a:pPr>
              <a:defRPr sz="800">
                <a:latin typeface="Arial" pitchFamily="34" charset="0"/>
                <a:cs typeface="Arial" pitchFamily="34" charset="0"/>
              </a:defRPr>
            </a:pPr>
            <a:endParaRPr lang="en-US"/>
          </a:p>
        </c:txPr>
        <c:crossAx val="195084288"/>
        <c:crosses val="autoZero"/>
        <c:crossBetween val="between"/>
        <c:dispUnits>
          <c:builtInUnit val="millions"/>
        </c:dispUnits>
      </c:valAx>
    </c:plotArea>
    <c:plotVisOnly val="1"/>
    <c:dispBlanksAs val="gap"/>
    <c:showDLblsOverMax val="0"/>
  </c:chart>
  <c:spPr>
    <a:ln>
      <a:noFill/>
    </a:ln>
  </c:sp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Sheet2!$B$55</c:f>
              <c:strCache>
                <c:ptCount val="1"/>
                <c:pt idx="0">
                  <c:v>Bell Bay</c:v>
                </c:pt>
              </c:strCache>
            </c:strRef>
          </c:tx>
          <c:spPr>
            <a:ln>
              <a:solidFill>
                <a:srgbClr val="78A22F"/>
              </a:solidFill>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Sheet2!$B$57:$B$70</c:f>
              <c:numCache>
                <c:formatCode>#,##0</c:formatCode>
                <c:ptCount val="14"/>
                <c:pt idx="0">
                  <c:v>23448</c:v>
                </c:pt>
                <c:pt idx="1">
                  <c:v>34572</c:v>
                </c:pt>
                <c:pt idx="2">
                  <c:v>48804</c:v>
                </c:pt>
                <c:pt idx="3">
                  <c:v>70504</c:v>
                </c:pt>
                <c:pt idx="4">
                  <c:v>88202</c:v>
                </c:pt>
                <c:pt idx="5">
                  <c:v>95023</c:v>
                </c:pt>
                <c:pt idx="6">
                  <c:v>88990</c:v>
                </c:pt>
                <c:pt idx="7">
                  <c:v>89300</c:v>
                </c:pt>
                <c:pt idx="8">
                  <c:v>89458</c:v>
                </c:pt>
                <c:pt idx="9">
                  <c:v>91926</c:v>
                </c:pt>
                <c:pt idx="10">
                  <c:v>46363</c:v>
                </c:pt>
                <c:pt idx="11">
                  <c:v>47690</c:v>
                </c:pt>
                <c:pt idx="12">
                  <c:v>5885</c:v>
                </c:pt>
                <c:pt idx="13">
                  <c:v>1283</c:v>
                </c:pt>
              </c:numCache>
            </c:numRef>
          </c:val>
          <c:smooth val="0"/>
        </c:ser>
        <c:ser>
          <c:idx val="2"/>
          <c:order val="1"/>
          <c:tx>
            <c:strRef>
              <c:f>Sheet2!$D$55</c:f>
              <c:strCache>
                <c:ptCount val="1"/>
                <c:pt idx="0">
                  <c:v>Devonport</c:v>
                </c:pt>
              </c:strCache>
            </c:strRef>
          </c:tx>
          <c:spPr>
            <a:ln>
              <a:solidFill>
                <a:srgbClr val="344893"/>
              </a:solidFill>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Sheet2!$D$57:$D$70</c:f>
              <c:numCache>
                <c:formatCode>#,##0</c:formatCode>
                <c:ptCount val="14"/>
                <c:pt idx="0">
                  <c:v>127802</c:v>
                </c:pt>
                <c:pt idx="1">
                  <c:v>129117</c:v>
                </c:pt>
                <c:pt idx="2">
                  <c:v>138786</c:v>
                </c:pt>
                <c:pt idx="3">
                  <c:v>149985</c:v>
                </c:pt>
                <c:pt idx="4">
                  <c:v>165911</c:v>
                </c:pt>
                <c:pt idx="5">
                  <c:v>172712</c:v>
                </c:pt>
                <c:pt idx="6">
                  <c:v>166097</c:v>
                </c:pt>
                <c:pt idx="7">
                  <c:v>156464</c:v>
                </c:pt>
                <c:pt idx="8">
                  <c:v>171036</c:v>
                </c:pt>
                <c:pt idx="9">
                  <c:v>169064</c:v>
                </c:pt>
                <c:pt idx="10">
                  <c:v>184742</c:v>
                </c:pt>
                <c:pt idx="11">
                  <c:v>184041</c:v>
                </c:pt>
                <c:pt idx="12">
                  <c:v>200695</c:v>
                </c:pt>
                <c:pt idx="13">
                  <c:v>196127</c:v>
                </c:pt>
              </c:numCache>
            </c:numRef>
          </c:val>
          <c:smooth val="0"/>
        </c:ser>
        <c:ser>
          <c:idx val="4"/>
          <c:order val="2"/>
          <c:tx>
            <c:strRef>
              <c:f>Sheet2!$F$55</c:f>
              <c:strCache>
                <c:ptCount val="1"/>
                <c:pt idx="0">
                  <c:v>Burnie</c:v>
                </c:pt>
              </c:strCache>
            </c:strRef>
          </c:tx>
          <c:spPr>
            <a:ln>
              <a:solidFill>
                <a:srgbClr val="787878"/>
              </a:solidFill>
              <a:prstDash val="sysDash"/>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Sheet2!$F$57:$F$70</c:f>
              <c:numCache>
                <c:formatCode>#,##0</c:formatCode>
                <c:ptCount val="14"/>
                <c:pt idx="0">
                  <c:v>139519</c:v>
                </c:pt>
                <c:pt idx="1">
                  <c:v>140572</c:v>
                </c:pt>
                <c:pt idx="2">
                  <c:v>141483</c:v>
                </c:pt>
                <c:pt idx="3">
                  <c:v>153822</c:v>
                </c:pt>
                <c:pt idx="4">
                  <c:v>166954</c:v>
                </c:pt>
                <c:pt idx="5">
                  <c:v>181979</c:v>
                </c:pt>
                <c:pt idx="6">
                  <c:v>194506</c:v>
                </c:pt>
                <c:pt idx="7">
                  <c:v>204028</c:v>
                </c:pt>
                <c:pt idx="8">
                  <c:v>227237</c:v>
                </c:pt>
                <c:pt idx="9">
                  <c:v>213195</c:v>
                </c:pt>
                <c:pt idx="10">
                  <c:v>229851</c:v>
                </c:pt>
                <c:pt idx="11">
                  <c:v>231615</c:v>
                </c:pt>
                <c:pt idx="12">
                  <c:v>242284</c:v>
                </c:pt>
                <c:pt idx="13">
                  <c:v>253833</c:v>
                </c:pt>
              </c:numCache>
            </c:numRef>
          </c:val>
          <c:smooth val="0"/>
        </c:ser>
        <c:ser>
          <c:idx val="6"/>
          <c:order val="3"/>
          <c:tx>
            <c:v>Hobart</c:v>
          </c:tx>
          <c:spPr>
            <a:ln>
              <a:solidFill>
                <a:srgbClr val="39580D"/>
              </a:solidFill>
              <a:prstDash val="sysDash"/>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Sheet2!$H$57:$H$70</c:f>
              <c:numCache>
                <c:formatCode>#,##0</c:formatCode>
                <c:ptCount val="14"/>
                <c:pt idx="0">
                  <c:v>2099</c:v>
                </c:pt>
                <c:pt idx="1">
                  <c:v>1682</c:v>
                </c:pt>
                <c:pt idx="2">
                  <c:v>654</c:v>
                </c:pt>
                <c:pt idx="3">
                  <c:v>723</c:v>
                </c:pt>
                <c:pt idx="4">
                  <c:v>3466</c:v>
                </c:pt>
                <c:pt idx="5">
                  <c:v>2991</c:v>
                </c:pt>
                <c:pt idx="6">
                  <c:v>480</c:v>
                </c:pt>
                <c:pt idx="7">
                  <c:v>628</c:v>
                </c:pt>
                <c:pt idx="8">
                  <c:v>3754</c:v>
                </c:pt>
                <c:pt idx="9">
                  <c:v>0</c:v>
                </c:pt>
                <c:pt idx="10">
                  <c:v>1</c:v>
                </c:pt>
                <c:pt idx="11">
                  <c:v>1</c:v>
                </c:pt>
                <c:pt idx="12">
                  <c:v>0</c:v>
                </c:pt>
                <c:pt idx="13">
                  <c:v>0</c:v>
                </c:pt>
              </c:numCache>
            </c:numRef>
          </c:val>
          <c:smooth val="0"/>
        </c:ser>
        <c:dLbls>
          <c:showLegendKey val="0"/>
          <c:showVal val="0"/>
          <c:showCatName val="0"/>
          <c:showSerName val="0"/>
          <c:showPercent val="0"/>
          <c:showBubbleSize val="0"/>
        </c:dLbls>
        <c:marker val="1"/>
        <c:smooth val="0"/>
        <c:axId val="194859008"/>
        <c:axId val="194860544"/>
      </c:lineChart>
      <c:catAx>
        <c:axId val="194859008"/>
        <c:scaling>
          <c:orientation val="minMax"/>
        </c:scaling>
        <c:delete val="0"/>
        <c:axPos val="b"/>
        <c:majorTickMark val="out"/>
        <c:minorTickMark val="none"/>
        <c:tickLblPos val="nextTo"/>
        <c:txPr>
          <a:bodyPr/>
          <a:lstStyle/>
          <a:p>
            <a:pPr>
              <a:defRPr sz="800">
                <a:latin typeface="Arial" pitchFamily="34" charset="0"/>
                <a:cs typeface="Arial" pitchFamily="34" charset="0"/>
              </a:defRPr>
            </a:pPr>
            <a:endParaRPr lang="en-US"/>
          </a:p>
        </c:txPr>
        <c:crossAx val="194860544"/>
        <c:crosses val="autoZero"/>
        <c:auto val="1"/>
        <c:lblAlgn val="ctr"/>
        <c:lblOffset val="100"/>
        <c:noMultiLvlLbl val="0"/>
      </c:catAx>
      <c:valAx>
        <c:axId val="194860544"/>
        <c:scaling>
          <c:orientation val="minMax"/>
        </c:scaling>
        <c:delete val="0"/>
        <c:axPos val="l"/>
        <c:majorGridlines>
          <c:spPr>
            <a:ln>
              <a:noFill/>
            </a:ln>
          </c:spPr>
        </c:majorGridlines>
        <c:numFmt formatCode="#,##0" sourceLinked="1"/>
        <c:majorTickMark val="out"/>
        <c:minorTickMark val="none"/>
        <c:tickLblPos val="nextTo"/>
        <c:txPr>
          <a:bodyPr/>
          <a:lstStyle/>
          <a:p>
            <a:pPr>
              <a:defRPr sz="800">
                <a:latin typeface="Arial" pitchFamily="34" charset="0"/>
                <a:cs typeface="Arial" pitchFamily="34" charset="0"/>
              </a:defRPr>
            </a:pPr>
            <a:endParaRPr lang="en-US"/>
          </a:p>
        </c:txPr>
        <c:crossAx val="194859008"/>
        <c:crosses val="autoZero"/>
        <c:crossBetween val="between"/>
        <c:dispUnits>
          <c:builtInUnit val="thousands"/>
        </c:dispUnits>
      </c:valAx>
    </c:plotArea>
    <c:plotVisOnly val="1"/>
    <c:dispBlanksAs val="gap"/>
    <c:showDLblsOverMax val="0"/>
  </c:chart>
  <c:spPr>
    <a:ln>
      <a:noFill/>
    </a:ln>
  </c:spPr>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tx>
            <c:strRef>
              <c:f>Sheet2!$B$55</c:f>
              <c:strCache>
                <c:ptCount val="1"/>
                <c:pt idx="0">
                  <c:v>Bell Bay</c:v>
                </c:pt>
              </c:strCache>
            </c:strRef>
          </c:tx>
          <c:spPr>
            <a:ln>
              <a:solidFill>
                <a:srgbClr val="78A22F"/>
              </a:solidFill>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Sheet2!$C$57:$C$70</c:f>
              <c:numCache>
                <c:formatCode>#,##0</c:formatCode>
                <c:ptCount val="14"/>
                <c:pt idx="0">
                  <c:v>4323774</c:v>
                </c:pt>
                <c:pt idx="1">
                  <c:v>4809926</c:v>
                </c:pt>
                <c:pt idx="2">
                  <c:v>4741997</c:v>
                </c:pt>
                <c:pt idx="3">
                  <c:v>5297470</c:v>
                </c:pt>
                <c:pt idx="4">
                  <c:v>5286847</c:v>
                </c:pt>
                <c:pt idx="5">
                  <c:v>6047520</c:v>
                </c:pt>
                <c:pt idx="6">
                  <c:v>4937313</c:v>
                </c:pt>
                <c:pt idx="7">
                  <c:v>5246972</c:v>
                </c:pt>
                <c:pt idx="8">
                  <c:v>5512592</c:v>
                </c:pt>
                <c:pt idx="9">
                  <c:v>4704318</c:v>
                </c:pt>
                <c:pt idx="10">
                  <c:v>3785090</c:v>
                </c:pt>
                <c:pt idx="11">
                  <c:v>4034251</c:v>
                </c:pt>
                <c:pt idx="12">
                  <c:v>2332857</c:v>
                </c:pt>
                <c:pt idx="13">
                  <c:v>2416727</c:v>
                </c:pt>
              </c:numCache>
            </c:numRef>
          </c:val>
          <c:smooth val="0"/>
        </c:ser>
        <c:ser>
          <c:idx val="3"/>
          <c:order val="1"/>
          <c:tx>
            <c:strRef>
              <c:f>Sheet2!$D$55</c:f>
              <c:strCache>
                <c:ptCount val="1"/>
                <c:pt idx="0">
                  <c:v>Devonport</c:v>
                </c:pt>
              </c:strCache>
            </c:strRef>
          </c:tx>
          <c:spPr>
            <a:ln>
              <a:solidFill>
                <a:srgbClr val="344893"/>
              </a:solidFill>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Sheet2!$E$57:$E$70</c:f>
              <c:numCache>
                <c:formatCode>#,##0</c:formatCode>
                <c:ptCount val="14"/>
                <c:pt idx="0">
                  <c:v>2857664</c:v>
                </c:pt>
                <c:pt idx="1">
                  <c:v>2811157</c:v>
                </c:pt>
                <c:pt idx="2">
                  <c:v>3039123</c:v>
                </c:pt>
                <c:pt idx="3">
                  <c:v>3154686</c:v>
                </c:pt>
                <c:pt idx="4">
                  <c:v>3195466</c:v>
                </c:pt>
                <c:pt idx="5">
                  <c:v>3202534</c:v>
                </c:pt>
                <c:pt idx="6">
                  <c:v>3140072</c:v>
                </c:pt>
                <c:pt idx="7">
                  <c:v>3122949</c:v>
                </c:pt>
                <c:pt idx="8">
                  <c:v>3263888</c:v>
                </c:pt>
                <c:pt idx="9">
                  <c:v>3192607</c:v>
                </c:pt>
                <c:pt idx="10">
                  <c:v>3267041</c:v>
                </c:pt>
                <c:pt idx="11">
                  <c:v>3203031</c:v>
                </c:pt>
                <c:pt idx="12">
                  <c:v>3357326</c:v>
                </c:pt>
                <c:pt idx="13">
                  <c:v>3454799</c:v>
                </c:pt>
              </c:numCache>
            </c:numRef>
          </c:val>
          <c:smooth val="0"/>
        </c:ser>
        <c:ser>
          <c:idx val="5"/>
          <c:order val="2"/>
          <c:tx>
            <c:strRef>
              <c:f>Sheet2!$F$55</c:f>
              <c:strCache>
                <c:ptCount val="1"/>
                <c:pt idx="0">
                  <c:v>Burnie</c:v>
                </c:pt>
              </c:strCache>
            </c:strRef>
          </c:tx>
          <c:spPr>
            <a:ln>
              <a:solidFill>
                <a:srgbClr val="787878"/>
              </a:solidFill>
              <a:prstDash val="sysDash"/>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Sheet2!$G$57:$G$70</c:f>
              <c:numCache>
                <c:formatCode>#,##0</c:formatCode>
                <c:ptCount val="14"/>
                <c:pt idx="0">
                  <c:v>3710674</c:v>
                </c:pt>
                <c:pt idx="1">
                  <c:v>3481570</c:v>
                </c:pt>
                <c:pt idx="2">
                  <c:v>3768800</c:v>
                </c:pt>
                <c:pt idx="3">
                  <c:v>3883532</c:v>
                </c:pt>
                <c:pt idx="4">
                  <c:v>4182363</c:v>
                </c:pt>
                <c:pt idx="5">
                  <c:v>4063434</c:v>
                </c:pt>
                <c:pt idx="6">
                  <c:v>4150722</c:v>
                </c:pt>
                <c:pt idx="7">
                  <c:v>4277443</c:v>
                </c:pt>
                <c:pt idx="8">
                  <c:v>4457061</c:v>
                </c:pt>
                <c:pt idx="9">
                  <c:v>4166374</c:v>
                </c:pt>
                <c:pt idx="10">
                  <c:v>4101839</c:v>
                </c:pt>
                <c:pt idx="11">
                  <c:v>3980242</c:v>
                </c:pt>
                <c:pt idx="12">
                  <c:v>3744349</c:v>
                </c:pt>
                <c:pt idx="13">
                  <c:v>3636605</c:v>
                </c:pt>
              </c:numCache>
            </c:numRef>
          </c:val>
          <c:smooth val="0"/>
        </c:ser>
        <c:ser>
          <c:idx val="7"/>
          <c:order val="3"/>
          <c:tx>
            <c:strRef>
              <c:f>Sheet2!$H$55</c:f>
              <c:strCache>
                <c:ptCount val="1"/>
                <c:pt idx="0">
                  <c:v>Hobart</c:v>
                </c:pt>
              </c:strCache>
            </c:strRef>
          </c:tx>
          <c:spPr>
            <a:ln>
              <a:solidFill>
                <a:srgbClr val="39580D"/>
              </a:solidFill>
              <a:prstDash val="sysDash"/>
            </a:ln>
          </c:spPr>
          <c:marker>
            <c:symbol val="none"/>
          </c:marker>
          <c:cat>
            <c:strRef>
              <c:f>Sheet2!$A$57:$A$70</c:f>
              <c:strCache>
                <c:ptCount val="14"/>
                <c:pt idx="0">
                  <c:v>1999-00</c:v>
                </c:pt>
                <c:pt idx="1">
                  <c:v>2000-01</c:v>
                </c:pt>
                <c:pt idx="2">
                  <c:v>2001-02</c:v>
                </c:pt>
                <c:pt idx="3">
                  <c:v>2002-03</c:v>
                </c:pt>
                <c:pt idx="4">
                  <c:v>2003-04</c:v>
                </c:pt>
                <c:pt idx="5">
                  <c:v>2004-05</c:v>
                </c:pt>
                <c:pt idx="6">
                  <c:v>2005-06</c:v>
                </c:pt>
                <c:pt idx="7">
                  <c:v>2006-07</c:v>
                </c:pt>
                <c:pt idx="8">
                  <c:v>2007-08</c:v>
                </c:pt>
                <c:pt idx="9">
                  <c:v>2008-09</c:v>
                </c:pt>
                <c:pt idx="10">
                  <c:v>2009-10</c:v>
                </c:pt>
                <c:pt idx="11">
                  <c:v>2010-11</c:v>
                </c:pt>
                <c:pt idx="12">
                  <c:v>2011-12</c:v>
                </c:pt>
                <c:pt idx="13">
                  <c:v>2012-13</c:v>
                </c:pt>
              </c:strCache>
            </c:strRef>
          </c:cat>
          <c:val>
            <c:numRef>
              <c:f>Sheet2!$I$57:$I$70</c:f>
              <c:numCache>
                <c:formatCode>#,##0</c:formatCode>
                <c:ptCount val="14"/>
                <c:pt idx="0">
                  <c:v>2607125</c:v>
                </c:pt>
                <c:pt idx="1">
                  <c:v>2611957</c:v>
                </c:pt>
                <c:pt idx="2">
                  <c:v>3020187</c:v>
                </c:pt>
                <c:pt idx="3">
                  <c:v>3112201</c:v>
                </c:pt>
                <c:pt idx="4">
                  <c:v>3189026</c:v>
                </c:pt>
                <c:pt idx="5">
                  <c:v>3086640</c:v>
                </c:pt>
                <c:pt idx="6">
                  <c:v>2566506</c:v>
                </c:pt>
                <c:pt idx="7">
                  <c:v>2548060</c:v>
                </c:pt>
                <c:pt idx="8">
                  <c:v>2988992</c:v>
                </c:pt>
                <c:pt idx="9">
                  <c:v>2791031</c:v>
                </c:pt>
                <c:pt idx="10">
                  <c:v>2271373</c:v>
                </c:pt>
                <c:pt idx="11">
                  <c:v>2320500</c:v>
                </c:pt>
                <c:pt idx="12">
                  <c:v>1780401</c:v>
                </c:pt>
                <c:pt idx="13">
                  <c:v>1714913</c:v>
                </c:pt>
              </c:numCache>
            </c:numRef>
          </c:val>
          <c:smooth val="0"/>
        </c:ser>
        <c:dLbls>
          <c:showLegendKey val="0"/>
          <c:showVal val="0"/>
          <c:showCatName val="0"/>
          <c:showSerName val="0"/>
          <c:showPercent val="0"/>
          <c:showBubbleSize val="0"/>
        </c:dLbls>
        <c:marker val="1"/>
        <c:smooth val="0"/>
        <c:axId val="194895872"/>
        <c:axId val="194897408"/>
      </c:lineChart>
      <c:catAx>
        <c:axId val="194895872"/>
        <c:scaling>
          <c:orientation val="minMax"/>
        </c:scaling>
        <c:delete val="0"/>
        <c:axPos val="b"/>
        <c:majorTickMark val="out"/>
        <c:minorTickMark val="none"/>
        <c:tickLblPos val="nextTo"/>
        <c:txPr>
          <a:bodyPr/>
          <a:lstStyle/>
          <a:p>
            <a:pPr>
              <a:defRPr sz="800">
                <a:latin typeface="Arial" pitchFamily="34" charset="0"/>
                <a:cs typeface="Arial" pitchFamily="34" charset="0"/>
              </a:defRPr>
            </a:pPr>
            <a:endParaRPr lang="en-US"/>
          </a:p>
        </c:txPr>
        <c:crossAx val="194897408"/>
        <c:crosses val="autoZero"/>
        <c:auto val="1"/>
        <c:lblAlgn val="ctr"/>
        <c:lblOffset val="100"/>
        <c:noMultiLvlLbl val="0"/>
      </c:catAx>
      <c:valAx>
        <c:axId val="194897408"/>
        <c:scaling>
          <c:orientation val="minMax"/>
        </c:scaling>
        <c:delete val="0"/>
        <c:axPos val="l"/>
        <c:majorGridlines>
          <c:spPr>
            <a:ln>
              <a:noFill/>
            </a:ln>
          </c:spPr>
        </c:majorGridlines>
        <c:numFmt formatCode="#,##0.0" sourceLinked="0"/>
        <c:majorTickMark val="out"/>
        <c:minorTickMark val="none"/>
        <c:tickLblPos val="nextTo"/>
        <c:txPr>
          <a:bodyPr/>
          <a:lstStyle/>
          <a:p>
            <a:pPr>
              <a:defRPr sz="800">
                <a:latin typeface="Arial" pitchFamily="34" charset="0"/>
                <a:cs typeface="Arial" pitchFamily="34" charset="0"/>
              </a:defRPr>
            </a:pPr>
            <a:endParaRPr lang="en-US"/>
          </a:p>
        </c:txPr>
        <c:crossAx val="194895872"/>
        <c:crosses val="autoZero"/>
        <c:crossBetween val="between"/>
        <c:dispUnits>
          <c:builtInUnit val="millions"/>
        </c:dispUnits>
      </c:valAx>
    </c:plotArea>
    <c:plotVisOnly val="1"/>
    <c:dispBlanksAs val="gap"/>
    <c:showDLblsOverMax val="0"/>
  </c:chart>
  <c:spPr>
    <a:ln>
      <a:noFill/>
    </a:ln>
  </c:spPr>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manualLayout>
          <c:layoutTarget val="inner"/>
          <c:xMode val="edge"/>
          <c:yMode val="edge"/>
          <c:x val="6.2331139088897307E-2"/>
          <c:y val="4.1666666666666664E-2"/>
          <c:w val="0.91152507006142947"/>
          <c:h val="0.82092788117394422"/>
        </c:manualLayout>
      </c:layout>
      <c:barChart>
        <c:barDir val="col"/>
        <c:grouping val="clustered"/>
        <c:varyColors val="0"/>
        <c:ser>
          <c:idx val="0"/>
          <c:order val="0"/>
          <c:tx>
            <c:strRef>
              <c:f>'fig 5.1'!$D$8</c:f>
              <c:strCache>
                <c:ptCount val="1"/>
                <c:pt idx="0">
                  <c:v>2008-09</c:v>
                </c:pt>
              </c:strCache>
            </c:strRef>
          </c:tx>
          <c:spPr>
            <a:solidFill>
              <a:srgbClr val="78A22F"/>
            </a:solidFill>
          </c:spPr>
          <c:invertIfNegative val="0"/>
          <c:cat>
            <c:strRef>
              <c:f>'fig 5.1'!$C$9:$C$13</c:f>
              <c:strCache>
                <c:ptCount val="5"/>
                <c:pt idx="0">
                  <c:v>Forestry</c:v>
                </c:pt>
                <c:pt idx="1">
                  <c:v>Construction materials</c:v>
                </c:pt>
                <c:pt idx="2">
                  <c:v>Agriculture</c:v>
                </c:pt>
                <c:pt idx="3">
                  <c:v>Consumer goods</c:v>
                </c:pt>
                <c:pt idx="4">
                  <c:v>Mining</c:v>
                </c:pt>
              </c:strCache>
            </c:strRef>
          </c:cat>
          <c:val>
            <c:numRef>
              <c:f>'fig 5.1'!$D$9:$D$13</c:f>
              <c:numCache>
                <c:formatCode>General</c:formatCode>
                <c:ptCount val="5"/>
                <c:pt idx="0">
                  <c:v>9.3000000000000007</c:v>
                </c:pt>
                <c:pt idx="1">
                  <c:v>6.7</c:v>
                </c:pt>
                <c:pt idx="2">
                  <c:v>4.7</c:v>
                </c:pt>
                <c:pt idx="3">
                  <c:v>2.2999999999999998</c:v>
                </c:pt>
                <c:pt idx="4">
                  <c:v>1.1000000000000001</c:v>
                </c:pt>
              </c:numCache>
            </c:numRef>
          </c:val>
        </c:ser>
        <c:ser>
          <c:idx val="1"/>
          <c:order val="1"/>
          <c:tx>
            <c:strRef>
              <c:f>'fig 5.1'!$E$8</c:f>
              <c:strCache>
                <c:ptCount val="1"/>
                <c:pt idx="0">
                  <c:v>2011-12</c:v>
                </c:pt>
              </c:strCache>
            </c:strRef>
          </c:tx>
          <c:spPr>
            <a:solidFill>
              <a:srgbClr val="344893"/>
            </a:solidFill>
          </c:spPr>
          <c:invertIfNegative val="0"/>
          <c:cat>
            <c:strRef>
              <c:f>'fig 5.1'!$C$9:$C$13</c:f>
              <c:strCache>
                <c:ptCount val="5"/>
                <c:pt idx="0">
                  <c:v>Forestry</c:v>
                </c:pt>
                <c:pt idx="1">
                  <c:v>Construction materials</c:v>
                </c:pt>
                <c:pt idx="2">
                  <c:v>Agriculture</c:v>
                </c:pt>
                <c:pt idx="3">
                  <c:v>Consumer goods</c:v>
                </c:pt>
                <c:pt idx="4">
                  <c:v>Mining</c:v>
                </c:pt>
              </c:strCache>
            </c:strRef>
          </c:cat>
          <c:val>
            <c:numRef>
              <c:f>'fig 5.1'!$E$9:$E$13</c:f>
              <c:numCache>
                <c:formatCode>General</c:formatCode>
                <c:ptCount val="5"/>
                <c:pt idx="0">
                  <c:v>3.4</c:v>
                </c:pt>
                <c:pt idx="1">
                  <c:v>6.3</c:v>
                </c:pt>
                <c:pt idx="2">
                  <c:v>4.7</c:v>
                </c:pt>
                <c:pt idx="3">
                  <c:v>2</c:v>
                </c:pt>
                <c:pt idx="4">
                  <c:v>1.4</c:v>
                </c:pt>
              </c:numCache>
            </c:numRef>
          </c:val>
        </c:ser>
        <c:dLbls>
          <c:showLegendKey val="0"/>
          <c:showVal val="0"/>
          <c:showCatName val="0"/>
          <c:showSerName val="0"/>
          <c:showPercent val="0"/>
          <c:showBubbleSize val="0"/>
        </c:dLbls>
        <c:gapWidth val="150"/>
        <c:axId val="194938368"/>
        <c:axId val="194939904"/>
      </c:barChart>
      <c:catAx>
        <c:axId val="194938368"/>
        <c:scaling>
          <c:orientation val="minMax"/>
        </c:scaling>
        <c:delete val="0"/>
        <c:axPos val="b"/>
        <c:majorTickMark val="out"/>
        <c:minorTickMark val="none"/>
        <c:tickLblPos val="nextTo"/>
        <c:txPr>
          <a:bodyPr/>
          <a:lstStyle/>
          <a:p>
            <a:pPr>
              <a:defRPr baseline="0">
                <a:latin typeface="Arial" pitchFamily="34" charset="0"/>
              </a:defRPr>
            </a:pPr>
            <a:endParaRPr lang="en-US"/>
          </a:p>
        </c:txPr>
        <c:crossAx val="194939904"/>
        <c:crosses val="autoZero"/>
        <c:auto val="1"/>
        <c:lblAlgn val="ctr"/>
        <c:lblOffset val="100"/>
        <c:noMultiLvlLbl val="0"/>
      </c:catAx>
      <c:valAx>
        <c:axId val="194939904"/>
        <c:scaling>
          <c:orientation val="minMax"/>
        </c:scaling>
        <c:delete val="0"/>
        <c:axPos val="l"/>
        <c:majorGridlines>
          <c:spPr>
            <a:ln>
              <a:noFill/>
            </a:ln>
          </c:spPr>
        </c:majorGridlines>
        <c:numFmt formatCode="General" sourceLinked="1"/>
        <c:majorTickMark val="out"/>
        <c:minorTickMark val="none"/>
        <c:tickLblPos val="nextTo"/>
        <c:txPr>
          <a:bodyPr/>
          <a:lstStyle/>
          <a:p>
            <a:pPr>
              <a:defRPr baseline="0">
                <a:latin typeface="Arial" pitchFamily="34" charset="0"/>
              </a:defRPr>
            </a:pPr>
            <a:endParaRPr lang="en-US"/>
          </a:p>
        </c:txPr>
        <c:crossAx val="194938368"/>
        <c:crosses val="autoZero"/>
        <c:crossBetween val="between"/>
        <c:majorUnit val="2"/>
      </c:valAx>
    </c:plotArea>
    <c:legend>
      <c:legendPos val="b"/>
      <c:layout>
        <c:manualLayout>
          <c:xMode val="edge"/>
          <c:yMode val="edge"/>
          <c:x val="0.44272853593835532"/>
          <c:y val="9.0669589596754932E-2"/>
          <c:w val="0.26665225670320619"/>
          <c:h val="6.4633440706275358E-2"/>
        </c:manualLayout>
      </c:layout>
      <c:overlay val="0"/>
      <c:txPr>
        <a:bodyPr/>
        <a:lstStyle/>
        <a:p>
          <a:pPr>
            <a:defRPr baseline="0">
              <a:latin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726009330795795E-2"/>
          <c:y val="3.6348592630368375E-2"/>
          <c:w val="0.86869929633476461"/>
          <c:h val="0.79679183113738006"/>
        </c:manualLayout>
      </c:layout>
      <c:barChart>
        <c:barDir val="col"/>
        <c:grouping val="stacked"/>
        <c:varyColors val="0"/>
        <c:ser>
          <c:idx val="0"/>
          <c:order val="0"/>
          <c:tx>
            <c:strRef>
              <c:f>'Fig 5.3 revised'!$B$22</c:f>
              <c:strCache>
                <c:ptCount val="1"/>
                <c:pt idx="0">
                  <c:v> Australian Government</c:v>
                </c:pt>
              </c:strCache>
            </c:strRef>
          </c:tx>
          <c:spPr>
            <a:solidFill>
              <a:srgbClr val="78A22F"/>
            </a:solidFill>
            <a:ln w="19050">
              <a:solidFill>
                <a:srgbClr val="78A22F"/>
              </a:solidFill>
            </a:ln>
          </c:spPr>
          <c:invertIfNegative val="0"/>
          <c:cat>
            <c:strRef>
              <c:f>'Fig 5.3 revised'!$A$23:$A$36</c:f>
              <c:strCache>
                <c:ptCount val="14"/>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strCache>
            </c:strRef>
          </c:cat>
          <c:val>
            <c:numRef>
              <c:f>'Fig 5.3 revised'!$B$23:$B$36</c:f>
              <c:numCache>
                <c:formatCode>0</c:formatCode>
                <c:ptCount val="14"/>
                <c:pt idx="0">
                  <c:v>43.291524135309764</c:v>
                </c:pt>
                <c:pt idx="1">
                  <c:v>46.028744326777613</c:v>
                </c:pt>
                <c:pt idx="2">
                  <c:v>37.267582861762328</c:v>
                </c:pt>
                <c:pt idx="3">
                  <c:v>29.001751313485112</c:v>
                </c:pt>
                <c:pt idx="4">
                  <c:v>34.026622296173045</c:v>
                </c:pt>
                <c:pt idx="5">
                  <c:v>45.472312703583064</c:v>
                </c:pt>
                <c:pt idx="6">
                  <c:v>39.503904455672945</c:v>
                </c:pt>
                <c:pt idx="7">
                  <c:v>93.099730458221018</c:v>
                </c:pt>
                <c:pt idx="8">
                  <c:v>45.326850351161539</c:v>
                </c:pt>
                <c:pt idx="9">
                  <c:v>38.090692124105004</c:v>
                </c:pt>
                <c:pt idx="10">
                  <c:v>52.829243865798702</c:v>
                </c:pt>
                <c:pt idx="11">
                  <c:v>51.481135017149981</c:v>
                </c:pt>
                <c:pt idx="12">
                  <c:v>46.161548731642185</c:v>
                </c:pt>
                <c:pt idx="13">
                  <c:v>40.575079872204469</c:v>
                </c:pt>
              </c:numCache>
            </c:numRef>
          </c:val>
        </c:ser>
        <c:ser>
          <c:idx val="1"/>
          <c:order val="1"/>
          <c:tx>
            <c:strRef>
              <c:f>'Fig 5.3 revised'!$C$22</c:f>
              <c:strCache>
                <c:ptCount val="1"/>
                <c:pt idx="0">
                  <c:v> State</c:v>
                </c:pt>
              </c:strCache>
            </c:strRef>
          </c:tx>
          <c:spPr>
            <a:solidFill>
              <a:schemeClr val="bg1"/>
            </a:solidFill>
            <a:ln w="19050">
              <a:solidFill>
                <a:schemeClr val="bg1">
                  <a:lumMod val="75000"/>
                </a:schemeClr>
              </a:solidFill>
            </a:ln>
          </c:spPr>
          <c:invertIfNegative val="0"/>
          <c:cat>
            <c:strRef>
              <c:f>'Fig 5.3 revised'!$A$23:$A$36</c:f>
              <c:strCache>
                <c:ptCount val="14"/>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strCache>
            </c:strRef>
          </c:cat>
          <c:val>
            <c:numRef>
              <c:f>'Fig 5.3 revised'!$C$23:$C$36</c:f>
              <c:numCache>
                <c:formatCode>0</c:formatCode>
                <c:ptCount val="14"/>
                <c:pt idx="0">
                  <c:v>22.957050551121245</c:v>
                </c:pt>
                <c:pt idx="1">
                  <c:v>20.877458396369143</c:v>
                </c:pt>
                <c:pt idx="2">
                  <c:v>29.587712206952304</c:v>
                </c:pt>
                <c:pt idx="3">
                  <c:v>38.318739054290717</c:v>
                </c:pt>
                <c:pt idx="4">
                  <c:v>52.828618968386024</c:v>
                </c:pt>
                <c:pt idx="5">
                  <c:v>34.397394136807819</c:v>
                </c:pt>
                <c:pt idx="6">
                  <c:v>48.001837390904917</c:v>
                </c:pt>
                <c:pt idx="7">
                  <c:v>0</c:v>
                </c:pt>
                <c:pt idx="8">
                  <c:v>33.387358184764992</c:v>
                </c:pt>
                <c:pt idx="9">
                  <c:v>48.782816229116946</c:v>
                </c:pt>
                <c:pt idx="10">
                  <c:v>24.687030545818729</c:v>
                </c:pt>
                <c:pt idx="11">
                  <c:v>32.959151855316499</c:v>
                </c:pt>
                <c:pt idx="12">
                  <c:v>36.081441922563414</c:v>
                </c:pt>
                <c:pt idx="13">
                  <c:v>18.650159744408946</c:v>
                </c:pt>
              </c:numCache>
            </c:numRef>
          </c:val>
        </c:ser>
        <c:ser>
          <c:idx val="2"/>
          <c:order val="2"/>
          <c:tx>
            <c:strRef>
              <c:f>'Fig 5.3 revised'!$D$22</c:f>
              <c:strCache>
                <c:ptCount val="1"/>
                <c:pt idx="0">
                  <c:v> Local</c:v>
                </c:pt>
              </c:strCache>
            </c:strRef>
          </c:tx>
          <c:spPr>
            <a:solidFill>
              <a:srgbClr val="344893"/>
            </a:solidFill>
            <a:ln w="19050">
              <a:solidFill>
                <a:srgbClr val="344893"/>
              </a:solidFill>
              <a:prstDash val="solid"/>
            </a:ln>
          </c:spPr>
          <c:invertIfNegative val="0"/>
          <c:cat>
            <c:strRef>
              <c:f>'Fig 5.3 revised'!$A$23:$A$36</c:f>
              <c:strCache>
                <c:ptCount val="14"/>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strCache>
            </c:strRef>
          </c:cat>
          <c:val>
            <c:numRef>
              <c:f>'Fig 5.3 revised'!$D$23:$D$36</c:f>
              <c:numCache>
                <c:formatCode>0</c:formatCode>
                <c:ptCount val="14"/>
                <c:pt idx="0">
                  <c:v>33.751425313568987</c:v>
                </c:pt>
                <c:pt idx="1">
                  <c:v>33.093797276853252</c:v>
                </c:pt>
                <c:pt idx="2">
                  <c:v>33.185125303152788</c:v>
                </c:pt>
                <c:pt idx="3">
                  <c:v>32.644483362521889</c:v>
                </c:pt>
                <c:pt idx="4">
                  <c:v>13.144758735440931</c:v>
                </c:pt>
                <c:pt idx="5">
                  <c:v>20.065146579804562</c:v>
                </c:pt>
                <c:pt idx="6">
                  <c:v>12.494258153422141</c:v>
                </c:pt>
                <c:pt idx="7">
                  <c:v>7.7088948787062002</c:v>
                </c:pt>
                <c:pt idx="8">
                  <c:v>21.285791464073473</c:v>
                </c:pt>
                <c:pt idx="9">
                  <c:v>13.174224343675419</c:v>
                </c:pt>
                <c:pt idx="10">
                  <c:v>22.483725588382576</c:v>
                </c:pt>
                <c:pt idx="11">
                  <c:v>15.55971312753352</c:v>
                </c:pt>
                <c:pt idx="12">
                  <c:v>17.790387182910543</c:v>
                </c:pt>
                <c:pt idx="13">
                  <c:v>40.814696485623003</c:v>
                </c:pt>
              </c:numCache>
            </c:numRef>
          </c:val>
        </c:ser>
        <c:dLbls>
          <c:showLegendKey val="0"/>
          <c:showVal val="0"/>
          <c:showCatName val="0"/>
          <c:showSerName val="0"/>
          <c:showPercent val="0"/>
          <c:showBubbleSize val="0"/>
        </c:dLbls>
        <c:gapWidth val="150"/>
        <c:overlap val="100"/>
        <c:axId val="194316160"/>
        <c:axId val="194317696"/>
      </c:barChart>
      <c:lineChart>
        <c:grouping val="standard"/>
        <c:varyColors val="0"/>
        <c:ser>
          <c:idx val="3"/>
          <c:order val="3"/>
          <c:tx>
            <c:strRef>
              <c:f>'Fig 5.3 revised'!$H$22</c:f>
              <c:strCache>
                <c:ptCount val="1"/>
                <c:pt idx="0">
                  <c:v>Australian Government</c:v>
                </c:pt>
              </c:strCache>
            </c:strRef>
          </c:tx>
          <c:spPr>
            <a:ln w="25400">
              <a:solidFill>
                <a:schemeClr val="tx1"/>
              </a:solidFill>
              <a:prstDash val="solid"/>
            </a:ln>
          </c:spPr>
          <c:marker>
            <c:symbol val="none"/>
          </c:marker>
          <c:cat>
            <c:strRef>
              <c:f>'Fig 5.3 revised'!$A$23:$A$36</c:f>
              <c:strCache>
                <c:ptCount val="14"/>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strCache>
            </c:strRef>
          </c:cat>
          <c:val>
            <c:numRef>
              <c:f>'Fig 5.3 revised'!$H$23:$H$36</c:f>
              <c:numCache>
                <c:formatCode>0</c:formatCode>
                <c:ptCount val="14"/>
                <c:pt idx="0">
                  <c:v>24.699190360281044</c:v>
                </c:pt>
                <c:pt idx="1">
                  <c:v>22.887999332832958</c:v>
                </c:pt>
                <c:pt idx="2">
                  <c:v>18.705279443047768</c:v>
                </c:pt>
                <c:pt idx="3">
                  <c:v>23.409851945253983</c:v>
                </c:pt>
                <c:pt idx="4">
                  <c:v>21.741180909262404</c:v>
                </c:pt>
                <c:pt idx="5">
                  <c:v>22.601662346947897</c:v>
                </c:pt>
                <c:pt idx="6">
                  <c:v>23.432251780196157</c:v>
                </c:pt>
                <c:pt idx="7">
                  <c:v>48.867308074152966</c:v>
                </c:pt>
                <c:pt idx="8">
                  <c:v>25.580452651728407</c:v>
                </c:pt>
                <c:pt idx="9">
                  <c:v>20.407546177611252</c:v>
                </c:pt>
                <c:pt idx="10">
                  <c:v>31.495553668153462</c:v>
                </c:pt>
                <c:pt idx="11">
                  <c:v>33.096124881784959</c:v>
                </c:pt>
                <c:pt idx="12">
                  <c:v>22.944128220491312</c:v>
                </c:pt>
                <c:pt idx="13">
                  <c:v>39.296692354316384</c:v>
                </c:pt>
              </c:numCache>
            </c:numRef>
          </c:val>
          <c:smooth val="0"/>
        </c:ser>
        <c:dLbls>
          <c:showLegendKey val="0"/>
          <c:showVal val="0"/>
          <c:showCatName val="0"/>
          <c:showSerName val="0"/>
          <c:showPercent val="0"/>
          <c:showBubbleSize val="0"/>
        </c:dLbls>
        <c:marker val="1"/>
        <c:smooth val="0"/>
        <c:axId val="194316160"/>
        <c:axId val="194317696"/>
      </c:lineChart>
      <c:catAx>
        <c:axId val="194316160"/>
        <c:scaling>
          <c:orientation val="minMax"/>
        </c:scaling>
        <c:delete val="0"/>
        <c:axPos val="b"/>
        <c:majorTickMark val="out"/>
        <c:minorTickMark val="none"/>
        <c:tickLblPos val="nextTo"/>
        <c:txPr>
          <a:bodyPr/>
          <a:lstStyle/>
          <a:p>
            <a:pPr>
              <a:defRPr baseline="0"/>
            </a:pPr>
            <a:endParaRPr lang="en-US"/>
          </a:p>
        </c:txPr>
        <c:crossAx val="194317696"/>
        <c:crosses val="autoZero"/>
        <c:auto val="1"/>
        <c:lblAlgn val="ctr"/>
        <c:lblOffset val="100"/>
        <c:noMultiLvlLbl val="0"/>
      </c:catAx>
      <c:valAx>
        <c:axId val="194317696"/>
        <c:scaling>
          <c:orientation val="minMax"/>
          <c:max val="100"/>
          <c:min val="0"/>
        </c:scaling>
        <c:delete val="0"/>
        <c:axPos val="l"/>
        <c:majorGridlines>
          <c:spPr>
            <a:ln>
              <a:noFill/>
            </a:ln>
          </c:spPr>
        </c:majorGridlines>
        <c:numFmt formatCode="0" sourceLinked="1"/>
        <c:majorTickMark val="out"/>
        <c:minorTickMark val="none"/>
        <c:tickLblPos val="nextTo"/>
        <c:txPr>
          <a:bodyPr/>
          <a:lstStyle/>
          <a:p>
            <a:pPr>
              <a:defRPr baseline="0"/>
            </a:pPr>
            <a:endParaRPr lang="en-US"/>
          </a:p>
        </c:txPr>
        <c:crossAx val="194316160"/>
        <c:crosses val="autoZero"/>
        <c:crossBetween val="between"/>
        <c:majorUnit val="20"/>
      </c:valAx>
    </c:plotArea>
    <c:plotVisOnly val="1"/>
    <c:dispBlanksAs val="gap"/>
    <c:showDLblsOverMax val="0"/>
  </c:chart>
  <c:spPr>
    <a:ln>
      <a:noFill/>
    </a:ln>
  </c:spPr>
  <c:txPr>
    <a:bodyPr/>
    <a:lstStyle/>
    <a:p>
      <a:pPr>
        <a:defRPr baseline="0">
          <a:latin typeface="Arial" pitchFamily="34" charset="0"/>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0.58828</cdr:x>
      <cdr:y>0.71622</cdr:y>
    </cdr:from>
    <cdr:to>
      <cdr:x>0.91362</cdr:x>
      <cdr:y>0.83196</cdr:y>
    </cdr:to>
    <cdr:sp macro="" textlink="">
      <cdr:nvSpPr>
        <cdr:cNvPr id="2" name="TextBox 1"/>
        <cdr:cNvSpPr txBox="1"/>
      </cdr:nvSpPr>
      <cdr:spPr>
        <a:xfrm xmlns:a="http://schemas.openxmlformats.org/drawingml/2006/main">
          <a:off x="1482465" y="1547035"/>
          <a:ext cx="819863" cy="2499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Tasmania</a:t>
          </a:r>
        </a:p>
      </cdr:txBody>
    </cdr:sp>
  </cdr:relSizeAnchor>
  <cdr:relSizeAnchor xmlns:cdr="http://schemas.openxmlformats.org/drawingml/2006/chartDrawing">
    <cdr:from>
      <cdr:x>0.14644</cdr:x>
      <cdr:y>0.04306</cdr:y>
    </cdr:from>
    <cdr:to>
      <cdr:x>0.46437</cdr:x>
      <cdr:y>0.15434</cdr:y>
    </cdr:to>
    <cdr:sp macro="" textlink="">
      <cdr:nvSpPr>
        <cdr:cNvPr id="3" name="TextBox 2"/>
        <cdr:cNvSpPr txBox="1"/>
      </cdr:nvSpPr>
      <cdr:spPr>
        <a:xfrm xmlns:a="http://schemas.openxmlformats.org/drawingml/2006/main">
          <a:off x="369029" y="93010"/>
          <a:ext cx="801185" cy="24036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Australia</a:t>
          </a:r>
        </a:p>
      </cdr:txBody>
    </cdr:sp>
  </cdr:relSizeAnchor>
</c:userShapes>
</file>

<file path=word/drawings/drawing2.xml><?xml version="1.0" encoding="utf-8"?>
<c:userShapes xmlns:c="http://schemas.openxmlformats.org/drawingml/2006/chart">
  <cdr:relSizeAnchor xmlns:cdr="http://schemas.openxmlformats.org/drawingml/2006/chartDrawing">
    <cdr:from>
      <cdr:x>0.49114</cdr:x>
      <cdr:y>0.17069</cdr:y>
    </cdr:from>
    <cdr:to>
      <cdr:x>0.82464</cdr:x>
      <cdr:y>0.29233</cdr:y>
    </cdr:to>
    <cdr:sp macro="" textlink="">
      <cdr:nvSpPr>
        <cdr:cNvPr id="2" name="TextBox 1"/>
        <cdr:cNvSpPr txBox="1"/>
      </cdr:nvSpPr>
      <cdr:spPr>
        <a:xfrm xmlns:a="http://schemas.openxmlformats.org/drawingml/2006/main">
          <a:off x="1237668" y="368693"/>
          <a:ext cx="840420" cy="2627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Tasmania</a:t>
          </a:r>
        </a:p>
      </cdr:txBody>
    </cdr:sp>
  </cdr:relSizeAnchor>
  <cdr:relSizeAnchor xmlns:cdr="http://schemas.openxmlformats.org/drawingml/2006/chartDrawing">
    <cdr:from>
      <cdr:x>0.68924</cdr:x>
      <cdr:y>0.55269</cdr:y>
    </cdr:from>
    <cdr:to>
      <cdr:x>0.99763</cdr:x>
      <cdr:y>0.67433</cdr:y>
    </cdr:to>
    <cdr:sp macro="" textlink="">
      <cdr:nvSpPr>
        <cdr:cNvPr id="3" name="TextBox 1"/>
        <cdr:cNvSpPr txBox="1"/>
      </cdr:nvSpPr>
      <cdr:spPr>
        <a:xfrm xmlns:a="http://schemas.openxmlformats.org/drawingml/2006/main">
          <a:off x="1914196" y="1193800"/>
          <a:ext cx="856490" cy="26275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aseline="0">
              <a:latin typeface="Arial" pitchFamily="34" charset="0"/>
              <a:cs typeface="Arial" pitchFamily="34" charset="0"/>
            </a:rPr>
            <a:t>Australia</a:t>
          </a:r>
        </a:p>
      </cdr:txBody>
    </cdr:sp>
  </cdr:relSizeAnchor>
</c:userShapes>
</file>

<file path=word/drawings/drawing3.xml><?xml version="1.0" encoding="utf-8"?>
<c:userShapes xmlns:c="http://schemas.openxmlformats.org/drawingml/2006/chart">
  <cdr:relSizeAnchor xmlns:cdr="http://schemas.openxmlformats.org/drawingml/2006/chartDrawing">
    <cdr:from>
      <cdr:x>0.19091</cdr:x>
      <cdr:y>0.76276</cdr:y>
    </cdr:from>
    <cdr:to>
      <cdr:x>0.96999</cdr:x>
      <cdr:y>0.87552</cdr:y>
    </cdr:to>
    <cdr:sp macro="" textlink="">
      <cdr:nvSpPr>
        <cdr:cNvPr id="2" name="TextBox 1"/>
        <cdr:cNvSpPr txBox="1"/>
      </cdr:nvSpPr>
      <cdr:spPr>
        <a:xfrm xmlns:a="http://schemas.openxmlformats.org/drawingml/2006/main">
          <a:off x="531268" y="1661057"/>
          <a:ext cx="2168090" cy="2455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50">
              <a:latin typeface="Arial" pitchFamily="34" charset="0"/>
              <a:cs typeface="Arial" pitchFamily="34" charset="0"/>
            </a:rPr>
            <a:t>      </a:t>
          </a:r>
          <a:r>
            <a:rPr lang="en-AU" sz="900">
              <a:latin typeface="Arial" pitchFamily="34" charset="0"/>
              <a:cs typeface="Arial" pitchFamily="34" charset="0"/>
            </a:rPr>
            <a:t>20         40         60        80        100</a:t>
          </a:r>
        </a:p>
      </cdr:txBody>
    </cdr:sp>
  </cdr:relSizeAnchor>
</c:userShapes>
</file>

<file path=word/drawings/drawing4.xml><?xml version="1.0" encoding="utf-8"?>
<c:userShapes xmlns:c="http://schemas.openxmlformats.org/drawingml/2006/chart">
  <cdr:relSizeAnchor xmlns:cdr="http://schemas.openxmlformats.org/drawingml/2006/chartDrawing">
    <cdr:from>
      <cdr:x>0.24209</cdr:x>
      <cdr:y>0.15943</cdr:y>
    </cdr:from>
    <cdr:to>
      <cdr:x>0.9409</cdr:x>
      <cdr:y>0.16191</cdr:y>
    </cdr:to>
    <cdr:cxnSp macro="">
      <cdr:nvCxnSpPr>
        <cdr:cNvPr id="3" name="Straight Connector 2" descr="dashed line"/>
        <cdr:cNvCxnSpPr/>
      </cdr:nvCxnSpPr>
      <cdr:spPr>
        <a:xfrm xmlns:a="http://schemas.openxmlformats.org/drawingml/2006/main">
          <a:off x="672859" y="344375"/>
          <a:ext cx="1942221" cy="5357"/>
        </a:xfrm>
        <a:prstGeom xmlns:a="http://schemas.openxmlformats.org/drawingml/2006/main" prst="line">
          <a:avLst/>
        </a:prstGeom>
        <a:ln xmlns:a="http://schemas.openxmlformats.org/drawingml/2006/main" w="15875">
          <a:solidFill>
            <a:schemeClr val="tx1"/>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0.3629</cdr:x>
      <cdr:y>0.03529</cdr:y>
    </cdr:from>
    <cdr:to>
      <cdr:x>0.95498</cdr:x>
      <cdr:y>0.12988</cdr:y>
    </cdr:to>
    <cdr:sp macro="" textlink="">
      <cdr:nvSpPr>
        <cdr:cNvPr id="4" name="TextBox 3"/>
        <cdr:cNvSpPr txBox="1"/>
      </cdr:nvSpPr>
      <cdr:spPr>
        <a:xfrm xmlns:a="http://schemas.openxmlformats.org/drawingml/2006/main">
          <a:off x="1008610" y="76233"/>
          <a:ext cx="1645584" cy="20431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Parameter currently used</a:t>
          </a:r>
        </a:p>
      </cdr:txBody>
    </cdr:sp>
  </cdr:relSizeAnchor>
</c:userShapes>
</file>

<file path=word/drawings/drawing5.xml><?xml version="1.0" encoding="utf-8"?>
<c:userShapes xmlns:c="http://schemas.openxmlformats.org/drawingml/2006/chart">
  <cdr:relSizeAnchor xmlns:cdr="http://schemas.openxmlformats.org/drawingml/2006/chartDrawing">
    <cdr:from>
      <cdr:x>0.53578</cdr:x>
      <cdr:y>0.03955</cdr:y>
    </cdr:from>
    <cdr:to>
      <cdr:x>0.86484</cdr:x>
      <cdr:y>0.12848</cdr:y>
    </cdr:to>
    <cdr:sp macro="" textlink="">
      <cdr:nvSpPr>
        <cdr:cNvPr id="3" name="TextBox 2"/>
        <cdr:cNvSpPr txBox="1"/>
      </cdr:nvSpPr>
      <cdr:spPr>
        <a:xfrm xmlns:a="http://schemas.openxmlformats.org/drawingml/2006/main">
          <a:off x="1457457" y="105474"/>
          <a:ext cx="895114" cy="2371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no</a:t>
          </a:r>
          <a:r>
            <a:rPr lang="en-AU" sz="1000" baseline="0">
              <a:latin typeface="Arial" pitchFamily="34" charset="0"/>
              <a:cs typeface="Arial" pitchFamily="34" charset="0"/>
            </a:rPr>
            <a:t> </a:t>
          </a:r>
          <a:r>
            <a:rPr lang="en-AU" sz="1000">
              <a:latin typeface="Arial" pitchFamily="34" charset="0"/>
              <a:cs typeface="Arial" pitchFamily="34" charset="0"/>
            </a:rPr>
            <a:t>rebate</a:t>
          </a:r>
        </a:p>
      </cdr:txBody>
    </cdr:sp>
  </cdr:relSizeAnchor>
  <cdr:relSizeAnchor xmlns:cdr="http://schemas.openxmlformats.org/drawingml/2006/chartDrawing">
    <cdr:from>
      <cdr:x>0.60394</cdr:x>
      <cdr:y>0.34459</cdr:y>
    </cdr:from>
    <cdr:to>
      <cdr:x>0.94882</cdr:x>
      <cdr:y>0.42374</cdr:y>
    </cdr:to>
    <cdr:sp macro="" textlink="">
      <cdr:nvSpPr>
        <cdr:cNvPr id="4" name="TextBox 1"/>
        <cdr:cNvSpPr txBox="1"/>
      </cdr:nvSpPr>
      <cdr:spPr>
        <a:xfrm xmlns:a="http://schemas.openxmlformats.org/drawingml/2006/main">
          <a:off x="1628293" y="1075567"/>
          <a:ext cx="929849" cy="2470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rebate</a:t>
          </a:r>
        </a:p>
      </cdr:txBody>
    </cdr:sp>
  </cdr:relSizeAnchor>
  <cdr:relSizeAnchor xmlns:cdr="http://schemas.openxmlformats.org/drawingml/2006/chartDrawing">
    <cdr:from>
      <cdr:x>0.17434</cdr:x>
      <cdr:y>0.63653</cdr:y>
    </cdr:from>
    <cdr:to>
      <cdr:x>0.46763</cdr:x>
      <cdr:y>0.85714</cdr:y>
    </cdr:to>
    <cdr:sp macro="" textlink="">
      <cdr:nvSpPr>
        <cdr:cNvPr id="6" name="TextBox 5"/>
        <cdr:cNvSpPr txBox="1"/>
      </cdr:nvSpPr>
      <cdr:spPr>
        <a:xfrm xmlns:a="http://schemas.openxmlformats.org/drawingml/2006/main">
          <a:off x="462644" y="1374905"/>
          <a:ext cx="778328" cy="47651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r>
            <a:rPr lang="en-AU" sz="1000">
              <a:latin typeface="Arial" pitchFamily="34" charset="0"/>
              <a:cs typeface="Arial" pitchFamily="34" charset="0"/>
            </a:rPr>
            <a:t>BSPVES</a:t>
          </a:r>
        </a:p>
      </cdr:txBody>
    </cdr:sp>
  </cdr:relSizeAnchor>
  <cdr:relSizeAnchor xmlns:cdr="http://schemas.openxmlformats.org/drawingml/2006/chartDrawing">
    <cdr:from>
      <cdr:x>0.49808</cdr:x>
      <cdr:y>0.31847</cdr:y>
    </cdr:from>
    <cdr:to>
      <cdr:x>0.50045</cdr:x>
      <cdr:y>0.87088</cdr:y>
    </cdr:to>
    <cdr:cxnSp macro="">
      <cdr:nvCxnSpPr>
        <cdr:cNvPr id="8" name="Straight Arrow Connector 7" descr="vertical line"/>
        <cdr:cNvCxnSpPr/>
      </cdr:nvCxnSpPr>
      <cdr:spPr>
        <a:xfrm xmlns:a="http://schemas.openxmlformats.org/drawingml/2006/main" flipH="1" flipV="1">
          <a:off x="1321789" y="687897"/>
          <a:ext cx="6268" cy="1193201"/>
        </a:xfrm>
        <a:prstGeom xmlns:a="http://schemas.openxmlformats.org/drawingml/2006/main" prst="straightConnector1">
          <a:avLst/>
        </a:prstGeom>
        <a:ln xmlns:a="http://schemas.openxmlformats.org/drawingml/2006/main" w="12700">
          <a:solidFill>
            <a:schemeClr val="tx1"/>
          </a:solidFill>
          <a:prstDash val="dash"/>
          <a:tailEnd type="non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0.37108</cdr:x>
      <cdr:y>0.74556</cdr:y>
    </cdr:from>
    <cdr:to>
      <cdr:x>0.4588</cdr:x>
      <cdr:y>0.74655</cdr:y>
    </cdr:to>
    <cdr:cxnSp macro="">
      <cdr:nvCxnSpPr>
        <cdr:cNvPr id="26" name="Straight Arrow Connector 25" descr="right pointing arrow"/>
        <cdr:cNvCxnSpPr/>
      </cdr:nvCxnSpPr>
      <cdr:spPr>
        <a:xfrm xmlns:a="http://schemas.openxmlformats.org/drawingml/2006/main">
          <a:off x="1009428" y="1988398"/>
          <a:ext cx="238618" cy="2640"/>
        </a:xfrm>
        <a:prstGeom xmlns:a="http://schemas.openxmlformats.org/drawingml/2006/main" prst="straightConnector1">
          <a:avLst/>
        </a:prstGeom>
        <a:ln xmlns:a="http://schemas.openxmlformats.org/drawingml/2006/main" w="12700">
          <a:solidFill>
            <a:schemeClr val="tx1"/>
          </a:solidFill>
          <a:prstDash val="solid"/>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0.58828</cdr:x>
      <cdr:y>0.71622</cdr:y>
    </cdr:from>
    <cdr:to>
      <cdr:x>0.91362</cdr:x>
      <cdr:y>0.83196</cdr:y>
    </cdr:to>
    <cdr:sp macro="" textlink="">
      <cdr:nvSpPr>
        <cdr:cNvPr id="2" name="TextBox 1"/>
        <cdr:cNvSpPr txBox="1"/>
      </cdr:nvSpPr>
      <cdr:spPr>
        <a:xfrm xmlns:a="http://schemas.openxmlformats.org/drawingml/2006/main">
          <a:off x="1482465" y="1547035"/>
          <a:ext cx="819863" cy="24999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Tasmania</a:t>
          </a:r>
        </a:p>
      </cdr:txBody>
    </cdr:sp>
  </cdr:relSizeAnchor>
  <cdr:relSizeAnchor xmlns:cdr="http://schemas.openxmlformats.org/drawingml/2006/chartDrawing">
    <cdr:from>
      <cdr:x>0.14644</cdr:x>
      <cdr:y>0.04306</cdr:y>
    </cdr:from>
    <cdr:to>
      <cdr:x>0.46437</cdr:x>
      <cdr:y>0.15434</cdr:y>
    </cdr:to>
    <cdr:sp macro="" textlink="">
      <cdr:nvSpPr>
        <cdr:cNvPr id="3" name="TextBox 2"/>
        <cdr:cNvSpPr txBox="1"/>
      </cdr:nvSpPr>
      <cdr:spPr>
        <a:xfrm xmlns:a="http://schemas.openxmlformats.org/drawingml/2006/main">
          <a:off x="369029" y="93010"/>
          <a:ext cx="801185" cy="24036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Australia</a:t>
          </a:r>
        </a:p>
      </cdr:txBody>
    </cdr:sp>
  </cdr:relSizeAnchor>
</c:userShapes>
</file>

<file path=word/drawings/drawing7.xml><?xml version="1.0" encoding="utf-8"?>
<c:userShapes xmlns:c="http://schemas.openxmlformats.org/drawingml/2006/chart">
  <cdr:relSizeAnchor xmlns:cdr="http://schemas.openxmlformats.org/drawingml/2006/chartDrawing">
    <cdr:from>
      <cdr:x>0.49114</cdr:x>
      <cdr:y>0.17069</cdr:y>
    </cdr:from>
    <cdr:to>
      <cdr:x>0.82464</cdr:x>
      <cdr:y>0.29233</cdr:y>
    </cdr:to>
    <cdr:sp macro="" textlink="">
      <cdr:nvSpPr>
        <cdr:cNvPr id="2" name="TextBox 1"/>
        <cdr:cNvSpPr txBox="1"/>
      </cdr:nvSpPr>
      <cdr:spPr>
        <a:xfrm xmlns:a="http://schemas.openxmlformats.org/drawingml/2006/main">
          <a:off x="1237668" y="368693"/>
          <a:ext cx="840420" cy="2627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Tasmania</a:t>
          </a:r>
        </a:p>
      </cdr:txBody>
    </cdr:sp>
  </cdr:relSizeAnchor>
  <cdr:relSizeAnchor xmlns:cdr="http://schemas.openxmlformats.org/drawingml/2006/chartDrawing">
    <cdr:from>
      <cdr:x>0.68924</cdr:x>
      <cdr:y>0.55269</cdr:y>
    </cdr:from>
    <cdr:to>
      <cdr:x>0.99763</cdr:x>
      <cdr:y>0.67433</cdr:y>
    </cdr:to>
    <cdr:sp macro="" textlink="">
      <cdr:nvSpPr>
        <cdr:cNvPr id="3" name="TextBox 1"/>
        <cdr:cNvSpPr txBox="1"/>
      </cdr:nvSpPr>
      <cdr:spPr>
        <a:xfrm xmlns:a="http://schemas.openxmlformats.org/drawingml/2006/main">
          <a:off x="1914196" y="1193800"/>
          <a:ext cx="856490" cy="26275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aseline="0">
              <a:latin typeface="Arial" pitchFamily="34" charset="0"/>
              <a:cs typeface="Arial" pitchFamily="34" charset="0"/>
            </a:rPr>
            <a:t>Australia</a:t>
          </a:r>
        </a:p>
      </cdr:txBody>
    </cdr:sp>
  </cdr:relSizeAnchor>
</c:userShapes>
</file>

<file path=word/drawings/drawing8.xml><?xml version="1.0" encoding="utf-8"?>
<c:userShapes xmlns:c="http://schemas.openxmlformats.org/drawingml/2006/chart">
  <cdr:relSizeAnchor xmlns:cdr="http://schemas.openxmlformats.org/drawingml/2006/chartDrawing">
    <cdr:from>
      <cdr:x>0.0993</cdr:x>
      <cdr:y>0.34837</cdr:y>
    </cdr:from>
    <cdr:to>
      <cdr:x>0.31328</cdr:x>
      <cdr:y>0.43028</cdr:y>
    </cdr:to>
    <cdr:sp macro="" textlink="">
      <cdr:nvSpPr>
        <cdr:cNvPr id="2" name="TextBox 1"/>
        <cdr:cNvSpPr txBox="1"/>
      </cdr:nvSpPr>
      <cdr:spPr>
        <a:xfrm xmlns:a="http://schemas.openxmlformats.org/drawingml/2006/main">
          <a:off x="532653" y="1003300"/>
          <a:ext cx="1147801" cy="23589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Road</a:t>
          </a:r>
        </a:p>
      </cdr:txBody>
    </cdr:sp>
  </cdr:relSizeAnchor>
  <cdr:relSizeAnchor xmlns:cdr="http://schemas.openxmlformats.org/drawingml/2006/chartDrawing">
    <cdr:from>
      <cdr:x>0.08885</cdr:x>
      <cdr:y>0.74135</cdr:y>
    </cdr:from>
    <cdr:to>
      <cdr:x>0.28044</cdr:x>
      <cdr:y>0.82327</cdr:y>
    </cdr:to>
    <cdr:sp macro="" textlink="">
      <cdr:nvSpPr>
        <cdr:cNvPr id="3" name="TextBox 1"/>
        <cdr:cNvSpPr txBox="1"/>
      </cdr:nvSpPr>
      <cdr:spPr>
        <a:xfrm xmlns:a="http://schemas.openxmlformats.org/drawingml/2006/main">
          <a:off x="476624" y="2135094"/>
          <a:ext cx="1027688" cy="2359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Shipping (Tas)</a:t>
          </a:r>
        </a:p>
      </cdr:txBody>
    </cdr:sp>
  </cdr:relSizeAnchor>
  <cdr:relSizeAnchor xmlns:cdr="http://schemas.openxmlformats.org/drawingml/2006/chartDrawing">
    <cdr:from>
      <cdr:x>0.34998</cdr:x>
      <cdr:y>0.20051</cdr:y>
    </cdr:from>
    <cdr:to>
      <cdr:x>0.55047</cdr:x>
      <cdr:y>0.28243</cdr:y>
    </cdr:to>
    <cdr:sp macro="" textlink="">
      <cdr:nvSpPr>
        <cdr:cNvPr id="4" name="TextBox 1"/>
        <cdr:cNvSpPr txBox="1"/>
      </cdr:nvSpPr>
      <cdr:spPr>
        <a:xfrm xmlns:a="http://schemas.openxmlformats.org/drawingml/2006/main">
          <a:off x="1877359" y="577476"/>
          <a:ext cx="1075439" cy="2359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Rail</a:t>
          </a:r>
        </a:p>
      </cdr:txBody>
    </cdr:sp>
  </cdr:relSizeAnchor>
  <cdr:relSizeAnchor xmlns:cdr="http://schemas.openxmlformats.org/drawingml/2006/chartDrawing">
    <cdr:from>
      <cdr:x>0.3648</cdr:x>
      <cdr:y>0.41838</cdr:y>
    </cdr:from>
    <cdr:to>
      <cdr:x>0.51701</cdr:x>
      <cdr:y>0.56624</cdr:y>
    </cdr:to>
    <cdr:sp macro="" textlink="">
      <cdr:nvSpPr>
        <cdr:cNvPr id="5" name="TextBox 1"/>
        <cdr:cNvSpPr txBox="1"/>
      </cdr:nvSpPr>
      <cdr:spPr>
        <a:xfrm xmlns:a="http://schemas.openxmlformats.org/drawingml/2006/main">
          <a:off x="1966717" y="1353534"/>
          <a:ext cx="820615" cy="4783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Shipping (Perth)</a:t>
          </a:r>
        </a:p>
      </cdr:txBody>
    </cdr:sp>
  </cdr:relSizeAnchor>
  <cdr:relSizeAnchor xmlns:cdr="http://schemas.openxmlformats.org/drawingml/2006/chartDrawing">
    <cdr:from>
      <cdr:x>0.46944</cdr:x>
      <cdr:y>0.50361</cdr:y>
    </cdr:from>
    <cdr:to>
      <cdr:x>0.55222</cdr:x>
      <cdr:y>0.62123</cdr:y>
    </cdr:to>
    <cdr:cxnSp macro="">
      <cdr:nvCxnSpPr>
        <cdr:cNvPr id="9" name="Straight Arrow Connector 8" descr="arrow"/>
        <cdr:cNvCxnSpPr/>
      </cdr:nvCxnSpPr>
      <cdr:spPr>
        <a:xfrm xmlns:a="http://schemas.openxmlformats.org/drawingml/2006/main">
          <a:off x="2530891" y="1629272"/>
          <a:ext cx="446272" cy="380506"/>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0.7732</cdr:x>
      <cdr:y>0.24913</cdr:y>
    </cdr:from>
    <cdr:to>
      <cdr:x>0.96607</cdr:x>
      <cdr:y>0.43484</cdr:y>
    </cdr:to>
    <cdr:sp macro="" textlink="">
      <cdr:nvSpPr>
        <cdr:cNvPr id="7" name="TextBox 1"/>
        <cdr:cNvSpPr txBox="1"/>
      </cdr:nvSpPr>
      <cdr:spPr>
        <a:xfrm xmlns:a="http://schemas.openxmlformats.org/drawingml/2006/main">
          <a:off x="4177592" y="805962"/>
          <a:ext cx="1042108" cy="6008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Base year for current TFES parameters</a:t>
          </a:r>
        </a:p>
      </cdr:txBody>
    </cdr:sp>
  </cdr:relSizeAnchor>
  <cdr:relSizeAnchor xmlns:cdr="http://schemas.openxmlformats.org/drawingml/2006/chartDrawing">
    <cdr:from>
      <cdr:x>0.70389</cdr:x>
      <cdr:y>0.02703</cdr:y>
    </cdr:from>
    <cdr:to>
      <cdr:x>0.70525</cdr:x>
      <cdr:y>0.92388</cdr:y>
    </cdr:to>
    <cdr:cxnSp macro="">
      <cdr:nvCxnSpPr>
        <cdr:cNvPr id="8" name="Straight Connector 7" descr="vertical line"/>
        <cdr:cNvCxnSpPr/>
      </cdr:nvCxnSpPr>
      <cdr:spPr>
        <a:xfrm xmlns:a="http://schemas.openxmlformats.org/drawingml/2006/main" flipV="1">
          <a:off x="3794858" y="87435"/>
          <a:ext cx="7327" cy="2901461"/>
        </a:xfrm>
        <a:prstGeom xmlns:a="http://schemas.openxmlformats.org/drawingml/2006/main" prst="line">
          <a:avLst/>
        </a:prstGeom>
        <a:ln xmlns:a="http://schemas.openxmlformats.org/drawingml/2006/main" w="15875" cmpd="sng">
          <a:solidFill>
            <a:schemeClr val="tx1"/>
          </a:solidFill>
          <a:prstDash val="sys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0.72128</cdr:x>
      <cdr:y>0.32975</cdr:y>
    </cdr:from>
    <cdr:to>
      <cdr:x>0.77064</cdr:x>
      <cdr:y>0.32975</cdr:y>
    </cdr:to>
    <cdr:cxnSp macro="">
      <cdr:nvCxnSpPr>
        <cdr:cNvPr id="10" name="Straight Arrow Connector 9" descr="arrow"/>
        <cdr:cNvCxnSpPr/>
      </cdr:nvCxnSpPr>
      <cdr:spPr>
        <a:xfrm xmlns:a="http://schemas.openxmlformats.org/drawingml/2006/main" flipH="1">
          <a:off x="3897085" y="1066800"/>
          <a:ext cx="266701" cy="0"/>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9.xml><?xml version="1.0" encoding="utf-8"?>
<c:userShapes xmlns:c="http://schemas.openxmlformats.org/drawingml/2006/chart">
  <cdr:relSizeAnchor xmlns:cdr="http://schemas.openxmlformats.org/drawingml/2006/chartDrawing">
    <cdr:from>
      <cdr:x>0.61142</cdr:x>
      <cdr:y>0.10953</cdr:y>
    </cdr:from>
    <cdr:to>
      <cdr:x>0.86455</cdr:x>
      <cdr:y>0.26279</cdr:y>
    </cdr:to>
    <cdr:sp macro="" textlink="">
      <cdr:nvSpPr>
        <cdr:cNvPr id="2" name="TextBox 1"/>
        <cdr:cNvSpPr txBox="1"/>
      </cdr:nvSpPr>
      <cdr:spPr>
        <a:xfrm xmlns:a="http://schemas.openxmlformats.org/drawingml/2006/main">
          <a:off x="3284477" y="294999"/>
          <a:ext cx="1359777" cy="41277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50">
              <a:latin typeface="Arial" pitchFamily="34" charset="0"/>
              <a:cs typeface="Arial" pitchFamily="34" charset="0"/>
            </a:rPr>
            <a:t>Inter-capital road</a:t>
          </a:r>
        </a:p>
      </cdr:txBody>
    </cdr:sp>
  </cdr:relSizeAnchor>
  <cdr:relSizeAnchor xmlns:cdr="http://schemas.openxmlformats.org/drawingml/2006/chartDrawing">
    <cdr:from>
      <cdr:x>0.6111</cdr:x>
      <cdr:y>0.65869</cdr:y>
    </cdr:from>
    <cdr:to>
      <cdr:x>0.88535</cdr:x>
      <cdr:y>0.81195</cdr:y>
    </cdr:to>
    <cdr:sp macro="" textlink="">
      <cdr:nvSpPr>
        <cdr:cNvPr id="3" name="TextBox 1"/>
        <cdr:cNvSpPr txBox="1"/>
      </cdr:nvSpPr>
      <cdr:spPr>
        <a:xfrm xmlns:a="http://schemas.openxmlformats.org/drawingml/2006/main">
          <a:off x="3282714" y="1774045"/>
          <a:ext cx="1473230" cy="4127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Bass Strait shipping</a:t>
          </a:r>
        </a:p>
      </cdr:txBody>
    </cdr:sp>
  </cdr:relSizeAnchor>
</c:userShapes>
</file>

<file path=word/drawings/drawing10.xml><?xml version="1.0" encoding="utf-8"?>
<c:userShapes xmlns:c="http://schemas.openxmlformats.org/drawingml/2006/chart">
  <cdr:relSizeAnchor xmlns:cdr="http://schemas.openxmlformats.org/drawingml/2006/chartDrawing">
    <cdr:from>
      <cdr:x>0.58319</cdr:x>
      <cdr:y>0.13891</cdr:y>
    </cdr:from>
    <cdr:to>
      <cdr:x>0.85249</cdr:x>
      <cdr:y>0.23482</cdr:y>
    </cdr:to>
    <cdr:sp macro="" textlink="">
      <cdr:nvSpPr>
        <cdr:cNvPr id="2" name="TextBox 1"/>
        <cdr:cNvSpPr txBox="1"/>
      </cdr:nvSpPr>
      <cdr:spPr>
        <a:xfrm xmlns:a="http://schemas.openxmlformats.org/drawingml/2006/main">
          <a:off x="3238501" y="400050"/>
          <a:ext cx="1495425" cy="2762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50">
              <a:latin typeface="Arial" pitchFamily="34" charset="0"/>
              <a:cs typeface="Arial" pitchFamily="34" charset="0"/>
            </a:rPr>
            <a:t>Road freight transport</a:t>
          </a:r>
        </a:p>
      </cdr:txBody>
    </cdr:sp>
  </cdr:relSizeAnchor>
  <cdr:relSizeAnchor xmlns:cdr="http://schemas.openxmlformats.org/drawingml/2006/chartDrawing">
    <cdr:from>
      <cdr:x>0.68096</cdr:x>
      <cdr:y>0.48948</cdr:y>
    </cdr:from>
    <cdr:to>
      <cdr:x>0.97084</cdr:x>
      <cdr:y>0.60634</cdr:y>
    </cdr:to>
    <cdr:sp macro="" textlink="">
      <cdr:nvSpPr>
        <cdr:cNvPr id="3" name="TextBox 1"/>
        <cdr:cNvSpPr txBox="1"/>
      </cdr:nvSpPr>
      <cdr:spPr>
        <a:xfrm xmlns:a="http://schemas.openxmlformats.org/drawingml/2006/main">
          <a:off x="3781427" y="1409701"/>
          <a:ext cx="1609724" cy="3365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Water freight transport</a:t>
          </a:r>
        </a:p>
      </cdr:txBody>
    </cdr:sp>
  </cdr:relSizeAnchor>
</c:userShapes>
</file>

<file path=word/drawings/drawing11.xml><?xml version="1.0" encoding="utf-8"?>
<c:userShapes xmlns:c="http://schemas.openxmlformats.org/drawingml/2006/chart">
  <cdr:relSizeAnchor xmlns:cdr="http://schemas.openxmlformats.org/drawingml/2006/chartDrawing">
    <cdr:from>
      <cdr:x>0.52613</cdr:x>
      <cdr:y>0.54043</cdr:y>
    </cdr:from>
    <cdr:to>
      <cdr:x>0.73519</cdr:x>
      <cdr:y>0.65957</cdr:y>
    </cdr:to>
    <cdr:sp macro="" textlink="">
      <cdr:nvSpPr>
        <cdr:cNvPr id="2" name="TextBox 1"/>
        <cdr:cNvSpPr txBox="1"/>
      </cdr:nvSpPr>
      <cdr:spPr>
        <a:xfrm xmlns:a="http://schemas.openxmlformats.org/drawingml/2006/main">
          <a:off x="1438275" y="1209675"/>
          <a:ext cx="571500"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Air</a:t>
          </a:r>
        </a:p>
      </cdr:txBody>
    </cdr:sp>
  </cdr:relSizeAnchor>
  <cdr:relSizeAnchor xmlns:cdr="http://schemas.openxmlformats.org/drawingml/2006/chartDrawing">
    <cdr:from>
      <cdr:x>0.51568</cdr:x>
      <cdr:y>0.77872</cdr:y>
    </cdr:from>
    <cdr:to>
      <cdr:x>0.777</cdr:x>
      <cdr:y>0.88511</cdr:y>
    </cdr:to>
    <cdr:sp macro="" textlink="">
      <cdr:nvSpPr>
        <cdr:cNvPr id="3" name="TextBox 2"/>
        <cdr:cNvSpPr txBox="1"/>
      </cdr:nvSpPr>
      <cdr:spPr>
        <a:xfrm xmlns:a="http://schemas.openxmlformats.org/drawingml/2006/main">
          <a:off x="1409700" y="1743074"/>
          <a:ext cx="714375"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Sea</a:t>
          </a:r>
        </a:p>
      </cdr:txBody>
    </cdr:sp>
  </cdr:relSizeAnchor>
  <cdr:relSizeAnchor xmlns:cdr="http://schemas.openxmlformats.org/drawingml/2006/chartDrawing">
    <cdr:from>
      <cdr:x>0.39414</cdr:x>
      <cdr:y>0.90795</cdr:y>
    </cdr:from>
    <cdr:to>
      <cdr:x>0.68285</cdr:x>
      <cdr:y>1</cdr:y>
    </cdr:to>
    <cdr:sp macro="" textlink="">
      <cdr:nvSpPr>
        <cdr:cNvPr id="4" name="TextBox 3"/>
        <cdr:cNvSpPr txBox="1"/>
      </cdr:nvSpPr>
      <cdr:spPr>
        <a:xfrm xmlns:a="http://schemas.openxmlformats.org/drawingml/2006/main">
          <a:off x="1072753" y="2066925"/>
          <a:ext cx="785813" cy="2095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2002-03</a:t>
          </a:r>
        </a:p>
      </cdr:txBody>
    </cdr:sp>
  </cdr:relSizeAnchor>
</c:userShapes>
</file>

<file path=word/drawings/drawing12.xml><?xml version="1.0" encoding="utf-8"?>
<c:userShapes xmlns:c="http://schemas.openxmlformats.org/drawingml/2006/chart">
  <cdr:relSizeAnchor xmlns:cdr="http://schemas.openxmlformats.org/drawingml/2006/chartDrawing">
    <cdr:from>
      <cdr:x>0.4599</cdr:x>
      <cdr:y>0.20633</cdr:y>
    </cdr:from>
    <cdr:to>
      <cdr:x>0.85166</cdr:x>
      <cdr:y>0.47284</cdr:y>
    </cdr:to>
    <cdr:sp macro="" textlink="">
      <cdr:nvSpPr>
        <cdr:cNvPr id="2" name="TextBox 1"/>
        <cdr:cNvSpPr txBox="1"/>
      </cdr:nvSpPr>
      <cdr:spPr>
        <a:xfrm xmlns:a="http://schemas.openxmlformats.org/drawingml/2006/main">
          <a:off x="1251487" y="465774"/>
          <a:ext cx="1066055" cy="60162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50">
              <a:latin typeface="Arial" pitchFamily="34" charset="0"/>
              <a:cs typeface="Arial" pitchFamily="34" charset="0"/>
            </a:rPr>
            <a:t>Motor vehicle passengers</a:t>
          </a:r>
        </a:p>
      </cdr:txBody>
    </cdr:sp>
  </cdr:relSizeAnchor>
  <cdr:relSizeAnchor xmlns:cdr="http://schemas.openxmlformats.org/drawingml/2006/chartDrawing">
    <cdr:from>
      <cdr:x>0.55778</cdr:x>
      <cdr:y>0.61815</cdr:y>
    </cdr:from>
    <cdr:to>
      <cdr:x>1</cdr:x>
      <cdr:y>0.87281</cdr:y>
    </cdr:to>
    <cdr:sp macro="" textlink="">
      <cdr:nvSpPr>
        <cdr:cNvPr id="3" name="TextBox 1"/>
        <cdr:cNvSpPr txBox="1"/>
      </cdr:nvSpPr>
      <cdr:spPr>
        <a:xfrm xmlns:a="http://schemas.openxmlformats.org/drawingml/2006/main">
          <a:off x="1517827" y="1395423"/>
          <a:ext cx="1203366" cy="5748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50">
              <a:latin typeface="Arial" pitchFamily="34" charset="0"/>
              <a:cs typeface="Arial" pitchFamily="34" charset="0"/>
            </a:rPr>
            <a:t>Berth-only (foot) passengers</a:t>
          </a:r>
        </a:p>
      </cdr:txBody>
    </cdr:sp>
  </cdr:relSizeAnchor>
  <cdr:relSizeAnchor xmlns:cdr="http://schemas.openxmlformats.org/drawingml/2006/chartDrawing">
    <cdr:from>
      <cdr:x>0.7602</cdr:x>
      <cdr:y>0.90717</cdr:y>
    </cdr:from>
    <cdr:to>
      <cdr:x>1</cdr:x>
      <cdr:y>1</cdr:y>
    </cdr:to>
    <cdr:sp macro="" textlink="">
      <cdr:nvSpPr>
        <cdr:cNvPr id="4" name="TextBox 1"/>
        <cdr:cNvSpPr txBox="1"/>
      </cdr:nvSpPr>
      <cdr:spPr>
        <a:xfrm xmlns:a="http://schemas.openxmlformats.org/drawingml/2006/main">
          <a:off x="2068663" y="2047875"/>
          <a:ext cx="652529" cy="2095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2012-13</a:t>
          </a:r>
        </a:p>
      </cdr:txBody>
    </cdr:sp>
  </cdr:relSizeAnchor>
</c:userShapes>
</file>

<file path=word/drawings/drawing13.xml><?xml version="1.0" encoding="utf-8"?>
<c:userShapes xmlns:c="http://schemas.openxmlformats.org/drawingml/2006/chart">
  <cdr:relSizeAnchor xmlns:cdr="http://schemas.openxmlformats.org/drawingml/2006/chartDrawing">
    <cdr:from>
      <cdr:x>0.45959</cdr:x>
      <cdr:y>0.09693</cdr:y>
    </cdr:from>
    <cdr:to>
      <cdr:x>0.83144</cdr:x>
      <cdr:y>0.25757</cdr:y>
    </cdr:to>
    <cdr:sp macro="" textlink="">
      <cdr:nvSpPr>
        <cdr:cNvPr id="3" name="TextBox 2"/>
        <cdr:cNvSpPr txBox="1"/>
      </cdr:nvSpPr>
      <cdr:spPr>
        <a:xfrm xmlns:a="http://schemas.openxmlformats.org/drawingml/2006/main">
          <a:off x="2465294" y="302559"/>
          <a:ext cx="1994647" cy="50138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no</a:t>
          </a:r>
          <a:r>
            <a:rPr lang="en-AU" sz="1000" baseline="0">
              <a:latin typeface="Arial" pitchFamily="34" charset="0"/>
              <a:cs typeface="Arial" pitchFamily="34" charset="0"/>
            </a:rPr>
            <a:t> </a:t>
          </a:r>
          <a:r>
            <a:rPr lang="en-AU" sz="1000">
              <a:latin typeface="Arial" pitchFamily="34" charset="0"/>
              <a:cs typeface="Arial" pitchFamily="34" charset="0"/>
            </a:rPr>
            <a:t>rebate (sea fare received)</a:t>
          </a:r>
        </a:p>
      </cdr:txBody>
    </cdr:sp>
  </cdr:relSizeAnchor>
  <cdr:relSizeAnchor xmlns:cdr="http://schemas.openxmlformats.org/drawingml/2006/chartDrawing">
    <cdr:from>
      <cdr:x>0.54942</cdr:x>
      <cdr:y>0.25634</cdr:y>
    </cdr:from>
    <cdr:to>
      <cdr:x>0.87531</cdr:x>
      <cdr:y>0.41697</cdr:y>
    </cdr:to>
    <cdr:sp macro="" textlink="">
      <cdr:nvSpPr>
        <cdr:cNvPr id="4" name="TextBox 1"/>
        <cdr:cNvSpPr txBox="1"/>
      </cdr:nvSpPr>
      <cdr:spPr>
        <a:xfrm xmlns:a="http://schemas.openxmlformats.org/drawingml/2006/main">
          <a:off x="2966849" y="800100"/>
          <a:ext cx="1759804" cy="5013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rebate (sea fare paid)</a:t>
          </a:r>
        </a:p>
      </cdr:txBody>
    </cdr:sp>
  </cdr:relSizeAnchor>
  <cdr:relSizeAnchor xmlns:cdr="http://schemas.openxmlformats.org/drawingml/2006/chartDrawing">
    <cdr:from>
      <cdr:x>0.09905</cdr:x>
      <cdr:y>0.20464</cdr:y>
    </cdr:from>
    <cdr:to>
      <cdr:x>0.38329</cdr:x>
      <cdr:y>0.4031</cdr:y>
    </cdr:to>
    <cdr:sp macro="" textlink="">
      <cdr:nvSpPr>
        <cdr:cNvPr id="2" name="TextBox 1"/>
        <cdr:cNvSpPr txBox="1"/>
      </cdr:nvSpPr>
      <cdr:spPr>
        <a:xfrm xmlns:a="http://schemas.openxmlformats.org/drawingml/2006/main">
          <a:off x="548099" y="638726"/>
          <a:ext cx="1572801" cy="6194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50">
              <a:latin typeface="Arial" pitchFamily="34" charset="0"/>
              <a:cs typeface="Arial" pitchFamily="34" charset="0"/>
            </a:rPr>
            <a:t>Sea package fare (lhs</a:t>
          </a:r>
          <a:r>
            <a:rPr lang="en-AU" sz="1050" baseline="0">
              <a:latin typeface="Arial" pitchFamily="34" charset="0"/>
              <a:cs typeface="Arial" pitchFamily="34" charset="0"/>
            </a:rPr>
            <a:t>)</a:t>
          </a:r>
          <a:endParaRPr lang="en-AU" sz="1050">
            <a:latin typeface="Arial" pitchFamily="34" charset="0"/>
            <a:cs typeface="Arial" pitchFamily="34" charset="0"/>
          </a:endParaRPr>
        </a:p>
        <a:p xmlns:a="http://schemas.openxmlformats.org/drawingml/2006/main">
          <a:endParaRPr lang="en-AU" sz="1100"/>
        </a:p>
      </cdr:txBody>
    </cdr:sp>
  </cdr:relSizeAnchor>
  <cdr:relSizeAnchor xmlns:cdr="http://schemas.openxmlformats.org/drawingml/2006/chartDrawing">
    <cdr:from>
      <cdr:x>0.20025</cdr:x>
      <cdr:y>0.55654</cdr:y>
    </cdr:from>
    <cdr:to>
      <cdr:x>0.46802</cdr:x>
      <cdr:y>0.64574</cdr:y>
    </cdr:to>
    <cdr:sp macro="" textlink="">
      <cdr:nvSpPr>
        <cdr:cNvPr id="6" name="TextBox 5"/>
        <cdr:cNvSpPr txBox="1"/>
      </cdr:nvSpPr>
      <cdr:spPr>
        <a:xfrm xmlns:a="http://schemas.openxmlformats.org/drawingml/2006/main">
          <a:off x="1081350" y="1602835"/>
          <a:ext cx="1445950" cy="25689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r>
            <a:rPr lang="en-AU" sz="1000">
              <a:latin typeface="Arial" pitchFamily="34" charset="0"/>
              <a:cs typeface="Arial" pitchFamily="34" charset="0"/>
            </a:rPr>
            <a:t>BSPVES introduced</a:t>
          </a:r>
        </a:p>
      </cdr:txBody>
    </cdr:sp>
  </cdr:relSizeAnchor>
  <cdr:relSizeAnchor xmlns:cdr="http://schemas.openxmlformats.org/drawingml/2006/chartDrawing">
    <cdr:from>
      <cdr:x>0.49187</cdr:x>
      <cdr:y>0.35356</cdr:y>
    </cdr:from>
    <cdr:to>
      <cdr:x>0.4932</cdr:x>
      <cdr:y>0.91026</cdr:y>
    </cdr:to>
    <cdr:cxnSp macro="">
      <cdr:nvCxnSpPr>
        <cdr:cNvPr id="8" name="Straight Arrow Connector 7" descr="vertical line"/>
        <cdr:cNvCxnSpPr/>
      </cdr:nvCxnSpPr>
      <cdr:spPr>
        <a:xfrm xmlns:a="http://schemas.openxmlformats.org/drawingml/2006/main" flipV="1">
          <a:off x="2656114" y="1103545"/>
          <a:ext cx="7185" cy="1737626"/>
        </a:xfrm>
        <a:prstGeom xmlns:a="http://schemas.openxmlformats.org/drawingml/2006/main" prst="straightConnector1">
          <a:avLst/>
        </a:prstGeom>
        <a:ln xmlns:a="http://schemas.openxmlformats.org/drawingml/2006/main" w="12700">
          <a:solidFill>
            <a:schemeClr val="tx1"/>
          </a:solidFill>
          <a:prstDash val="dash"/>
          <a:tailEnd type="non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0.64305</cdr:x>
      <cdr:y>0.71628</cdr:y>
    </cdr:from>
    <cdr:to>
      <cdr:x>0.86625</cdr:x>
      <cdr:y>0.88504</cdr:y>
    </cdr:to>
    <cdr:sp macro="" textlink="">
      <cdr:nvSpPr>
        <cdr:cNvPr id="11" name="TextBox 10"/>
        <cdr:cNvSpPr txBox="1"/>
      </cdr:nvSpPr>
      <cdr:spPr>
        <a:xfrm xmlns:a="http://schemas.openxmlformats.org/drawingml/2006/main">
          <a:off x="3558245" y="2235689"/>
          <a:ext cx="1235043" cy="5267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b="1">
              <a:solidFill>
                <a:schemeClr val="bg1"/>
              </a:solidFill>
              <a:latin typeface="Arial" pitchFamily="34" charset="0"/>
              <a:cs typeface="Arial" pitchFamily="34" charset="0"/>
            </a:rPr>
            <a:t>Motor vehicle passengers (rhs</a:t>
          </a:r>
          <a:r>
            <a:rPr lang="en-AU" sz="1000" b="1" baseline="0">
              <a:solidFill>
                <a:schemeClr val="bg1"/>
              </a:solidFill>
              <a:latin typeface="Arial" pitchFamily="34" charset="0"/>
              <a:cs typeface="Arial" pitchFamily="34" charset="0"/>
            </a:rPr>
            <a:t>)</a:t>
          </a:r>
          <a:endParaRPr lang="en-AU" sz="1000" b="1">
            <a:solidFill>
              <a:schemeClr val="bg1"/>
            </a:solidFill>
            <a:latin typeface="Arial" pitchFamily="34" charset="0"/>
            <a:cs typeface="Arial" pitchFamily="34" charset="0"/>
          </a:endParaRPr>
        </a:p>
      </cdr:txBody>
    </cdr:sp>
  </cdr:relSizeAnchor>
  <cdr:relSizeAnchor xmlns:cdr="http://schemas.openxmlformats.org/drawingml/2006/chartDrawing">
    <cdr:from>
      <cdr:x>0.43743</cdr:x>
      <cdr:y>0.60095</cdr:y>
    </cdr:from>
    <cdr:to>
      <cdr:x>0.48981</cdr:x>
      <cdr:y>0.60161</cdr:y>
    </cdr:to>
    <cdr:cxnSp macro="">
      <cdr:nvCxnSpPr>
        <cdr:cNvPr id="26" name="Straight Arrow Connector 25" descr="arrow"/>
        <cdr:cNvCxnSpPr/>
      </cdr:nvCxnSpPr>
      <cdr:spPr>
        <a:xfrm xmlns:a="http://schemas.openxmlformats.org/drawingml/2006/main">
          <a:off x="2362120" y="1730736"/>
          <a:ext cx="282852" cy="1901"/>
        </a:xfrm>
        <a:prstGeom xmlns:a="http://schemas.openxmlformats.org/drawingml/2006/main" prst="straightConnector1">
          <a:avLst/>
        </a:prstGeom>
        <a:ln xmlns:a="http://schemas.openxmlformats.org/drawingml/2006/main" w="12700">
          <a:solidFill>
            <a:schemeClr val="tx1"/>
          </a:solidFill>
          <a:prstDash val="solid"/>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0.86181</cdr:x>
      <cdr:y>0.9166</cdr:y>
    </cdr:from>
    <cdr:to>
      <cdr:x>0.99879</cdr:x>
      <cdr:y>0.98838</cdr:y>
    </cdr:to>
    <cdr:sp macro="" textlink="">
      <cdr:nvSpPr>
        <cdr:cNvPr id="13" name="TextBox 1"/>
        <cdr:cNvSpPr txBox="1"/>
      </cdr:nvSpPr>
      <cdr:spPr>
        <a:xfrm xmlns:a="http://schemas.openxmlformats.org/drawingml/2006/main">
          <a:off x="4666477" y="2860970"/>
          <a:ext cx="741679" cy="22403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2012-13</a:t>
          </a:r>
        </a:p>
      </cdr:txBody>
    </cdr:sp>
  </cdr:relSizeAnchor>
</c:userShapes>
</file>

<file path=word/drawings/drawing14.xml><?xml version="1.0" encoding="utf-8"?>
<c:userShapes xmlns:c="http://schemas.openxmlformats.org/drawingml/2006/chart">
  <cdr:relSizeAnchor xmlns:cdr="http://schemas.openxmlformats.org/drawingml/2006/chartDrawing">
    <cdr:from>
      <cdr:x>0.52896</cdr:x>
      <cdr:y>0.25534</cdr:y>
    </cdr:from>
    <cdr:to>
      <cdr:x>0.67741</cdr:x>
      <cdr:y>0.30321</cdr:y>
    </cdr:to>
    <cdr:sp macro="" textlink="">
      <cdr:nvSpPr>
        <cdr:cNvPr id="2" name="Text Box 1"/>
        <cdr:cNvSpPr txBox="1"/>
      </cdr:nvSpPr>
      <cdr:spPr>
        <a:xfrm xmlns:a="http://schemas.openxmlformats.org/drawingml/2006/main">
          <a:off x="2856089" y="903111"/>
          <a:ext cx="801511" cy="16933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b="1" baseline="0">
              <a:solidFill>
                <a:schemeClr val="bg1"/>
              </a:solidFill>
              <a:latin typeface="Arial" pitchFamily="34" charset="0"/>
              <a:cs typeface="Arial" pitchFamily="34" charset="0"/>
            </a:rPr>
            <a:t>Inward</a:t>
          </a:r>
        </a:p>
      </cdr:txBody>
    </cdr:sp>
  </cdr:relSizeAnchor>
  <cdr:relSizeAnchor xmlns:cdr="http://schemas.openxmlformats.org/drawingml/2006/chartDrawing">
    <cdr:from>
      <cdr:x>0.52896</cdr:x>
      <cdr:y>0.59046</cdr:y>
    </cdr:from>
    <cdr:to>
      <cdr:x>0.67741</cdr:x>
      <cdr:y>0.6543</cdr:y>
    </cdr:to>
    <cdr:sp macro="" textlink="">
      <cdr:nvSpPr>
        <cdr:cNvPr id="3" name="Text Box 2"/>
        <cdr:cNvSpPr txBox="1"/>
      </cdr:nvSpPr>
      <cdr:spPr>
        <a:xfrm xmlns:a="http://schemas.openxmlformats.org/drawingml/2006/main">
          <a:off x="2856089" y="2088445"/>
          <a:ext cx="801511" cy="2257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b="1">
              <a:latin typeface="Arial" pitchFamily="34" charset="0"/>
              <a:cs typeface="Arial" pitchFamily="34" charset="0"/>
            </a:rPr>
            <a:t>Outward</a:t>
          </a:r>
        </a:p>
      </cdr:txBody>
    </cdr:sp>
  </cdr:relSizeAnchor>
</c:userShapes>
</file>

<file path=word/drawings/drawing15.xml><?xml version="1.0" encoding="utf-8"?>
<c:userShapes xmlns:c="http://schemas.openxmlformats.org/drawingml/2006/chart">
  <cdr:relSizeAnchor xmlns:cdr="http://schemas.openxmlformats.org/drawingml/2006/chartDrawing">
    <cdr:from>
      <cdr:x>0.34609</cdr:x>
      <cdr:y>0.59558</cdr:y>
    </cdr:from>
    <cdr:to>
      <cdr:x>0.50582</cdr:x>
      <cdr:y>0.89889</cdr:y>
    </cdr:to>
    <cdr:sp macro="" textlink="">
      <cdr:nvSpPr>
        <cdr:cNvPr id="2" name="TextBox 1"/>
        <cdr:cNvSpPr txBox="1"/>
      </cdr:nvSpPr>
      <cdr:spPr>
        <a:xfrm xmlns:a="http://schemas.openxmlformats.org/drawingml/2006/main">
          <a:off x="1981201" y="1795464"/>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UI/_rels/customUI14.xml.rels><?xml version="1.0" encoding="UTF-8" standalone="yes"?>
<Relationships xmlns="http://schemas.openxmlformats.org/package/2006/relationships"><Relationship Id="check" Type="http://schemas.openxmlformats.org/officeDocument/2006/relationships/image" Target="images/document-check-icon.png"/><Relationship Id="counter" Type="http://schemas.openxmlformats.org/officeDocument/2006/relationships/image" Target="images/counter-icon.png"/><Relationship Id="cs" Type="http://schemas.openxmlformats.org/officeDocument/2006/relationships/image" Target="images/CS.png"/></Relationships>
</file>

<file path=customUI/customUI14.xml><?xml version="1.0" encoding="utf-8"?>
<customUI xmlns="http://schemas.microsoft.com/office/2009/07/customui">
  <ribbon startFromScratch="false">
    <tabs>
      <tab idMso="TabHome">
        <group id="customChapterSettings" label="Settings" insertBeforeMso="GroupClipboard">
          <button id="customButtonCS" label="Chapter Settings" size="large" onAction="callStatCS" image="cs"/>
          <gallery idMso="CustomGallery1" label="PC Parts" size="large"/>
          <button id="customButtonSC" label="Style Checker" size="normal" onAction="callstylechecker" image="check"/>
          <button id="customButtonSCO" label="Sub Counter" size="normal" onAction="callsubcounter" image="counter"/>
          <button id="customButtonCR" label="Insert Cross Reference" size="normal" onAction="callpastespecial" imageMso="PasteSpecialDialog"/>
          <button id="customButtonPSC" label="Paste Special Excel Chart" size="normal" onAction="callStatPSC" imageMso="PasteSpecialDialog"/>
          <button id="customButtonNH" label="1.2 Numbered Heading" size="normal" onAction="callstatNH" imageMso="SiteColumnActionChangeType"/>
          <button id="customButtonIT" label="Insert Table" size="normal" onAction="callstattable" imageMso="InsertTable"/>
          <button id="customButtonLS" label="Insert Landscape Page" size="normal" onAction="calllandscapepage" imageMso="PageOrientationLandscape"/>
          <button id="customButtonFT" label="Format Table" supertip="This macro will help format an imported table into PC style." onAction="callFormatTable" imageMso="TableResize"/>
        </group>
        <group id="customAccessibility" label="Accessibility" insertBeforeMso="GroupClipboard">
          <button idMso="AccessibilityChecker" label="Checker" imageMso="AccessibilityChecker"/>
          <button idMso="AlternativeText" imageMso="AltText"/>
        </group>
        <group idMso="GroupParagraph" visible="false"/>
        <group id="customGrpParagraph" label="Paragraph" insertBeforeMso="GroupStyles">
          <box id="HA1" boxStyle="horizontal">
            <buttonGroup id="HAButtonGroup1">
              <button id="customButton1" onAction="callStatBullets" imageMso="BulletsAndNumberingBulletsDialog"/>
              <button id="customButton2" onAction="callStatNumbers" imageMso="NumberingCustomize"/>
              <button id="customButton4" onAction="callStatDecreaseIndent" imageMso="IndentDecrease"/>
              <button id="customButton3" onAction="callStatIncreaseIndent" imageMso="IndentIncrease"/>
              <button idMso="SortAscendingWord" showLabel="false"/>
              <toggleButton idMso="ParagraphMarks"/>
            </buttonGroup>
          </box>
          <box id="HA2" boxStyle="horizontal">
            <buttonGroup id="HAButtonGroup2">
              <toggleButton idMso="AlignLeft"/>
              <toggleButton idMso="AlignCenter"/>
              <toggleButton idMso="AlignRight"/>
              <toggleButton idMso="AlignJustify"/>
            </buttonGroup>
            <buttonGroup id="HAButtonGroup3">
              <menu idMso="LineSpacingMenu" showLabel="false"/>
            </buttonGroup>
            <buttonGroup id="HAButtonGroup4">
              <gallery idMso="ShadingColorPicker" showLabel="false"/>
            </buttonGroup>
            <buttonGroup id="HAButtonGroup5">
              <splitButton idMso="TableBordersMenu"/>
            </buttonGroup>
          </box>
          <dialogBoxLauncher>
            <button idMso="ParagraphDialog"/>
          </dialogBoxLauncher>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5185DB-55CC-4776-9E32-779EBD2E48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227</Pages>
  <Words>72834</Words>
  <Characters>406345</Characters>
  <Application>Microsoft Office Word</Application>
  <DocSecurity>0</DocSecurity>
  <Lines>8126</Lines>
  <Paragraphs>3447</Paragraphs>
  <ScaleCrop>false</ScaleCrop>
  <HeadingPairs>
    <vt:vector size="2" baseType="variant">
      <vt:variant>
        <vt:lpstr>Title</vt:lpstr>
      </vt:variant>
      <vt:variant>
        <vt:i4>1</vt:i4>
      </vt:variant>
    </vt:vector>
  </HeadingPairs>
  <TitlesOfParts>
    <vt:vector size="1" baseType="lpstr">
      <vt:lpstr/>
    </vt:vector>
  </TitlesOfParts>
  <Company>Productivity Commission</Company>
  <LinksUpToDate>false</LinksUpToDate>
  <CharactersWithSpaces>475732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Productivity Commission</dc:creator>
  <cp:lastModifiedBy>Productivity Commission</cp:lastModifiedBy>
  <cp:revision>2</cp:revision>
  <dcterms:created xsi:type="dcterms:W3CDTF">2014-03-17T21:43:00Z</dcterms:created>
  <dcterms:modified xsi:type="dcterms:W3CDTF">2014-03-17T21:43:00Z</dcterms:modified>
</cp:coreProperties>
</file>