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5D2" w:rsidRPr="00B61ED9" w:rsidRDefault="00E345D2" w:rsidP="00E345D2">
      <w:pPr>
        <w:rPr>
          <w:rFonts w:ascii="Arial" w:hAnsi="Arial" w:cs="Arial"/>
          <w:sz w:val="22"/>
        </w:rPr>
      </w:pPr>
      <w:r w:rsidRPr="00B61ED9">
        <w:rPr>
          <w:rFonts w:ascii="Arial" w:hAnsi="Arial" w:cs="Arial"/>
          <w:sz w:val="22"/>
        </w:rPr>
        <w:fldChar w:fldCharType="begin"/>
      </w:r>
      <w:r w:rsidRPr="00B61ED9">
        <w:rPr>
          <w:rFonts w:ascii="Arial" w:hAnsi="Arial" w:cs="Arial"/>
          <w:sz w:val="22"/>
        </w:rPr>
        <w:instrText xml:space="preserve"> createdate \@ "d MMMM yyyy" </w:instrText>
      </w:r>
      <w:r w:rsidRPr="00B61ED9">
        <w:rPr>
          <w:rFonts w:ascii="Arial" w:hAnsi="Arial" w:cs="Arial"/>
          <w:sz w:val="22"/>
        </w:rPr>
        <w:fldChar w:fldCharType="separate"/>
      </w:r>
      <w:r w:rsidR="0065117B">
        <w:rPr>
          <w:rFonts w:ascii="Arial" w:hAnsi="Arial" w:cs="Arial"/>
          <w:noProof/>
          <w:sz w:val="22"/>
        </w:rPr>
        <w:t>13</w:t>
      </w:r>
      <w:r w:rsidR="00F35682">
        <w:rPr>
          <w:rFonts w:ascii="Arial" w:hAnsi="Arial" w:cs="Arial"/>
          <w:noProof/>
          <w:sz w:val="22"/>
        </w:rPr>
        <w:t xml:space="preserve"> </w:t>
      </w:r>
      <w:r w:rsidR="0065117B">
        <w:rPr>
          <w:rFonts w:ascii="Arial" w:hAnsi="Arial" w:cs="Arial"/>
          <w:noProof/>
          <w:sz w:val="22"/>
        </w:rPr>
        <w:t xml:space="preserve">December </w:t>
      </w:r>
      <w:r w:rsidR="00F35682">
        <w:rPr>
          <w:rFonts w:ascii="Arial" w:hAnsi="Arial" w:cs="Arial"/>
          <w:noProof/>
          <w:sz w:val="22"/>
        </w:rPr>
        <w:t>2013</w:t>
      </w:r>
      <w:r w:rsidRPr="00B61ED9">
        <w:rPr>
          <w:rFonts w:ascii="Arial" w:hAnsi="Arial" w:cs="Arial"/>
          <w:sz w:val="22"/>
        </w:rPr>
        <w:fldChar w:fldCharType="end"/>
      </w:r>
    </w:p>
    <w:p w:rsidR="00E345D2" w:rsidRPr="00B61ED9" w:rsidRDefault="00E345D2" w:rsidP="00E345D2">
      <w:pPr>
        <w:rPr>
          <w:rFonts w:ascii="Arial" w:hAnsi="Arial" w:cs="Arial"/>
          <w:sz w:val="22"/>
        </w:rPr>
      </w:pPr>
    </w:p>
    <w:p w:rsidR="00F35682" w:rsidRPr="00F35682" w:rsidRDefault="008C222E" w:rsidP="00F35682">
      <w:pPr>
        <w:rPr>
          <w:rFonts w:ascii="Arial" w:hAnsi="Arial" w:cs="Arial"/>
          <w:sz w:val="22"/>
        </w:rPr>
      </w:pPr>
      <w:bookmarkStart w:id="0" w:name="Addressee"/>
      <w:bookmarkEnd w:id="0"/>
      <w:r>
        <w:rPr>
          <w:rFonts w:ascii="Arial" w:hAnsi="Arial" w:cs="Arial"/>
          <w:sz w:val="22"/>
        </w:rPr>
        <w:t xml:space="preserve">Ms </w:t>
      </w:r>
      <w:bookmarkStart w:id="1" w:name="Title"/>
      <w:bookmarkStart w:id="2" w:name="address4"/>
      <w:bookmarkEnd w:id="1"/>
      <w:bookmarkEnd w:id="2"/>
      <w:r w:rsidR="00573324" w:rsidRPr="00573324">
        <w:rPr>
          <w:rFonts w:ascii="Arial" w:hAnsi="Arial" w:cs="Arial"/>
          <w:sz w:val="22"/>
        </w:rPr>
        <w:t>Melissa Edwards</w:t>
      </w:r>
    </w:p>
    <w:p w:rsidR="00573324" w:rsidRPr="00573324" w:rsidRDefault="00573324" w:rsidP="00573324">
      <w:pPr>
        <w:rPr>
          <w:rFonts w:ascii="Arial" w:hAnsi="Arial" w:cs="Arial"/>
          <w:sz w:val="22"/>
        </w:rPr>
      </w:pPr>
      <w:r w:rsidRPr="00573324">
        <w:rPr>
          <w:rFonts w:ascii="Arial" w:hAnsi="Arial" w:cs="Arial"/>
          <w:sz w:val="22"/>
        </w:rPr>
        <w:t>Tasmanian Shipping Inquiry</w:t>
      </w:r>
    </w:p>
    <w:p w:rsidR="00573324" w:rsidRPr="00573324" w:rsidRDefault="00573324" w:rsidP="00573324">
      <w:pPr>
        <w:rPr>
          <w:rFonts w:ascii="Arial" w:hAnsi="Arial" w:cs="Arial"/>
          <w:sz w:val="22"/>
        </w:rPr>
      </w:pPr>
      <w:r w:rsidRPr="00573324">
        <w:rPr>
          <w:rFonts w:ascii="Arial" w:hAnsi="Arial" w:cs="Arial"/>
          <w:sz w:val="22"/>
        </w:rPr>
        <w:t>Productivity Commission</w:t>
      </w:r>
      <w:bookmarkStart w:id="3" w:name="_GoBack"/>
      <w:bookmarkEnd w:id="3"/>
    </w:p>
    <w:p w:rsidR="00573324" w:rsidRPr="00573324" w:rsidRDefault="00573324" w:rsidP="00573324">
      <w:pPr>
        <w:rPr>
          <w:rFonts w:ascii="Arial" w:hAnsi="Arial" w:cs="Arial"/>
          <w:sz w:val="22"/>
        </w:rPr>
      </w:pPr>
      <w:r w:rsidRPr="00573324">
        <w:rPr>
          <w:rFonts w:ascii="Arial" w:hAnsi="Arial" w:cs="Arial"/>
          <w:sz w:val="22"/>
        </w:rPr>
        <w:t>GPO Box 1428</w:t>
      </w:r>
    </w:p>
    <w:p w:rsidR="00E345D2" w:rsidRPr="00B61ED9" w:rsidRDefault="00DB080A" w:rsidP="00573324">
      <w:pPr>
        <w:rPr>
          <w:rFonts w:ascii="Arial" w:hAnsi="Arial" w:cs="Arial"/>
          <w:sz w:val="22"/>
        </w:rPr>
      </w:pPr>
      <w:r>
        <w:rPr>
          <w:rFonts w:ascii="Arial" w:hAnsi="Arial" w:cs="Arial"/>
          <w:sz w:val="22"/>
        </w:rPr>
        <w:t xml:space="preserve">CANBERRA CITY   </w:t>
      </w:r>
      <w:r w:rsidR="00573324" w:rsidRPr="00573324">
        <w:rPr>
          <w:rFonts w:ascii="Arial" w:hAnsi="Arial" w:cs="Arial"/>
          <w:sz w:val="22"/>
        </w:rPr>
        <w:t>ACT</w:t>
      </w:r>
      <w:r>
        <w:rPr>
          <w:rFonts w:ascii="Arial" w:hAnsi="Arial" w:cs="Arial"/>
          <w:sz w:val="22"/>
        </w:rPr>
        <w:t xml:space="preserve">  </w:t>
      </w:r>
      <w:r w:rsidR="00573324" w:rsidRPr="00573324">
        <w:rPr>
          <w:rFonts w:ascii="Arial" w:hAnsi="Arial" w:cs="Arial"/>
          <w:sz w:val="22"/>
        </w:rPr>
        <w:t xml:space="preserve"> 2601</w:t>
      </w:r>
    </w:p>
    <w:p w:rsidR="00E345D2" w:rsidRDefault="00E345D2" w:rsidP="00E345D2">
      <w:pPr>
        <w:rPr>
          <w:rFonts w:ascii="Arial" w:hAnsi="Arial" w:cs="Arial"/>
          <w:sz w:val="22"/>
        </w:rPr>
      </w:pPr>
    </w:p>
    <w:p w:rsidR="00E345D2" w:rsidRPr="00B61ED9" w:rsidRDefault="00E7079C" w:rsidP="00BD1663">
      <w:pPr>
        <w:spacing w:after="240"/>
        <w:rPr>
          <w:rFonts w:ascii="Arial" w:hAnsi="Arial" w:cs="Arial"/>
          <w:sz w:val="22"/>
        </w:rPr>
      </w:pPr>
      <w:bookmarkStart w:id="4" w:name="salutation"/>
      <w:bookmarkEnd w:id="4"/>
      <w:r w:rsidRPr="00B61ED9">
        <w:rPr>
          <w:rFonts w:ascii="Arial" w:hAnsi="Arial" w:cs="Arial"/>
          <w:sz w:val="22"/>
        </w:rPr>
        <w:t xml:space="preserve">Dear </w:t>
      </w:r>
      <w:r w:rsidR="008C222E">
        <w:rPr>
          <w:rFonts w:ascii="Arial" w:hAnsi="Arial" w:cs="Arial"/>
          <w:sz w:val="22"/>
        </w:rPr>
        <w:t xml:space="preserve">Ms </w:t>
      </w:r>
      <w:r w:rsidR="00573324">
        <w:rPr>
          <w:rFonts w:ascii="Arial" w:hAnsi="Arial" w:cs="Arial"/>
          <w:sz w:val="22"/>
        </w:rPr>
        <w:t>Edwards</w:t>
      </w:r>
    </w:p>
    <w:p w:rsidR="00E345D2" w:rsidRPr="00B61ED9" w:rsidRDefault="00573324" w:rsidP="00BD1663">
      <w:pPr>
        <w:spacing w:after="240"/>
        <w:jc w:val="center"/>
        <w:rPr>
          <w:rFonts w:ascii="Arial" w:hAnsi="Arial" w:cs="Arial"/>
          <w:sz w:val="22"/>
        </w:rPr>
      </w:pPr>
      <w:bookmarkStart w:id="5" w:name="topic"/>
      <w:bookmarkEnd w:id="5"/>
      <w:r>
        <w:rPr>
          <w:rFonts w:ascii="Arial" w:hAnsi="Arial" w:cs="Arial"/>
          <w:b/>
          <w:sz w:val="22"/>
        </w:rPr>
        <w:t>TASMANIAN SHIPPING AND FREIGHT</w:t>
      </w:r>
    </w:p>
    <w:p w:rsidR="008B1D8C" w:rsidRPr="008B1D8C" w:rsidRDefault="008B1D8C" w:rsidP="00BD1663">
      <w:pPr>
        <w:spacing w:after="240"/>
        <w:rPr>
          <w:rFonts w:ascii="Arial" w:hAnsi="Arial" w:cs="Arial"/>
          <w:sz w:val="22"/>
        </w:rPr>
      </w:pPr>
      <w:r>
        <w:rPr>
          <w:rFonts w:ascii="Arial" w:hAnsi="Arial" w:cs="Arial"/>
          <w:sz w:val="22"/>
        </w:rPr>
        <w:t>Austrade</w:t>
      </w:r>
      <w:r w:rsidRPr="008B1D8C">
        <w:rPr>
          <w:rFonts w:ascii="Arial" w:hAnsi="Arial" w:cs="Arial"/>
          <w:sz w:val="22"/>
        </w:rPr>
        <w:t xml:space="preserve"> welcomes the opportunity to provide a submission to the Productivity Commission</w:t>
      </w:r>
      <w:r w:rsidR="0037212D">
        <w:rPr>
          <w:rFonts w:ascii="Arial" w:hAnsi="Arial" w:cs="Arial"/>
          <w:sz w:val="22"/>
        </w:rPr>
        <w:t>’s</w:t>
      </w:r>
      <w:r w:rsidR="00EA1EFA">
        <w:rPr>
          <w:rFonts w:ascii="Arial" w:hAnsi="Arial" w:cs="Arial"/>
          <w:sz w:val="22"/>
        </w:rPr>
        <w:t xml:space="preserve"> </w:t>
      </w:r>
      <w:r>
        <w:rPr>
          <w:rFonts w:ascii="Arial" w:hAnsi="Arial" w:cs="Arial"/>
          <w:sz w:val="22"/>
        </w:rPr>
        <w:t>inquiry</w:t>
      </w:r>
      <w:r w:rsidRPr="008B1D8C">
        <w:rPr>
          <w:rFonts w:ascii="Arial" w:hAnsi="Arial" w:cs="Arial"/>
          <w:sz w:val="22"/>
        </w:rPr>
        <w:t xml:space="preserve"> </w:t>
      </w:r>
      <w:r>
        <w:rPr>
          <w:rFonts w:ascii="Arial" w:hAnsi="Arial" w:cs="Arial"/>
          <w:sz w:val="22"/>
        </w:rPr>
        <w:t>into the current arrangements for supporting freight and passenger services between the mainland and Tasmania</w:t>
      </w:r>
      <w:r w:rsidRPr="008B1D8C">
        <w:rPr>
          <w:rFonts w:ascii="Arial" w:hAnsi="Arial" w:cs="Arial"/>
          <w:sz w:val="22"/>
        </w:rPr>
        <w:t>.</w:t>
      </w:r>
    </w:p>
    <w:p w:rsidR="00DB080A" w:rsidRDefault="00DB080A" w:rsidP="00BD1663">
      <w:pPr>
        <w:spacing w:after="240"/>
        <w:rPr>
          <w:rFonts w:ascii="Arial" w:hAnsi="Arial" w:cs="Arial"/>
          <w:sz w:val="22"/>
        </w:rPr>
      </w:pPr>
      <w:r>
        <w:rPr>
          <w:rFonts w:ascii="Arial" w:hAnsi="Arial" w:cs="Arial"/>
          <w:sz w:val="22"/>
        </w:rPr>
        <w:t xml:space="preserve">As part of the national long-term tourism strategy, </w:t>
      </w:r>
      <w:r w:rsidRPr="00DB080A">
        <w:rPr>
          <w:rFonts w:ascii="Arial" w:hAnsi="Arial" w:cs="Arial"/>
          <w:i/>
          <w:sz w:val="22"/>
        </w:rPr>
        <w:t>Tourism 2020</w:t>
      </w:r>
      <w:r>
        <w:rPr>
          <w:rFonts w:ascii="Arial" w:hAnsi="Arial" w:cs="Arial"/>
          <w:sz w:val="22"/>
        </w:rPr>
        <w:t>, the Australian Government is committed to working with states and territories and industry to double overnight visitor expenditure to between $115 billion and $140 billion by 2020. Improving tourism access and ensuring the transport environment supports growth is a key part of this agenda.</w:t>
      </w:r>
    </w:p>
    <w:p w:rsidR="00DB080A" w:rsidRDefault="00DB080A" w:rsidP="00BD1663">
      <w:pPr>
        <w:spacing w:after="240"/>
        <w:rPr>
          <w:rFonts w:ascii="Arial" w:hAnsi="Arial" w:cs="Arial"/>
          <w:sz w:val="22"/>
        </w:rPr>
      </w:pPr>
      <w:r>
        <w:rPr>
          <w:rFonts w:ascii="Arial" w:hAnsi="Arial" w:cs="Arial"/>
          <w:sz w:val="22"/>
        </w:rPr>
        <w:t xml:space="preserve">In this context, </w:t>
      </w:r>
      <w:proofErr w:type="spellStart"/>
      <w:r>
        <w:rPr>
          <w:rFonts w:ascii="Arial" w:hAnsi="Arial" w:cs="Arial"/>
          <w:sz w:val="22"/>
        </w:rPr>
        <w:t>Austrade’s</w:t>
      </w:r>
      <w:proofErr w:type="spellEnd"/>
      <w:r>
        <w:rPr>
          <w:rFonts w:ascii="Arial" w:hAnsi="Arial" w:cs="Arial"/>
          <w:sz w:val="22"/>
        </w:rPr>
        <w:t xml:space="preserve"> submission to the Productivity Commission’</w:t>
      </w:r>
      <w:r w:rsidR="00A564C0">
        <w:rPr>
          <w:rFonts w:ascii="Arial" w:hAnsi="Arial" w:cs="Arial"/>
          <w:sz w:val="22"/>
        </w:rPr>
        <w:t>s inquiry</w:t>
      </w:r>
      <w:r w:rsidR="00F458C8">
        <w:rPr>
          <w:rFonts w:ascii="Arial" w:hAnsi="Arial" w:cs="Arial"/>
          <w:sz w:val="22"/>
        </w:rPr>
        <w:t>, which I have enclosed,</w:t>
      </w:r>
      <w:r w:rsidR="00A564C0">
        <w:rPr>
          <w:rFonts w:ascii="Arial" w:hAnsi="Arial" w:cs="Arial"/>
          <w:sz w:val="22"/>
        </w:rPr>
        <w:t xml:space="preserve"> highlights:</w:t>
      </w:r>
    </w:p>
    <w:p w:rsidR="00A564C0" w:rsidRDefault="00A564C0" w:rsidP="00A564C0">
      <w:pPr>
        <w:pStyle w:val="ListParagraph"/>
        <w:numPr>
          <w:ilvl w:val="0"/>
          <w:numId w:val="42"/>
        </w:numPr>
        <w:spacing w:after="240"/>
        <w:rPr>
          <w:rFonts w:ascii="Arial" w:hAnsi="Arial" w:cs="Arial"/>
          <w:sz w:val="22"/>
        </w:rPr>
      </w:pPr>
      <w:r>
        <w:rPr>
          <w:rFonts w:ascii="Arial" w:hAnsi="Arial" w:cs="Arial"/>
          <w:sz w:val="22"/>
        </w:rPr>
        <w:t xml:space="preserve">The importance of drive tourism and tourism more broadly to the Tasmanian economy; </w:t>
      </w:r>
    </w:p>
    <w:p w:rsidR="00A564C0" w:rsidRDefault="00A564C0" w:rsidP="00A564C0">
      <w:pPr>
        <w:pStyle w:val="ListParagraph"/>
        <w:numPr>
          <w:ilvl w:val="0"/>
          <w:numId w:val="42"/>
        </w:numPr>
        <w:spacing w:after="240"/>
        <w:rPr>
          <w:rFonts w:ascii="Arial" w:hAnsi="Arial" w:cs="Arial"/>
          <w:sz w:val="22"/>
        </w:rPr>
      </w:pPr>
      <w:r>
        <w:rPr>
          <w:rFonts w:ascii="Arial" w:hAnsi="Arial" w:cs="Arial"/>
          <w:sz w:val="22"/>
        </w:rPr>
        <w:t>The impact of the Bass Strait Passenger Vehicle Equalisation Scheme (BSPVES) on the tourism industry;</w:t>
      </w:r>
    </w:p>
    <w:p w:rsidR="00A564C0" w:rsidRDefault="00A564C0" w:rsidP="00A564C0">
      <w:pPr>
        <w:pStyle w:val="ListParagraph"/>
        <w:numPr>
          <w:ilvl w:val="0"/>
          <w:numId w:val="42"/>
        </w:numPr>
        <w:spacing w:after="240"/>
        <w:rPr>
          <w:rFonts w:ascii="Arial" w:hAnsi="Arial" w:cs="Arial"/>
          <w:sz w:val="22"/>
        </w:rPr>
      </w:pPr>
      <w:r>
        <w:rPr>
          <w:rFonts w:ascii="Arial" w:hAnsi="Arial" w:cs="Arial"/>
          <w:sz w:val="22"/>
        </w:rPr>
        <w:t xml:space="preserve">The potential for the BSPVES to be restructured to create a more competitive tourism industry.  </w:t>
      </w:r>
    </w:p>
    <w:p w:rsidR="00A564C0" w:rsidRPr="00A564C0" w:rsidRDefault="00A564C0" w:rsidP="00A564C0">
      <w:pPr>
        <w:pStyle w:val="ListParagraph"/>
        <w:numPr>
          <w:ilvl w:val="0"/>
          <w:numId w:val="42"/>
        </w:numPr>
        <w:spacing w:after="240"/>
        <w:rPr>
          <w:rFonts w:ascii="Arial" w:hAnsi="Arial" w:cs="Arial"/>
          <w:sz w:val="22"/>
        </w:rPr>
      </w:pPr>
      <w:r>
        <w:rPr>
          <w:rFonts w:ascii="Arial" w:hAnsi="Arial" w:cs="Arial"/>
          <w:sz w:val="22"/>
        </w:rPr>
        <w:t>The negative impact of the Coastal Trading Act on Tasmania’s competitiveness as an expedition cruise destination</w:t>
      </w:r>
      <w:r w:rsidR="00F458C8">
        <w:rPr>
          <w:rFonts w:ascii="Arial" w:hAnsi="Arial" w:cs="Arial"/>
          <w:sz w:val="22"/>
        </w:rPr>
        <w:t>.</w:t>
      </w:r>
      <w:r>
        <w:rPr>
          <w:rFonts w:ascii="Arial" w:hAnsi="Arial" w:cs="Arial"/>
          <w:sz w:val="22"/>
        </w:rPr>
        <w:t xml:space="preserve"> </w:t>
      </w:r>
    </w:p>
    <w:p w:rsidR="00271D5C" w:rsidRDefault="00A564C0" w:rsidP="00BD1663">
      <w:pPr>
        <w:spacing w:after="240"/>
        <w:rPr>
          <w:rFonts w:ascii="Arial" w:hAnsi="Arial" w:cs="Arial"/>
          <w:sz w:val="22"/>
        </w:rPr>
      </w:pPr>
      <w:r>
        <w:rPr>
          <w:rFonts w:ascii="Arial" w:hAnsi="Arial" w:cs="Arial"/>
          <w:sz w:val="22"/>
        </w:rPr>
        <w:t xml:space="preserve">Should you have any questions or queries about </w:t>
      </w:r>
      <w:proofErr w:type="spellStart"/>
      <w:r>
        <w:rPr>
          <w:rFonts w:ascii="Arial" w:hAnsi="Arial" w:cs="Arial"/>
          <w:sz w:val="22"/>
        </w:rPr>
        <w:t>Austrade’s</w:t>
      </w:r>
      <w:proofErr w:type="spellEnd"/>
      <w:r>
        <w:rPr>
          <w:rFonts w:ascii="Arial" w:hAnsi="Arial" w:cs="Arial"/>
          <w:sz w:val="22"/>
        </w:rPr>
        <w:t xml:space="preserve"> submission, please contact Nicholas Dowie, the Assistant General Manager of the Tourism Policy Branch </w:t>
      </w:r>
    </w:p>
    <w:p w:rsidR="00271D5C" w:rsidRDefault="00271D5C" w:rsidP="00BD1663">
      <w:pPr>
        <w:spacing w:after="240"/>
        <w:rPr>
          <w:rFonts w:ascii="Arial" w:hAnsi="Arial" w:cs="Arial"/>
          <w:sz w:val="22"/>
        </w:rPr>
      </w:pPr>
    </w:p>
    <w:p w:rsidR="00DB080A" w:rsidRDefault="00A564C0" w:rsidP="00BD1663">
      <w:pPr>
        <w:spacing w:after="240"/>
        <w:rPr>
          <w:rFonts w:ascii="Arial" w:hAnsi="Arial" w:cs="Arial"/>
          <w:sz w:val="22"/>
        </w:rPr>
      </w:pPr>
      <w:r>
        <w:rPr>
          <w:rFonts w:ascii="Arial" w:hAnsi="Arial" w:cs="Arial"/>
          <w:sz w:val="22"/>
        </w:rPr>
        <w:t xml:space="preserve">Yours Sincerely </w:t>
      </w:r>
    </w:p>
    <w:p w:rsidR="00A564C0" w:rsidRDefault="00A564C0" w:rsidP="00BD1663">
      <w:pPr>
        <w:spacing w:after="240"/>
        <w:rPr>
          <w:rFonts w:ascii="Arial" w:hAnsi="Arial" w:cs="Arial"/>
          <w:sz w:val="22"/>
        </w:rPr>
      </w:pPr>
    </w:p>
    <w:p w:rsidR="00F458C8" w:rsidRDefault="00F458C8" w:rsidP="00F458C8">
      <w:pPr>
        <w:rPr>
          <w:rFonts w:ascii="Arial" w:hAnsi="Arial" w:cs="Arial"/>
          <w:sz w:val="22"/>
        </w:rPr>
      </w:pPr>
    </w:p>
    <w:p w:rsidR="00A564C0" w:rsidRDefault="00A564C0" w:rsidP="00A564C0">
      <w:pPr>
        <w:rPr>
          <w:rFonts w:ascii="Arial" w:hAnsi="Arial" w:cs="Arial"/>
          <w:sz w:val="22"/>
        </w:rPr>
      </w:pPr>
      <w:r>
        <w:rPr>
          <w:rFonts w:ascii="Arial" w:hAnsi="Arial" w:cs="Arial"/>
          <w:sz w:val="22"/>
        </w:rPr>
        <w:t xml:space="preserve">Bruce </w:t>
      </w:r>
      <w:proofErr w:type="spellStart"/>
      <w:r>
        <w:rPr>
          <w:rFonts w:ascii="Arial" w:hAnsi="Arial" w:cs="Arial"/>
          <w:sz w:val="22"/>
        </w:rPr>
        <w:t>Gosper</w:t>
      </w:r>
      <w:proofErr w:type="spellEnd"/>
      <w:r>
        <w:rPr>
          <w:rFonts w:ascii="Arial" w:hAnsi="Arial" w:cs="Arial"/>
          <w:sz w:val="22"/>
        </w:rPr>
        <w:t xml:space="preserve"> </w:t>
      </w:r>
    </w:p>
    <w:p w:rsidR="00A564C0" w:rsidRDefault="00A564C0" w:rsidP="00A564C0">
      <w:pPr>
        <w:rPr>
          <w:rFonts w:ascii="Arial" w:hAnsi="Arial" w:cs="Arial"/>
          <w:sz w:val="22"/>
        </w:rPr>
      </w:pPr>
      <w:r>
        <w:rPr>
          <w:rFonts w:ascii="Arial" w:hAnsi="Arial" w:cs="Arial"/>
          <w:sz w:val="22"/>
        </w:rPr>
        <w:t xml:space="preserve">Chief Executive Officer </w:t>
      </w:r>
    </w:p>
    <w:p w:rsidR="00F458C8" w:rsidRDefault="00F458C8" w:rsidP="00F458C8">
      <w:pPr>
        <w:rPr>
          <w:rFonts w:ascii="Arial" w:hAnsi="Arial" w:cs="Arial"/>
          <w:sz w:val="22"/>
        </w:rPr>
      </w:pPr>
    </w:p>
    <w:p w:rsidR="00DB080A" w:rsidRDefault="00F458C8" w:rsidP="00BD1663">
      <w:pPr>
        <w:spacing w:after="240"/>
        <w:rPr>
          <w:rFonts w:ascii="Arial" w:hAnsi="Arial" w:cs="Arial"/>
          <w:sz w:val="22"/>
        </w:rPr>
      </w:pPr>
      <w:r>
        <w:rPr>
          <w:rFonts w:ascii="Arial" w:hAnsi="Arial" w:cs="Arial"/>
          <w:sz w:val="22"/>
        </w:rPr>
        <w:t>Enc.</w:t>
      </w:r>
    </w:p>
    <w:p w:rsidR="00DB080A" w:rsidRPr="00F458C8" w:rsidRDefault="00F458C8" w:rsidP="00F458C8">
      <w:pPr>
        <w:spacing w:after="240"/>
        <w:jc w:val="center"/>
        <w:rPr>
          <w:rFonts w:ascii="Arial" w:hAnsi="Arial" w:cs="Arial"/>
          <w:b/>
          <w:sz w:val="22"/>
        </w:rPr>
      </w:pPr>
      <w:proofErr w:type="spellStart"/>
      <w:r>
        <w:rPr>
          <w:rFonts w:ascii="Arial" w:hAnsi="Arial" w:cs="Arial"/>
          <w:b/>
          <w:sz w:val="22"/>
        </w:rPr>
        <w:lastRenderedPageBreak/>
        <w:t>Austrade’s</w:t>
      </w:r>
      <w:proofErr w:type="spellEnd"/>
      <w:r>
        <w:rPr>
          <w:rFonts w:ascii="Arial" w:hAnsi="Arial" w:cs="Arial"/>
          <w:b/>
          <w:sz w:val="22"/>
        </w:rPr>
        <w:t xml:space="preserve"> Submission to the Productivity Commission’s Inquiry into Tasmanian Shipping and Freight </w:t>
      </w:r>
    </w:p>
    <w:p w:rsidR="00F458C8" w:rsidRPr="008B1D8C" w:rsidRDefault="00F458C8" w:rsidP="00F458C8">
      <w:pPr>
        <w:spacing w:after="240"/>
        <w:rPr>
          <w:rFonts w:ascii="Arial" w:hAnsi="Arial" w:cs="Arial"/>
          <w:sz w:val="22"/>
        </w:rPr>
      </w:pPr>
      <w:proofErr w:type="spellStart"/>
      <w:r>
        <w:rPr>
          <w:rFonts w:ascii="Arial" w:hAnsi="Arial" w:cs="Arial"/>
          <w:sz w:val="22"/>
        </w:rPr>
        <w:t>Austrade</w:t>
      </w:r>
      <w:proofErr w:type="spellEnd"/>
      <w:r w:rsidRPr="008B1D8C">
        <w:rPr>
          <w:rFonts w:ascii="Arial" w:hAnsi="Arial" w:cs="Arial"/>
          <w:sz w:val="22"/>
        </w:rPr>
        <w:t xml:space="preserve"> welcomes the opportunity to provide a submission to the Productivity Commission</w:t>
      </w:r>
      <w:r>
        <w:rPr>
          <w:rFonts w:ascii="Arial" w:hAnsi="Arial" w:cs="Arial"/>
          <w:sz w:val="22"/>
        </w:rPr>
        <w:t>’s inquiry</w:t>
      </w:r>
      <w:r w:rsidRPr="008B1D8C">
        <w:rPr>
          <w:rFonts w:ascii="Arial" w:hAnsi="Arial" w:cs="Arial"/>
          <w:sz w:val="22"/>
        </w:rPr>
        <w:t xml:space="preserve"> </w:t>
      </w:r>
      <w:r>
        <w:rPr>
          <w:rFonts w:ascii="Arial" w:hAnsi="Arial" w:cs="Arial"/>
          <w:sz w:val="22"/>
        </w:rPr>
        <w:t>into the current arrangements for supporting freight and passenger services between the mainland and Tasmania</w:t>
      </w:r>
      <w:r w:rsidRPr="008B1D8C">
        <w:rPr>
          <w:rFonts w:ascii="Arial" w:hAnsi="Arial" w:cs="Arial"/>
          <w:sz w:val="22"/>
        </w:rPr>
        <w:t>.</w:t>
      </w:r>
    </w:p>
    <w:p w:rsidR="0081414A" w:rsidRDefault="00B93FD7" w:rsidP="0081414A">
      <w:pPr>
        <w:spacing w:before="100" w:beforeAutospacing="1" w:after="100" w:afterAutospacing="1"/>
        <w:rPr>
          <w:rFonts w:ascii="Arial" w:hAnsi="Arial" w:cs="Arial"/>
          <w:sz w:val="22"/>
        </w:rPr>
      </w:pPr>
      <w:proofErr w:type="spellStart"/>
      <w:r>
        <w:rPr>
          <w:rFonts w:ascii="Arial" w:hAnsi="Arial" w:cs="Arial"/>
          <w:sz w:val="22"/>
        </w:rPr>
        <w:t>Austrade</w:t>
      </w:r>
      <w:proofErr w:type="spellEnd"/>
      <w:r>
        <w:rPr>
          <w:rFonts w:ascii="Arial" w:hAnsi="Arial" w:cs="Arial"/>
          <w:sz w:val="22"/>
        </w:rPr>
        <w:t xml:space="preserve"> is an executive agency of the Australian Government with responsibility for </w:t>
      </w:r>
      <w:r w:rsidR="0081414A" w:rsidRPr="0081414A">
        <w:rPr>
          <w:rFonts w:ascii="Arial" w:hAnsi="Arial" w:cs="Arial"/>
          <w:sz w:val="22"/>
        </w:rPr>
        <w:t>develop</w:t>
      </w:r>
      <w:r>
        <w:rPr>
          <w:rFonts w:ascii="Arial" w:hAnsi="Arial" w:cs="Arial"/>
          <w:sz w:val="22"/>
        </w:rPr>
        <w:t>ing</w:t>
      </w:r>
      <w:r w:rsidR="0081414A" w:rsidRPr="0081414A">
        <w:rPr>
          <w:rFonts w:ascii="Arial" w:hAnsi="Arial" w:cs="Arial"/>
          <w:sz w:val="22"/>
        </w:rPr>
        <w:t xml:space="preserve"> international markets, win</w:t>
      </w:r>
      <w:r>
        <w:rPr>
          <w:rFonts w:ascii="Arial" w:hAnsi="Arial" w:cs="Arial"/>
          <w:sz w:val="22"/>
        </w:rPr>
        <w:t>ning</w:t>
      </w:r>
      <w:r w:rsidR="0081414A" w:rsidRPr="0081414A">
        <w:rPr>
          <w:rFonts w:ascii="Arial" w:hAnsi="Arial" w:cs="Arial"/>
          <w:sz w:val="22"/>
        </w:rPr>
        <w:t xml:space="preserve"> productive forei</w:t>
      </w:r>
      <w:r>
        <w:rPr>
          <w:rFonts w:ascii="Arial" w:hAnsi="Arial" w:cs="Arial"/>
          <w:sz w:val="22"/>
        </w:rPr>
        <w:t xml:space="preserve">gn direct investment and promoting international education. Following the recent Machinery of Government changes that followed the federal election, </w:t>
      </w:r>
      <w:proofErr w:type="spellStart"/>
      <w:r>
        <w:rPr>
          <w:rFonts w:ascii="Arial" w:hAnsi="Arial" w:cs="Arial"/>
          <w:sz w:val="22"/>
        </w:rPr>
        <w:t>Austrade</w:t>
      </w:r>
      <w:proofErr w:type="spellEnd"/>
      <w:r>
        <w:rPr>
          <w:rFonts w:ascii="Arial" w:hAnsi="Arial" w:cs="Arial"/>
          <w:sz w:val="22"/>
        </w:rPr>
        <w:t xml:space="preserve"> is now the Australian Government agency responsible for </w:t>
      </w:r>
      <w:r w:rsidR="0081414A">
        <w:rPr>
          <w:rFonts w:ascii="Arial" w:hAnsi="Arial" w:cs="Arial"/>
          <w:sz w:val="22"/>
        </w:rPr>
        <w:t>tourism policy, programs and research.</w:t>
      </w:r>
    </w:p>
    <w:p w:rsidR="0081414A" w:rsidRDefault="00741160" w:rsidP="0081414A">
      <w:pPr>
        <w:spacing w:before="100" w:beforeAutospacing="1" w:after="100" w:afterAutospacing="1"/>
        <w:rPr>
          <w:rFonts w:ascii="Arial" w:hAnsi="Arial" w:cs="Arial"/>
          <w:sz w:val="22"/>
        </w:rPr>
      </w:pPr>
      <w:proofErr w:type="spellStart"/>
      <w:r>
        <w:rPr>
          <w:rFonts w:ascii="Arial" w:hAnsi="Arial" w:cs="Arial"/>
          <w:sz w:val="22"/>
        </w:rPr>
        <w:t>Austrade</w:t>
      </w:r>
      <w:proofErr w:type="spellEnd"/>
      <w:r>
        <w:rPr>
          <w:rFonts w:ascii="Arial" w:hAnsi="Arial" w:cs="Arial"/>
          <w:sz w:val="22"/>
        </w:rPr>
        <w:t xml:space="preserve"> is responsible for leading the </w:t>
      </w:r>
      <w:r w:rsidR="00B93FD7">
        <w:rPr>
          <w:rFonts w:ascii="Arial" w:hAnsi="Arial" w:cs="Arial"/>
          <w:sz w:val="22"/>
        </w:rPr>
        <w:t xml:space="preserve">Australian Government’s </w:t>
      </w:r>
      <w:r>
        <w:rPr>
          <w:rFonts w:ascii="Arial" w:hAnsi="Arial" w:cs="Arial"/>
          <w:sz w:val="22"/>
        </w:rPr>
        <w:t xml:space="preserve">implementation of the national long-term tourism strategy, </w:t>
      </w:r>
      <w:r w:rsidRPr="00741160">
        <w:rPr>
          <w:rFonts w:ascii="Arial" w:hAnsi="Arial" w:cs="Arial"/>
          <w:i/>
          <w:sz w:val="22"/>
        </w:rPr>
        <w:t>Tourism 2020</w:t>
      </w:r>
      <w:r>
        <w:rPr>
          <w:rFonts w:ascii="Arial" w:hAnsi="Arial" w:cs="Arial"/>
          <w:sz w:val="22"/>
        </w:rPr>
        <w:t xml:space="preserve">, which seeks to double overnight visitor expenditure to between $115 billion and $140 billion by 2020. A key pillar of </w:t>
      </w:r>
      <w:r w:rsidRPr="00741160">
        <w:rPr>
          <w:rFonts w:ascii="Arial" w:hAnsi="Arial" w:cs="Arial"/>
          <w:i/>
          <w:sz w:val="22"/>
        </w:rPr>
        <w:t>Tourism 2020</w:t>
      </w:r>
      <w:r>
        <w:rPr>
          <w:rFonts w:ascii="Arial" w:hAnsi="Arial" w:cs="Arial"/>
          <w:sz w:val="22"/>
        </w:rPr>
        <w:t xml:space="preserve"> is ensuring the tourism transport environment supports growth and that policies and regulations facilitate rather than frustrate tourism access.</w:t>
      </w:r>
    </w:p>
    <w:p w:rsidR="00603DD4" w:rsidRDefault="00741160" w:rsidP="00BD1663">
      <w:pPr>
        <w:spacing w:after="240"/>
        <w:rPr>
          <w:rFonts w:ascii="Arial" w:hAnsi="Arial" w:cs="Arial"/>
          <w:sz w:val="22"/>
        </w:rPr>
      </w:pPr>
      <w:r>
        <w:rPr>
          <w:rFonts w:ascii="Arial" w:hAnsi="Arial" w:cs="Arial"/>
          <w:sz w:val="22"/>
        </w:rPr>
        <w:t xml:space="preserve">The Productivity Commission’s inquiry into Tasmanian Shipping </w:t>
      </w:r>
      <w:r w:rsidR="00094953">
        <w:rPr>
          <w:rFonts w:ascii="Arial" w:hAnsi="Arial" w:cs="Arial"/>
          <w:sz w:val="22"/>
        </w:rPr>
        <w:t xml:space="preserve">and Freight is relevant to </w:t>
      </w:r>
      <w:r w:rsidR="00094953" w:rsidRPr="00094953">
        <w:rPr>
          <w:rFonts w:ascii="Arial" w:hAnsi="Arial" w:cs="Arial"/>
          <w:i/>
          <w:sz w:val="22"/>
        </w:rPr>
        <w:t>Tour</w:t>
      </w:r>
      <w:r w:rsidRPr="00094953">
        <w:rPr>
          <w:rFonts w:ascii="Arial" w:hAnsi="Arial" w:cs="Arial"/>
          <w:i/>
          <w:sz w:val="22"/>
        </w:rPr>
        <w:t>i</w:t>
      </w:r>
      <w:r w:rsidR="00094953" w:rsidRPr="00094953">
        <w:rPr>
          <w:rFonts w:ascii="Arial" w:hAnsi="Arial" w:cs="Arial"/>
          <w:i/>
          <w:sz w:val="22"/>
        </w:rPr>
        <w:t>s</w:t>
      </w:r>
      <w:r w:rsidRPr="00094953">
        <w:rPr>
          <w:rFonts w:ascii="Arial" w:hAnsi="Arial" w:cs="Arial"/>
          <w:i/>
          <w:sz w:val="22"/>
        </w:rPr>
        <w:t>m 2020</w:t>
      </w:r>
      <w:r>
        <w:rPr>
          <w:rFonts w:ascii="Arial" w:hAnsi="Arial" w:cs="Arial"/>
          <w:sz w:val="22"/>
        </w:rPr>
        <w:t xml:space="preserve">, because it examines </w:t>
      </w:r>
    </w:p>
    <w:p w:rsidR="00603DD4" w:rsidRDefault="00094953" w:rsidP="00603DD4">
      <w:pPr>
        <w:pStyle w:val="ListParagraph"/>
        <w:numPr>
          <w:ilvl w:val="0"/>
          <w:numId w:val="44"/>
        </w:numPr>
        <w:spacing w:after="240"/>
        <w:rPr>
          <w:rFonts w:ascii="Arial" w:hAnsi="Arial" w:cs="Arial"/>
          <w:sz w:val="22"/>
        </w:rPr>
      </w:pPr>
      <w:r w:rsidRPr="00603DD4">
        <w:rPr>
          <w:rFonts w:ascii="Arial" w:hAnsi="Arial" w:cs="Arial"/>
          <w:sz w:val="22"/>
        </w:rPr>
        <w:t xml:space="preserve">the </w:t>
      </w:r>
      <w:r w:rsidR="00603DD4" w:rsidRPr="00603DD4">
        <w:rPr>
          <w:rFonts w:ascii="Arial" w:hAnsi="Arial" w:cs="Arial"/>
          <w:sz w:val="22"/>
        </w:rPr>
        <w:t>effectiveness off the Bass Strait Passenger Vehicle Equalisation Scheme (BSPVES) in the context of shipping passenger numbers</w:t>
      </w:r>
      <w:r w:rsidR="00603DD4">
        <w:rPr>
          <w:rFonts w:ascii="Arial" w:hAnsi="Arial" w:cs="Arial"/>
          <w:sz w:val="22"/>
        </w:rPr>
        <w:t>; and</w:t>
      </w:r>
    </w:p>
    <w:p w:rsidR="00603DD4" w:rsidRDefault="00603DD4" w:rsidP="00BD1663">
      <w:pPr>
        <w:pStyle w:val="ListParagraph"/>
        <w:numPr>
          <w:ilvl w:val="0"/>
          <w:numId w:val="44"/>
        </w:numPr>
        <w:spacing w:after="240"/>
        <w:rPr>
          <w:rFonts w:ascii="Arial" w:hAnsi="Arial" w:cs="Arial"/>
          <w:sz w:val="22"/>
        </w:rPr>
      </w:pPr>
      <w:r w:rsidRPr="00603DD4">
        <w:rPr>
          <w:rFonts w:ascii="Arial" w:hAnsi="Arial" w:cs="Arial"/>
          <w:sz w:val="22"/>
        </w:rPr>
        <w:t xml:space="preserve">factors prohibiting the provision of shipping services to Tasmania. </w:t>
      </w:r>
    </w:p>
    <w:p w:rsidR="00603DD4" w:rsidRDefault="00603DD4" w:rsidP="00603DD4">
      <w:pPr>
        <w:pStyle w:val="ListParagraph"/>
        <w:spacing w:after="240"/>
        <w:rPr>
          <w:rFonts w:ascii="Arial" w:hAnsi="Arial" w:cs="Arial"/>
          <w:sz w:val="22"/>
        </w:rPr>
      </w:pPr>
    </w:p>
    <w:p w:rsidR="00EC52F6" w:rsidRDefault="00EC52F6" w:rsidP="00603DD4">
      <w:pPr>
        <w:pStyle w:val="ListParagraph"/>
        <w:spacing w:after="240"/>
        <w:ind w:left="0"/>
        <w:rPr>
          <w:rFonts w:ascii="Arial" w:hAnsi="Arial" w:cs="Arial"/>
          <w:sz w:val="22"/>
        </w:rPr>
      </w:pPr>
      <w:r>
        <w:rPr>
          <w:rFonts w:ascii="Arial" w:hAnsi="Arial" w:cs="Arial"/>
          <w:sz w:val="22"/>
        </w:rPr>
        <w:t>These issues impact on the competitiveness of the Australian tourism industry because they affect tourists’ capacity to access Tasmania’s unique cultural and natural attractions, which for many tourists can be a factor in choosing to visit Australia.</w:t>
      </w:r>
    </w:p>
    <w:p w:rsidR="00EC52F6" w:rsidRDefault="00EC52F6" w:rsidP="00603DD4">
      <w:pPr>
        <w:pStyle w:val="ListParagraph"/>
        <w:spacing w:after="240"/>
        <w:ind w:left="0"/>
        <w:rPr>
          <w:rFonts w:ascii="Arial" w:hAnsi="Arial" w:cs="Arial"/>
          <w:sz w:val="22"/>
        </w:rPr>
      </w:pPr>
    </w:p>
    <w:p w:rsidR="00603DD4" w:rsidRPr="00EA2395" w:rsidRDefault="00603DD4" w:rsidP="00EA2395">
      <w:pPr>
        <w:spacing w:after="240"/>
        <w:rPr>
          <w:rFonts w:ascii="Arial" w:hAnsi="Arial" w:cs="Arial"/>
          <w:sz w:val="22"/>
          <w:u w:val="single"/>
        </w:rPr>
      </w:pPr>
      <w:r w:rsidRPr="00EA2395">
        <w:rPr>
          <w:rFonts w:ascii="Arial" w:hAnsi="Arial" w:cs="Arial"/>
          <w:sz w:val="22"/>
          <w:u w:val="single"/>
        </w:rPr>
        <w:t>Drive Tourism and the Tasmanian Economy</w:t>
      </w:r>
    </w:p>
    <w:p w:rsidR="00EC52F6" w:rsidRDefault="008B1D8C" w:rsidP="00603DD4">
      <w:pPr>
        <w:pStyle w:val="ListParagraph"/>
        <w:spacing w:after="240"/>
        <w:ind w:left="0"/>
        <w:rPr>
          <w:rFonts w:ascii="Arial" w:hAnsi="Arial" w:cs="Arial"/>
          <w:sz w:val="22"/>
        </w:rPr>
      </w:pPr>
      <w:r w:rsidRPr="00603DD4">
        <w:rPr>
          <w:rFonts w:ascii="Arial" w:hAnsi="Arial" w:cs="Arial"/>
          <w:sz w:val="22"/>
        </w:rPr>
        <w:t>The tourism sector</w:t>
      </w:r>
      <w:r w:rsidR="00EC52F6">
        <w:rPr>
          <w:rFonts w:ascii="Arial" w:hAnsi="Arial" w:cs="Arial"/>
          <w:sz w:val="22"/>
        </w:rPr>
        <w:t xml:space="preserve"> is a large component of </w:t>
      </w:r>
      <w:r w:rsidRPr="00603DD4">
        <w:rPr>
          <w:rFonts w:ascii="Arial" w:hAnsi="Arial" w:cs="Arial"/>
          <w:sz w:val="22"/>
        </w:rPr>
        <w:t>the Australian economy</w:t>
      </w:r>
      <w:r w:rsidR="00EC52F6">
        <w:rPr>
          <w:rFonts w:ascii="Arial" w:hAnsi="Arial" w:cs="Arial"/>
          <w:sz w:val="22"/>
        </w:rPr>
        <w:t>.  Tourism consumption was worth $107 billion in 2011-12 and tourism was Australia’s largest service export, earning $26 billion in export income. The tourism industry also directly employs more than half a million Australians.</w:t>
      </w:r>
      <w:r w:rsidR="00D079EC">
        <w:rPr>
          <w:rStyle w:val="FootnoteReference"/>
          <w:rFonts w:ascii="Arial" w:hAnsi="Arial" w:cs="Arial"/>
          <w:sz w:val="22"/>
        </w:rPr>
        <w:footnoteReference w:id="1"/>
      </w:r>
    </w:p>
    <w:p w:rsidR="00D079EC" w:rsidRDefault="00EC52F6" w:rsidP="00D079EC">
      <w:pPr>
        <w:spacing w:after="240"/>
        <w:rPr>
          <w:rFonts w:ascii="Arial" w:hAnsi="Arial" w:cs="Arial"/>
          <w:sz w:val="22"/>
        </w:rPr>
      </w:pPr>
      <w:r>
        <w:rPr>
          <w:rFonts w:ascii="Arial" w:hAnsi="Arial" w:cs="Arial"/>
          <w:sz w:val="22"/>
        </w:rPr>
        <w:t xml:space="preserve">The tourism industry is even more important to the Tasmanian economy, </w:t>
      </w:r>
      <w:r w:rsidR="00A03424">
        <w:rPr>
          <w:rFonts w:ascii="Arial" w:hAnsi="Arial" w:cs="Arial"/>
          <w:sz w:val="22"/>
        </w:rPr>
        <w:t xml:space="preserve">with tourism consumption </w:t>
      </w:r>
      <w:r w:rsidR="00EA2395">
        <w:rPr>
          <w:rFonts w:ascii="Arial" w:hAnsi="Arial" w:cs="Arial"/>
          <w:sz w:val="22"/>
        </w:rPr>
        <w:t>contributing $2.3</w:t>
      </w:r>
      <w:r w:rsidR="005F6E6B" w:rsidRPr="00603DD4">
        <w:rPr>
          <w:rFonts w:ascii="Arial" w:hAnsi="Arial" w:cs="Arial"/>
          <w:sz w:val="22"/>
        </w:rPr>
        <w:t xml:space="preserve"> billion or 9.3 per cent to</w:t>
      </w:r>
      <w:r w:rsidR="00D245F2" w:rsidRPr="00603DD4">
        <w:rPr>
          <w:rFonts w:ascii="Arial" w:hAnsi="Arial" w:cs="Arial"/>
          <w:sz w:val="22"/>
        </w:rPr>
        <w:t xml:space="preserve"> Gross State Product (GSP).</w:t>
      </w:r>
      <w:r w:rsidR="00D079EC">
        <w:rPr>
          <w:rStyle w:val="FootnoteReference"/>
          <w:rFonts w:ascii="Arial" w:hAnsi="Arial" w:cs="Arial"/>
          <w:sz w:val="22"/>
        </w:rPr>
        <w:footnoteReference w:id="2"/>
      </w:r>
      <w:r w:rsidR="00D079EC">
        <w:rPr>
          <w:rFonts w:ascii="Arial" w:hAnsi="Arial" w:cs="Arial"/>
          <w:sz w:val="22"/>
        </w:rPr>
        <w:t xml:space="preserve"> The significance of tourism to </w:t>
      </w:r>
      <w:r w:rsidR="00E847D0">
        <w:rPr>
          <w:rFonts w:ascii="Arial" w:hAnsi="Arial" w:cs="Arial"/>
          <w:sz w:val="22"/>
        </w:rPr>
        <w:t xml:space="preserve">Tasmania’s regions is even greater. </w:t>
      </w:r>
      <w:r w:rsidR="00D079EC">
        <w:rPr>
          <w:rFonts w:ascii="Arial" w:hAnsi="Arial" w:cs="Arial"/>
          <w:sz w:val="22"/>
        </w:rPr>
        <w:t xml:space="preserve">Data from </w:t>
      </w:r>
      <w:r w:rsidR="00D079EC" w:rsidRPr="00BD1663">
        <w:rPr>
          <w:rFonts w:ascii="Arial" w:hAnsi="Arial" w:cs="Arial"/>
          <w:sz w:val="22"/>
        </w:rPr>
        <w:t>Tourism Research Australia</w:t>
      </w:r>
      <w:r w:rsidR="00D079EC">
        <w:rPr>
          <w:rFonts w:ascii="Arial" w:hAnsi="Arial" w:cs="Arial"/>
          <w:sz w:val="22"/>
        </w:rPr>
        <w:t xml:space="preserve"> shows that the Tasmanian West Coast and Tasmanian East Coast were two of the most tourism dependent regions in the country. Tourism made up 16.2 per cent of the West Coast’s economy and 14.6 </w:t>
      </w:r>
      <w:r w:rsidR="00D079EC" w:rsidRPr="00BD1663">
        <w:rPr>
          <w:rFonts w:ascii="Arial" w:hAnsi="Arial" w:cs="Arial"/>
          <w:sz w:val="22"/>
        </w:rPr>
        <w:t xml:space="preserve">per cent of </w:t>
      </w:r>
      <w:r w:rsidR="00D079EC">
        <w:rPr>
          <w:rFonts w:ascii="Arial" w:hAnsi="Arial" w:cs="Arial"/>
          <w:sz w:val="22"/>
        </w:rPr>
        <w:t xml:space="preserve">the East Coast’s economy. </w:t>
      </w:r>
      <w:r w:rsidR="00D079EC">
        <w:rPr>
          <w:rStyle w:val="FootnoteReference"/>
          <w:rFonts w:ascii="Arial" w:hAnsi="Arial" w:cs="Arial"/>
          <w:sz w:val="22"/>
        </w:rPr>
        <w:footnoteReference w:id="3"/>
      </w:r>
    </w:p>
    <w:p w:rsidR="00BD1663" w:rsidRPr="00BD1663" w:rsidRDefault="00EC52F6" w:rsidP="00BD1663">
      <w:pPr>
        <w:spacing w:after="240"/>
        <w:rPr>
          <w:rFonts w:ascii="Arial" w:hAnsi="Arial" w:cs="Arial"/>
          <w:sz w:val="22"/>
        </w:rPr>
      </w:pPr>
      <w:r>
        <w:rPr>
          <w:rFonts w:ascii="Arial" w:hAnsi="Arial" w:cs="Arial"/>
          <w:sz w:val="22"/>
        </w:rPr>
        <w:t>The Tasmanian tourism industry is disproportionately reliant on drive tourism because t</w:t>
      </w:r>
      <w:r w:rsidR="0037212D">
        <w:rPr>
          <w:rFonts w:ascii="Arial" w:hAnsi="Arial" w:cs="Arial"/>
          <w:sz w:val="22"/>
        </w:rPr>
        <w:t xml:space="preserve">ourists have </w:t>
      </w:r>
      <w:r w:rsidR="00BD1663" w:rsidRPr="00BD1663">
        <w:rPr>
          <w:rFonts w:ascii="Arial" w:hAnsi="Arial" w:cs="Arial"/>
          <w:sz w:val="22"/>
        </w:rPr>
        <w:t xml:space="preserve">less </w:t>
      </w:r>
      <w:r w:rsidR="0037212D">
        <w:rPr>
          <w:rFonts w:ascii="Arial" w:hAnsi="Arial" w:cs="Arial"/>
          <w:sz w:val="22"/>
        </w:rPr>
        <w:t>inter</w:t>
      </w:r>
      <w:r w:rsidR="00BD1663" w:rsidRPr="00BD1663">
        <w:rPr>
          <w:rFonts w:ascii="Arial" w:hAnsi="Arial" w:cs="Arial"/>
          <w:sz w:val="22"/>
        </w:rPr>
        <w:t>mod</w:t>
      </w:r>
      <w:r w:rsidR="0037212D">
        <w:rPr>
          <w:rFonts w:ascii="Arial" w:hAnsi="Arial" w:cs="Arial"/>
          <w:sz w:val="22"/>
        </w:rPr>
        <w:t xml:space="preserve">al transport </w:t>
      </w:r>
      <w:r w:rsidR="00BD1663" w:rsidRPr="00BD1663">
        <w:rPr>
          <w:rFonts w:ascii="Arial" w:hAnsi="Arial" w:cs="Arial"/>
          <w:sz w:val="22"/>
        </w:rPr>
        <w:t xml:space="preserve">options </w:t>
      </w:r>
      <w:r>
        <w:rPr>
          <w:rFonts w:ascii="Arial" w:hAnsi="Arial" w:cs="Arial"/>
          <w:sz w:val="22"/>
        </w:rPr>
        <w:t>in Tasmania compared with the mainland.</w:t>
      </w:r>
      <w:r w:rsidR="00BD1663" w:rsidRPr="00BD1663">
        <w:rPr>
          <w:rFonts w:ascii="Arial" w:hAnsi="Arial" w:cs="Arial"/>
          <w:sz w:val="22"/>
        </w:rPr>
        <w:t xml:space="preserve"> Tasmania does not have any commercial rail services, and </w:t>
      </w:r>
      <w:r>
        <w:rPr>
          <w:rFonts w:ascii="Arial" w:hAnsi="Arial" w:cs="Arial"/>
          <w:sz w:val="22"/>
        </w:rPr>
        <w:t xml:space="preserve">intra-state aviation services </w:t>
      </w:r>
      <w:r w:rsidR="00BD1663" w:rsidRPr="00BD1663">
        <w:rPr>
          <w:rFonts w:ascii="Arial" w:hAnsi="Arial" w:cs="Arial"/>
          <w:sz w:val="22"/>
        </w:rPr>
        <w:t xml:space="preserve">are limited.  While major </w:t>
      </w:r>
      <w:r w:rsidR="0037212D">
        <w:rPr>
          <w:rFonts w:ascii="Arial" w:hAnsi="Arial" w:cs="Arial"/>
          <w:sz w:val="22"/>
        </w:rPr>
        <w:t xml:space="preserve">town </w:t>
      </w:r>
      <w:r w:rsidR="00BD1663" w:rsidRPr="00BD1663">
        <w:rPr>
          <w:rFonts w:ascii="Arial" w:hAnsi="Arial" w:cs="Arial"/>
          <w:sz w:val="22"/>
        </w:rPr>
        <w:t xml:space="preserve">centres have regular bus services, </w:t>
      </w:r>
      <w:r>
        <w:rPr>
          <w:rFonts w:ascii="Arial" w:hAnsi="Arial" w:cs="Arial"/>
          <w:sz w:val="22"/>
        </w:rPr>
        <w:t xml:space="preserve">consumers can find these services </w:t>
      </w:r>
      <w:r w:rsidR="00BD1663" w:rsidRPr="00BD1663">
        <w:rPr>
          <w:rFonts w:ascii="Arial" w:hAnsi="Arial" w:cs="Arial"/>
          <w:sz w:val="22"/>
        </w:rPr>
        <w:t xml:space="preserve">irregular and </w:t>
      </w:r>
      <w:r>
        <w:rPr>
          <w:rFonts w:ascii="Arial" w:hAnsi="Arial" w:cs="Arial"/>
          <w:sz w:val="22"/>
        </w:rPr>
        <w:t xml:space="preserve">not offering these same convenience </w:t>
      </w:r>
      <w:r w:rsidR="00EA2395">
        <w:rPr>
          <w:rFonts w:ascii="Arial" w:hAnsi="Arial" w:cs="Arial"/>
          <w:sz w:val="22"/>
        </w:rPr>
        <w:t xml:space="preserve">as </w:t>
      </w:r>
      <w:r>
        <w:rPr>
          <w:rFonts w:ascii="Arial" w:hAnsi="Arial" w:cs="Arial"/>
          <w:sz w:val="22"/>
        </w:rPr>
        <w:t>drive tourism</w:t>
      </w:r>
      <w:r w:rsidR="00BD1663" w:rsidRPr="00BD1663">
        <w:rPr>
          <w:rFonts w:ascii="Arial" w:hAnsi="Arial" w:cs="Arial"/>
          <w:sz w:val="22"/>
        </w:rPr>
        <w:t xml:space="preserve">.  </w:t>
      </w:r>
    </w:p>
    <w:p w:rsidR="00BD1663" w:rsidRPr="00BD1663" w:rsidRDefault="00BD1663" w:rsidP="00BD1663">
      <w:pPr>
        <w:spacing w:after="240"/>
        <w:rPr>
          <w:rFonts w:ascii="Arial" w:hAnsi="Arial" w:cs="Arial"/>
          <w:sz w:val="22"/>
        </w:rPr>
      </w:pPr>
      <w:r w:rsidRPr="00BD1663">
        <w:rPr>
          <w:rFonts w:ascii="Arial" w:hAnsi="Arial" w:cs="Arial"/>
          <w:sz w:val="22"/>
        </w:rPr>
        <w:t>Out of necessity, private road vehicles are the dominant tourism transport mode.  According to Tourism Tasmania, in 2012-13, 91 per cent of all visitors used their own road vehicle, a rental vehicle, or a friends or relative’s vehicle, as their main form of transport in Tasmania.</w:t>
      </w:r>
      <w:r w:rsidR="00D079EC">
        <w:rPr>
          <w:rStyle w:val="FootnoteReference"/>
          <w:rFonts w:ascii="Arial" w:hAnsi="Arial" w:cs="Arial"/>
          <w:sz w:val="22"/>
        </w:rPr>
        <w:footnoteReference w:id="4"/>
      </w:r>
    </w:p>
    <w:p w:rsidR="00BD1663" w:rsidRDefault="00BD1663" w:rsidP="00BD1663">
      <w:pPr>
        <w:spacing w:after="240"/>
        <w:rPr>
          <w:rFonts w:ascii="Arial" w:hAnsi="Arial" w:cs="Arial"/>
          <w:sz w:val="22"/>
        </w:rPr>
      </w:pPr>
      <w:r w:rsidRPr="00BD1663">
        <w:rPr>
          <w:rFonts w:ascii="Arial" w:hAnsi="Arial" w:cs="Arial"/>
          <w:sz w:val="22"/>
        </w:rPr>
        <w:lastRenderedPageBreak/>
        <w:t xml:space="preserve">Given the size of the state’s economy and </w:t>
      </w:r>
      <w:r w:rsidR="00D079EC">
        <w:rPr>
          <w:rFonts w:ascii="Arial" w:hAnsi="Arial" w:cs="Arial"/>
          <w:sz w:val="22"/>
        </w:rPr>
        <w:t>the significant contribution tourism makes to Tasmanian economic output,</w:t>
      </w:r>
      <w:r w:rsidRPr="00BD1663">
        <w:rPr>
          <w:rFonts w:ascii="Arial" w:hAnsi="Arial" w:cs="Arial"/>
          <w:sz w:val="22"/>
        </w:rPr>
        <w:t xml:space="preserve"> even small changes in visitation and expenditure can have a significant impact on Tasmanian communities and businesses.  </w:t>
      </w:r>
    </w:p>
    <w:p w:rsidR="00D079EC" w:rsidRDefault="00D079EC">
      <w:pPr>
        <w:rPr>
          <w:rFonts w:ascii="Arial" w:hAnsi="Arial" w:cs="Arial"/>
          <w:sz w:val="22"/>
          <w:u w:val="single"/>
        </w:rPr>
      </w:pPr>
    </w:p>
    <w:p w:rsidR="00D079EC" w:rsidRPr="00D079EC" w:rsidRDefault="00D079EC" w:rsidP="00EA2395">
      <w:pPr>
        <w:spacing w:after="240"/>
        <w:rPr>
          <w:rFonts w:ascii="Arial" w:hAnsi="Arial" w:cs="Arial"/>
          <w:sz w:val="22"/>
          <w:u w:val="single"/>
        </w:rPr>
      </w:pPr>
      <w:r>
        <w:rPr>
          <w:rFonts w:ascii="Arial" w:hAnsi="Arial" w:cs="Arial"/>
          <w:sz w:val="22"/>
          <w:u w:val="single"/>
        </w:rPr>
        <w:t xml:space="preserve">The Impact of the BSPVES on the Tourism Industry </w:t>
      </w:r>
    </w:p>
    <w:p w:rsidR="00142FB3" w:rsidRDefault="00BD1663" w:rsidP="00BD1663">
      <w:pPr>
        <w:spacing w:after="240"/>
        <w:rPr>
          <w:rFonts w:ascii="Arial" w:hAnsi="Arial" w:cs="Arial"/>
          <w:sz w:val="22"/>
        </w:rPr>
      </w:pPr>
      <w:r w:rsidRPr="00BD1663">
        <w:rPr>
          <w:rFonts w:ascii="Arial" w:hAnsi="Arial" w:cs="Arial"/>
          <w:sz w:val="22"/>
        </w:rPr>
        <w:t>The combination of these two characteristics – a high dependence on private road vehicles for</w:t>
      </w:r>
      <w:r w:rsidR="00142FB3">
        <w:rPr>
          <w:rFonts w:ascii="Arial" w:hAnsi="Arial" w:cs="Arial"/>
          <w:sz w:val="22"/>
        </w:rPr>
        <w:t xml:space="preserve"> </w:t>
      </w:r>
      <w:r w:rsidRPr="00BD1663">
        <w:rPr>
          <w:rFonts w:ascii="Arial" w:hAnsi="Arial" w:cs="Arial"/>
          <w:sz w:val="22"/>
        </w:rPr>
        <w:t xml:space="preserve">tourism </w:t>
      </w:r>
      <w:r w:rsidR="00402C95">
        <w:rPr>
          <w:rFonts w:ascii="Arial" w:hAnsi="Arial" w:cs="Arial"/>
          <w:sz w:val="22"/>
        </w:rPr>
        <w:t>dispersal</w:t>
      </w:r>
      <w:r w:rsidRPr="00BD1663">
        <w:rPr>
          <w:rFonts w:ascii="Arial" w:hAnsi="Arial" w:cs="Arial"/>
          <w:sz w:val="22"/>
        </w:rPr>
        <w:t xml:space="preserve">, and a high economic dependence on tourism – means that any changes to the BSPVES that result in changes to overall car usage have the potential to impact significantly on </w:t>
      </w:r>
      <w:r w:rsidR="00142FB3">
        <w:rPr>
          <w:rFonts w:ascii="Arial" w:hAnsi="Arial" w:cs="Arial"/>
          <w:sz w:val="22"/>
        </w:rPr>
        <w:t xml:space="preserve">the Tasmanian economy and the communities of which it is comprised. </w:t>
      </w:r>
    </w:p>
    <w:p w:rsidR="00BD1663" w:rsidRPr="00BD1663" w:rsidRDefault="00BD1663" w:rsidP="00BD1663">
      <w:pPr>
        <w:spacing w:after="240"/>
        <w:rPr>
          <w:rFonts w:ascii="Arial" w:hAnsi="Arial" w:cs="Arial"/>
          <w:sz w:val="22"/>
        </w:rPr>
      </w:pPr>
      <w:r w:rsidRPr="00BD1663">
        <w:rPr>
          <w:rFonts w:ascii="Arial" w:hAnsi="Arial" w:cs="Arial"/>
          <w:sz w:val="22"/>
        </w:rPr>
        <w:t xml:space="preserve">The </w:t>
      </w:r>
      <w:r w:rsidR="00402C95">
        <w:rPr>
          <w:rFonts w:ascii="Arial" w:hAnsi="Arial" w:cs="Arial"/>
          <w:sz w:val="22"/>
        </w:rPr>
        <w:t xml:space="preserve">BSPVES aims to reduce the cost of sea travel to Tasmania and does so by providing a rebate to cover part of the costs of transporting private vehicles, including campervans, motorcycles and bicycles to Tasmania. The </w:t>
      </w:r>
      <w:r w:rsidRPr="00BD1663">
        <w:rPr>
          <w:rFonts w:ascii="Arial" w:hAnsi="Arial" w:cs="Arial"/>
          <w:sz w:val="22"/>
        </w:rPr>
        <w:t>BSPVES</w:t>
      </w:r>
      <w:r w:rsidR="00402C95">
        <w:rPr>
          <w:rFonts w:ascii="Arial" w:hAnsi="Arial" w:cs="Arial"/>
          <w:sz w:val="22"/>
        </w:rPr>
        <w:t>’s stated objective</w:t>
      </w:r>
      <w:r w:rsidRPr="00BD1663">
        <w:rPr>
          <w:rFonts w:ascii="Arial" w:hAnsi="Arial" w:cs="Arial"/>
          <w:sz w:val="22"/>
        </w:rPr>
        <w:t xml:space="preserve"> is to increase demand for travel across Bass Strait, with direct benefits to the tourism industry and potential growth in jobs, investment and population for Tasmania.</w:t>
      </w:r>
    </w:p>
    <w:p w:rsidR="00BD1663" w:rsidRDefault="00BD1663" w:rsidP="00BD1663">
      <w:pPr>
        <w:spacing w:after="240"/>
        <w:rPr>
          <w:rFonts w:ascii="Arial" w:hAnsi="Arial" w:cs="Arial"/>
          <w:sz w:val="22"/>
        </w:rPr>
      </w:pPr>
      <w:r w:rsidRPr="00BD1663">
        <w:rPr>
          <w:rFonts w:ascii="Arial" w:hAnsi="Arial" w:cs="Arial"/>
          <w:sz w:val="22"/>
        </w:rPr>
        <w:t xml:space="preserve">Since being introduced in September 1996, </w:t>
      </w:r>
      <w:r w:rsidR="00C848FF">
        <w:rPr>
          <w:rFonts w:ascii="Arial" w:hAnsi="Arial" w:cs="Arial"/>
          <w:sz w:val="22"/>
        </w:rPr>
        <w:t xml:space="preserve">the scheme </w:t>
      </w:r>
      <w:r w:rsidRPr="00BD1663">
        <w:rPr>
          <w:rFonts w:ascii="Arial" w:hAnsi="Arial" w:cs="Arial"/>
          <w:sz w:val="22"/>
        </w:rPr>
        <w:t xml:space="preserve">has helped </w:t>
      </w:r>
      <w:r w:rsidR="00C848FF">
        <w:rPr>
          <w:rFonts w:ascii="Arial" w:hAnsi="Arial" w:cs="Arial"/>
          <w:sz w:val="22"/>
        </w:rPr>
        <w:t xml:space="preserve">to </w:t>
      </w:r>
      <w:r w:rsidRPr="00BD1663">
        <w:rPr>
          <w:rFonts w:ascii="Arial" w:hAnsi="Arial" w:cs="Arial"/>
          <w:sz w:val="22"/>
        </w:rPr>
        <w:t>significantly increase the number of visitors to Tasmania travelling with their own vehicles.  In 1995-96, the year before the scheme was introduced, 63,000 vehicles were taken across the Bass Strait.  In 2012-13, this number has grown to 151,901.  However, over the last five years, uptake has fallen by 22.6 per cent.</w:t>
      </w:r>
      <w:r w:rsidR="00402C95">
        <w:rPr>
          <w:rStyle w:val="FootnoteReference"/>
          <w:rFonts w:ascii="Arial" w:hAnsi="Arial" w:cs="Arial"/>
          <w:sz w:val="22"/>
        </w:rPr>
        <w:footnoteReference w:id="5"/>
      </w:r>
    </w:p>
    <w:p w:rsidR="006174A1" w:rsidRDefault="006174A1" w:rsidP="006174A1">
      <w:pPr>
        <w:spacing w:after="240"/>
        <w:rPr>
          <w:rFonts w:ascii="Arial" w:hAnsi="Arial" w:cs="Arial"/>
          <w:sz w:val="22"/>
        </w:rPr>
      </w:pPr>
      <w:r w:rsidRPr="00BD1663">
        <w:rPr>
          <w:rFonts w:ascii="Arial" w:hAnsi="Arial" w:cs="Arial"/>
          <w:sz w:val="22"/>
        </w:rPr>
        <w:t xml:space="preserve">The Bureau of Infrastructure, Transport and Regional Economics </w:t>
      </w:r>
      <w:r>
        <w:rPr>
          <w:rFonts w:ascii="Arial" w:hAnsi="Arial" w:cs="Arial"/>
          <w:sz w:val="22"/>
        </w:rPr>
        <w:t xml:space="preserve">(BITRE) </w:t>
      </w:r>
      <w:r w:rsidRPr="00BD1663">
        <w:rPr>
          <w:rFonts w:ascii="Arial" w:hAnsi="Arial" w:cs="Arial"/>
          <w:sz w:val="22"/>
        </w:rPr>
        <w:t xml:space="preserve">estimates that around 15,000 new leisure visitors travelled by sea to Tasmania in 2010–11 as a result of the </w:t>
      </w:r>
      <w:r w:rsidR="00EA2395">
        <w:rPr>
          <w:rFonts w:ascii="Arial" w:hAnsi="Arial" w:cs="Arial"/>
          <w:sz w:val="22"/>
        </w:rPr>
        <w:t>BSPVES</w:t>
      </w:r>
      <w:r w:rsidRPr="00BD1663">
        <w:rPr>
          <w:rFonts w:ascii="Arial" w:hAnsi="Arial" w:cs="Arial"/>
          <w:sz w:val="22"/>
        </w:rPr>
        <w:t>.  These additional visitors spent an estimated $36 million in 2010–11.</w:t>
      </w:r>
    </w:p>
    <w:p w:rsidR="00691D70" w:rsidRPr="00691D70" w:rsidRDefault="006174A1" w:rsidP="00691D70">
      <w:pPr>
        <w:spacing w:after="240"/>
        <w:rPr>
          <w:rFonts w:ascii="Arial" w:hAnsi="Arial" w:cs="Arial"/>
          <w:sz w:val="22"/>
        </w:rPr>
      </w:pPr>
      <w:r w:rsidRPr="00BD1663">
        <w:rPr>
          <w:rFonts w:ascii="Arial" w:hAnsi="Arial" w:cs="Arial"/>
          <w:sz w:val="22"/>
        </w:rPr>
        <w:t xml:space="preserve">However, the </w:t>
      </w:r>
      <w:r>
        <w:rPr>
          <w:rFonts w:ascii="Arial" w:hAnsi="Arial" w:cs="Arial"/>
          <w:sz w:val="22"/>
        </w:rPr>
        <w:t xml:space="preserve">tourism </w:t>
      </w:r>
      <w:r w:rsidRPr="00BD1663">
        <w:rPr>
          <w:rFonts w:ascii="Arial" w:hAnsi="Arial" w:cs="Arial"/>
          <w:sz w:val="22"/>
        </w:rPr>
        <w:t xml:space="preserve">benefits of the BSPVES </w:t>
      </w:r>
      <w:r>
        <w:rPr>
          <w:rFonts w:ascii="Arial" w:hAnsi="Arial" w:cs="Arial"/>
          <w:sz w:val="22"/>
        </w:rPr>
        <w:t>are likely to go beyond those identified by the BITRE</w:t>
      </w:r>
      <w:r w:rsidR="00691D70">
        <w:rPr>
          <w:rFonts w:ascii="Arial" w:hAnsi="Arial" w:cs="Arial"/>
          <w:sz w:val="22"/>
        </w:rPr>
        <w:t xml:space="preserve">.  In particular, the BITRE evaluation did not assess the impact of the BSPVES on: </w:t>
      </w:r>
    </w:p>
    <w:p w:rsidR="00691D70" w:rsidRDefault="006174A1" w:rsidP="00691D70">
      <w:pPr>
        <w:pStyle w:val="ListParagraph"/>
        <w:numPr>
          <w:ilvl w:val="0"/>
          <w:numId w:val="46"/>
        </w:numPr>
        <w:spacing w:after="240"/>
        <w:rPr>
          <w:rFonts w:ascii="Arial" w:hAnsi="Arial" w:cs="Arial"/>
          <w:sz w:val="22"/>
        </w:rPr>
      </w:pPr>
      <w:r w:rsidRPr="00691D70">
        <w:rPr>
          <w:rFonts w:ascii="Arial" w:hAnsi="Arial" w:cs="Arial"/>
          <w:sz w:val="22"/>
        </w:rPr>
        <w:t>business t</w:t>
      </w:r>
      <w:r w:rsidR="00EA2395">
        <w:rPr>
          <w:rFonts w:ascii="Arial" w:hAnsi="Arial" w:cs="Arial"/>
          <w:sz w:val="22"/>
        </w:rPr>
        <w:t>ourism,</w:t>
      </w:r>
      <w:r w:rsidRPr="00691D70">
        <w:rPr>
          <w:rFonts w:ascii="Arial" w:hAnsi="Arial" w:cs="Arial"/>
          <w:sz w:val="22"/>
        </w:rPr>
        <w:t xml:space="preserve"> </w:t>
      </w:r>
      <w:r w:rsidR="00691D70" w:rsidRPr="00691D70">
        <w:rPr>
          <w:rFonts w:ascii="Arial" w:hAnsi="Arial" w:cs="Arial"/>
          <w:sz w:val="22"/>
        </w:rPr>
        <w:t>tourists visiting to see family and/or relatives</w:t>
      </w:r>
      <w:r w:rsidR="00EA2395">
        <w:rPr>
          <w:rFonts w:ascii="Arial" w:hAnsi="Arial" w:cs="Arial"/>
          <w:sz w:val="22"/>
        </w:rPr>
        <w:t xml:space="preserve"> or other non-leisure tourism</w:t>
      </w:r>
      <w:r w:rsidR="00691D70">
        <w:rPr>
          <w:rFonts w:ascii="Arial" w:hAnsi="Arial" w:cs="Arial"/>
          <w:sz w:val="22"/>
        </w:rPr>
        <w:t>;</w:t>
      </w:r>
    </w:p>
    <w:p w:rsidR="00691D70" w:rsidRDefault="00691D70" w:rsidP="00691D70">
      <w:pPr>
        <w:pStyle w:val="ListParagraph"/>
        <w:numPr>
          <w:ilvl w:val="0"/>
          <w:numId w:val="46"/>
        </w:numPr>
        <w:spacing w:after="240"/>
        <w:rPr>
          <w:rFonts w:ascii="Arial" w:hAnsi="Arial" w:cs="Arial"/>
          <w:sz w:val="22"/>
        </w:rPr>
      </w:pPr>
      <w:r w:rsidRPr="00691D70">
        <w:rPr>
          <w:rFonts w:ascii="Arial" w:hAnsi="Arial" w:cs="Arial"/>
          <w:sz w:val="22"/>
        </w:rPr>
        <w:t>inducing Tasmanians to travel to Melbourne by sea</w:t>
      </w:r>
      <w:r>
        <w:rPr>
          <w:rFonts w:ascii="Arial" w:hAnsi="Arial" w:cs="Arial"/>
          <w:sz w:val="22"/>
        </w:rPr>
        <w:t xml:space="preserve"> (</w:t>
      </w:r>
      <w:proofErr w:type="spellStart"/>
      <w:r>
        <w:rPr>
          <w:rFonts w:ascii="Arial" w:hAnsi="Arial" w:cs="Arial"/>
          <w:sz w:val="22"/>
        </w:rPr>
        <w:t>ie</w:t>
      </w:r>
      <w:proofErr w:type="spellEnd"/>
      <w:r>
        <w:rPr>
          <w:rFonts w:ascii="Arial" w:hAnsi="Arial" w:cs="Arial"/>
          <w:sz w:val="22"/>
        </w:rPr>
        <w:t xml:space="preserve"> the impact of the BSPVES on the Victorian tourism industry); and</w:t>
      </w:r>
      <w:r w:rsidRPr="00691D70">
        <w:rPr>
          <w:rFonts w:ascii="Arial" w:hAnsi="Arial" w:cs="Arial"/>
          <w:sz w:val="22"/>
        </w:rPr>
        <w:t xml:space="preserve"> </w:t>
      </w:r>
    </w:p>
    <w:p w:rsidR="00691D70" w:rsidRPr="00691D70" w:rsidRDefault="00691D70" w:rsidP="00691D70">
      <w:pPr>
        <w:pStyle w:val="ListParagraph"/>
        <w:numPr>
          <w:ilvl w:val="0"/>
          <w:numId w:val="46"/>
        </w:numPr>
        <w:spacing w:after="240"/>
        <w:rPr>
          <w:rFonts w:ascii="Arial" w:hAnsi="Arial" w:cs="Arial"/>
          <w:sz w:val="22"/>
        </w:rPr>
      </w:pPr>
      <w:r>
        <w:rPr>
          <w:rFonts w:ascii="Arial" w:hAnsi="Arial" w:cs="Arial"/>
          <w:sz w:val="22"/>
        </w:rPr>
        <w:t>Tasmanian hire car prices.</w:t>
      </w:r>
    </w:p>
    <w:p w:rsidR="00691D70" w:rsidRDefault="00691D70" w:rsidP="00691D70">
      <w:pPr>
        <w:spacing w:after="240"/>
        <w:rPr>
          <w:rFonts w:ascii="Arial" w:hAnsi="Arial" w:cs="Arial"/>
          <w:sz w:val="22"/>
        </w:rPr>
      </w:pPr>
      <w:r>
        <w:rPr>
          <w:rFonts w:ascii="Arial" w:hAnsi="Arial" w:cs="Arial"/>
          <w:sz w:val="22"/>
        </w:rPr>
        <w:t xml:space="preserve">These features of the BITRE evaluation mean that is likely to have significantly underestimated the benefit of the BSPVES to the tourism industry. </w:t>
      </w:r>
    </w:p>
    <w:p w:rsidR="00EA2395" w:rsidRPr="00EA2395" w:rsidRDefault="00EA2395" w:rsidP="00EA2395">
      <w:pPr>
        <w:spacing w:after="120"/>
        <w:rPr>
          <w:rFonts w:ascii="Arial" w:hAnsi="Arial" w:cs="Arial"/>
          <w:i/>
          <w:sz w:val="22"/>
        </w:rPr>
      </w:pPr>
      <w:r w:rsidRPr="00EA2395">
        <w:rPr>
          <w:rFonts w:ascii="Arial" w:hAnsi="Arial" w:cs="Arial"/>
          <w:i/>
          <w:sz w:val="22"/>
        </w:rPr>
        <w:t>Impact o</w:t>
      </w:r>
      <w:r>
        <w:rPr>
          <w:rFonts w:ascii="Arial" w:hAnsi="Arial" w:cs="Arial"/>
          <w:i/>
          <w:sz w:val="22"/>
        </w:rPr>
        <w:t>f the BSPVES on</w:t>
      </w:r>
      <w:r w:rsidRPr="00EA2395">
        <w:rPr>
          <w:rFonts w:ascii="Arial" w:hAnsi="Arial" w:cs="Arial"/>
          <w:i/>
          <w:sz w:val="22"/>
        </w:rPr>
        <w:t xml:space="preserve"> </w:t>
      </w:r>
      <w:r>
        <w:rPr>
          <w:rFonts w:ascii="Arial" w:hAnsi="Arial" w:cs="Arial"/>
          <w:i/>
          <w:sz w:val="22"/>
        </w:rPr>
        <w:t xml:space="preserve">non-leisure </w:t>
      </w:r>
      <w:r w:rsidRPr="00EA2395">
        <w:rPr>
          <w:rFonts w:ascii="Arial" w:hAnsi="Arial" w:cs="Arial"/>
          <w:i/>
          <w:sz w:val="22"/>
        </w:rPr>
        <w:t>Tourism</w:t>
      </w:r>
    </w:p>
    <w:p w:rsidR="003620EE" w:rsidRDefault="00220213" w:rsidP="00691D70">
      <w:pPr>
        <w:spacing w:after="240"/>
        <w:rPr>
          <w:rFonts w:ascii="Arial" w:hAnsi="Arial" w:cs="Arial"/>
          <w:sz w:val="22"/>
        </w:rPr>
      </w:pPr>
      <w:r>
        <w:rPr>
          <w:rFonts w:ascii="Arial" w:hAnsi="Arial" w:cs="Arial"/>
          <w:sz w:val="22"/>
        </w:rPr>
        <w:t xml:space="preserve">The BITRE’s focus on leisure tourism reflects a narrow definition of tourism that is not consistent with that used by the Australian Government or international organisations such as the United Nations World Tourism Organisation, the Organisation for Economic Cooperation and Development or the European Union. The more conventional and internationally accepted definition of tourist is “a traveller taking a trip to a main destination outside his/her usual environment, for less than a year, for any purpose…other than to be employed by a resident entity in the country or place visited.” </w:t>
      </w:r>
      <w:r w:rsidR="001F6256">
        <w:rPr>
          <w:rStyle w:val="FootnoteReference"/>
          <w:rFonts w:ascii="Arial" w:hAnsi="Arial" w:cs="Arial"/>
          <w:sz w:val="22"/>
        </w:rPr>
        <w:footnoteReference w:id="6"/>
      </w:r>
      <w:r w:rsidR="003620EE">
        <w:rPr>
          <w:rFonts w:ascii="Arial" w:hAnsi="Arial" w:cs="Arial"/>
          <w:sz w:val="22"/>
        </w:rPr>
        <w:t xml:space="preserve"> This definition captures visitors</w:t>
      </w:r>
      <w:r w:rsidR="001F6256">
        <w:rPr>
          <w:rFonts w:ascii="Arial" w:hAnsi="Arial" w:cs="Arial"/>
          <w:sz w:val="22"/>
        </w:rPr>
        <w:t xml:space="preserve"> who travel for business and</w:t>
      </w:r>
      <w:r w:rsidR="003620EE">
        <w:rPr>
          <w:rFonts w:ascii="Arial" w:hAnsi="Arial" w:cs="Arial"/>
          <w:sz w:val="22"/>
        </w:rPr>
        <w:t xml:space="preserve"> to visit family</w:t>
      </w:r>
      <w:r w:rsidR="001F6256">
        <w:rPr>
          <w:rFonts w:ascii="Arial" w:hAnsi="Arial" w:cs="Arial"/>
          <w:sz w:val="22"/>
        </w:rPr>
        <w:t xml:space="preserve"> and/or friends </w:t>
      </w:r>
      <w:r w:rsidR="00734675">
        <w:rPr>
          <w:rFonts w:ascii="Arial" w:hAnsi="Arial" w:cs="Arial"/>
          <w:sz w:val="22"/>
        </w:rPr>
        <w:t xml:space="preserve">(VFR) </w:t>
      </w:r>
      <w:r w:rsidR="001F6256">
        <w:rPr>
          <w:rFonts w:ascii="Arial" w:hAnsi="Arial" w:cs="Arial"/>
          <w:sz w:val="22"/>
        </w:rPr>
        <w:t>and other purposes</w:t>
      </w:r>
      <w:r w:rsidR="00B93FD7">
        <w:rPr>
          <w:rFonts w:ascii="Arial" w:hAnsi="Arial" w:cs="Arial"/>
          <w:sz w:val="22"/>
        </w:rPr>
        <w:t xml:space="preserve"> that go beyond the leisure category that BITRE’s evaluation captures</w:t>
      </w:r>
      <w:r w:rsidR="001F6256">
        <w:rPr>
          <w:rFonts w:ascii="Arial" w:hAnsi="Arial" w:cs="Arial"/>
          <w:sz w:val="22"/>
        </w:rPr>
        <w:t>.</w:t>
      </w:r>
      <w:r w:rsidR="003620EE">
        <w:rPr>
          <w:rFonts w:ascii="Arial" w:hAnsi="Arial" w:cs="Arial"/>
          <w:sz w:val="22"/>
        </w:rPr>
        <w:t xml:space="preserve"> </w:t>
      </w:r>
    </w:p>
    <w:p w:rsidR="00FA077C" w:rsidRDefault="003620EE" w:rsidP="00691D70">
      <w:pPr>
        <w:spacing w:after="240"/>
        <w:rPr>
          <w:rFonts w:ascii="Arial" w:hAnsi="Arial" w:cs="Arial"/>
          <w:sz w:val="22"/>
        </w:rPr>
      </w:pPr>
      <w:r>
        <w:rPr>
          <w:rFonts w:ascii="Arial" w:hAnsi="Arial" w:cs="Arial"/>
          <w:sz w:val="22"/>
        </w:rPr>
        <w:lastRenderedPageBreak/>
        <w:t>Data from Tourism Tasmania shows that only 40 per cent of all visitors to Tasmanian visit for leisure purposes,</w:t>
      </w:r>
      <w:r>
        <w:rPr>
          <w:rStyle w:val="FootnoteReference"/>
          <w:rFonts w:ascii="Arial" w:hAnsi="Arial" w:cs="Arial"/>
          <w:sz w:val="22"/>
        </w:rPr>
        <w:footnoteReference w:id="7"/>
      </w:r>
      <w:r>
        <w:rPr>
          <w:rFonts w:ascii="Arial" w:hAnsi="Arial" w:cs="Arial"/>
          <w:sz w:val="22"/>
        </w:rPr>
        <w:t xml:space="preserve"> demonstrating that BITRE’s evaluation </w:t>
      </w:r>
      <w:r w:rsidR="00734675">
        <w:rPr>
          <w:rFonts w:ascii="Arial" w:hAnsi="Arial" w:cs="Arial"/>
          <w:sz w:val="22"/>
        </w:rPr>
        <w:t xml:space="preserve">potentially </w:t>
      </w:r>
      <w:r>
        <w:rPr>
          <w:rFonts w:ascii="Arial" w:hAnsi="Arial" w:cs="Arial"/>
          <w:sz w:val="22"/>
        </w:rPr>
        <w:t xml:space="preserve">captures less than half of </w:t>
      </w:r>
      <w:r w:rsidR="00EA2395">
        <w:rPr>
          <w:rFonts w:ascii="Arial" w:hAnsi="Arial" w:cs="Arial"/>
          <w:sz w:val="22"/>
        </w:rPr>
        <w:t xml:space="preserve">the population induced to travel to Tasmania by the BITRE. </w:t>
      </w:r>
      <w:r w:rsidR="00FA077C">
        <w:rPr>
          <w:rFonts w:ascii="Arial" w:hAnsi="Arial" w:cs="Arial"/>
          <w:sz w:val="22"/>
        </w:rPr>
        <w:t xml:space="preserve"> </w:t>
      </w:r>
    </w:p>
    <w:p w:rsidR="00B10EC4" w:rsidRDefault="00734675" w:rsidP="00691D70">
      <w:pPr>
        <w:spacing w:after="240"/>
        <w:rPr>
          <w:rFonts w:ascii="Arial" w:hAnsi="Arial" w:cs="Arial"/>
          <w:sz w:val="22"/>
        </w:rPr>
      </w:pPr>
      <w:r>
        <w:rPr>
          <w:rFonts w:ascii="Arial" w:hAnsi="Arial" w:cs="Arial"/>
          <w:sz w:val="22"/>
        </w:rPr>
        <w:t>While business and VFR travellers are sometimes thought to be less discretionary in their travel patter</w:t>
      </w:r>
      <w:r w:rsidR="00FA077C">
        <w:rPr>
          <w:rFonts w:ascii="Arial" w:hAnsi="Arial" w:cs="Arial"/>
          <w:sz w:val="22"/>
        </w:rPr>
        <w:t xml:space="preserve">ns (they do not choose the location of where their business or friends and family are located) and therefore less likely to be responsive to an initiative like the BSPVES, a subsidy can induce additional travel demand for these travellers. This is because the cost of travel </w:t>
      </w:r>
      <w:r w:rsidR="00B10EC4">
        <w:rPr>
          <w:rFonts w:ascii="Arial" w:hAnsi="Arial" w:cs="Arial"/>
          <w:sz w:val="22"/>
        </w:rPr>
        <w:t>to the location of their business interests or their family and friends can be a determining factor in whether or not the travel is undertaken. For these travellers the choice the BSPVES is influencing is not whether to travel to Tasmania in comparison to another destination, but in some cases whether to travel to Tasmania at all.</w:t>
      </w:r>
    </w:p>
    <w:p w:rsidR="00B10EC4" w:rsidRPr="00B10EC4" w:rsidRDefault="00B10EC4" w:rsidP="00B10EC4">
      <w:pPr>
        <w:pBdr>
          <w:top w:val="single" w:sz="4" w:space="1" w:color="auto"/>
          <w:left w:val="single" w:sz="4" w:space="4" w:color="auto"/>
          <w:bottom w:val="single" w:sz="4" w:space="1" w:color="auto"/>
          <w:right w:val="single" w:sz="4" w:space="4" w:color="auto"/>
        </w:pBdr>
        <w:shd w:val="clear" w:color="auto" w:fill="FFB560" w:themeFill="accent1" w:themeFillTint="99"/>
        <w:spacing w:after="240"/>
        <w:rPr>
          <w:rFonts w:ascii="Arial" w:hAnsi="Arial" w:cs="Arial"/>
          <w:sz w:val="22"/>
        </w:rPr>
      </w:pPr>
      <w:r w:rsidRPr="00B10EC4">
        <w:rPr>
          <w:rFonts w:ascii="Arial" w:hAnsi="Arial" w:cs="Arial"/>
          <w:sz w:val="22"/>
        </w:rPr>
        <w:t xml:space="preserve">Recommendation 1 – That the BITRE broaden its definition of tourist </w:t>
      </w:r>
      <w:r w:rsidR="00EA2395">
        <w:rPr>
          <w:rFonts w:ascii="Arial" w:hAnsi="Arial" w:cs="Arial"/>
          <w:sz w:val="22"/>
        </w:rPr>
        <w:t xml:space="preserve">to be consistent with that conventionally used by the Australian Government </w:t>
      </w:r>
      <w:r w:rsidRPr="00B10EC4">
        <w:rPr>
          <w:rFonts w:ascii="Arial" w:hAnsi="Arial" w:cs="Arial"/>
          <w:sz w:val="22"/>
        </w:rPr>
        <w:t>in conducting future evaluations of the BSPVES</w:t>
      </w:r>
      <w:r>
        <w:rPr>
          <w:rFonts w:ascii="Arial" w:hAnsi="Arial" w:cs="Arial"/>
          <w:sz w:val="22"/>
        </w:rPr>
        <w:t>.</w:t>
      </w:r>
    </w:p>
    <w:p w:rsidR="00786FFF" w:rsidRDefault="00786FFF" w:rsidP="00691D70">
      <w:pPr>
        <w:spacing w:after="240"/>
        <w:rPr>
          <w:rFonts w:ascii="Arial" w:hAnsi="Arial" w:cs="Arial"/>
          <w:sz w:val="22"/>
        </w:rPr>
      </w:pPr>
      <w:r>
        <w:rPr>
          <w:rFonts w:ascii="Arial" w:hAnsi="Arial" w:cs="Arial"/>
          <w:sz w:val="22"/>
        </w:rPr>
        <w:t xml:space="preserve">Assuming the BSVPES induces a similar ratio of business and VFR travellers as leisure travellers, </w:t>
      </w:r>
      <w:proofErr w:type="spellStart"/>
      <w:r>
        <w:rPr>
          <w:rFonts w:ascii="Arial" w:hAnsi="Arial" w:cs="Arial"/>
          <w:sz w:val="22"/>
        </w:rPr>
        <w:t>Austrade</w:t>
      </w:r>
      <w:proofErr w:type="spellEnd"/>
      <w:r>
        <w:rPr>
          <w:rFonts w:ascii="Arial" w:hAnsi="Arial" w:cs="Arial"/>
          <w:sz w:val="22"/>
        </w:rPr>
        <w:t xml:space="preserve"> suggests that a reasonable upper bound estimate of the total number of travellers induced by the scheme is 37,500. Similarly, assuming the same average expenditure for these travellers as leisure travellers, </w:t>
      </w:r>
      <w:proofErr w:type="spellStart"/>
      <w:r>
        <w:rPr>
          <w:rFonts w:ascii="Arial" w:hAnsi="Arial" w:cs="Arial"/>
          <w:sz w:val="22"/>
        </w:rPr>
        <w:t>Austrade</w:t>
      </w:r>
      <w:proofErr w:type="spellEnd"/>
      <w:r>
        <w:rPr>
          <w:rFonts w:ascii="Arial" w:hAnsi="Arial" w:cs="Arial"/>
          <w:sz w:val="22"/>
        </w:rPr>
        <w:t xml:space="preserve"> suggests that a reasonable upper bound estimate of total induced tourism spend is $90 million a year. </w:t>
      </w:r>
    </w:p>
    <w:p w:rsidR="00786FFF" w:rsidRDefault="0082566B" w:rsidP="00691D70">
      <w:pPr>
        <w:spacing w:after="240"/>
        <w:rPr>
          <w:rFonts w:ascii="Arial" w:hAnsi="Arial" w:cs="Arial"/>
          <w:sz w:val="22"/>
        </w:rPr>
      </w:pPr>
      <w:r>
        <w:rPr>
          <w:rFonts w:ascii="Arial" w:hAnsi="Arial" w:cs="Arial"/>
          <w:sz w:val="22"/>
        </w:rPr>
        <w:t xml:space="preserve">While these assumptions needs to be further tested, </w:t>
      </w:r>
      <w:proofErr w:type="spellStart"/>
      <w:r>
        <w:rPr>
          <w:rFonts w:ascii="Arial" w:hAnsi="Arial" w:cs="Arial"/>
          <w:sz w:val="22"/>
        </w:rPr>
        <w:t>Austrade</w:t>
      </w:r>
      <w:proofErr w:type="spellEnd"/>
      <w:r>
        <w:rPr>
          <w:rFonts w:ascii="Arial" w:hAnsi="Arial" w:cs="Arial"/>
          <w:sz w:val="22"/>
        </w:rPr>
        <w:t xml:space="preserve"> considers that to properly address its terms of reference that the Productivity Commission should attempt to estimate the impact of the BSPVES of </w:t>
      </w:r>
      <w:r w:rsidRPr="0082566B">
        <w:rPr>
          <w:rFonts w:ascii="Arial" w:hAnsi="Arial" w:cs="Arial"/>
          <w:sz w:val="22"/>
          <w:u w:val="single"/>
        </w:rPr>
        <w:t>all</w:t>
      </w:r>
      <w:r>
        <w:rPr>
          <w:rFonts w:ascii="Arial" w:hAnsi="Arial" w:cs="Arial"/>
          <w:sz w:val="22"/>
        </w:rPr>
        <w:t xml:space="preserve"> travellers and not just leisure travellers. </w:t>
      </w:r>
    </w:p>
    <w:p w:rsidR="00786FFF" w:rsidRDefault="00786FFF" w:rsidP="00786FFF">
      <w:pPr>
        <w:pBdr>
          <w:top w:val="single" w:sz="4" w:space="1" w:color="auto"/>
          <w:left w:val="single" w:sz="4" w:space="4" w:color="auto"/>
          <w:bottom w:val="single" w:sz="4" w:space="1" w:color="auto"/>
          <w:right w:val="single" w:sz="4" w:space="4" w:color="auto"/>
        </w:pBdr>
        <w:shd w:val="clear" w:color="auto" w:fill="FFB560" w:themeFill="accent1" w:themeFillTint="99"/>
        <w:spacing w:after="240"/>
        <w:rPr>
          <w:rFonts w:ascii="Arial" w:hAnsi="Arial" w:cs="Arial"/>
          <w:sz w:val="22"/>
        </w:rPr>
      </w:pPr>
      <w:r w:rsidRPr="00786FFF">
        <w:rPr>
          <w:rFonts w:ascii="Arial" w:hAnsi="Arial" w:cs="Arial"/>
          <w:sz w:val="22"/>
          <w:shd w:val="clear" w:color="auto" w:fill="FFB560" w:themeFill="accent1" w:themeFillTint="99"/>
        </w:rPr>
        <w:t>Recommendation 2 – That the Productivity Commission estimate the impact of the BSPVES on total travellers and not just leisure travellers for the purposes of addressing the terms of reference of this inquiry</w:t>
      </w:r>
      <w:r>
        <w:rPr>
          <w:rFonts w:ascii="Arial" w:hAnsi="Arial" w:cs="Arial"/>
          <w:sz w:val="22"/>
          <w:shd w:val="clear" w:color="auto" w:fill="FFB560" w:themeFill="accent1" w:themeFillTint="99"/>
        </w:rPr>
        <w:t>.</w:t>
      </w:r>
      <w:r>
        <w:rPr>
          <w:rFonts w:ascii="Arial" w:hAnsi="Arial" w:cs="Arial"/>
          <w:sz w:val="22"/>
        </w:rPr>
        <w:t xml:space="preserve"> </w:t>
      </w:r>
    </w:p>
    <w:p w:rsidR="00786FFF" w:rsidRPr="00EA2395" w:rsidRDefault="00EA2395" w:rsidP="00EA2395">
      <w:pPr>
        <w:spacing w:after="120"/>
        <w:rPr>
          <w:rFonts w:ascii="Arial" w:hAnsi="Arial" w:cs="Arial"/>
          <w:i/>
          <w:sz w:val="22"/>
        </w:rPr>
      </w:pPr>
      <w:r w:rsidRPr="00EA2395">
        <w:rPr>
          <w:rFonts w:ascii="Arial" w:hAnsi="Arial" w:cs="Arial"/>
          <w:i/>
          <w:sz w:val="22"/>
        </w:rPr>
        <w:t>Impact of the BSPVES on the Victorian Tour</w:t>
      </w:r>
      <w:r w:rsidR="0082566B" w:rsidRPr="00EA2395">
        <w:rPr>
          <w:rFonts w:ascii="Arial" w:hAnsi="Arial" w:cs="Arial"/>
          <w:i/>
          <w:sz w:val="22"/>
        </w:rPr>
        <w:t>i</w:t>
      </w:r>
      <w:r w:rsidRPr="00EA2395">
        <w:rPr>
          <w:rFonts w:ascii="Arial" w:hAnsi="Arial" w:cs="Arial"/>
          <w:i/>
          <w:sz w:val="22"/>
        </w:rPr>
        <w:t>s</w:t>
      </w:r>
      <w:r w:rsidR="0082566B" w:rsidRPr="00EA2395">
        <w:rPr>
          <w:rFonts w:ascii="Arial" w:hAnsi="Arial" w:cs="Arial"/>
          <w:i/>
          <w:sz w:val="22"/>
        </w:rPr>
        <w:t xml:space="preserve">m Industry </w:t>
      </w:r>
    </w:p>
    <w:p w:rsidR="00C55757" w:rsidRDefault="00EA2395" w:rsidP="00691D70">
      <w:pPr>
        <w:spacing w:after="240"/>
        <w:rPr>
          <w:rFonts w:ascii="Arial" w:hAnsi="Arial" w:cs="Arial"/>
          <w:sz w:val="22"/>
        </w:rPr>
      </w:pPr>
      <w:r>
        <w:rPr>
          <w:rFonts w:ascii="Arial" w:hAnsi="Arial" w:cs="Arial"/>
          <w:sz w:val="22"/>
        </w:rPr>
        <w:t>The stated objective of the BSPVES is to increase the level of travel to Tasmania by sea</w:t>
      </w:r>
      <w:r w:rsidR="00C55757">
        <w:rPr>
          <w:rFonts w:ascii="Arial" w:hAnsi="Arial" w:cs="Arial"/>
          <w:sz w:val="22"/>
        </w:rPr>
        <w:t>. Nevertheless, the subsidy the BSPVES provides reduces the cost of Tasmanians travelling with a vehicle to Victoria and in doing so provides a financial incentive for Tasmanians to travel to Victoria.</w:t>
      </w:r>
      <w:r w:rsidR="0036445C">
        <w:rPr>
          <w:rFonts w:ascii="Arial" w:hAnsi="Arial" w:cs="Arial"/>
          <w:sz w:val="22"/>
        </w:rPr>
        <w:t xml:space="preserve"> </w:t>
      </w:r>
      <w:r w:rsidR="00C55757">
        <w:rPr>
          <w:rFonts w:ascii="Arial" w:hAnsi="Arial" w:cs="Arial"/>
          <w:sz w:val="22"/>
        </w:rPr>
        <w:t xml:space="preserve">Because growing the Victorian tourism industry is not one of the BSPVES’s stated objectives, its impact on the Victorian tourism industry is not assessed by the BITRE. </w:t>
      </w:r>
    </w:p>
    <w:p w:rsidR="0036445C" w:rsidRDefault="0036445C" w:rsidP="00691D70">
      <w:pPr>
        <w:spacing w:after="240"/>
        <w:rPr>
          <w:rFonts w:ascii="Arial" w:hAnsi="Arial" w:cs="Arial"/>
          <w:sz w:val="22"/>
        </w:rPr>
      </w:pPr>
      <w:r>
        <w:rPr>
          <w:rFonts w:ascii="Arial" w:hAnsi="Arial" w:cs="Arial"/>
          <w:sz w:val="22"/>
        </w:rPr>
        <w:t>Despite not being one the BSPVES’ stated objectives, assessing the impact of the BSPVES on the Victorian tourism industry is relevant to the Productivity Commission’s inquiry because it helps to assess the broader economic impact of the Australian Government’s intervention.</w:t>
      </w:r>
    </w:p>
    <w:p w:rsidR="0036445C" w:rsidRDefault="0036445C" w:rsidP="0036445C">
      <w:pPr>
        <w:spacing w:after="240"/>
        <w:rPr>
          <w:rFonts w:ascii="Arial" w:hAnsi="Arial" w:cs="Arial"/>
          <w:sz w:val="22"/>
        </w:rPr>
      </w:pPr>
      <w:r>
        <w:rPr>
          <w:rFonts w:ascii="Arial" w:hAnsi="Arial" w:cs="Arial"/>
          <w:sz w:val="22"/>
        </w:rPr>
        <w:t>Data from Tourism Victoria shows that in the year ending 30 September 2013, there were 381,000 overnight visits to Victoria from Tasmanians.</w:t>
      </w:r>
      <w:r>
        <w:rPr>
          <w:rStyle w:val="FootnoteReference"/>
          <w:rFonts w:ascii="Arial" w:hAnsi="Arial" w:cs="Arial"/>
          <w:sz w:val="22"/>
        </w:rPr>
        <w:footnoteReference w:id="8"/>
      </w:r>
      <w:r>
        <w:rPr>
          <w:rFonts w:ascii="Arial" w:hAnsi="Arial" w:cs="Arial"/>
          <w:sz w:val="22"/>
        </w:rPr>
        <w:t xml:space="preserve"> </w:t>
      </w:r>
      <w:proofErr w:type="spellStart"/>
      <w:r>
        <w:rPr>
          <w:rFonts w:ascii="Arial" w:hAnsi="Arial" w:cs="Arial"/>
          <w:sz w:val="22"/>
        </w:rPr>
        <w:t>Austrade</w:t>
      </w:r>
      <w:proofErr w:type="spellEnd"/>
      <w:r>
        <w:rPr>
          <w:rFonts w:ascii="Arial" w:hAnsi="Arial" w:cs="Arial"/>
          <w:sz w:val="22"/>
        </w:rPr>
        <w:t xml:space="preserve"> is not aware of how many of these visits were made by sea. Therefore it is not possible to apply BITRE’s assumptions about the impact of the BSPVES on travel to Tasmania to estimate its impact on travel to Victoria.</w:t>
      </w:r>
    </w:p>
    <w:p w:rsidR="00C55757" w:rsidRDefault="003B29AB" w:rsidP="00691D70">
      <w:pPr>
        <w:spacing w:after="240"/>
        <w:rPr>
          <w:rFonts w:ascii="Arial" w:hAnsi="Arial" w:cs="Arial"/>
          <w:sz w:val="22"/>
        </w:rPr>
      </w:pPr>
      <w:r>
        <w:rPr>
          <w:rFonts w:ascii="Arial" w:hAnsi="Arial" w:cs="Arial"/>
          <w:sz w:val="22"/>
        </w:rPr>
        <w:t xml:space="preserve">In the absence of any empirical evidence assessing the impact of the BSPVES on travel to Victoria it is difficult to conclusively state what impact it has had. Nevertheless, just as the presence of the BSPVES has induced additional travel to Tasmania, it has likely to have induced additional travel to Victoria. </w:t>
      </w:r>
      <w:r w:rsidR="0036445C">
        <w:rPr>
          <w:rFonts w:ascii="Arial" w:hAnsi="Arial" w:cs="Arial"/>
          <w:sz w:val="22"/>
        </w:rPr>
        <w:t>Because of the significantly smaller size of the Tasmanian market, the BSPVES is likely to have induced a smaller number of new passengers to travel to Victoria and generated a smaller financial impact on the Victorian tourism industry than what it has for Tasmania. But the impact of the BSPVES on the Victorian tourism industry is st</w:t>
      </w:r>
      <w:r w:rsidR="00EC7A8D">
        <w:rPr>
          <w:rFonts w:ascii="Arial" w:hAnsi="Arial" w:cs="Arial"/>
          <w:sz w:val="22"/>
        </w:rPr>
        <w:t xml:space="preserve">ill </w:t>
      </w:r>
      <w:r w:rsidR="0036445C">
        <w:rPr>
          <w:rFonts w:ascii="Arial" w:hAnsi="Arial" w:cs="Arial"/>
          <w:sz w:val="22"/>
        </w:rPr>
        <w:t>likely to be positive.</w:t>
      </w:r>
    </w:p>
    <w:p w:rsidR="0036445C" w:rsidRDefault="0036445C" w:rsidP="0036445C">
      <w:pPr>
        <w:pBdr>
          <w:top w:val="single" w:sz="4" w:space="1" w:color="auto"/>
          <w:left w:val="single" w:sz="4" w:space="4" w:color="auto"/>
          <w:bottom w:val="single" w:sz="4" w:space="1" w:color="auto"/>
          <w:right w:val="single" w:sz="4" w:space="4" w:color="auto"/>
        </w:pBdr>
        <w:shd w:val="clear" w:color="auto" w:fill="FFB560" w:themeFill="accent1" w:themeFillTint="99"/>
        <w:spacing w:after="240"/>
        <w:rPr>
          <w:rFonts w:ascii="Arial" w:hAnsi="Arial" w:cs="Arial"/>
          <w:sz w:val="22"/>
        </w:rPr>
      </w:pPr>
      <w:r>
        <w:rPr>
          <w:rFonts w:ascii="Arial" w:hAnsi="Arial" w:cs="Arial"/>
          <w:sz w:val="22"/>
        </w:rPr>
        <w:lastRenderedPageBreak/>
        <w:t>Recommendation 3 – That the Productivity Commission estimate the impact of the BSPVES on the Victorian Tourism industry for the purposes of addressing the terms of reference of this inquiry</w:t>
      </w:r>
      <w:r w:rsidR="00797C19">
        <w:rPr>
          <w:rFonts w:ascii="Arial" w:hAnsi="Arial" w:cs="Arial"/>
          <w:sz w:val="22"/>
        </w:rPr>
        <w:t>.</w:t>
      </w:r>
      <w:r>
        <w:rPr>
          <w:rFonts w:ascii="Arial" w:hAnsi="Arial" w:cs="Arial"/>
          <w:sz w:val="22"/>
        </w:rPr>
        <w:t xml:space="preserve"> </w:t>
      </w:r>
    </w:p>
    <w:p w:rsidR="0036445C" w:rsidRDefault="0036445C" w:rsidP="00B93FD7">
      <w:pPr>
        <w:rPr>
          <w:rFonts w:ascii="Arial" w:hAnsi="Arial" w:cs="Arial"/>
          <w:i/>
          <w:sz w:val="22"/>
        </w:rPr>
      </w:pPr>
      <w:r w:rsidRPr="0036445C">
        <w:rPr>
          <w:rFonts w:ascii="Arial" w:hAnsi="Arial" w:cs="Arial"/>
          <w:i/>
          <w:sz w:val="22"/>
        </w:rPr>
        <w:t xml:space="preserve">Impact of the BSPVES on Hire Car Prices </w:t>
      </w:r>
    </w:p>
    <w:p w:rsidR="00EC7A8D" w:rsidRDefault="0036445C" w:rsidP="00691D70">
      <w:pPr>
        <w:spacing w:after="240"/>
        <w:rPr>
          <w:rFonts w:ascii="Arial" w:hAnsi="Arial" w:cs="Arial"/>
          <w:sz w:val="22"/>
        </w:rPr>
      </w:pPr>
      <w:r>
        <w:rPr>
          <w:rFonts w:ascii="Arial" w:hAnsi="Arial" w:cs="Arial"/>
          <w:sz w:val="22"/>
        </w:rPr>
        <w:t xml:space="preserve">The subsidy provided by the BSPVES reduces the cost of travelling </w:t>
      </w:r>
      <w:r w:rsidR="00EC7A8D">
        <w:rPr>
          <w:rFonts w:ascii="Arial" w:hAnsi="Arial" w:cs="Arial"/>
          <w:sz w:val="22"/>
        </w:rPr>
        <w:t xml:space="preserve">with a vehicle </w:t>
      </w:r>
      <w:r>
        <w:rPr>
          <w:rFonts w:ascii="Arial" w:hAnsi="Arial" w:cs="Arial"/>
          <w:sz w:val="22"/>
        </w:rPr>
        <w:t>across the Bass Strait by sea</w:t>
      </w:r>
      <w:r w:rsidR="00EC7A8D">
        <w:rPr>
          <w:rFonts w:ascii="Arial" w:hAnsi="Arial" w:cs="Arial"/>
          <w:sz w:val="22"/>
        </w:rPr>
        <w:t>.</w:t>
      </w:r>
      <w:r w:rsidR="00797C19">
        <w:rPr>
          <w:rFonts w:ascii="Arial" w:hAnsi="Arial" w:cs="Arial"/>
          <w:sz w:val="22"/>
        </w:rPr>
        <w:t xml:space="preserve"> Consequently</w:t>
      </w:r>
      <w:r w:rsidR="00797C19" w:rsidRPr="00691D70">
        <w:rPr>
          <w:rFonts w:ascii="Arial" w:hAnsi="Arial" w:cs="Arial"/>
          <w:sz w:val="22"/>
        </w:rPr>
        <w:t>, it is likely that the Scheme also puts downwards pressure on hire cars in Tasmania, as hire car companies have to compete with travellers bringing their o</w:t>
      </w:r>
      <w:r w:rsidR="00797C19">
        <w:rPr>
          <w:rFonts w:ascii="Arial" w:hAnsi="Arial" w:cs="Arial"/>
          <w:sz w:val="22"/>
        </w:rPr>
        <w:t xml:space="preserve">wn vehicles from the mainland. </w:t>
      </w:r>
      <w:r w:rsidR="00EC7A8D">
        <w:rPr>
          <w:rFonts w:ascii="Arial" w:hAnsi="Arial" w:cs="Arial"/>
          <w:sz w:val="22"/>
        </w:rPr>
        <w:t xml:space="preserve">This </w:t>
      </w:r>
      <w:r w:rsidR="00C979E2">
        <w:rPr>
          <w:rFonts w:ascii="Arial" w:hAnsi="Arial" w:cs="Arial"/>
          <w:sz w:val="22"/>
        </w:rPr>
        <w:t xml:space="preserve">is likely to have </w:t>
      </w:r>
      <w:r w:rsidR="00EC7A8D">
        <w:rPr>
          <w:rFonts w:ascii="Arial" w:hAnsi="Arial" w:cs="Arial"/>
          <w:sz w:val="22"/>
        </w:rPr>
        <w:t>delivered consumer benefits and made it more affordable for tourists to access regional Tasmanian tourist attractions.</w:t>
      </w:r>
    </w:p>
    <w:p w:rsidR="00B93FD7" w:rsidRDefault="00F81D43" w:rsidP="00691D70">
      <w:pPr>
        <w:spacing w:after="240"/>
        <w:rPr>
          <w:rFonts w:ascii="Arial" w:hAnsi="Arial" w:cs="Arial"/>
          <w:sz w:val="22"/>
        </w:rPr>
      </w:pPr>
      <w:r>
        <w:rPr>
          <w:rFonts w:ascii="Arial" w:hAnsi="Arial" w:cs="Arial"/>
          <w:sz w:val="22"/>
        </w:rPr>
        <w:t>The pricing of hire cars is determined by a number of factors including deman</w:t>
      </w:r>
      <w:r w:rsidR="00092B96">
        <w:rPr>
          <w:rFonts w:ascii="Arial" w:hAnsi="Arial" w:cs="Arial"/>
          <w:sz w:val="22"/>
        </w:rPr>
        <w:t xml:space="preserve">d, the level of competition, </w:t>
      </w:r>
      <w:r>
        <w:rPr>
          <w:rFonts w:ascii="Arial" w:hAnsi="Arial" w:cs="Arial"/>
          <w:sz w:val="22"/>
        </w:rPr>
        <w:t>the costs associated with returning the vehicle from where it was originally hired</w:t>
      </w:r>
      <w:r w:rsidR="00092B96">
        <w:rPr>
          <w:rFonts w:ascii="Arial" w:hAnsi="Arial" w:cs="Arial"/>
          <w:sz w:val="22"/>
        </w:rPr>
        <w:t xml:space="preserve"> and the disposable income of consumers</w:t>
      </w:r>
      <w:r>
        <w:rPr>
          <w:rFonts w:ascii="Arial" w:hAnsi="Arial" w:cs="Arial"/>
          <w:sz w:val="22"/>
        </w:rPr>
        <w:t>. Consequently, it would not be helpful to compare the prices of hire cars in a small regional city with those p</w:t>
      </w:r>
      <w:r w:rsidR="00797C19">
        <w:rPr>
          <w:rFonts w:ascii="Arial" w:hAnsi="Arial" w:cs="Arial"/>
          <w:sz w:val="22"/>
        </w:rPr>
        <w:t>resent in larger capital cities.</w:t>
      </w:r>
      <w:r>
        <w:rPr>
          <w:rFonts w:ascii="Arial" w:hAnsi="Arial" w:cs="Arial"/>
          <w:sz w:val="22"/>
        </w:rPr>
        <w:t xml:space="preserve"> </w:t>
      </w:r>
    </w:p>
    <w:p w:rsidR="00F32D73" w:rsidRDefault="00F81D43" w:rsidP="00691D70">
      <w:pPr>
        <w:spacing w:after="240"/>
        <w:rPr>
          <w:rFonts w:ascii="Arial" w:hAnsi="Arial" w:cs="Arial"/>
          <w:sz w:val="22"/>
        </w:rPr>
      </w:pPr>
      <w:r>
        <w:rPr>
          <w:rFonts w:ascii="Arial" w:hAnsi="Arial" w:cs="Arial"/>
          <w:sz w:val="22"/>
        </w:rPr>
        <w:t xml:space="preserve">In order to provide an accurate comparison, </w:t>
      </w:r>
      <w:proofErr w:type="spellStart"/>
      <w:r>
        <w:rPr>
          <w:rFonts w:ascii="Arial" w:hAnsi="Arial" w:cs="Arial"/>
          <w:sz w:val="22"/>
        </w:rPr>
        <w:t>Austrade</w:t>
      </w:r>
      <w:proofErr w:type="spellEnd"/>
      <w:r>
        <w:rPr>
          <w:rFonts w:ascii="Arial" w:hAnsi="Arial" w:cs="Arial"/>
          <w:sz w:val="22"/>
        </w:rPr>
        <w:t xml:space="preserve"> </w:t>
      </w:r>
      <w:r w:rsidR="00EC7A8D">
        <w:rPr>
          <w:rFonts w:ascii="Arial" w:hAnsi="Arial" w:cs="Arial"/>
          <w:sz w:val="22"/>
        </w:rPr>
        <w:t xml:space="preserve">compared hire care prices in Devonport (where the Spirit of Tasmania arrives and departs) with a number of other similar sized regional Australian cities.  </w:t>
      </w:r>
      <w:r w:rsidR="00F32D73">
        <w:rPr>
          <w:rFonts w:ascii="Arial" w:hAnsi="Arial" w:cs="Arial"/>
          <w:sz w:val="22"/>
        </w:rPr>
        <w:t xml:space="preserve">As figure 1 </w:t>
      </w:r>
      <w:r w:rsidR="00DC6325">
        <w:rPr>
          <w:rFonts w:ascii="Arial" w:hAnsi="Arial" w:cs="Arial"/>
          <w:sz w:val="22"/>
        </w:rPr>
        <w:t xml:space="preserve">illustrates, </w:t>
      </w:r>
      <w:r w:rsidR="00F32D73">
        <w:rPr>
          <w:rFonts w:ascii="Arial" w:hAnsi="Arial" w:cs="Arial"/>
          <w:sz w:val="22"/>
        </w:rPr>
        <w:t>hiring a car from Devonport is between a third to two and an half times cheaper than six other similar sized Australian regional cities</w:t>
      </w:r>
      <w:r>
        <w:rPr>
          <w:rFonts w:ascii="Arial" w:hAnsi="Arial" w:cs="Arial"/>
          <w:sz w:val="22"/>
        </w:rPr>
        <w:t xml:space="preserve"> who do not have to compete with a BSPVES type subsidy that make</w:t>
      </w:r>
      <w:r w:rsidR="00B93FD7">
        <w:rPr>
          <w:rFonts w:ascii="Arial" w:hAnsi="Arial" w:cs="Arial"/>
          <w:sz w:val="22"/>
        </w:rPr>
        <w:t>s</w:t>
      </w:r>
      <w:r>
        <w:rPr>
          <w:rFonts w:ascii="Arial" w:hAnsi="Arial" w:cs="Arial"/>
          <w:sz w:val="22"/>
        </w:rPr>
        <w:t xml:space="preserve"> self-drive tourism more affordable</w:t>
      </w:r>
      <w:r w:rsidR="00F32D73">
        <w:rPr>
          <w:rFonts w:ascii="Arial" w:hAnsi="Arial" w:cs="Arial"/>
          <w:sz w:val="22"/>
        </w:rPr>
        <w:t xml:space="preserve">. </w:t>
      </w:r>
      <w:r w:rsidR="00DC6325">
        <w:rPr>
          <w:rStyle w:val="FootnoteReference"/>
          <w:rFonts w:ascii="Arial" w:hAnsi="Arial" w:cs="Arial"/>
          <w:sz w:val="22"/>
        </w:rPr>
        <w:footnoteReference w:id="9"/>
      </w:r>
    </w:p>
    <w:p w:rsidR="00F32D73" w:rsidRDefault="00F32D73" w:rsidP="00691D70">
      <w:pPr>
        <w:spacing w:after="240"/>
        <w:rPr>
          <w:rFonts w:ascii="Arial" w:hAnsi="Arial" w:cs="Arial"/>
          <w:sz w:val="22"/>
        </w:rPr>
      </w:pPr>
      <w:r>
        <w:rPr>
          <w:rFonts w:ascii="Arial" w:hAnsi="Arial" w:cs="Arial"/>
          <w:noProof/>
          <w:sz w:val="22"/>
          <w:lang w:eastAsia="en-AU"/>
        </w:rPr>
        <w:drawing>
          <wp:anchor distT="0" distB="0" distL="114300" distR="114300" simplePos="0" relativeHeight="251658240" behindDoc="0" locked="0" layoutInCell="1" allowOverlap="1" wp14:anchorId="36AB4E9B" wp14:editId="64F3582A">
            <wp:simplePos x="0" y="0"/>
            <wp:positionH relativeFrom="column">
              <wp:align>left</wp:align>
            </wp:positionH>
            <wp:positionV relativeFrom="paragraph">
              <wp:align>top</wp:align>
            </wp:positionV>
            <wp:extent cx="5486400" cy="3200400"/>
            <wp:effectExtent l="0" t="0" r="19050" b="19050"/>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anchor>
        </w:drawing>
      </w:r>
      <w:r w:rsidR="00DC6325">
        <w:rPr>
          <w:rFonts w:ascii="Arial" w:hAnsi="Arial" w:cs="Arial"/>
          <w:sz w:val="22"/>
        </w:rPr>
        <w:br w:type="textWrapping" w:clear="all"/>
      </w:r>
    </w:p>
    <w:p w:rsidR="00F81D43" w:rsidRDefault="00F81D43" w:rsidP="00691D70">
      <w:pPr>
        <w:spacing w:after="240"/>
        <w:rPr>
          <w:rFonts w:ascii="Arial" w:hAnsi="Arial" w:cs="Arial"/>
          <w:sz w:val="22"/>
        </w:rPr>
      </w:pPr>
      <w:r>
        <w:rPr>
          <w:rFonts w:ascii="Arial" w:hAnsi="Arial" w:cs="Arial"/>
          <w:sz w:val="22"/>
        </w:rPr>
        <w:t xml:space="preserve">These findings are consistent for other Tasmanian cities. The price differential for hiring a car in </w:t>
      </w:r>
      <w:r w:rsidR="00B93FD7">
        <w:rPr>
          <w:rFonts w:ascii="Arial" w:hAnsi="Arial" w:cs="Arial"/>
          <w:sz w:val="22"/>
        </w:rPr>
        <w:t>these cities is negligible</w:t>
      </w:r>
      <w:r>
        <w:rPr>
          <w:rFonts w:ascii="Arial" w:hAnsi="Arial" w:cs="Arial"/>
          <w:sz w:val="22"/>
        </w:rPr>
        <w:t>.</w:t>
      </w:r>
      <w:r w:rsidR="00B93FD7">
        <w:rPr>
          <w:rStyle w:val="FootnoteReference"/>
          <w:rFonts w:ascii="Arial" w:hAnsi="Arial" w:cs="Arial"/>
          <w:sz w:val="22"/>
        </w:rPr>
        <w:footnoteReference w:id="10"/>
      </w:r>
    </w:p>
    <w:p w:rsidR="00F81D43" w:rsidRDefault="00F81D43" w:rsidP="00691D70">
      <w:pPr>
        <w:spacing w:after="240"/>
        <w:rPr>
          <w:rFonts w:ascii="Arial" w:hAnsi="Arial" w:cs="Arial"/>
          <w:sz w:val="22"/>
        </w:rPr>
      </w:pPr>
      <w:r>
        <w:rPr>
          <w:rFonts w:ascii="Arial" w:hAnsi="Arial" w:cs="Arial"/>
          <w:sz w:val="22"/>
        </w:rPr>
        <w:t xml:space="preserve">Figure 2 shows that hire care prices in Tasmania are significantly less than those in mainland capital cities. </w:t>
      </w:r>
      <w:r w:rsidR="00092B96">
        <w:rPr>
          <w:rFonts w:ascii="Arial" w:hAnsi="Arial" w:cs="Arial"/>
          <w:sz w:val="22"/>
        </w:rPr>
        <w:t>In fact figure 2 shows that there is a degree of pricing parity between most capital cities, with the significant exception of Hobart.</w:t>
      </w:r>
    </w:p>
    <w:p w:rsidR="00F81D43" w:rsidRDefault="00092B96" w:rsidP="00691D70">
      <w:pPr>
        <w:spacing w:after="240"/>
        <w:rPr>
          <w:rFonts w:ascii="Arial" w:hAnsi="Arial" w:cs="Arial"/>
          <w:sz w:val="22"/>
        </w:rPr>
      </w:pPr>
      <w:r>
        <w:rPr>
          <w:rFonts w:ascii="Arial" w:hAnsi="Arial" w:cs="Arial"/>
          <w:sz w:val="22"/>
        </w:rPr>
        <w:t xml:space="preserve">It is not clear why hire car process in Tasmania are significantly lower than the rest of the country. However, </w:t>
      </w:r>
      <w:proofErr w:type="spellStart"/>
      <w:r>
        <w:rPr>
          <w:rFonts w:ascii="Arial" w:hAnsi="Arial" w:cs="Arial"/>
          <w:sz w:val="22"/>
        </w:rPr>
        <w:t>Austrade</w:t>
      </w:r>
      <w:proofErr w:type="spellEnd"/>
      <w:r>
        <w:rPr>
          <w:rFonts w:ascii="Arial" w:hAnsi="Arial" w:cs="Arial"/>
          <w:sz w:val="22"/>
        </w:rPr>
        <w:t xml:space="preserve"> notes the </w:t>
      </w:r>
      <w:proofErr w:type="spellStart"/>
      <w:r>
        <w:rPr>
          <w:rFonts w:ascii="Arial" w:hAnsi="Arial" w:cs="Arial"/>
          <w:sz w:val="22"/>
        </w:rPr>
        <w:t>BSPVES</w:t>
      </w:r>
      <w:proofErr w:type="spellEnd"/>
      <w:r>
        <w:rPr>
          <w:rFonts w:ascii="Arial" w:hAnsi="Arial" w:cs="Arial"/>
          <w:sz w:val="22"/>
        </w:rPr>
        <w:t xml:space="preserve"> is likely to exert downward price pressures on hire cars and result in lower </w:t>
      </w:r>
      <w:r w:rsidR="00C979E2">
        <w:rPr>
          <w:rFonts w:ascii="Arial" w:hAnsi="Arial" w:cs="Arial"/>
          <w:sz w:val="22"/>
        </w:rPr>
        <w:t>prices t</w:t>
      </w:r>
      <w:r>
        <w:rPr>
          <w:rFonts w:ascii="Arial" w:hAnsi="Arial" w:cs="Arial"/>
          <w:sz w:val="22"/>
        </w:rPr>
        <w:t xml:space="preserve">han </w:t>
      </w:r>
      <w:r w:rsidR="00797C19">
        <w:rPr>
          <w:rFonts w:ascii="Arial" w:hAnsi="Arial" w:cs="Arial"/>
          <w:sz w:val="22"/>
        </w:rPr>
        <w:t xml:space="preserve">would otherwise be the case. </w:t>
      </w:r>
      <w:r>
        <w:rPr>
          <w:rFonts w:ascii="Arial" w:hAnsi="Arial" w:cs="Arial"/>
          <w:sz w:val="22"/>
        </w:rPr>
        <w:t xml:space="preserve">This is likely to be an unintended consequence of the BSPVES. This feature is likely to deliver benefits to Tasmanian consumers and visitors which is likely to result in higher tourist expenditure, particularly in regional areas </w:t>
      </w:r>
      <w:r>
        <w:rPr>
          <w:rFonts w:ascii="Arial" w:hAnsi="Arial" w:cs="Arial"/>
          <w:sz w:val="22"/>
        </w:rPr>
        <w:lastRenderedPageBreak/>
        <w:t xml:space="preserve">where travellers would have had less incentive to </w:t>
      </w:r>
      <w:r w:rsidR="00797C19">
        <w:rPr>
          <w:rFonts w:ascii="Arial" w:hAnsi="Arial" w:cs="Arial"/>
          <w:sz w:val="22"/>
        </w:rPr>
        <w:t xml:space="preserve">visit </w:t>
      </w:r>
      <w:r>
        <w:rPr>
          <w:rFonts w:ascii="Arial" w:hAnsi="Arial" w:cs="Arial"/>
          <w:sz w:val="22"/>
        </w:rPr>
        <w:t xml:space="preserve">without such affordable hire car </w:t>
      </w:r>
      <w:r w:rsidR="00797C19">
        <w:rPr>
          <w:rFonts w:ascii="Arial" w:hAnsi="Arial" w:cs="Arial"/>
          <w:sz w:val="22"/>
        </w:rPr>
        <w:t xml:space="preserve">prices. </w:t>
      </w:r>
      <w:r w:rsidR="00F81D43">
        <w:rPr>
          <w:rFonts w:ascii="Arial" w:hAnsi="Arial" w:cs="Arial"/>
          <w:noProof/>
          <w:sz w:val="22"/>
          <w:lang w:eastAsia="en-AU"/>
        </w:rPr>
        <w:drawing>
          <wp:inline distT="0" distB="0" distL="0" distR="0">
            <wp:extent cx="5486400" cy="3200400"/>
            <wp:effectExtent l="0" t="0" r="1905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97C19" w:rsidRDefault="00797C19" w:rsidP="00691D70">
      <w:pPr>
        <w:spacing w:after="240"/>
        <w:rPr>
          <w:rFonts w:ascii="Arial" w:hAnsi="Arial" w:cs="Arial"/>
          <w:sz w:val="22"/>
        </w:rPr>
      </w:pPr>
      <w:r>
        <w:rPr>
          <w:rFonts w:ascii="Arial" w:hAnsi="Arial" w:cs="Arial"/>
          <w:sz w:val="22"/>
        </w:rPr>
        <w:t xml:space="preserve">Given one of the BPSVES’s objective is around benefiting the Tasmanian tourism industry, then assessing its impact on hire car prices and the relationship this has on the broader Tasmanian tourism industry is relevant to this inquiry. </w:t>
      </w:r>
    </w:p>
    <w:p w:rsidR="00797C19" w:rsidRDefault="00797C19" w:rsidP="00797C19">
      <w:pPr>
        <w:pBdr>
          <w:top w:val="single" w:sz="4" w:space="1" w:color="auto"/>
          <w:left w:val="single" w:sz="4" w:space="4" w:color="auto"/>
          <w:bottom w:val="single" w:sz="4" w:space="1" w:color="auto"/>
          <w:right w:val="single" w:sz="4" w:space="4" w:color="auto"/>
        </w:pBdr>
        <w:shd w:val="clear" w:color="auto" w:fill="FFB560" w:themeFill="accent1" w:themeFillTint="99"/>
        <w:spacing w:after="240"/>
        <w:rPr>
          <w:rFonts w:ascii="Arial" w:hAnsi="Arial" w:cs="Arial"/>
          <w:sz w:val="22"/>
        </w:rPr>
      </w:pPr>
      <w:r>
        <w:rPr>
          <w:rFonts w:ascii="Arial" w:hAnsi="Arial" w:cs="Arial"/>
          <w:sz w:val="22"/>
        </w:rPr>
        <w:t>Recommendation 4 – That the Productivity Commission assess the impact of the BS</w:t>
      </w:r>
      <w:r w:rsidR="00F062B6">
        <w:rPr>
          <w:rFonts w:ascii="Arial" w:hAnsi="Arial" w:cs="Arial"/>
          <w:sz w:val="22"/>
        </w:rPr>
        <w:t>P</w:t>
      </w:r>
      <w:r>
        <w:rPr>
          <w:rFonts w:ascii="Arial" w:hAnsi="Arial" w:cs="Arial"/>
          <w:sz w:val="22"/>
        </w:rPr>
        <w:t xml:space="preserve">VES on hire car prices and the flow on effect this has on the Tasmanian tourism industry. </w:t>
      </w:r>
    </w:p>
    <w:p w:rsidR="00797C19" w:rsidRPr="00797C19" w:rsidRDefault="00797C19" w:rsidP="00691D70">
      <w:pPr>
        <w:spacing w:after="240"/>
        <w:rPr>
          <w:rFonts w:ascii="Arial" w:hAnsi="Arial" w:cs="Arial"/>
          <w:sz w:val="22"/>
          <w:u w:val="single"/>
        </w:rPr>
      </w:pPr>
      <w:r w:rsidRPr="00797C19">
        <w:rPr>
          <w:rFonts w:ascii="Arial" w:hAnsi="Arial" w:cs="Arial"/>
          <w:sz w:val="22"/>
          <w:u w:val="single"/>
        </w:rPr>
        <w:t xml:space="preserve">Possible Changes to the BSPVES to Create a More Competitive Australian Tourism Industry </w:t>
      </w:r>
    </w:p>
    <w:p w:rsidR="00C979E2" w:rsidRDefault="00BD1663" w:rsidP="00BD1663">
      <w:pPr>
        <w:spacing w:after="240"/>
        <w:rPr>
          <w:rFonts w:ascii="Arial" w:hAnsi="Arial" w:cs="Arial"/>
          <w:sz w:val="22"/>
        </w:rPr>
      </w:pPr>
      <w:r w:rsidRPr="00BD1663">
        <w:rPr>
          <w:rFonts w:ascii="Arial" w:hAnsi="Arial" w:cs="Arial"/>
          <w:sz w:val="22"/>
        </w:rPr>
        <w:t xml:space="preserve">On a simple level, the BSPVES does achieve its stated objectives of making travel with a vehicle across Bass Strait more affordable, and increase demand for travel </w:t>
      </w:r>
      <w:r w:rsidR="009277B0">
        <w:rPr>
          <w:rFonts w:ascii="Arial" w:hAnsi="Arial" w:cs="Arial"/>
          <w:sz w:val="22"/>
        </w:rPr>
        <w:t>to Tasmania</w:t>
      </w:r>
      <w:r w:rsidRPr="00BD1663">
        <w:rPr>
          <w:rFonts w:ascii="Arial" w:hAnsi="Arial" w:cs="Arial"/>
          <w:sz w:val="22"/>
        </w:rPr>
        <w:t xml:space="preserve">.  </w:t>
      </w:r>
      <w:r w:rsidR="00F062B6">
        <w:rPr>
          <w:rFonts w:ascii="Arial" w:hAnsi="Arial" w:cs="Arial"/>
          <w:sz w:val="22"/>
        </w:rPr>
        <w:t xml:space="preserve">BITRE’s analysis shows that the Australian Government’s investment of $36.8 million in 2010-11 induced an </w:t>
      </w:r>
      <w:r w:rsidR="009277B0">
        <w:rPr>
          <w:rFonts w:ascii="Arial" w:hAnsi="Arial" w:cs="Arial"/>
          <w:sz w:val="22"/>
        </w:rPr>
        <w:t xml:space="preserve">additional 15,000 visitors and $36 million in expenditure in 2010-11, </w:t>
      </w:r>
      <w:r w:rsidRPr="00BD1663">
        <w:rPr>
          <w:rFonts w:ascii="Arial" w:hAnsi="Arial" w:cs="Arial"/>
          <w:sz w:val="22"/>
        </w:rPr>
        <w:t xml:space="preserve">the Australian Government spent $36.8 million.  This equates to </w:t>
      </w:r>
      <w:r w:rsidR="00F062B6">
        <w:rPr>
          <w:rFonts w:ascii="Arial" w:hAnsi="Arial" w:cs="Arial"/>
          <w:sz w:val="22"/>
        </w:rPr>
        <w:t xml:space="preserve">a return of approximately 98 cents for every dollar </w:t>
      </w:r>
      <w:r w:rsidR="00C979E2">
        <w:rPr>
          <w:rFonts w:ascii="Arial" w:hAnsi="Arial" w:cs="Arial"/>
          <w:sz w:val="22"/>
        </w:rPr>
        <w:t xml:space="preserve">spent by the </w:t>
      </w:r>
      <w:r w:rsidR="00F062B6">
        <w:rPr>
          <w:rFonts w:ascii="Arial" w:hAnsi="Arial" w:cs="Arial"/>
          <w:sz w:val="22"/>
        </w:rPr>
        <w:t>BSPVES</w:t>
      </w:r>
      <w:r w:rsidR="00C979E2">
        <w:rPr>
          <w:rFonts w:ascii="Arial" w:hAnsi="Arial" w:cs="Arial"/>
          <w:sz w:val="22"/>
        </w:rPr>
        <w:t xml:space="preserve">. Alternatively, BITRE’s analysis shows that the BSPVES directly costs the Australian Government </w:t>
      </w:r>
      <w:r w:rsidRPr="00BD1663">
        <w:rPr>
          <w:rFonts w:ascii="Arial" w:hAnsi="Arial" w:cs="Arial"/>
          <w:sz w:val="22"/>
        </w:rPr>
        <w:t>$2</w:t>
      </w:r>
      <w:r w:rsidR="00C15DB6">
        <w:rPr>
          <w:rFonts w:ascii="Arial" w:hAnsi="Arial" w:cs="Arial"/>
          <w:sz w:val="22"/>
        </w:rPr>
        <w:t>,</w:t>
      </w:r>
      <w:r w:rsidRPr="00BD1663">
        <w:rPr>
          <w:rFonts w:ascii="Arial" w:hAnsi="Arial" w:cs="Arial"/>
          <w:sz w:val="22"/>
        </w:rPr>
        <w:t xml:space="preserve">450 </w:t>
      </w:r>
      <w:r w:rsidR="00C979E2">
        <w:rPr>
          <w:rFonts w:ascii="Arial" w:hAnsi="Arial" w:cs="Arial"/>
          <w:sz w:val="22"/>
        </w:rPr>
        <w:t xml:space="preserve">for each </w:t>
      </w:r>
      <w:r w:rsidRPr="00BD1663">
        <w:rPr>
          <w:rFonts w:ascii="Arial" w:hAnsi="Arial" w:cs="Arial"/>
          <w:sz w:val="22"/>
        </w:rPr>
        <w:t>new traveller</w:t>
      </w:r>
      <w:r w:rsidR="00F062B6">
        <w:rPr>
          <w:rFonts w:ascii="Arial" w:hAnsi="Arial" w:cs="Arial"/>
          <w:sz w:val="22"/>
        </w:rPr>
        <w:t xml:space="preserve"> it </w:t>
      </w:r>
      <w:r w:rsidR="00C979E2">
        <w:rPr>
          <w:rFonts w:ascii="Arial" w:hAnsi="Arial" w:cs="Arial"/>
          <w:sz w:val="22"/>
        </w:rPr>
        <w:t xml:space="preserve">induces to visit Tasmania. </w:t>
      </w:r>
    </w:p>
    <w:p w:rsidR="00F062B6" w:rsidRDefault="00F062B6" w:rsidP="00BD1663">
      <w:pPr>
        <w:spacing w:after="240"/>
        <w:rPr>
          <w:rFonts w:ascii="Arial" w:hAnsi="Arial" w:cs="Arial"/>
          <w:sz w:val="22"/>
        </w:rPr>
      </w:pPr>
      <w:r>
        <w:rPr>
          <w:rFonts w:ascii="Arial" w:hAnsi="Arial" w:cs="Arial"/>
          <w:sz w:val="22"/>
        </w:rPr>
        <w:t xml:space="preserve">However, as discussed above BITRE’s estimate should be considered conservative because it does not take into account the impact of the BSPVES on </w:t>
      </w:r>
    </w:p>
    <w:p w:rsidR="00F062B6" w:rsidRDefault="00F062B6" w:rsidP="00F062B6">
      <w:pPr>
        <w:pStyle w:val="ListParagraph"/>
        <w:numPr>
          <w:ilvl w:val="0"/>
          <w:numId w:val="48"/>
        </w:numPr>
        <w:spacing w:after="240"/>
        <w:rPr>
          <w:rFonts w:ascii="Arial" w:hAnsi="Arial" w:cs="Arial"/>
          <w:sz w:val="22"/>
        </w:rPr>
      </w:pPr>
      <w:r w:rsidRPr="00F062B6">
        <w:rPr>
          <w:rFonts w:ascii="Arial" w:hAnsi="Arial" w:cs="Arial"/>
          <w:sz w:val="22"/>
        </w:rPr>
        <w:t xml:space="preserve">inducing non-leisure travellers, </w:t>
      </w:r>
    </w:p>
    <w:p w:rsidR="00F062B6" w:rsidRDefault="00F062B6" w:rsidP="00F062B6">
      <w:pPr>
        <w:pStyle w:val="ListParagraph"/>
        <w:numPr>
          <w:ilvl w:val="0"/>
          <w:numId w:val="48"/>
        </w:numPr>
        <w:spacing w:after="240"/>
        <w:rPr>
          <w:rFonts w:ascii="Arial" w:hAnsi="Arial" w:cs="Arial"/>
          <w:sz w:val="22"/>
        </w:rPr>
      </w:pPr>
      <w:r>
        <w:rPr>
          <w:rFonts w:ascii="Arial" w:hAnsi="Arial" w:cs="Arial"/>
          <w:sz w:val="22"/>
        </w:rPr>
        <w:t xml:space="preserve">inducing additional travel and expenditure to Victoria </w:t>
      </w:r>
    </w:p>
    <w:p w:rsidR="00F062B6" w:rsidRPr="00F062B6" w:rsidRDefault="00F062B6" w:rsidP="00F062B6">
      <w:pPr>
        <w:pStyle w:val="ListParagraph"/>
        <w:numPr>
          <w:ilvl w:val="0"/>
          <w:numId w:val="48"/>
        </w:numPr>
        <w:spacing w:after="240"/>
        <w:rPr>
          <w:rFonts w:ascii="Arial" w:hAnsi="Arial" w:cs="Arial"/>
          <w:sz w:val="22"/>
        </w:rPr>
      </w:pPr>
      <w:r>
        <w:rPr>
          <w:rFonts w:ascii="Arial" w:hAnsi="Arial" w:cs="Arial"/>
          <w:sz w:val="22"/>
        </w:rPr>
        <w:t xml:space="preserve">the broader </w:t>
      </w:r>
      <w:r w:rsidRPr="00F062B6">
        <w:rPr>
          <w:rFonts w:ascii="Arial" w:hAnsi="Arial" w:cs="Arial"/>
          <w:sz w:val="22"/>
        </w:rPr>
        <w:t xml:space="preserve">industry supply chain and </w:t>
      </w:r>
      <w:r w:rsidR="00CF5CE6">
        <w:rPr>
          <w:rFonts w:ascii="Arial" w:hAnsi="Arial" w:cs="Arial"/>
          <w:sz w:val="22"/>
        </w:rPr>
        <w:t xml:space="preserve">the flow on effect this has on the Tasmanian tourist industry </w:t>
      </w:r>
    </w:p>
    <w:p w:rsidR="00C979E2" w:rsidRDefault="00CF5CE6" w:rsidP="00BD1663">
      <w:pPr>
        <w:spacing w:after="240"/>
        <w:rPr>
          <w:rFonts w:ascii="Arial" w:hAnsi="Arial" w:cs="Arial"/>
          <w:sz w:val="22"/>
        </w:rPr>
      </w:pPr>
      <w:r>
        <w:rPr>
          <w:rFonts w:ascii="Arial" w:hAnsi="Arial" w:cs="Arial"/>
          <w:sz w:val="22"/>
        </w:rPr>
        <w:t xml:space="preserve">Using some of the upper bound estimates suggested by </w:t>
      </w:r>
      <w:proofErr w:type="spellStart"/>
      <w:r>
        <w:rPr>
          <w:rFonts w:ascii="Arial" w:hAnsi="Arial" w:cs="Arial"/>
          <w:sz w:val="22"/>
        </w:rPr>
        <w:t>Austrade</w:t>
      </w:r>
      <w:proofErr w:type="spellEnd"/>
      <w:r>
        <w:rPr>
          <w:rFonts w:ascii="Arial" w:hAnsi="Arial" w:cs="Arial"/>
          <w:sz w:val="22"/>
        </w:rPr>
        <w:t xml:space="preserve"> then the level of induced expenditure is around $90 million, suggesting a rate of return $2.45 for every dollar invested</w:t>
      </w:r>
      <w:r w:rsidR="00C979E2">
        <w:rPr>
          <w:rFonts w:ascii="Arial" w:hAnsi="Arial" w:cs="Arial"/>
          <w:sz w:val="22"/>
        </w:rPr>
        <w:t xml:space="preserve"> in the BSPVES. Using these figures suggests the BSPVES directly costs the Australian Government</w:t>
      </w:r>
      <w:r>
        <w:rPr>
          <w:rFonts w:ascii="Arial" w:hAnsi="Arial" w:cs="Arial"/>
          <w:sz w:val="22"/>
        </w:rPr>
        <w:t xml:space="preserve"> </w:t>
      </w:r>
      <w:r w:rsidR="00C979E2">
        <w:rPr>
          <w:rFonts w:ascii="Arial" w:hAnsi="Arial" w:cs="Arial"/>
          <w:sz w:val="22"/>
        </w:rPr>
        <w:t xml:space="preserve">$1,020 for each new traveller it induces to visit Tasmania. </w:t>
      </w:r>
    </w:p>
    <w:p w:rsidR="006760BB" w:rsidRDefault="006760BB" w:rsidP="00BD1663">
      <w:pPr>
        <w:spacing w:after="240"/>
        <w:rPr>
          <w:rFonts w:ascii="Arial" w:hAnsi="Arial" w:cs="Arial"/>
          <w:sz w:val="22"/>
        </w:rPr>
      </w:pPr>
      <w:r>
        <w:rPr>
          <w:rFonts w:ascii="Arial" w:hAnsi="Arial" w:cs="Arial"/>
          <w:sz w:val="22"/>
        </w:rPr>
        <w:t xml:space="preserve">However, as noted above, the broader befits associated with each dollar spent under the BSPVES will be not be known until consideration is made to how its impacts on travel to Victoria and Tasmanian hire car prices and any flow on effect his may have on tourist expenditure in Tasmania. </w:t>
      </w:r>
    </w:p>
    <w:p w:rsidR="006760BB" w:rsidRDefault="006760BB" w:rsidP="00BD1663">
      <w:pPr>
        <w:spacing w:after="240"/>
        <w:rPr>
          <w:rFonts w:ascii="Arial" w:hAnsi="Arial" w:cs="Arial"/>
          <w:sz w:val="22"/>
        </w:rPr>
      </w:pPr>
      <w:r>
        <w:rPr>
          <w:rFonts w:ascii="Arial" w:hAnsi="Arial" w:cs="Arial"/>
          <w:sz w:val="22"/>
        </w:rPr>
        <w:t xml:space="preserve">Leaving aside these significant data gaps, </w:t>
      </w:r>
      <w:proofErr w:type="spellStart"/>
      <w:r>
        <w:rPr>
          <w:rFonts w:ascii="Arial" w:hAnsi="Arial" w:cs="Arial"/>
          <w:sz w:val="22"/>
        </w:rPr>
        <w:t>Austrade</w:t>
      </w:r>
      <w:proofErr w:type="spellEnd"/>
      <w:r>
        <w:rPr>
          <w:rFonts w:ascii="Arial" w:hAnsi="Arial" w:cs="Arial"/>
          <w:sz w:val="22"/>
        </w:rPr>
        <w:t xml:space="preserve"> considers that consideration should be given to how the BSPVES could more effectively and efficiently achieve its stated objectives. </w:t>
      </w:r>
      <w:r w:rsidR="00783441">
        <w:rPr>
          <w:rFonts w:ascii="Arial" w:hAnsi="Arial" w:cs="Arial"/>
          <w:sz w:val="22"/>
        </w:rPr>
        <w:t xml:space="preserve"> The BSPVES directly costs taxpayers between $1020 and $2450 for every passenger it induces to </w:t>
      </w:r>
      <w:r w:rsidR="00783441">
        <w:rPr>
          <w:rFonts w:ascii="Arial" w:hAnsi="Arial" w:cs="Arial"/>
          <w:sz w:val="22"/>
        </w:rPr>
        <w:lastRenderedPageBreak/>
        <w:t xml:space="preserve">travel to Tasmania. The Productivity Commission’s inquiry is an opportunity to consider how the BSPVES could encourage more people to travel to Tasmania more efficiently. </w:t>
      </w:r>
      <w:r>
        <w:rPr>
          <w:rFonts w:ascii="Arial" w:hAnsi="Arial" w:cs="Arial"/>
          <w:sz w:val="22"/>
        </w:rPr>
        <w:t xml:space="preserve">This is particularly important given the Government’s commitment to retain the BSPVES.  </w:t>
      </w:r>
    </w:p>
    <w:p w:rsidR="00783441" w:rsidRDefault="00783441" w:rsidP="00BD1663">
      <w:pPr>
        <w:spacing w:after="240"/>
        <w:rPr>
          <w:rFonts w:ascii="Arial" w:hAnsi="Arial" w:cs="Arial"/>
          <w:sz w:val="22"/>
        </w:rPr>
      </w:pPr>
      <w:r>
        <w:rPr>
          <w:rFonts w:ascii="Arial" w:hAnsi="Arial" w:cs="Arial"/>
          <w:sz w:val="22"/>
        </w:rPr>
        <w:t>The BSPVES has been in place for almost two decades. The transport market has evolved significantly during this time. Consumers are travelling more and the entry of low cost carriers to the Australian aviation market has made travelling more affordable and accessible. It has also meant that travelling to Tasmania by air has become much cheaper compared to travelling to Tasmania by sea.</w:t>
      </w:r>
      <w:r w:rsidR="00DC4F24">
        <w:rPr>
          <w:rFonts w:ascii="Arial" w:hAnsi="Arial" w:cs="Arial"/>
          <w:sz w:val="22"/>
        </w:rPr>
        <w:t xml:space="preserve"> In this environment the BSPVES’s appeal to consumers is likely to have diminished.</w:t>
      </w:r>
    </w:p>
    <w:p w:rsidR="00BD1663" w:rsidRDefault="00783441" w:rsidP="00BD1663">
      <w:pPr>
        <w:spacing w:after="240"/>
        <w:rPr>
          <w:rFonts w:ascii="Arial" w:hAnsi="Arial" w:cs="Arial"/>
          <w:sz w:val="22"/>
        </w:rPr>
      </w:pPr>
      <w:r>
        <w:rPr>
          <w:rFonts w:ascii="Arial" w:hAnsi="Arial" w:cs="Arial"/>
          <w:sz w:val="22"/>
        </w:rPr>
        <w:t>In this context the Productivity Commission should consider how the BSPVES could be made more appealing to travellers</w:t>
      </w:r>
      <w:r w:rsidR="00DC4F24">
        <w:rPr>
          <w:rFonts w:ascii="Arial" w:hAnsi="Arial" w:cs="Arial"/>
          <w:sz w:val="22"/>
        </w:rPr>
        <w:t xml:space="preserve">. Similarly, the Productivity Commission should also consider how the BSPVES could attract more high yielding tourists to ensure it delivers a greater return on taxpayers’ investment in the subsidy. Doing so will assist to achieve the Australian Government’s </w:t>
      </w:r>
      <w:r w:rsidR="00DC4F24" w:rsidRPr="00DC4F24">
        <w:rPr>
          <w:rFonts w:ascii="Arial" w:hAnsi="Arial" w:cs="Arial"/>
          <w:i/>
          <w:sz w:val="22"/>
        </w:rPr>
        <w:t>Tourism 2020</w:t>
      </w:r>
      <w:r w:rsidR="00DC4F24">
        <w:rPr>
          <w:rFonts w:ascii="Arial" w:hAnsi="Arial" w:cs="Arial"/>
          <w:sz w:val="22"/>
        </w:rPr>
        <w:t xml:space="preserve"> objectives and </w:t>
      </w:r>
      <w:r w:rsidR="00BD1663" w:rsidRPr="00BD1663">
        <w:rPr>
          <w:rFonts w:ascii="Arial" w:hAnsi="Arial" w:cs="Arial"/>
          <w:sz w:val="22"/>
        </w:rPr>
        <w:t>maximise the benefit to the Tasmanian economy.</w:t>
      </w:r>
    </w:p>
    <w:p w:rsidR="00DC4F24" w:rsidRDefault="00DC4F24" w:rsidP="00DC4F24">
      <w:pPr>
        <w:pBdr>
          <w:top w:val="single" w:sz="4" w:space="1" w:color="auto"/>
          <w:left w:val="single" w:sz="4" w:space="4" w:color="auto"/>
          <w:bottom w:val="single" w:sz="4" w:space="1" w:color="auto"/>
          <w:right w:val="single" w:sz="4" w:space="4" w:color="auto"/>
        </w:pBdr>
        <w:shd w:val="clear" w:color="auto" w:fill="FFB560" w:themeFill="accent1" w:themeFillTint="99"/>
        <w:spacing w:after="240"/>
        <w:rPr>
          <w:rFonts w:ascii="Arial" w:hAnsi="Arial" w:cs="Arial"/>
          <w:sz w:val="22"/>
        </w:rPr>
      </w:pPr>
      <w:r>
        <w:rPr>
          <w:rFonts w:ascii="Arial" w:hAnsi="Arial" w:cs="Arial"/>
          <w:sz w:val="22"/>
        </w:rPr>
        <w:t xml:space="preserve">Recommendation 5 – That the Productivity Commission consider how the BSPVES could be made more appealing to tourists and how it could encourage more tourism spend in Tasmania to increase the BSPVE’s effectiveness and efficiency. </w:t>
      </w:r>
    </w:p>
    <w:p w:rsidR="00BD1663" w:rsidRPr="00BD1663" w:rsidRDefault="00BD1663" w:rsidP="00BD1663">
      <w:pPr>
        <w:spacing w:after="240"/>
        <w:rPr>
          <w:rFonts w:ascii="Arial" w:hAnsi="Arial" w:cs="Arial"/>
          <w:sz w:val="22"/>
          <w:u w:val="single"/>
        </w:rPr>
      </w:pPr>
      <w:r w:rsidRPr="00BD1663">
        <w:rPr>
          <w:rFonts w:ascii="Arial" w:hAnsi="Arial" w:cs="Arial"/>
          <w:sz w:val="22"/>
          <w:u w:val="single"/>
        </w:rPr>
        <w:t xml:space="preserve">Impact of the </w:t>
      </w:r>
      <w:r w:rsidRPr="00DC4F24">
        <w:rPr>
          <w:rFonts w:ascii="Arial" w:hAnsi="Arial" w:cs="Arial"/>
          <w:i/>
          <w:sz w:val="22"/>
          <w:u w:val="single"/>
        </w:rPr>
        <w:t>Coastal Trading Act</w:t>
      </w:r>
      <w:r w:rsidRPr="00BD1663">
        <w:rPr>
          <w:rFonts w:ascii="Arial" w:hAnsi="Arial" w:cs="Arial"/>
          <w:sz w:val="22"/>
          <w:u w:val="single"/>
        </w:rPr>
        <w:t xml:space="preserve"> on Bass Strait cruise shipping costs</w:t>
      </w:r>
    </w:p>
    <w:p w:rsidR="00BD1663" w:rsidRPr="00BD1663" w:rsidRDefault="00BD1663" w:rsidP="00BD1663">
      <w:pPr>
        <w:spacing w:after="240"/>
        <w:rPr>
          <w:rFonts w:ascii="Arial" w:hAnsi="Arial" w:cs="Arial"/>
          <w:sz w:val="22"/>
        </w:rPr>
      </w:pPr>
      <w:r w:rsidRPr="00BD1663">
        <w:rPr>
          <w:rFonts w:ascii="Arial" w:hAnsi="Arial" w:cs="Arial"/>
          <w:sz w:val="22"/>
        </w:rPr>
        <w:t xml:space="preserve">The </w:t>
      </w:r>
      <w:r w:rsidRPr="00DC4F24">
        <w:rPr>
          <w:rFonts w:ascii="Arial" w:hAnsi="Arial" w:cs="Arial"/>
          <w:i/>
          <w:sz w:val="22"/>
        </w:rPr>
        <w:t>Coastal Trading Act</w:t>
      </w:r>
      <w:r w:rsidRPr="00BD1663">
        <w:rPr>
          <w:rFonts w:ascii="Arial" w:hAnsi="Arial" w:cs="Arial"/>
          <w:sz w:val="22"/>
        </w:rPr>
        <w:t xml:space="preserve"> </w:t>
      </w:r>
      <w:r w:rsidR="00DC4F24">
        <w:rPr>
          <w:rFonts w:ascii="Arial" w:hAnsi="Arial" w:cs="Arial"/>
          <w:sz w:val="22"/>
        </w:rPr>
        <w:t xml:space="preserve">(the Act) </w:t>
      </w:r>
      <w:r w:rsidRPr="00BD1663">
        <w:rPr>
          <w:rFonts w:ascii="Arial" w:hAnsi="Arial" w:cs="Arial"/>
          <w:sz w:val="22"/>
        </w:rPr>
        <w:t xml:space="preserve">is currently having a negative impact on expedition cruise shipping costs, acting as a barrier to foreign flagged operators </w:t>
      </w:r>
      <w:r w:rsidR="00DD048D">
        <w:rPr>
          <w:rFonts w:ascii="Arial" w:hAnsi="Arial" w:cs="Arial"/>
          <w:sz w:val="22"/>
        </w:rPr>
        <w:t xml:space="preserve">wishing to </w:t>
      </w:r>
      <w:r w:rsidRPr="00BD1663">
        <w:rPr>
          <w:rFonts w:ascii="Arial" w:hAnsi="Arial" w:cs="Arial"/>
          <w:sz w:val="22"/>
        </w:rPr>
        <w:t>includ</w:t>
      </w:r>
      <w:r w:rsidR="00DD048D">
        <w:rPr>
          <w:rFonts w:ascii="Arial" w:hAnsi="Arial" w:cs="Arial"/>
          <w:sz w:val="22"/>
        </w:rPr>
        <w:t>e</w:t>
      </w:r>
      <w:r w:rsidRPr="00BD1663">
        <w:rPr>
          <w:rFonts w:ascii="Arial" w:hAnsi="Arial" w:cs="Arial"/>
          <w:sz w:val="22"/>
        </w:rPr>
        <w:t xml:space="preserve"> Tasmania on</w:t>
      </w:r>
      <w:r w:rsidR="000B2F12">
        <w:rPr>
          <w:rFonts w:ascii="Arial" w:hAnsi="Arial" w:cs="Arial"/>
          <w:sz w:val="22"/>
        </w:rPr>
        <w:t xml:space="preserve"> domestic</w:t>
      </w:r>
      <w:r w:rsidRPr="00BD1663">
        <w:rPr>
          <w:rFonts w:ascii="Arial" w:hAnsi="Arial" w:cs="Arial"/>
          <w:sz w:val="22"/>
        </w:rPr>
        <w:t xml:space="preserve"> itineraries </w:t>
      </w:r>
      <w:r w:rsidR="00DD048D">
        <w:rPr>
          <w:rFonts w:ascii="Arial" w:hAnsi="Arial" w:cs="Arial"/>
          <w:sz w:val="22"/>
        </w:rPr>
        <w:t>that commence</w:t>
      </w:r>
      <w:r w:rsidRPr="00BD1663">
        <w:rPr>
          <w:rFonts w:ascii="Arial" w:hAnsi="Arial" w:cs="Arial"/>
          <w:sz w:val="22"/>
        </w:rPr>
        <w:t xml:space="preserve"> from another Australian port.  </w:t>
      </w:r>
      <w:r w:rsidR="00803051">
        <w:rPr>
          <w:rFonts w:ascii="Arial" w:hAnsi="Arial" w:cs="Arial"/>
          <w:sz w:val="22"/>
        </w:rPr>
        <w:t xml:space="preserve">  </w:t>
      </w:r>
    </w:p>
    <w:p w:rsidR="00DD048D" w:rsidRDefault="00BD1663" w:rsidP="00BD1663">
      <w:pPr>
        <w:spacing w:after="240"/>
        <w:rPr>
          <w:rFonts w:ascii="Arial" w:hAnsi="Arial" w:cs="Arial"/>
          <w:sz w:val="22"/>
        </w:rPr>
      </w:pPr>
      <w:r w:rsidRPr="00BD1663">
        <w:rPr>
          <w:rFonts w:ascii="Arial" w:hAnsi="Arial" w:cs="Arial"/>
          <w:sz w:val="22"/>
        </w:rPr>
        <w:t>Foreign flagged vessels under 5</w:t>
      </w:r>
      <w:r w:rsidR="007A4EF4">
        <w:rPr>
          <w:rFonts w:ascii="Arial" w:hAnsi="Arial" w:cs="Arial"/>
          <w:sz w:val="22"/>
        </w:rPr>
        <w:t>,</w:t>
      </w:r>
      <w:r w:rsidRPr="00BD1663">
        <w:rPr>
          <w:rFonts w:ascii="Arial" w:hAnsi="Arial" w:cs="Arial"/>
          <w:sz w:val="22"/>
        </w:rPr>
        <w:t>000 gross tonnes, (smaller vessels offering luxury product to high yielding tourists) cannot operate domestic cruise service</w:t>
      </w:r>
      <w:r w:rsidR="00C43EFA">
        <w:rPr>
          <w:rFonts w:ascii="Arial" w:hAnsi="Arial" w:cs="Arial"/>
          <w:sz w:val="22"/>
        </w:rPr>
        <w:t xml:space="preserve">s without a temporary licence. </w:t>
      </w:r>
      <w:r w:rsidR="00DD048D">
        <w:rPr>
          <w:rFonts w:ascii="Arial" w:hAnsi="Arial" w:cs="Arial"/>
          <w:sz w:val="22"/>
        </w:rPr>
        <w:t xml:space="preserve">This regulation is a key barrier to expedition cruise operators commencing services to Tasmania, is </w:t>
      </w:r>
      <w:r w:rsidR="00DD048D" w:rsidRPr="00BD1663">
        <w:rPr>
          <w:rFonts w:ascii="Arial" w:hAnsi="Arial" w:cs="Arial"/>
          <w:sz w:val="22"/>
        </w:rPr>
        <w:t>imposing opportunity costs on Tasmania’s tourism industry</w:t>
      </w:r>
      <w:r w:rsidR="00DD048D">
        <w:rPr>
          <w:rFonts w:ascii="Arial" w:hAnsi="Arial" w:cs="Arial"/>
          <w:sz w:val="22"/>
        </w:rPr>
        <w:t>,</w:t>
      </w:r>
      <w:r w:rsidR="00DD048D" w:rsidRPr="00BD1663">
        <w:rPr>
          <w:rFonts w:ascii="Arial" w:hAnsi="Arial" w:cs="Arial"/>
          <w:sz w:val="22"/>
        </w:rPr>
        <w:t xml:space="preserve"> and </w:t>
      </w:r>
      <w:r w:rsidR="00DD048D">
        <w:rPr>
          <w:rFonts w:ascii="Arial" w:hAnsi="Arial" w:cs="Arial"/>
          <w:sz w:val="22"/>
        </w:rPr>
        <w:t xml:space="preserve">is </w:t>
      </w:r>
      <w:r w:rsidR="00DD048D" w:rsidRPr="00BD1663">
        <w:rPr>
          <w:rFonts w:ascii="Arial" w:hAnsi="Arial" w:cs="Arial"/>
          <w:sz w:val="22"/>
        </w:rPr>
        <w:t>limiting tourism expenditure in the state.</w:t>
      </w:r>
    </w:p>
    <w:p w:rsidR="00BD1663" w:rsidRPr="00BD1663" w:rsidRDefault="00BD1663" w:rsidP="00BD1663">
      <w:pPr>
        <w:spacing w:after="240"/>
        <w:rPr>
          <w:rFonts w:ascii="Arial" w:hAnsi="Arial" w:cs="Arial"/>
          <w:sz w:val="22"/>
        </w:rPr>
      </w:pPr>
      <w:r w:rsidRPr="00BD1663">
        <w:rPr>
          <w:rFonts w:ascii="Arial" w:hAnsi="Arial" w:cs="Arial"/>
          <w:sz w:val="22"/>
        </w:rPr>
        <w:t xml:space="preserve">Advice from foreign-flagged operators is that temporary licences are not attractive because they do not provide long term certainty and can only be obtained through a </w:t>
      </w:r>
      <w:r w:rsidR="008C2925">
        <w:rPr>
          <w:rFonts w:ascii="Arial" w:hAnsi="Arial" w:cs="Arial"/>
          <w:sz w:val="22"/>
        </w:rPr>
        <w:t xml:space="preserve">cumbersome </w:t>
      </w:r>
      <w:r w:rsidRPr="00BD1663">
        <w:rPr>
          <w:rFonts w:ascii="Arial" w:hAnsi="Arial" w:cs="Arial"/>
          <w:sz w:val="22"/>
        </w:rPr>
        <w:t>application proce</w:t>
      </w:r>
      <w:r w:rsidR="00C43EFA">
        <w:rPr>
          <w:rFonts w:ascii="Arial" w:hAnsi="Arial" w:cs="Arial"/>
          <w:sz w:val="22"/>
        </w:rPr>
        <w:t>ss that is not well understood.</w:t>
      </w:r>
      <w:r w:rsidRPr="00BD1663">
        <w:rPr>
          <w:rFonts w:ascii="Arial" w:hAnsi="Arial" w:cs="Arial"/>
          <w:sz w:val="22"/>
        </w:rPr>
        <w:t xml:space="preserve"> </w:t>
      </w:r>
      <w:r w:rsidR="00DD048D">
        <w:rPr>
          <w:rFonts w:ascii="Arial" w:hAnsi="Arial" w:cs="Arial"/>
          <w:sz w:val="22"/>
        </w:rPr>
        <w:t>Operators</w:t>
      </w:r>
      <w:r w:rsidRPr="00BD1663">
        <w:rPr>
          <w:rFonts w:ascii="Arial" w:hAnsi="Arial" w:cs="Arial"/>
          <w:sz w:val="22"/>
        </w:rPr>
        <w:t xml:space="preserve"> also assert the licence assessment process is unfairly weighted towards locally flagged operators.</w:t>
      </w:r>
    </w:p>
    <w:p w:rsidR="00BD1663" w:rsidRPr="00BD1663" w:rsidRDefault="00BD1663" w:rsidP="00BD1663">
      <w:pPr>
        <w:spacing w:after="240"/>
        <w:rPr>
          <w:rFonts w:ascii="Arial" w:hAnsi="Arial" w:cs="Arial"/>
          <w:sz w:val="22"/>
        </w:rPr>
      </w:pPr>
      <w:r w:rsidRPr="00BD1663">
        <w:rPr>
          <w:rFonts w:ascii="Arial" w:hAnsi="Arial" w:cs="Arial"/>
          <w:sz w:val="22"/>
        </w:rPr>
        <w:t>The expedition cruise sector, as opposed to the mass-style cruise sector, consists of smaller operators running smaller vessels, offering niche and high quality tourism product, and a</w:t>
      </w:r>
      <w:r w:rsidR="00C43EFA">
        <w:rPr>
          <w:rFonts w:ascii="Arial" w:hAnsi="Arial" w:cs="Arial"/>
          <w:sz w:val="22"/>
        </w:rPr>
        <w:t xml:space="preserve">ttracting high yield tourists. </w:t>
      </w:r>
      <w:r w:rsidRPr="00BD1663">
        <w:rPr>
          <w:rFonts w:ascii="Arial" w:hAnsi="Arial" w:cs="Arial"/>
          <w:sz w:val="22"/>
        </w:rPr>
        <w:t xml:space="preserve">An example of the </w:t>
      </w:r>
      <w:r w:rsidR="00803051">
        <w:rPr>
          <w:rFonts w:ascii="Arial" w:hAnsi="Arial" w:cs="Arial"/>
          <w:sz w:val="22"/>
        </w:rPr>
        <w:t>expedition cruise sector’s high-</w:t>
      </w:r>
      <w:r w:rsidRPr="00BD1663">
        <w:rPr>
          <w:rFonts w:ascii="Arial" w:hAnsi="Arial" w:cs="Arial"/>
          <w:sz w:val="22"/>
        </w:rPr>
        <w:t>yield potential can be seen in the “Art of Arnhem Land” itinerary run by Orion Expedition Cruises (OEC) in cooperation with the A</w:t>
      </w:r>
      <w:r w:rsidR="00C43EFA">
        <w:rPr>
          <w:rFonts w:ascii="Arial" w:hAnsi="Arial" w:cs="Arial"/>
          <w:sz w:val="22"/>
        </w:rPr>
        <w:t xml:space="preserve">rt Gallery of New South Wales. </w:t>
      </w:r>
      <w:r w:rsidRPr="00BD1663">
        <w:rPr>
          <w:rFonts w:ascii="Arial" w:hAnsi="Arial" w:cs="Arial"/>
          <w:sz w:val="22"/>
        </w:rPr>
        <w:t>Discussions with OEC representatives have suggested that it was not uncommon for the 10 day itinerary to generate up to half a million dollars in</w:t>
      </w:r>
      <w:r w:rsidR="00C43EFA">
        <w:rPr>
          <w:rFonts w:ascii="Arial" w:hAnsi="Arial" w:cs="Arial"/>
          <w:sz w:val="22"/>
        </w:rPr>
        <w:t xml:space="preserve"> cruise passenger expenditure. </w:t>
      </w:r>
      <w:r w:rsidRPr="00BD1663">
        <w:rPr>
          <w:rFonts w:ascii="Arial" w:hAnsi="Arial" w:cs="Arial"/>
          <w:sz w:val="22"/>
        </w:rPr>
        <w:t xml:space="preserve">Given the state’s small economy and high dependence on tourism, this </w:t>
      </w:r>
      <w:r w:rsidR="00803051">
        <w:rPr>
          <w:rFonts w:ascii="Arial" w:hAnsi="Arial" w:cs="Arial"/>
          <w:sz w:val="22"/>
        </w:rPr>
        <w:t>high-yield tourism</w:t>
      </w:r>
      <w:r w:rsidRPr="00BD1663">
        <w:rPr>
          <w:rFonts w:ascii="Arial" w:hAnsi="Arial" w:cs="Arial"/>
          <w:sz w:val="22"/>
        </w:rPr>
        <w:t xml:space="preserve"> </w:t>
      </w:r>
      <w:r w:rsidR="00803051">
        <w:rPr>
          <w:rFonts w:ascii="Arial" w:hAnsi="Arial" w:cs="Arial"/>
          <w:sz w:val="22"/>
        </w:rPr>
        <w:t xml:space="preserve">product </w:t>
      </w:r>
      <w:r w:rsidRPr="00BD1663">
        <w:rPr>
          <w:rFonts w:ascii="Arial" w:hAnsi="Arial" w:cs="Arial"/>
          <w:sz w:val="22"/>
        </w:rPr>
        <w:t>has the potential to bring significant benefits to Tasmania.</w:t>
      </w:r>
    </w:p>
    <w:p w:rsidR="00BD1663" w:rsidRPr="00BD1663" w:rsidRDefault="00BD1663" w:rsidP="00BD1663">
      <w:pPr>
        <w:spacing w:after="240"/>
        <w:rPr>
          <w:rFonts w:ascii="Arial" w:hAnsi="Arial" w:cs="Arial"/>
          <w:sz w:val="22"/>
        </w:rPr>
      </w:pPr>
      <w:r w:rsidRPr="00BD1663">
        <w:rPr>
          <w:rFonts w:ascii="Arial" w:hAnsi="Arial" w:cs="Arial"/>
          <w:sz w:val="22"/>
        </w:rPr>
        <w:t>Further to tourism expenditure, Austrade estimates that vessels operating expedition cruise services have the potential to add $370,000 in port expenditure on ancillary goods and services per port turnaround.</w:t>
      </w:r>
    </w:p>
    <w:p w:rsidR="00D84353" w:rsidRDefault="00DC4F24" w:rsidP="00BD1663">
      <w:pPr>
        <w:spacing w:after="240"/>
        <w:rPr>
          <w:rFonts w:ascii="Arial" w:hAnsi="Arial" w:cs="Arial"/>
          <w:sz w:val="22"/>
        </w:rPr>
      </w:pPr>
      <w:r>
        <w:rPr>
          <w:rFonts w:ascii="Arial" w:hAnsi="Arial" w:cs="Arial"/>
          <w:sz w:val="22"/>
        </w:rPr>
        <w:t>OEC</w:t>
      </w:r>
      <w:r w:rsidR="00D84353">
        <w:rPr>
          <w:rFonts w:ascii="Arial" w:hAnsi="Arial" w:cs="Arial"/>
          <w:sz w:val="22"/>
        </w:rPr>
        <w:t xml:space="preserve">, now known as </w:t>
      </w:r>
      <w:proofErr w:type="spellStart"/>
      <w:r w:rsidR="00D84353">
        <w:rPr>
          <w:rFonts w:ascii="Arial" w:hAnsi="Arial" w:cs="Arial"/>
          <w:sz w:val="22"/>
        </w:rPr>
        <w:t>Lind</w:t>
      </w:r>
      <w:r>
        <w:rPr>
          <w:rFonts w:ascii="Arial" w:hAnsi="Arial" w:cs="Arial"/>
          <w:sz w:val="22"/>
        </w:rPr>
        <w:t>l</w:t>
      </w:r>
      <w:r w:rsidR="00D84353">
        <w:rPr>
          <w:rFonts w:ascii="Arial" w:hAnsi="Arial" w:cs="Arial"/>
          <w:sz w:val="22"/>
        </w:rPr>
        <w:t>a</w:t>
      </w:r>
      <w:r>
        <w:rPr>
          <w:rFonts w:ascii="Arial" w:hAnsi="Arial" w:cs="Arial"/>
          <w:sz w:val="22"/>
        </w:rPr>
        <w:t>d</w:t>
      </w:r>
      <w:proofErr w:type="spellEnd"/>
      <w:r>
        <w:rPr>
          <w:rFonts w:ascii="Arial" w:hAnsi="Arial" w:cs="Arial"/>
          <w:sz w:val="22"/>
        </w:rPr>
        <w:t xml:space="preserve">, </w:t>
      </w:r>
      <w:r w:rsidR="00D84353">
        <w:rPr>
          <w:rFonts w:ascii="Arial" w:hAnsi="Arial" w:cs="Arial"/>
          <w:sz w:val="22"/>
        </w:rPr>
        <w:t>has</w:t>
      </w:r>
      <w:r w:rsidR="00BD1663" w:rsidRPr="00BD1663">
        <w:rPr>
          <w:rFonts w:ascii="Arial" w:hAnsi="Arial" w:cs="Arial"/>
          <w:sz w:val="22"/>
        </w:rPr>
        <w:t xml:space="preserve"> flagged an interest in operating itineraries that take passengers along the Tasmanian coast, visit remote coastal communities, and complete t</w:t>
      </w:r>
      <w:r w:rsidR="00C43EFA">
        <w:rPr>
          <w:rFonts w:ascii="Arial" w:hAnsi="Arial" w:cs="Arial"/>
          <w:sz w:val="22"/>
        </w:rPr>
        <w:t xml:space="preserve">urnarounds in Tasmanian ports. </w:t>
      </w:r>
      <w:r w:rsidR="00BD1663" w:rsidRPr="00BD1663">
        <w:rPr>
          <w:rFonts w:ascii="Arial" w:hAnsi="Arial" w:cs="Arial"/>
          <w:sz w:val="22"/>
        </w:rPr>
        <w:t xml:space="preserve">However, at present </w:t>
      </w:r>
      <w:proofErr w:type="spellStart"/>
      <w:r w:rsidR="00D84353">
        <w:rPr>
          <w:rFonts w:ascii="Arial" w:hAnsi="Arial" w:cs="Arial"/>
          <w:sz w:val="22"/>
        </w:rPr>
        <w:t>Lindblad</w:t>
      </w:r>
      <w:proofErr w:type="spellEnd"/>
      <w:r w:rsidR="00D84353">
        <w:rPr>
          <w:rFonts w:ascii="Arial" w:hAnsi="Arial" w:cs="Arial"/>
          <w:sz w:val="22"/>
        </w:rPr>
        <w:t xml:space="preserve"> does not </w:t>
      </w:r>
      <w:r w:rsidR="00BD1663" w:rsidRPr="00BD1663">
        <w:rPr>
          <w:rFonts w:ascii="Arial" w:hAnsi="Arial" w:cs="Arial"/>
          <w:sz w:val="22"/>
        </w:rPr>
        <w:t xml:space="preserve">offer itineraries </w:t>
      </w:r>
      <w:r w:rsidR="00D84353">
        <w:rPr>
          <w:rFonts w:ascii="Arial" w:hAnsi="Arial" w:cs="Arial"/>
          <w:sz w:val="22"/>
        </w:rPr>
        <w:t>including</w:t>
      </w:r>
      <w:r w:rsidR="00BD1663" w:rsidRPr="00BD1663">
        <w:rPr>
          <w:rFonts w:ascii="Arial" w:hAnsi="Arial" w:cs="Arial"/>
          <w:sz w:val="22"/>
        </w:rPr>
        <w:t xml:space="preserve"> Tasmania, citing licencing difficulties and increased operating costs caused by the Act.  </w:t>
      </w:r>
    </w:p>
    <w:p w:rsidR="00BD1663" w:rsidRPr="00BD1663" w:rsidRDefault="00C43EFA" w:rsidP="00BD1663">
      <w:pPr>
        <w:spacing w:after="240"/>
        <w:rPr>
          <w:rFonts w:ascii="Arial" w:hAnsi="Arial" w:cs="Arial"/>
          <w:sz w:val="22"/>
        </w:rPr>
      </w:pPr>
      <w:r w:rsidRPr="009863FD">
        <w:rPr>
          <w:rFonts w:ascii="Arial" w:hAnsi="Arial" w:cs="Arial"/>
          <w:sz w:val="22"/>
        </w:rPr>
        <w:t xml:space="preserve">As there are only three locally flagged operators providing limited </w:t>
      </w:r>
      <w:r w:rsidR="009863FD" w:rsidRPr="009863FD">
        <w:rPr>
          <w:rFonts w:ascii="Arial" w:hAnsi="Arial" w:cs="Arial"/>
          <w:sz w:val="22"/>
        </w:rPr>
        <w:t xml:space="preserve">expedition cruise services, the Act </w:t>
      </w:r>
      <w:r w:rsidR="009863FD">
        <w:rPr>
          <w:rFonts w:ascii="Arial" w:hAnsi="Arial" w:cs="Arial"/>
          <w:sz w:val="22"/>
        </w:rPr>
        <w:t xml:space="preserve">is restraining </w:t>
      </w:r>
      <w:r w:rsidR="009863FD" w:rsidRPr="009863FD">
        <w:rPr>
          <w:rFonts w:ascii="Arial" w:hAnsi="Arial" w:cs="Arial"/>
          <w:sz w:val="22"/>
        </w:rPr>
        <w:t>demand for expedition cruise services</w:t>
      </w:r>
      <w:r w:rsidR="009863FD">
        <w:rPr>
          <w:rFonts w:ascii="Arial" w:hAnsi="Arial" w:cs="Arial"/>
          <w:sz w:val="22"/>
        </w:rPr>
        <w:t>, reducing</w:t>
      </w:r>
      <w:r w:rsidR="00BD1663" w:rsidRPr="00BD1663">
        <w:rPr>
          <w:rFonts w:ascii="Arial" w:hAnsi="Arial" w:cs="Arial"/>
          <w:sz w:val="22"/>
        </w:rPr>
        <w:t xml:space="preserve"> t</w:t>
      </w:r>
      <w:r w:rsidR="009863FD">
        <w:rPr>
          <w:rFonts w:ascii="Arial" w:hAnsi="Arial" w:cs="Arial"/>
          <w:sz w:val="22"/>
        </w:rPr>
        <w:t>ourism expenditure and preventing</w:t>
      </w:r>
      <w:r w:rsidR="00BD1663" w:rsidRPr="00BD1663">
        <w:rPr>
          <w:rFonts w:ascii="Arial" w:hAnsi="Arial" w:cs="Arial"/>
          <w:sz w:val="22"/>
        </w:rPr>
        <w:t xml:space="preserve"> coastal communities in Tasmania from fully leveraging the economic returns from Tasmania’s unique natural, cultural, and culinary attractions.</w:t>
      </w:r>
    </w:p>
    <w:p w:rsidR="00004C86" w:rsidRDefault="00BD1663" w:rsidP="00BD1663">
      <w:pPr>
        <w:spacing w:after="240"/>
        <w:rPr>
          <w:rFonts w:ascii="Arial" w:hAnsi="Arial" w:cs="Arial"/>
          <w:sz w:val="22"/>
        </w:rPr>
      </w:pPr>
      <w:r w:rsidRPr="00BD1663">
        <w:rPr>
          <w:rFonts w:ascii="Arial" w:hAnsi="Arial" w:cs="Arial"/>
          <w:sz w:val="22"/>
        </w:rPr>
        <w:lastRenderedPageBreak/>
        <w:t xml:space="preserve">Liberalising the current coastal trading regulations would allow for growth in the expedition cruise sector across the Bass Strait.  </w:t>
      </w:r>
      <w:r w:rsidR="00004C86">
        <w:rPr>
          <w:rFonts w:ascii="Arial" w:hAnsi="Arial" w:cs="Arial"/>
          <w:sz w:val="22"/>
        </w:rPr>
        <w:t>Increased services</w:t>
      </w:r>
      <w:r w:rsidR="00CE2AC1">
        <w:rPr>
          <w:rFonts w:ascii="Arial" w:hAnsi="Arial" w:cs="Arial"/>
          <w:sz w:val="22"/>
        </w:rPr>
        <w:t xml:space="preserve"> to Tasmania</w:t>
      </w:r>
      <w:r w:rsidR="00004C86">
        <w:rPr>
          <w:rFonts w:ascii="Arial" w:hAnsi="Arial" w:cs="Arial"/>
          <w:sz w:val="22"/>
        </w:rPr>
        <w:t xml:space="preserve"> by expedition cruise operators would drive demand for tourism across the Bass Strait, particularly among high-yield tourist</w:t>
      </w:r>
      <w:r w:rsidR="00913471">
        <w:rPr>
          <w:rFonts w:ascii="Arial" w:hAnsi="Arial" w:cs="Arial"/>
          <w:sz w:val="22"/>
        </w:rPr>
        <w:t>s</w:t>
      </w:r>
      <w:r w:rsidR="00004C86">
        <w:rPr>
          <w:rFonts w:ascii="Arial" w:hAnsi="Arial" w:cs="Arial"/>
          <w:sz w:val="22"/>
        </w:rPr>
        <w:t>.</w:t>
      </w:r>
    </w:p>
    <w:p w:rsidR="00BD1663" w:rsidRPr="00BD1663" w:rsidRDefault="00BD1663" w:rsidP="00BD1663">
      <w:pPr>
        <w:spacing w:after="240"/>
        <w:rPr>
          <w:rFonts w:ascii="Arial" w:hAnsi="Arial" w:cs="Arial"/>
          <w:sz w:val="22"/>
        </w:rPr>
      </w:pPr>
      <w:r w:rsidRPr="00BD1663">
        <w:rPr>
          <w:rFonts w:ascii="Arial" w:hAnsi="Arial" w:cs="Arial"/>
          <w:sz w:val="22"/>
        </w:rPr>
        <w:t>Granting expedition cruise ships weighing between 500 and 5</w:t>
      </w:r>
      <w:r w:rsidR="007A4EF4">
        <w:rPr>
          <w:rFonts w:ascii="Arial" w:hAnsi="Arial" w:cs="Arial"/>
          <w:sz w:val="22"/>
        </w:rPr>
        <w:t>,</w:t>
      </w:r>
      <w:r w:rsidRPr="00BD1663">
        <w:rPr>
          <w:rFonts w:ascii="Arial" w:hAnsi="Arial" w:cs="Arial"/>
          <w:sz w:val="22"/>
        </w:rPr>
        <w:t xml:space="preserve">000 gross tonnes the same freedom to operate as larger cruise vessels will increase tourism expenditure, deliver economic benefits </w:t>
      </w:r>
      <w:r w:rsidR="00B801E0">
        <w:rPr>
          <w:rFonts w:ascii="Arial" w:hAnsi="Arial" w:cs="Arial"/>
          <w:sz w:val="22"/>
        </w:rPr>
        <w:t>across</w:t>
      </w:r>
      <w:r w:rsidRPr="00BD1663">
        <w:rPr>
          <w:rFonts w:ascii="Arial" w:hAnsi="Arial" w:cs="Arial"/>
          <w:sz w:val="22"/>
        </w:rPr>
        <w:t xml:space="preserve"> Tasmania, and help the Australian Government achieve its broader policy objectives.</w:t>
      </w:r>
    </w:p>
    <w:p w:rsidR="00BD1663" w:rsidRDefault="00BD1663" w:rsidP="00BD1663">
      <w:pPr>
        <w:spacing w:after="240"/>
        <w:rPr>
          <w:rFonts w:ascii="Arial" w:hAnsi="Arial" w:cs="Arial"/>
          <w:sz w:val="22"/>
        </w:rPr>
      </w:pPr>
      <w:r w:rsidRPr="00BD1663">
        <w:rPr>
          <w:rFonts w:ascii="Arial" w:hAnsi="Arial" w:cs="Arial"/>
          <w:sz w:val="22"/>
        </w:rPr>
        <w:t>Austrade suggest</w:t>
      </w:r>
      <w:r w:rsidR="007A4EF4">
        <w:rPr>
          <w:rFonts w:ascii="Arial" w:hAnsi="Arial" w:cs="Arial"/>
          <w:sz w:val="22"/>
        </w:rPr>
        <w:t>s</w:t>
      </w:r>
      <w:r w:rsidRPr="00BD1663">
        <w:rPr>
          <w:rFonts w:ascii="Arial" w:hAnsi="Arial" w:cs="Arial"/>
          <w:sz w:val="22"/>
        </w:rPr>
        <w:t xml:space="preserve"> the Productivity Commission include the impact of the Coastal Trading Act when examining Bass Strait shipping costs and competition.</w:t>
      </w:r>
    </w:p>
    <w:p w:rsidR="009863FD" w:rsidRPr="00BD1663" w:rsidRDefault="009863FD" w:rsidP="009863FD">
      <w:pPr>
        <w:pBdr>
          <w:top w:val="single" w:sz="4" w:space="1" w:color="auto"/>
          <w:left w:val="single" w:sz="4" w:space="4" w:color="auto"/>
          <w:bottom w:val="single" w:sz="4" w:space="1" w:color="auto"/>
          <w:right w:val="single" w:sz="4" w:space="4" w:color="auto"/>
        </w:pBdr>
        <w:shd w:val="clear" w:color="auto" w:fill="FFB560" w:themeFill="accent1" w:themeFillTint="99"/>
        <w:spacing w:after="240"/>
        <w:rPr>
          <w:rFonts w:ascii="Arial" w:hAnsi="Arial" w:cs="Arial"/>
          <w:sz w:val="22"/>
        </w:rPr>
      </w:pPr>
      <w:r>
        <w:rPr>
          <w:rFonts w:ascii="Arial" w:hAnsi="Arial" w:cs="Arial"/>
          <w:sz w:val="22"/>
        </w:rPr>
        <w:t xml:space="preserve">Recommendation 6 – That the Productivity Commission consider the merits of liberalising the Coastal Trading Act and reducing the threshold requiring a temporary licence from 5000 gross tonnes to 500 gross tonnes. </w:t>
      </w:r>
    </w:p>
    <w:sectPr w:rsidR="009863FD" w:rsidRPr="00BD1663" w:rsidSect="007D43A4">
      <w:headerReference w:type="even" r:id="rId11"/>
      <w:footerReference w:type="even" r:id="rId12"/>
      <w:footerReference w:type="default" r:id="rId13"/>
      <w:headerReference w:type="first" r:id="rId14"/>
      <w:footerReference w:type="first" r:id="rId15"/>
      <w:pgSz w:w="11907" w:h="16840" w:code="9"/>
      <w:pgMar w:top="670" w:right="1134" w:bottom="709" w:left="1276" w:header="680"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EFA" w:rsidRDefault="00C43EFA">
      <w:r>
        <w:separator/>
      </w:r>
    </w:p>
    <w:p w:rsidR="00C43EFA" w:rsidRDefault="00C43EFA"/>
  </w:endnote>
  <w:endnote w:type="continuationSeparator" w:id="0">
    <w:p w:rsidR="00C43EFA" w:rsidRDefault="00C43EFA">
      <w:r>
        <w:continuationSeparator/>
      </w:r>
    </w:p>
    <w:p w:rsidR="00C43EFA" w:rsidRDefault="00C43E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cher Book">
    <w:altName w:val="Arial"/>
    <w:panose1 w:val="00000000000000000000"/>
    <w:charset w:val="00"/>
    <w:family w:val="modern"/>
    <w:notTrueType/>
    <w:pitch w:val="variable"/>
    <w:sig w:usb0="00000001" w:usb1="4000005B" w:usb2="00000000" w:usb3="00000000" w:csb0="0000008B"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EFA" w:rsidRDefault="00C43EFA">
    <w:pPr>
      <w:pStyle w:val="Footer"/>
    </w:pPr>
  </w:p>
  <w:p w:rsidR="00C43EFA" w:rsidRDefault="00C43EF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540"/>
    </w:tblGrid>
    <w:tr w:rsidR="00C43EFA">
      <w:trPr>
        <w:trHeight w:hRule="exact" w:val="255"/>
      </w:trPr>
      <w:tc>
        <w:tcPr>
          <w:tcW w:w="10540" w:type="dxa"/>
          <w:tcMar>
            <w:top w:w="57" w:type="dxa"/>
          </w:tcMar>
        </w:tcPr>
        <w:p w:rsidR="00C43EFA" w:rsidRDefault="00C43EFA">
          <w:pPr>
            <w:pStyle w:val="Footer"/>
          </w:pPr>
          <w:r>
            <w:fldChar w:fldCharType="begin"/>
          </w:r>
          <w:r>
            <w:instrText xml:space="preserve"> PAGE  \* Arabic </w:instrText>
          </w:r>
          <w:r>
            <w:fldChar w:fldCharType="separate"/>
          </w:r>
          <w:r w:rsidR="00271D5C">
            <w:rPr>
              <w:noProof/>
            </w:rPr>
            <w:t>2</w:t>
          </w:r>
          <w:r>
            <w:rPr>
              <w:noProof/>
            </w:rPr>
            <w:fldChar w:fldCharType="end"/>
          </w:r>
        </w:p>
      </w:tc>
    </w:tr>
  </w:tbl>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936" w:type="dxa"/>
      <w:tblLayout w:type="fixed"/>
      <w:tblCellMar>
        <w:left w:w="0" w:type="dxa"/>
        <w:right w:w="0" w:type="dxa"/>
      </w:tblCellMar>
      <w:tblLook w:val="01E0" w:firstRow="1" w:lastRow="1" w:firstColumn="1" w:lastColumn="1" w:noHBand="0" w:noVBand="0"/>
    </w:tblPr>
    <w:tblGrid>
      <w:gridCol w:w="2772"/>
      <w:gridCol w:w="3749"/>
      <w:gridCol w:w="2415"/>
    </w:tblGrid>
    <w:tr w:rsidR="00C43EFA">
      <w:trPr>
        <w:trHeight w:hRule="exact" w:val="1021"/>
      </w:trPr>
      <w:tc>
        <w:tcPr>
          <w:tcW w:w="2772" w:type="dxa"/>
          <w:shd w:val="clear" w:color="auto" w:fill="auto"/>
          <w:vAlign w:val="bottom"/>
        </w:tcPr>
        <w:p w:rsidR="00C43EFA" w:rsidRDefault="00C43EFA" w:rsidP="008316A3">
          <w:pPr>
            <w:pStyle w:val="SenderAddress"/>
          </w:pPr>
          <w:bookmarkStart w:id="7" w:name="SenderAddress"/>
          <w:bookmarkEnd w:id="7"/>
          <w:r>
            <w:t>Level 2, Minter Ellison Building</w:t>
          </w:r>
        </w:p>
        <w:p w:rsidR="00C43EFA" w:rsidRDefault="00C43EFA" w:rsidP="008316A3">
          <w:pPr>
            <w:pStyle w:val="SenderAddress"/>
          </w:pPr>
          <w:r>
            <w:t>25 National Circuit</w:t>
          </w:r>
        </w:p>
        <w:p w:rsidR="00C43EFA" w:rsidRDefault="00C43EFA">
          <w:pPr>
            <w:pStyle w:val="SenderAddress"/>
          </w:pPr>
          <w:r>
            <w:t>FORREST  ACT  2603</w:t>
          </w:r>
        </w:p>
        <w:p w:rsidR="00C43EFA" w:rsidRDefault="00C43EFA">
          <w:pPr>
            <w:pStyle w:val="SenderAddress"/>
          </w:pPr>
          <w:r>
            <w:t>ABN: 11 764 698 227</w:t>
          </w:r>
        </w:p>
      </w:tc>
      <w:tc>
        <w:tcPr>
          <w:tcW w:w="3749" w:type="dxa"/>
          <w:shd w:val="clear" w:color="auto" w:fill="auto"/>
          <w:vAlign w:val="bottom"/>
        </w:tcPr>
        <w:p w:rsidR="00C43EFA" w:rsidRDefault="00C43EFA">
          <w:pPr>
            <w:pStyle w:val="SenderAddress"/>
          </w:pPr>
          <w:r>
            <w:t>T.</w:t>
          </w:r>
          <w:r>
            <w:tab/>
          </w:r>
          <w:bookmarkStart w:id="8" w:name="SenderTel"/>
          <w:bookmarkEnd w:id="8"/>
          <w:r>
            <w:t>02 6201 7318</w:t>
          </w:r>
        </w:p>
        <w:p w:rsidR="00C43EFA" w:rsidRDefault="00C43EFA">
          <w:pPr>
            <w:pStyle w:val="SenderAddress"/>
          </w:pPr>
          <w:r>
            <w:t>F.</w:t>
          </w:r>
          <w:r>
            <w:tab/>
          </w:r>
          <w:bookmarkStart w:id="9" w:name="SenderFax"/>
          <w:bookmarkEnd w:id="9"/>
          <w:r>
            <w:t>02 6201 7308</w:t>
          </w:r>
        </w:p>
        <w:p w:rsidR="00C43EFA" w:rsidRDefault="00C43EFA">
          <w:pPr>
            <w:pStyle w:val="SenderAddress"/>
          </w:pPr>
          <w:r>
            <w:t>W.</w:t>
          </w:r>
          <w:r>
            <w:tab/>
          </w:r>
          <w:bookmarkStart w:id="10" w:name="SenderWeb"/>
          <w:bookmarkEnd w:id="10"/>
          <w:r>
            <w:t>www.austrade.gov.au</w:t>
          </w:r>
        </w:p>
      </w:tc>
      <w:tc>
        <w:tcPr>
          <w:tcW w:w="2415" w:type="dxa"/>
          <w:shd w:val="clear" w:color="auto" w:fill="auto"/>
          <w:vAlign w:val="bottom"/>
        </w:tcPr>
        <w:p w:rsidR="00C43EFA" w:rsidRDefault="00C43EFA">
          <w:pPr>
            <w:pStyle w:val="Footer"/>
          </w:pPr>
          <w:bookmarkStart w:id="11" w:name="FooterLogo"/>
          <w:bookmarkEnd w:id="11"/>
          <w:r>
            <w:rPr>
              <w:noProof/>
              <w:lang w:eastAsia="en-AU"/>
            </w:rPr>
            <w:drawing>
              <wp:inline distT="0" distB="0" distL="0" distR="0" wp14:anchorId="06BAF25B" wp14:editId="4CF03871">
                <wp:extent cx="879799" cy="5905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NS-323\Volume_1\Clients\L&amp;L\Austrade\Stationery\v1_17March2011\Artwork\AusUnlimited_RGB.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9799" cy="590550"/>
                        </a:xfrm>
                        <a:prstGeom prst="rect">
                          <a:avLst/>
                        </a:prstGeom>
                        <a:noFill/>
                        <a:ln>
                          <a:noFill/>
                        </a:ln>
                      </pic:spPr>
                    </pic:pic>
                  </a:graphicData>
                </a:graphic>
              </wp:inline>
            </w:drawing>
          </w:r>
        </w:p>
      </w:tc>
    </w:tr>
    <w:tr w:rsidR="00C43EFA">
      <w:trPr>
        <w:trHeight w:hRule="exact" w:val="1020"/>
      </w:trPr>
      <w:tc>
        <w:tcPr>
          <w:tcW w:w="8936" w:type="dxa"/>
          <w:gridSpan w:val="3"/>
          <w:shd w:val="clear" w:color="auto" w:fill="auto"/>
          <w:vAlign w:val="bottom"/>
        </w:tcPr>
        <w:p w:rsidR="00C43EFA" w:rsidRDefault="00C43EFA">
          <w:pPr>
            <w:pStyle w:val="Footer"/>
            <w:jc w:val="both"/>
          </w:pPr>
          <w:r>
            <w:t>This communication is confidential to the addressee; the information it contains carries no warranty and Austrade denies liability for loss arising from its use. Australia’s anti-bribery laws operate overseas and Austrade will not provide business related services to any party who breaches the law and will report credible evidence of bribery. If you are travelling overseas consult www.smarttraveller.gov.au – the Australian Government’s travel advisory service.</w:t>
          </w:r>
        </w:p>
      </w:tc>
    </w:tr>
  </w:tbl>
  <w:p w:rsidR="00C43EFA" w:rsidRDefault="00C43EFA" w:rsidP="00C848FF">
    <w:pPr>
      <w:pStyle w:val="Footer"/>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EFA" w:rsidRDefault="00C43EFA">
      <w:r>
        <w:separator/>
      </w:r>
    </w:p>
    <w:p w:rsidR="00C43EFA" w:rsidRDefault="00C43EFA"/>
  </w:footnote>
  <w:footnote w:type="continuationSeparator" w:id="0">
    <w:p w:rsidR="00C43EFA" w:rsidRDefault="00C43EFA">
      <w:r>
        <w:continuationSeparator/>
      </w:r>
    </w:p>
    <w:p w:rsidR="00C43EFA" w:rsidRDefault="00C43EFA"/>
  </w:footnote>
  <w:footnote w:id="1">
    <w:p w:rsidR="00C43EFA" w:rsidRPr="009F04FE" w:rsidRDefault="00C43EFA">
      <w:pPr>
        <w:pStyle w:val="FootnoteText"/>
      </w:pPr>
      <w:r>
        <w:rPr>
          <w:rStyle w:val="FootnoteReference"/>
        </w:rPr>
        <w:footnoteRef/>
      </w:r>
      <w:r>
        <w:t xml:space="preserve"> Australian Bureau of Statistics, </w:t>
      </w:r>
      <w:r>
        <w:rPr>
          <w:i/>
        </w:rPr>
        <w:t>Tourism Satellite Account 5249.0,</w:t>
      </w:r>
      <w:r>
        <w:t xml:space="preserve"> 2011-12</w:t>
      </w:r>
    </w:p>
  </w:footnote>
  <w:footnote w:id="2">
    <w:p w:rsidR="00C43EFA" w:rsidRDefault="00C43EFA">
      <w:pPr>
        <w:pStyle w:val="FootnoteText"/>
      </w:pPr>
      <w:r>
        <w:rPr>
          <w:rStyle w:val="FootnoteReference"/>
        </w:rPr>
        <w:footnoteRef/>
      </w:r>
      <w:r>
        <w:t xml:space="preserve"> Tourism Research Australia, </w:t>
      </w:r>
      <w:r>
        <w:rPr>
          <w:i/>
        </w:rPr>
        <w:t xml:space="preserve">State Tourism Satellite Accounts 2011-12 </w:t>
      </w:r>
      <w:r>
        <w:t xml:space="preserve">, p.39 </w:t>
      </w:r>
    </w:p>
  </w:footnote>
  <w:footnote w:id="3">
    <w:p w:rsidR="00C43EFA" w:rsidRDefault="00C43EFA">
      <w:pPr>
        <w:pStyle w:val="FootnoteText"/>
      </w:pPr>
      <w:r>
        <w:rPr>
          <w:rStyle w:val="FootnoteReference"/>
        </w:rPr>
        <w:footnoteRef/>
      </w:r>
      <w:r>
        <w:t xml:space="preserve"> Tourism Research Australia, </w:t>
      </w:r>
      <w:r w:rsidRPr="00A03424">
        <w:rPr>
          <w:i/>
        </w:rPr>
        <w:t>The Economic Importance of Tourism in Australia’s Regions</w:t>
      </w:r>
      <w:r>
        <w:t xml:space="preserve">, 2011 </w:t>
      </w:r>
    </w:p>
  </w:footnote>
  <w:footnote w:id="4">
    <w:p w:rsidR="00C43EFA" w:rsidRDefault="00C43EFA">
      <w:pPr>
        <w:pStyle w:val="FootnoteText"/>
      </w:pPr>
      <w:r>
        <w:rPr>
          <w:rStyle w:val="FootnoteReference"/>
        </w:rPr>
        <w:footnoteRef/>
      </w:r>
      <w:r>
        <w:t xml:space="preserve"> Tourism Tasmania, </w:t>
      </w:r>
      <w:r w:rsidRPr="00A03424">
        <w:rPr>
          <w:i/>
        </w:rPr>
        <w:t>Tasmanian Visitor Survey</w:t>
      </w:r>
      <w:r>
        <w:rPr>
          <w:i/>
        </w:rPr>
        <w:t xml:space="preserve">, </w:t>
      </w:r>
      <w:r w:rsidRPr="00A03424">
        <w:t>2013</w:t>
      </w:r>
    </w:p>
  </w:footnote>
  <w:footnote w:id="5">
    <w:p w:rsidR="00C43EFA" w:rsidRDefault="00C43EFA">
      <w:pPr>
        <w:pStyle w:val="FootnoteText"/>
      </w:pPr>
      <w:r>
        <w:rPr>
          <w:rStyle w:val="FootnoteReference"/>
        </w:rPr>
        <w:footnoteRef/>
      </w:r>
      <w:r>
        <w:t xml:space="preserve"> Bureau of Infrastructure, Transport and Regional Economics, </w:t>
      </w:r>
      <w:r w:rsidRPr="006174A1">
        <w:rPr>
          <w:i/>
        </w:rPr>
        <w:t>Bass Strait Passenger V</w:t>
      </w:r>
      <w:r>
        <w:rPr>
          <w:i/>
        </w:rPr>
        <w:t>ehicle Equalisation Scheme Monito</w:t>
      </w:r>
      <w:r w:rsidRPr="006174A1">
        <w:rPr>
          <w:i/>
        </w:rPr>
        <w:t>ring Report, Number 13</w:t>
      </w:r>
      <w:r>
        <w:t>, 2012</w:t>
      </w:r>
    </w:p>
  </w:footnote>
  <w:footnote w:id="6">
    <w:p w:rsidR="00C43EFA" w:rsidRPr="001F6256" w:rsidRDefault="00C43EFA">
      <w:pPr>
        <w:pStyle w:val="FootnoteText"/>
        <w:rPr>
          <w:i/>
        </w:rPr>
      </w:pPr>
      <w:r>
        <w:rPr>
          <w:rStyle w:val="FootnoteReference"/>
        </w:rPr>
        <w:footnoteRef/>
      </w:r>
      <w:r>
        <w:t xml:space="preserve"> United Nations Statistics Division World Tourism Organisation, </w:t>
      </w:r>
      <w:r>
        <w:rPr>
          <w:i/>
        </w:rPr>
        <w:t>International Recommendations for Tourism Statistics</w:t>
      </w:r>
      <w:r>
        <w:t xml:space="preserve">, </w:t>
      </w:r>
      <w:r w:rsidRPr="001F6256">
        <w:t>2008</w:t>
      </w:r>
    </w:p>
  </w:footnote>
  <w:footnote w:id="7">
    <w:p w:rsidR="00C43EFA" w:rsidRDefault="00C43EFA">
      <w:pPr>
        <w:pStyle w:val="FootnoteText"/>
      </w:pPr>
      <w:r>
        <w:rPr>
          <w:rStyle w:val="FootnoteReference"/>
        </w:rPr>
        <w:footnoteRef/>
      </w:r>
      <w:r>
        <w:t xml:space="preserve"> Tourism Tasmania, </w:t>
      </w:r>
      <w:r w:rsidRPr="003620EE">
        <w:rPr>
          <w:i/>
        </w:rPr>
        <w:t>Tasmanian Tourism Snapshot for year ending July 2013</w:t>
      </w:r>
    </w:p>
  </w:footnote>
  <w:footnote w:id="8">
    <w:p w:rsidR="00C43EFA" w:rsidRDefault="00C43EFA" w:rsidP="0036445C">
      <w:pPr>
        <w:pStyle w:val="FootnoteText"/>
      </w:pPr>
      <w:r>
        <w:rPr>
          <w:rStyle w:val="FootnoteReference"/>
        </w:rPr>
        <w:footnoteRef/>
      </w:r>
      <w:r>
        <w:t xml:space="preserve"> Tourism Victoria, </w:t>
      </w:r>
      <w:r w:rsidRPr="003B29AB">
        <w:rPr>
          <w:i/>
        </w:rPr>
        <w:t>Domestic Visitor Estimates to Victoria by Origin</w:t>
      </w:r>
      <w:r>
        <w:t xml:space="preserve">, Year Ending September 2013 </w:t>
      </w:r>
    </w:p>
  </w:footnote>
  <w:footnote w:id="9">
    <w:p w:rsidR="00C43EFA" w:rsidRDefault="00C43EFA">
      <w:pPr>
        <w:pStyle w:val="FootnoteText"/>
      </w:pPr>
      <w:r>
        <w:rPr>
          <w:rStyle w:val="FootnoteReference"/>
        </w:rPr>
        <w:footnoteRef/>
      </w:r>
      <w:r>
        <w:t xml:space="preserve"> Data is based on the cost of hiring a ‘compact’ sized car for eight days in June 2014 based on prices quoted by car hire companies that operate nationally</w:t>
      </w:r>
    </w:p>
  </w:footnote>
  <w:footnote w:id="10">
    <w:p w:rsidR="00C43EFA" w:rsidRDefault="00C43EFA">
      <w:pPr>
        <w:pStyle w:val="FootnoteText"/>
      </w:pPr>
      <w:r>
        <w:rPr>
          <w:rStyle w:val="FootnoteReference"/>
        </w:rPr>
        <w:footnoteRef/>
      </w:r>
      <w:r>
        <w:t xml:space="preserve"> The difference in hiring a compact sixed care for eight days in June 2014 was just $2.19.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EFA" w:rsidRDefault="00C43EFA">
    <w:pPr>
      <w:pStyle w:val="Header"/>
    </w:pPr>
  </w:p>
  <w:p w:rsidR="00C43EFA" w:rsidRDefault="00C43EF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936" w:type="dxa"/>
      <w:tblLayout w:type="fixed"/>
      <w:tblCellMar>
        <w:left w:w="0" w:type="dxa"/>
        <w:right w:w="0" w:type="dxa"/>
      </w:tblCellMar>
      <w:tblLook w:val="00A0" w:firstRow="1" w:lastRow="0" w:firstColumn="1" w:lastColumn="0" w:noHBand="0" w:noVBand="0"/>
    </w:tblPr>
    <w:tblGrid>
      <w:gridCol w:w="8936"/>
    </w:tblGrid>
    <w:tr w:rsidR="00C43EFA" w:rsidTr="00007DEE">
      <w:trPr>
        <w:trHeight w:hRule="exact" w:val="1565"/>
      </w:trPr>
      <w:tc>
        <w:tcPr>
          <w:tcW w:w="8936" w:type="dxa"/>
        </w:tcPr>
        <w:p w:rsidR="00C43EFA" w:rsidRDefault="00C43EFA">
          <w:pPr>
            <w:pStyle w:val="Header"/>
          </w:pPr>
          <w:bookmarkStart w:id="6" w:name="Logo"/>
          <w:bookmarkEnd w:id="6"/>
          <w:r>
            <w:rPr>
              <w:noProof/>
              <w:lang w:eastAsia="en-AU"/>
            </w:rPr>
            <w:drawing>
              <wp:inline distT="0" distB="0" distL="0" distR="0" wp14:anchorId="211D675F" wp14:editId="00137D4F">
                <wp:extent cx="2228400" cy="53957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trade_inline_Black7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28400" cy="539571"/>
                        </a:xfrm>
                        <a:prstGeom prst="rect">
                          <a:avLst/>
                        </a:prstGeom>
                      </pic:spPr>
                    </pic:pic>
                  </a:graphicData>
                </a:graphic>
              </wp:inline>
            </w:drawing>
          </w:r>
        </w:p>
      </w:tc>
    </w:tr>
  </w:tbl>
  <w:p w:rsidR="00C43EFA" w:rsidRDefault="00C43E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068F33A"/>
    <w:lvl w:ilvl="0">
      <w:start w:val="1"/>
      <w:numFmt w:val="decimal"/>
      <w:lvlText w:val="%1."/>
      <w:lvlJc w:val="left"/>
      <w:pPr>
        <w:tabs>
          <w:tab w:val="num" w:pos="1492"/>
        </w:tabs>
        <w:ind w:left="1492" w:hanging="360"/>
      </w:pPr>
    </w:lvl>
  </w:abstractNum>
  <w:abstractNum w:abstractNumId="1">
    <w:nsid w:val="FFFFFF7D"/>
    <w:multiLevelType w:val="singleLevel"/>
    <w:tmpl w:val="B0EE4698"/>
    <w:lvl w:ilvl="0">
      <w:start w:val="1"/>
      <w:numFmt w:val="decimal"/>
      <w:lvlText w:val="%1."/>
      <w:lvlJc w:val="left"/>
      <w:pPr>
        <w:tabs>
          <w:tab w:val="num" w:pos="1209"/>
        </w:tabs>
        <w:ind w:left="1209" w:hanging="360"/>
      </w:pPr>
    </w:lvl>
  </w:abstractNum>
  <w:abstractNum w:abstractNumId="2">
    <w:nsid w:val="FFFFFF7E"/>
    <w:multiLevelType w:val="singleLevel"/>
    <w:tmpl w:val="67EAF3DA"/>
    <w:lvl w:ilvl="0">
      <w:start w:val="1"/>
      <w:numFmt w:val="decimal"/>
      <w:lvlText w:val="%1."/>
      <w:lvlJc w:val="left"/>
      <w:pPr>
        <w:tabs>
          <w:tab w:val="num" w:pos="926"/>
        </w:tabs>
        <w:ind w:left="926" w:hanging="360"/>
      </w:pPr>
    </w:lvl>
  </w:abstractNum>
  <w:abstractNum w:abstractNumId="3">
    <w:nsid w:val="FFFFFF7F"/>
    <w:multiLevelType w:val="singleLevel"/>
    <w:tmpl w:val="38B02818"/>
    <w:lvl w:ilvl="0">
      <w:start w:val="1"/>
      <w:numFmt w:val="decimal"/>
      <w:lvlText w:val="%1."/>
      <w:lvlJc w:val="left"/>
      <w:pPr>
        <w:tabs>
          <w:tab w:val="num" w:pos="643"/>
        </w:tabs>
        <w:ind w:left="643" w:hanging="360"/>
      </w:pPr>
    </w:lvl>
  </w:abstractNum>
  <w:abstractNum w:abstractNumId="4">
    <w:nsid w:val="FFFFFF80"/>
    <w:multiLevelType w:val="singleLevel"/>
    <w:tmpl w:val="79F6624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0120E4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2DEAF4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514A0C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A88267A"/>
    <w:lvl w:ilvl="0">
      <w:start w:val="1"/>
      <w:numFmt w:val="decimal"/>
      <w:lvlText w:val="%1."/>
      <w:lvlJc w:val="left"/>
      <w:pPr>
        <w:tabs>
          <w:tab w:val="num" w:pos="360"/>
        </w:tabs>
        <w:ind w:left="360" w:hanging="360"/>
      </w:pPr>
    </w:lvl>
  </w:abstractNum>
  <w:abstractNum w:abstractNumId="9">
    <w:nsid w:val="FFFFFF89"/>
    <w:multiLevelType w:val="singleLevel"/>
    <w:tmpl w:val="4626B2A4"/>
    <w:lvl w:ilvl="0">
      <w:start w:val="1"/>
      <w:numFmt w:val="bullet"/>
      <w:lvlText w:val=""/>
      <w:lvlJc w:val="left"/>
      <w:pPr>
        <w:ind w:left="360" w:hanging="360"/>
      </w:pPr>
      <w:rPr>
        <w:rFonts w:ascii="Symbol" w:hAnsi="Symbol" w:hint="default"/>
        <w:color w:val="F58400" w:themeColor="accent1"/>
      </w:rPr>
    </w:lvl>
  </w:abstractNum>
  <w:abstractNum w:abstractNumId="10">
    <w:nsid w:val="006F587F"/>
    <w:multiLevelType w:val="multilevel"/>
    <w:tmpl w:val="6FD6C788"/>
    <w:styleLink w:val="AustradeNumbers"/>
    <w:lvl w:ilvl="0">
      <w:start w:val="1"/>
      <w:numFmt w:val="decimal"/>
      <w:pStyle w:val="ListNumber"/>
      <w:lvlText w:val="%1."/>
      <w:lvlJc w:val="left"/>
      <w:pPr>
        <w:tabs>
          <w:tab w:val="num" w:pos="227"/>
        </w:tabs>
        <w:ind w:left="227" w:hanging="227"/>
      </w:pPr>
      <w:rPr>
        <w:rFonts w:hint="default"/>
        <w:color w:val="F58400" w:themeColor="accent1"/>
      </w:rPr>
    </w:lvl>
    <w:lvl w:ilvl="1">
      <w:start w:val="1"/>
      <w:numFmt w:val="lowerLetter"/>
      <w:pStyle w:val="ListNumber2"/>
      <w:lvlText w:val="%2."/>
      <w:lvlJc w:val="left"/>
      <w:pPr>
        <w:tabs>
          <w:tab w:val="num" w:pos="454"/>
        </w:tabs>
        <w:ind w:left="454" w:hanging="227"/>
      </w:pPr>
      <w:rPr>
        <w:rFonts w:hint="default"/>
        <w:color w:val="F58400" w:themeColor="accent1"/>
      </w:rPr>
    </w:lvl>
    <w:lvl w:ilvl="2">
      <w:start w:val="1"/>
      <w:numFmt w:val="lowerRoman"/>
      <w:pStyle w:val="ListNumber3"/>
      <w:lvlText w:val="%3)"/>
      <w:lvlJc w:val="left"/>
      <w:pPr>
        <w:tabs>
          <w:tab w:val="num" w:pos="680"/>
        </w:tabs>
        <w:ind w:left="680" w:hanging="226"/>
      </w:pPr>
      <w:rPr>
        <w:rFonts w:hint="default"/>
        <w:color w:val="F58400" w:themeColor="accent1"/>
      </w:rPr>
    </w:lvl>
    <w:lvl w:ilvl="3">
      <w:start w:val="1"/>
      <w:numFmt w:val="lowerRoman"/>
      <w:pStyle w:val="ListNumber4"/>
      <w:lvlText w:val="(%4)"/>
      <w:lvlJc w:val="left"/>
      <w:pPr>
        <w:tabs>
          <w:tab w:val="num" w:pos="907"/>
        </w:tabs>
        <w:ind w:left="907" w:hanging="227"/>
      </w:pPr>
      <w:rPr>
        <w:rFonts w:hint="default"/>
        <w:color w:val="F58400" w:themeColor="accent1"/>
      </w:rPr>
    </w:lvl>
    <w:lvl w:ilvl="4">
      <w:start w:val="1"/>
      <w:numFmt w:val="lowerLetter"/>
      <w:pStyle w:val="ListNumber5"/>
      <w:lvlText w:val="(%5)"/>
      <w:lvlJc w:val="left"/>
      <w:pPr>
        <w:tabs>
          <w:tab w:val="num" w:pos="1134"/>
        </w:tabs>
        <w:ind w:left="1134" w:hanging="227"/>
      </w:pPr>
      <w:rPr>
        <w:rFonts w:hint="default"/>
        <w:color w:val="F58400" w:themeColor="accent1"/>
      </w:rPr>
    </w:lvl>
    <w:lvl w:ilvl="5">
      <w:start w:val="1"/>
      <w:numFmt w:val="lowerRoman"/>
      <w:lvlText w:val="(%6)"/>
      <w:lvlJc w:val="left"/>
      <w:pPr>
        <w:tabs>
          <w:tab w:val="num" w:pos="1588"/>
        </w:tabs>
        <w:ind w:left="1588" w:hanging="227"/>
      </w:pPr>
      <w:rPr>
        <w:rFonts w:hint="default"/>
        <w:color w:val="F58400" w:themeColor="accent1"/>
      </w:rPr>
    </w:lvl>
    <w:lvl w:ilvl="6">
      <w:start w:val="1"/>
      <w:numFmt w:val="decimal"/>
      <w:lvlText w:val="%7."/>
      <w:lvlJc w:val="left"/>
      <w:pPr>
        <w:tabs>
          <w:tab w:val="num" w:pos="1814"/>
        </w:tabs>
        <w:ind w:left="1814" w:hanging="226"/>
      </w:pPr>
      <w:rPr>
        <w:rFonts w:hint="default"/>
        <w:color w:val="F58400" w:themeColor="accent1"/>
      </w:rPr>
    </w:lvl>
    <w:lvl w:ilvl="7">
      <w:start w:val="1"/>
      <w:numFmt w:val="lowerLetter"/>
      <w:lvlText w:val="%8."/>
      <w:lvlJc w:val="left"/>
      <w:pPr>
        <w:tabs>
          <w:tab w:val="num" w:pos="2041"/>
        </w:tabs>
        <w:ind w:left="2041" w:hanging="227"/>
      </w:pPr>
      <w:rPr>
        <w:rFonts w:hint="default"/>
        <w:color w:val="F58400" w:themeColor="accent1"/>
      </w:rPr>
    </w:lvl>
    <w:lvl w:ilvl="8">
      <w:start w:val="1"/>
      <w:numFmt w:val="lowerRoman"/>
      <w:lvlText w:val="%9."/>
      <w:lvlJc w:val="left"/>
      <w:pPr>
        <w:tabs>
          <w:tab w:val="num" w:pos="2268"/>
        </w:tabs>
        <w:ind w:left="2268" w:hanging="227"/>
      </w:pPr>
      <w:rPr>
        <w:rFonts w:hint="default"/>
        <w:color w:val="F58400" w:themeColor="accent1"/>
      </w:rPr>
    </w:lvl>
  </w:abstractNum>
  <w:abstractNum w:abstractNumId="11">
    <w:nsid w:val="060B0160"/>
    <w:multiLevelType w:val="hybridMultilevel"/>
    <w:tmpl w:val="E8C46B0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08B52B17"/>
    <w:multiLevelType w:val="multilevel"/>
    <w:tmpl w:val="24C28B2E"/>
    <w:styleLink w:val="AustradeBullets"/>
    <w:lvl w:ilvl="0">
      <w:start w:val="1"/>
      <w:numFmt w:val="bullet"/>
      <w:pStyle w:val="ListBullet"/>
      <w:lvlText w:val=""/>
      <w:lvlJc w:val="left"/>
      <w:pPr>
        <w:tabs>
          <w:tab w:val="num" w:pos="227"/>
        </w:tabs>
        <w:ind w:left="227" w:hanging="227"/>
      </w:pPr>
      <w:rPr>
        <w:rFonts w:ascii="Symbol" w:hAnsi="Symbol" w:hint="default"/>
        <w:color w:val="F58400" w:themeColor="accent1"/>
      </w:rPr>
    </w:lvl>
    <w:lvl w:ilvl="1">
      <w:start w:val="1"/>
      <w:numFmt w:val="bullet"/>
      <w:pStyle w:val="ListBullet2"/>
      <w:lvlText w:val="›"/>
      <w:lvlJc w:val="left"/>
      <w:pPr>
        <w:tabs>
          <w:tab w:val="num" w:pos="454"/>
        </w:tabs>
        <w:ind w:left="454" w:hanging="227"/>
      </w:pPr>
      <w:rPr>
        <w:rFonts w:ascii="Archer Book" w:hAnsi="Archer Book" w:hint="default"/>
        <w:color w:val="F58400" w:themeColor="accent1"/>
      </w:rPr>
    </w:lvl>
    <w:lvl w:ilvl="2">
      <w:start w:val="1"/>
      <w:numFmt w:val="bullet"/>
      <w:pStyle w:val="ListBullet3"/>
      <w:lvlText w:val=""/>
      <w:lvlJc w:val="left"/>
      <w:pPr>
        <w:tabs>
          <w:tab w:val="num" w:pos="454"/>
        </w:tabs>
        <w:ind w:left="454" w:hanging="227"/>
      </w:pPr>
      <w:rPr>
        <w:rFonts w:ascii="Symbol" w:hAnsi="Symbol" w:hint="default"/>
        <w:color w:val="F58400" w:themeColor="accent1"/>
      </w:rPr>
    </w:lvl>
    <w:lvl w:ilvl="3">
      <w:start w:val="1"/>
      <w:numFmt w:val="bullet"/>
      <w:pStyle w:val="ListBullet4"/>
      <w:lvlText w:val="–"/>
      <w:lvlJc w:val="left"/>
      <w:pPr>
        <w:tabs>
          <w:tab w:val="num" w:pos="907"/>
        </w:tabs>
        <w:ind w:left="907" w:hanging="227"/>
      </w:pPr>
      <w:rPr>
        <w:rFonts w:ascii="Archer Book" w:hAnsi="Archer Book" w:hint="default"/>
        <w:color w:val="F58400" w:themeColor="accent1"/>
      </w:rPr>
    </w:lvl>
    <w:lvl w:ilvl="4">
      <w:start w:val="1"/>
      <w:numFmt w:val="bullet"/>
      <w:pStyle w:val="ListBullet5"/>
      <w:lvlText w:val="–"/>
      <w:lvlJc w:val="left"/>
      <w:pPr>
        <w:tabs>
          <w:tab w:val="num" w:pos="1134"/>
        </w:tabs>
        <w:ind w:left="1134" w:hanging="227"/>
      </w:pPr>
      <w:rPr>
        <w:rFonts w:ascii="Archer Book" w:hAnsi="Archer Book" w:hint="default"/>
        <w:color w:val="F58400" w:themeColor="accent1"/>
      </w:rPr>
    </w:lvl>
    <w:lvl w:ilvl="5">
      <w:start w:val="1"/>
      <w:numFmt w:val="bullet"/>
      <w:lvlText w:val="–"/>
      <w:lvlJc w:val="left"/>
      <w:pPr>
        <w:tabs>
          <w:tab w:val="num" w:pos="1361"/>
        </w:tabs>
        <w:ind w:left="1361" w:hanging="227"/>
      </w:pPr>
      <w:rPr>
        <w:rFonts w:ascii="Archer Book" w:hAnsi="Archer Book" w:hint="default"/>
        <w:color w:val="F58400" w:themeColor="accent1"/>
      </w:rPr>
    </w:lvl>
    <w:lvl w:ilvl="6">
      <w:start w:val="1"/>
      <w:numFmt w:val="bullet"/>
      <w:lvlText w:val="–"/>
      <w:lvlJc w:val="left"/>
      <w:pPr>
        <w:tabs>
          <w:tab w:val="num" w:pos="1588"/>
        </w:tabs>
        <w:ind w:left="1588" w:hanging="227"/>
      </w:pPr>
      <w:rPr>
        <w:rFonts w:ascii="Archer Book" w:hAnsi="Archer Book" w:hint="default"/>
        <w:color w:val="F58400" w:themeColor="accent1"/>
      </w:rPr>
    </w:lvl>
    <w:lvl w:ilvl="7">
      <w:start w:val="1"/>
      <w:numFmt w:val="bullet"/>
      <w:lvlText w:val="–"/>
      <w:lvlJc w:val="left"/>
      <w:pPr>
        <w:tabs>
          <w:tab w:val="num" w:pos="1814"/>
        </w:tabs>
        <w:ind w:left="1814" w:hanging="226"/>
      </w:pPr>
      <w:rPr>
        <w:rFonts w:ascii="Archer Book" w:hAnsi="Archer Book" w:hint="default"/>
        <w:color w:val="F58400" w:themeColor="accent1"/>
      </w:rPr>
    </w:lvl>
    <w:lvl w:ilvl="8">
      <w:start w:val="1"/>
      <w:numFmt w:val="bullet"/>
      <w:lvlText w:val="–"/>
      <w:lvlJc w:val="left"/>
      <w:pPr>
        <w:tabs>
          <w:tab w:val="num" w:pos="2041"/>
        </w:tabs>
        <w:ind w:left="2041" w:hanging="227"/>
      </w:pPr>
      <w:rPr>
        <w:rFonts w:ascii="Archer Book" w:hAnsi="Archer Book" w:hint="default"/>
        <w:color w:val="F58400" w:themeColor="accent1"/>
      </w:rPr>
    </w:lvl>
  </w:abstractNum>
  <w:abstractNum w:abstractNumId="13">
    <w:nsid w:val="0D5773ED"/>
    <w:multiLevelType w:val="multilevel"/>
    <w:tmpl w:val="06C291B4"/>
    <w:styleLink w:val="ListBullets"/>
    <w:lvl w:ilvl="0">
      <w:start w:val="1"/>
      <w:numFmt w:val="bullet"/>
      <w:lvlText w:val=""/>
      <w:lvlJc w:val="left"/>
      <w:pPr>
        <w:tabs>
          <w:tab w:val="num" w:pos="227"/>
        </w:tabs>
        <w:ind w:left="227" w:hanging="227"/>
      </w:pPr>
      <w:rPr>
        <w:rFonts w:ascii="Symbol" w:hAnsi="Symbol" w:hint="default"/>
        <w:color w:val="F58400" w:themeColor="accent1"/>
      </w:rPr>
    </w:lvl>
    <w:lvl w:ilvl="1">
      <w:start w:val="1"/>
      <w:numFmt w:val="bullet"/>
      <w:lvlText w:val="›"/>
      <w:lvlJc w:val="left"/>
      <w:pPr>
        <w:tabs>
          <w:tab w:val="num" w:pos="227"/>
        </w:tabs>
        <w:ind w:left="227" w:hanging="227"/>
      </w:pPr>
      <w:rPr>
        <w:rFonts w:ascii="Arial" w:hAnsi="Arial" w:hint="default"/>
        <w:color w:val="F58400" w:themeColor="accen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10582E08"/>
    <w:multiLevelType w:val="multilevel"/>
    <w:tmpl w:val="83968576"/>
    <w:numStyleLink w:val="ListBullets0"/>
  </w:abstractNum>
  <w:abstractNum w:abstractNumId="15">
    <w:nsid w:val="145E145D"/>
    <w:multiLevelType w:val="multilevel"/>
    <w:tmpl w:val="83968576"/>
    <w:styleLink w:val="ListBullets0"/>
    <w:lvl w:ilvl="0">
      <w:start w:val="1"/>
      <w:numFmt w:val="bullet"/>
      <w:lvlText w:val=""/>
      <w:lvlJc w:val="left"/>
      <w:pPr>
        <w:tabs>
          <w:tab w:val="num" w:pos="170"/>
        </w:tabs>
        <w:ind w:left="170" w:hanging="170"/>
      </w:pPr>
      <w:rPr>
        <w:rFonts w:ascii="Symbol" w:hAnsi="Symbol" w:hint="default"/>
        <w:color w:val="F58400" w:themeColor="accent1"/>
      </w:rPr>
    </w:lvl>
    <w:lvl w:ilvl="1">
      <w:start w:val="1"/>
      <w:numFmt w:val="bullet"/>
      <w:lvlText w:val="&gt;"/>
      <w:lvlJc w:val="left"/>
      <w:pPr>
        <w:tabs>
          <w:tab w:val="num" w:pos="170"/>
        </w:tabs>
        <w:ind w:left="170" w:hanging="170"/>
      </w:pPr>
      <w:rPr>
        <w:rFonts w:ascii="Symbol" w:hAnsi="Symbol" w:hint="default"/>
        <w:color w:val="F58400" w:themeColor="accent1"/>
      </w:rPr>
    </w:lvl>
    <w:lvl w:ilvl="2">
      <w:start w:val="1"/>
      <w:numFmt w:val="decimal"/>
      <w:lvlText w:val="%3."/>
      <w:lvlJc w:val="left"/>
      <w:pPr>
        <w:tabs>
          <w:tab w:val="num" w:pos="170"/>
        </w:tabs>
        <w:ind w:left="170" w:hanging="170"/>
      </w:pPr>
      <w:rPr>
        <w:rFonts w:hint="default"/>
        <w:color w:val="F58400" w:themeColor="accent1"/>
      </w:rPr>
    </w:lvl>
    <w:lvl w:ilvl="3">
      <w:start w:val="1"/>
      <w:numFmt w:val="none"/>
      <w:lvlText w:val=""/>
      <w:lvlJc w:val="left"/>
      <w:pPr>
        <w:tabs>
          <w:tab w:val="num" w:pos="170"/>
        </w:tabs>
        <w:ind w:left="170" w:hanging="170"/>
      </w:pPr>
      <w:rPr>
        <w:rFonts w:hint="default"/>
      </w:rPr>
    </w:lvl>
    <w:lvl w:ilvl="4">
      <w:start w:val="1"/>
      <w:numFmt w:val="none"/>
      <w:lvlText w:val=""/>
      <w:lvlJc w:val="left"/>
      <w:pPr>
        <w:tabs>
          <w:tab w:val="num" w:pos="170"/>
        </w:tabs>
        <w:ind w:left="170" w:hanging="170"/>
      </w:pPr>
      <w:rPr>
        <w:rFonts w:hint="default"/>
      </w:rPr>
    </w:lvl>
    <w:lvl w:ilvl="5">
      <w:start w:val="1"/>
      <w:numFmt w:val="none"/>
      <w:lvlText w:val="("/>
      <w:lvlJc w:val="left"/>
      <w:pPr>
        <w:tabs>
          <w:tab w:val="num" w:pos="170"/>
        </w:tabs>
        <w:ind w:left="170" w:hanging="170"/>
      </w:pPr>
      <w:rPr>
        <w:rFonts w:hint="default"/>
      </w:rPr>
    </w:lvl>
    <w:lvl w:ilvl="6">
      <w:start w:val="1"/>
      <w:numFmt w:val="none"/>
      <w:lvlText w:val=""/>
      <w:lvlJc w:val="left"/>
      <w:pPr>
        <w:tabs>
          <w:tab w:val="num" w:pos="170"/>
        </w:tabs>
        <w:ind w:left="170" w:hanging="170"/>
      </w:pPr>
      <w:rPr>
        <w:rFonts w:hint="default"/>
      </w:rPr>
    </w:lvl>
    <w:lvl w:ilvl="7">
      <w:start w:val="1"/>
      <w:numFmt w:val="none"/>
      <w:lvlText w:val=""/>
      <w:lvlJc w:val="left"/>
      <w:pPr>
        <w:tabs>
          <w:tab w:val="num" w:pos="170"/>
        </w:tabs>
        <w:ind w:left="170" w:hanging="170"/>
      </w:pPr>
      <w:rPr>
        <w:rFonts w:hint="default"/>
      </w:rPr>
    </w:lvl>
    <w:lvl w:ilvl="8">
      <w:start w:val="1"/>
      <w:numFmt w:val="none"/>
      <w:lvlText w:val=""/>
      <w:lvlJc w:val="left"/>
      <w:pPr>
        <w:tabs>
          <w:tab w:val="num" w:pos="170"/>
        </w:tabs>
        <w:ind w:left="170" w:hanging="170"/>
      </w:pPr>
      <w:rPr>
        <w:rFonts w:hint="default"/>
      </w:rPr>
    </w:lvl>
  </w:abstractNum>
  <w:abstractNum w:abstractNumId="16">
    <w:nsid w:val="175F47E5"/>
    <w:multiLevelType w:val="hybridMultilevel"/>
    <w:tmpl w:val="E42269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21E759C9"/>
    <w:multiLevelType w:val="hybridMultilevel"/>
    <w:tmpl w:val="75C818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2EE42310"/>
    <w:multiLevelType w:val="multilevel"/>
    <w:tmpl w:val="6FD6C788"/>
    <w:numStyleLink w:val="AustradeNumbers"/>
  </w:abstractNum>
  <w:abstractNum w:abstractNumId="19">
    <w:nsid w:val="320F2838"/>
    <w:multiLevelType w:val="multilevel"/>
    <w:tmpl w:val="DAACA0E8"/>
    <w:styleLink w:val="ListNumbers"/>
    <w:lvl w:ilvl="0">
      <w:start w:val="1"/>
      <w:numFmt w:val="decimal"/>
      <w:lvlText w:val="%1."/>
      <w:lvlJc w:val="left"/>
      <w:pPr>
        <w:tabs>
          <w:tab w:val="num" w:pos="369"/>
        </w:tabs>
        <w:ind w:left="369" w:hanging="369"/>
      </w:pPr>
      <w:rPr>
        <w:rFonts w:hint="default"/>
        <w:color w:val="F58400"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3658106D"/>
    <w:multiLevelType w:val="hybridMultilevel"/>
    <w:tmpl w:val="C45EE596"/>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414A0012"/>
    <w:multiLevelType w:val="multilevel"/>
    <w:tmpl w:val="A05C5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37E4F03"/>
    <w:multiLevelType w:val="hybridMultilevel"/>
    <w:tmpl w:val="0B5636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543A7A13"/>
    <w:multiLevelType w:val="hybridMultilevel"/>
    <w:tmpl w:val="1B167D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81B3E32"/>
    <w:multiLevelType w:val="hybridMultilevel"/>
    <w:tmpl w:val="90349A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C685557"/>
    <w:multiLevelType w:val="multilevel"/>
    <w:tmpl w:val="83968576"/>
    <w:numStyleLink w:val="ListBullets0"/>
  </w:abstractNum>
  <w:abstractNum w:abstractNumId="26">
    <w:nsid w:val="62CD0EA5"/>
    <w:multiLevelType w:val="multilevel"/>
    <w:tmpl w:val="4E706CE0"/>
    <w:styleLink w:val="Bullets"/>
    <w:lvl w:ilvl="0">
      <w:start w:val="1"/>
      <w:numFmt w:val="bullet"/>
      <w:lvlText w:val=""/>
      <w:lvlJc w:val="left"/>
      <w:pPr>
        <w:tabs>
          <w:tab w:val="num" w:pos="227"/>
        </w:tabs>
        <w:ind w:left="227" w:hanging="227"/>
      </w:pPr>
      <w:rPr>
        <w:rFonts w:ascii="Symbol" w:hAnsi="Symbol" w:hint="default"/>
        <w:color w:val="F58400" w:themeColor="accent1"/>
      </w:rPr>
    </w:lvl>
    <w:lvl w:ilvl="1">
      <w:start w:val="1"/>
      <w:numFmt w:val="bullet"/>
      <w:lvlText w:val="›"/>
      <w:lvlJc w:val="left"/>
      <w:pPr>
        <w:tabs>
          <w:tab w:val="num" w:pos="227"/>
        </w:tabs>
        <w:ind w:left="227" w:hanging="227"/>
      </w:pPr>
      <w:rPr>
        <w:rFonts w:ascii="Arial" w:hAnsi="Arial" w:hint="default"/>
        <w:color w:val="F58400" w:themeColor="accen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25"/>
  </w:num>
  <w:num w:numId="13">
    <w:abstractNumId w:val="14"/>
  </w:num>
  <w:num w:numId="14">
    <w:abstractNumId w:val="26"/>
  </w:num>
  <w:num w:numId="15">
    <w:abstractNumId w:val="13"/>
  </w:num>
  <w:num w:numId="16">
    <w:abstractNumId w:val="13"/>
  </w:num>
  <w:num w:numId="17">
    <w:abstractNumId w:val="13"/>
  </w:num>
  <w:num w:numId="18">
    <w:abstractNumId w:val="19"/>
  </w:num>
  <w:num w:numId="19">
    <w:abstractNumId w:val="19"/>
  </w:num>
  <w:num w:numId="20">
    <w:abstractNumId w:val="26"/>
  </w:num>
  <w:num w:numId="21">
    <w:abstractNumId w:val="13"/>
  </w:num>
  <w:num w:numId="22">
    <w:abstractNumId w:val="13"/>
  </w:num>
  <w:num w:numId="23">
    <w:abstractNumId w:val="13"/>
  </w:num>
  <w:num w:numId="24">
    <w:abstractNumId w:val="19"/>
  </w:num>
  <w:num w:numId="25">
    <w:abstractNumId w:val="19"/>
  </w:num>
  <w:num w:numId="26">
    <w:abstractNumId w:val="12"/>
  </w:num>
  <w:num w:numId="27">
    <w:abstractNumId w:val="10"/>
  </w:num>
  <w:num w:numId="28">
    <w:abstractNumId w:val="12"/>
  </w:num>
  <w:num w:numId="29">
    <w:abstractNumId w:val="10"/>
  </w:num>
  <w:num w:numId="30">
    <w:abstractNumId w:val="12"/>
  </w:num>
  <w:num w:numId="31">
    <w:abstractNumId w:val="12"/>
  </w:num>
  <w:num w:numId="32">
    <w:abstractNumId w:val="12"/>
  </w:num>
  <w:num w:numId="33">
    <w:abstractNumId w:val="12"/>
  </w:num>
  <w:num w:numId="34">
    <w:abstractNumId w:val="12"/>
  </w:num>
  <w:num w:numId="35">
    <w:abstractNumId w:val="18"/>
  </w:num>
  <w:num w:numId="36">
    <w:abstractNumId w:val="18"/>
  </w:num>
  <w:num w:numId="37">
    <w:abstractNumId w:val="18"/>
  </w:num>
  <w:num w:numId="38">
    <w:abstractNumId w:val="18"/>
  </w:num>
  <w:num w:numId="39">
    <w:abstractNumId w:val="18"/>
  </w:num>
  <w:num w:numId="40">
    <w:abstractNumId w:val="19"/>
  </w:num>
  <w:num w:numId="41">
    <w:abstractNumId w:val="16"/>
  </w:num>
  <w:num w:numId="42">
    <w:abstractNumId w:val="20"/>
  </w:num>
  <w:num w:numId="43">
    <w:abstractNumId w:val="21"/>
  </w:num>
  <w:num w:numId="44">
    <w:abstractNumId w:val="17"/>
  </w:num>
  <w:num w:numId="45">
    <w:abstractNumId w:val="11"/>
  </w:num>
  <w:num w:numId="46">
    <w:abstractNumId w:val="24"/>
  </w:num>
  <w:num w:numId="47">
    <w:abstractNumId w:val="22"/>
  </w:num>
  <w:num w:numId="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visionType" w:val="Austrade"/>
  </w:docVars>
  <w:rsids>
    <w:rsidRoot w:val="00E345D2"/>
    <w:rsid w:val="00004C86"/>
    <w:rsid w:val="00007DEE"/>
    <w:rsid w:val="00016730"/>
    <w:rsid w:val="000354E9"/>
    <w:rsid w:val="0006372C"/>
    <w:rsid w:val="00092B96"/>
    <w:rsid w:val="00094953"/>
    <w:rsid w:val="000B2F12"/>
    <w:rsid w:val="000F446A"/>
    <w:rsid w:val="00130A67"/>
    <w:rsid w:val="00142FB3"/>
    <w:rsid w:val="00143555"/>
    <w:rsid w:val="00162E48"/>
    <w:rsid w:val="001851D1"/>
    <w:rsid w:val="001F6256"/>
    <w:rsid w:val="001F6E02"/>
    <w:rsid w:val="00220213"/>
    <w:rsid w:val="00271D5C"/>
    <w:rsid w:val="002B7EFF"/>
    <w:rsid w:val="002C63B6"/>
    <w:rsid w:val="003620EE"/>
    <w:rsid w:val="0036445C"/>
    <w:rsid w:val="0037212D"/>
    <w:rsid w:val="003B1191"/>
    <w:rsid w:val="003B29AB"/>
    <w:rsid w:val="003B4073"/>
    <w:rsid w:val="003E1D0D"/>
    <w:rsid w:val="00402C95"/>
    <w:rsid w:val="00410D62"/>
    <w:rsid w:val="00447EF8"/>
    <w:rsid w:val="00453BA4"/>
    <w:rsid w:val="004631FC"/>
    <w:rsid w:val="004824A7"/>
    <w:rsid w:val="00573324"/>
    <w:rsid w:val="005861C5"/>
    <w:rsid w:val="0059619A"/>
    <w:rsid w:val="005C31E9"/>
    <w:rsid w:val="005F6E6B"/>
    <w:rsid w:val="005F779E"/>
    <w:rsid w:val="00603DD4"/>
    <w:rsid w:val="006174A1"/>
    <w:rsid w:val="0065117B"/>
    <w:rsid w:val="006760BB"/>
    <w:rsid w:val="00691D70"/>
    <w:rsid w:val="006A0C09"/>
    <w:rsid w:val="006A3526"/>
    <w:rsid w:val="006D5FB6"/>
    <w:rsid w:val="00706DE8"/>
    <w:rsid w:val="00733D90"/>
    <w:rsid w:val="00734675"/>
    <w:rsid w:val="00741160"/>
    <w:rsid w:val="00783441"/>
    <w:rsid w:val="00786FFF"/>
    <w:rsid w:val="00797C19"/>
    <w:rsid w:val="007A4EF4"/>
    <w:rsid w:val="007D43A4"/>
    <w:rsid w:val="00803051"/>
    <w:rsid w:val="0081414A"/>
    <w:rsid w:val="008163CB"/>
    <w:rsid w:val="00821A06"/>
    <w:rsid w:val="0082566B"/>
    <w:rsid w:val="008316A3"/>
    <w:rsid w:val="00873F7F"/>
    <w:rsid w:val="008B1D8C"/>
    <w:rsid w:val="008C222E"/>
    <w:rsid w:val="008C2925"/>
    <w:rsid w:val="008C33CE"/>
    <w:rsid w:val="00913471"/>
    <w:rsid w:val="009277B0"/>
    <w:rsid w:val="00952A88"/>
    <w:rsid w:val="00976C52"/>
    <w:rsid w:val="009863FD"/>
    <w:rsid w:val="009F04FE"/>
    <w:rsid w:val="00A03424"/>
    <w:rsid w:val="00A50AF9"/>
    <w:rsid w:val="00A533F4"/>
    <w:rsid w:val="00A564C0"/>
    <w:rsid w:val="00A77F8D"/>
    <w:rsid w:val="00B10EC4"/>
    <w:rsid w:val="00B53F1A"/>
    <w:rsid w:val="00B61ED9"/>
    <w:rsid w:val="00B801E0"/>
    <w:rsid w:val="00B93FD7"/>
    <w:rsid w:val="00BD1663"/>
    <w:rsid w:val="00BE6E14"/>
    <w:rsid w:val="00C04FCF"/>
    <w:rsid w:val="00C15DB6"/>
    <w:rsid w:val="00C308AF"/>
    <w:rsid w:val="00C43EFA"/>
    <w:rsid w:val="00C55757"/>
    <w:rsid w:val="00C848FF"/>
    <w:rsid w:val="00C91A0E"/>
    <w:rsid w:val="00C979E2"/>
    <w:rsid w:val="00CC3EA9"/>
    <w:rsid w:val="00CD12CF"/>
    <w:rsid w:val="00CE2AC1"/>
    <w:rsid w:val="00CF5CE6"/>
    <w:rsid w:val="00CF74A0"/>
    <w:rsid w:val="00D03574"/>
    <w:rsid w:val="00D079EC"/>
    <w:rsid w:val="00D245F2"/>
    <w:rsid w:val="00D3707B"/>
    <w:rsid w:val="00D4327F"/>
    <w:rsid w:val="00D84353"/>
    <w:rsid w:val="00DB080A"/>
    <w:rsid w:val="00DC4F24"/>
    <w:rsid w:val="00DC6325"/>
    <w:rsid w:val="00DD048D"/>
    <w:rsid w:val="00DD2B8E"/>
    <w:rsid w:val="00DF590B"/>
    <w:rsid w:val="00E345D2"/>
    <w:rsid w:val="00E7079C"/>
    <w:rsid w:val="00E80900"/>
    <w:rsid w:val="00E847D0"/>
    <w:rsid w:val="00EA1EFA"/>
    <w:rsid w:val="00EA2395"/>
    <w:rsid w:val="00EC52F6"/>
    <w:rsid w:val="00EC7A8D"/>
    <w:rsid w:val="00F062B6"/>
    <w:rsid w:val="00F32D73"/>
    <w:rsid w:val="00F35682"/>
    <w:rsid w:val="00F458C8"/>
    <w:rsid w:val="00F57878"/>
    <w:rsid w:val="00F81D43"/>
    <w:rsid w:val="00F91190"/>
    <w:rsid w:val="00F91E27"/>
    <w:rsid w:val="00FA077C"/>
    <w:rsid w:val="00FC7891"/>
    <w:rsid w:val="00FD09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qFormat="1"/>
    <w:lsdException w:name="List Number" w:qFormat="1"/>
    <w:lsdException w:name="List Bullet 2" w:qFormat="1"/>
    <w:lsdException w:name="Default Paragraph Font" w:uiPriority="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E345D2"/>
    <w:rPr>
      <w:rFonts w:eastAsia="Times New Roman"/>
      <w:lang w:eastAsia="en-US"/>
    </w:rPr>
  </w:style>
  <w:style w:type="paragraph" w:styleId="Heading1">
    <w:name w:val="heading 1"/>
    <w:basedOn w:val="Normal"/>
    <w:next w:val="Normal"/>
    <w:qFormat/>
    <w:pPr>
      <w:keepNext/>
      <w:adjustRightInd w:val="0"/>
      <w:snapToGrid w:val="0"/>
      <w:spacing w:after="200" w:line="320" w:lineRule="atLeast"/>
      <w:outlineLvl w:val="0"/>
    </w:pPr>
    <w:rPr>
      <w:rFonts w:asciiTheme="majorHAnsi" w:eastAsia="MS Mincho" w:hAnsiTheme="majorHAnsi" w:cs="Arial"/>
      <w:bCs/>
      <w:color w:val="F58400" w:themeColor="accent1"/>
      <w:sz w:val="28"/>
      <w:lang w:eastAsia="ja-JP"/>
    </w:rPr>
  </w:style>
  <w:style w:type="paragraph" w:styleId="Heading2">
    <w:name w:val="heading 2"/>
    <w:basedOn w:val="Normal"/>
    <w:next w:val="Normal"/>
    <w:qFormat/>
    <w:pPr>
      <w:keepNext/>
      <w:adjustRightInd w:val="0"/>
      <w:snapToGrid w:val="0"/>
      <w:spacing w:after="140" w:line="280" w:lineRule="atLeast"/>
      <w:outlineLvl w:val="1"/>
    </w:pPr>
    <w:rPr>
      <w:rFonts w:asciiTheme="majorHAnsi" w:eastAsia="MS Mincho" w:hAnsiTheme="majorHAnsi" w:cs="Arial"/>
      <w:b/>
      <w:bCs/>
      <w:iCs/>
      <w:color w:val="3D3935" w:themeColor="text2"/>
      <w:sz w:val="24"/>
      <w:lang w:eastAsia="ja-JP"/>
    </w:rPr>
  </w:style>
  <w:style w:type="paragraph" w:styleId="Heading3">
    <w:name w:val="heading 3"/>
    <w:basedOn w:val="Normal"/>
    <w:next w:val="Normal"/>
    <w:qFormat/>
    <w:pPr>
      <w:keepNext/>
      <w:adjustRightInd w:val="0"/>
      <w:snapToGrid w:val="0"/>
      <w:spacing w:after="180" w:line="280" w:lineRule="atLeast"/>
      <w:outlineLvl w:val="2"/>
    </w:pPr>
    <w:rPr>
      <w:rFonts w:asciiTheme="majorHAnsi" w:eastAsia="MS Mincho" w:hAnsiTheme="majorHAnsi" w:cs="Arial"/>
      <w:b/>
      <w:bCs/>
      <w:color w:val="3D3935" w:themeColor="text2"/>
      <w:lang w:eastAsia="ja-JP"/>
    </w:rPr>
  </w:style>
  <w:style w:type="paragraph" w:styleId="Heading4">
    <w:name w:val="heading 4"/>
    <w:basedOn w:val="Normal"/>
    <w:next w:val="Normal"/>
    <w:link w:val="Heading4Char"/>
    <w:semiHidden/>
    <w:pPr>
      <w:keepNext/>
      <w:adjustRightInd w:val="0"/>
      <w:snapToGrid w:val="0"/>
      <w:spacing w:before="240" w:after="60" w:line="280" w:lineRule="atLeast"/>
      <w:outlineLvl w:val="3"/>
    </w:pPr>
    <w:rPr>
      <w:rFonts w:ascii="Arial" w:eastAsia="MS Mincho" w:hAnsi="Arial"/>
      <w:b/>
      <w:bCs/>
      <w:color w:val="3D3935" w:themeColor="text2"/>
      <w:szCs w:val="28"/>
      <w:lang w:eastAsia="ja-JP"/>
    </w:rPr>
  </w:style>
  <w:style w:type="paragraph" w:styleId="Heading5">
    <w:name w:val="heading 5"/>
    <w:basedOn w:val="Normal"/>
    <w:next w:val="Normal"/>
    <w:link w:val="Heading5Char"/>
    <w:semiHidden/>
    <w:pPr>
      <w:adjustRightInd w:val="0"/>
      <w:snapToGrid w:val="0"/>
      <w:spacing w:before="240" w:after="60" w:line="280" w:lineRule="atLeast"/>
      <w:outlineLvl w:val="4"/>
    </w:pPr>
    <w:rPr>
      <w:rFonts w:ascii="Arial" w:eastAsia="MS Mincho" w:hAnsi="Arial"/>
      <w:b/>
      <w:bCs/>
      <w:i/>
      <w:iCs/>
      <w:color w:val="3D3935" w:themeColor="text2"/>
      <w:szCs w:val="26"/>
      <w:lang w:eastAsia="ja-JP"/>
    </w:rPr>
  </w:style>
  <w:style w:type="paragraph" w:styleId="Heading6">
    <w:name w:val="heading 6"/>
    <w:basedOn w:val="Normal"/>
    <w:next w:val="Normal"/>
    <w:link w:val="Heading6Char"/>
    <w:semiHidden/>
    <w:pPr>
      <w:adjustRightInd w:val="0"/>
      <w:snapToGrid w:val="0"/>
      <w:spacing w:before="240" w:after="60" w:line="280" w:lineRule="atLeast"/>
      <w:outlineLvl w:val="5"/>
    </w:pPr>
    <w:rPr>
      <w:rFonts w:ascii="Arial" w:eastAsia="MS Mincho" w:hAnsi="Arial"/>
      <w:b/>
      <w:bCs/>
      <w:color w:val="3D3935" w:themeColor="text2"/>
      <w:sz w:val="16"/>
      <w:szCs w:val="22"/>
      <w:lang w:eastAsia="ja-JP"/>
    </w:rPr>
  </w:style>
  <w:style w:type="paragraph" w:styleId="Heading7">
    <w:name w:val="heading 7"/>
    <w:basedOn w:val="Normal"/>
    <w:next w:val="Normal"/>
    <w:link w:val="Heading7Char"/>
    <w:semiHidden/>
    <w:pPr>
      <w:adjustRightInd w:val="0"/>
      <w:snapToGrid w:val="0"/>
      <w:spacing w:before="240" w:after="60" w:line="280" w:lineRule="atLeast"/>
      <w:outlineLvl w:val="6"/>
    </w:pPr>
    <w:rPr>
      <w:rFonts w:ascii="Arial" w:eastAsia="MS Mincho" w:hAnsi="Arial"/>
      <w:color w:val="3D3935" w:themeColor="text2"/>
      <w:sz w:val="24"/>
      <w:szCs w:val="24"/>
      <w:lang w:eastAsia="ja-JP"/>
    </w:rPr>
  </w:style>
  <w:style w:type="paragraph" w:styleId="Heading8">
    <w:name w:val="heading 8"/>
    <w:basedOn w:val="Normal"/>
    <w:next w:val="Normal"/>
    <w:link w:val="Heading8Char"/>
    <w:semiHidden/>
    <w:pPr>
      <w:adjustRightInd w:val="0"/>
      <w:snapToGrid w:val="0"/>
      <w:spacing w:before="240" w:after="60" w:line="280" w:lineRule="atLeast"/>
      <w:outlineLvl w:val="7"/>
    </w:pPr>
    <w:rPr>
      <w:rFonts w:ascii="Arial" w:eastAsia="MS Mincho" w:hAnsi="Arial"/>
      <w:i/>
      <w:iCs/>
      <w:color w:val="3D3935" w:themeColor="text2"/>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qFormat/>
    <w:pPr>
      <w:numPr>
        <w:numId w:val="34"/>
      </w:numPr>
      <w:adjustRightInd w:val="0"/>
      <w:snapToGrid w:val="0"/>
      <w:spacing w:after="70" w:line="280" w:lineRule="atLeast"/>
    </w:pPr>
    <w:rPr>
      <w:rFonts w:ascii="Arial" w:eastAsia="MS Mincho" w:hAnsi="Arial"/>
      <w:color w:val="3D3935" w:themeColor="text2"/>
      <w:lang w:eastAsia="ja-JP"/>
    </w:rPr>
  </w:style>
  <w:style w:type="table" w:styleId="TableGrid">
    <w:name w:val="Table Grid"/>
    <w:basedOn w:val="TableNormal"/>
    <w:pPr>
      <w:adjustRightInd w:val="0"/>
      <w:snapToGrid w:val="0"/>
      <w:spacing w:line="240" w:lineRule="atLeast"/>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pPr>
      <w:tabs>
        <w:tab w:val="center" w:pos="4320"/>
        <w:tab w:val="right" w:pos="8640"/>
      </w:tabs>
      <w:adjustRightInd w:val="0"/>
      <w:snapToGrid w:val="0"/>
      <w:spacing w:line="180" w:lineRule="atLeast"/>
    </w:pPr>
    <w:rPr>
      <w:rFonts w:ascii="Arial" w:eastAsia="MS Mincho" w:hAnsi="Arial"/>
      <w:color w:val="3D3935" w:themeColor="text2"/>
      <w:sz w:val="14"/>
      <w:lang w:eastAsia="ja-JP"/>
    </w:rPr>
  </w:style>
  <w:style w:type="paragraph" w:styleId="Footer">
    <w:name w:val="footer"/>
    <w:basedOn w:val="Normal"/>
    <w:link w:val="FooterChar"/>
    <w:pPr>
      <w:tabs>
        <w:tab w:val="right" w:pos="8760"/>
      </w:tabs>
      <w:adjustRightInd w:val="0"/>
      <w:snapToGrid w:val="0"/>
      <w:jc w:val="right"/>
    </w:pPr>
    <w:rPr>
      <w:rFonts w:ascii="Arial" w:eastAsia="MS Mincho" w:hAnsi="Arial"/>
      <w:color w:val="3D3935" w:themeColor="text2"/>
      <w:sz w:val="14"/>
      <w:szCs w:val="14"/>
      <w:lang w:eastAsia="ja-JP"/>
    </w:rPr>
  </w:style>
  <w:style w:type="character" w:styleId="PageNumber">
    <w:name w:val="page number"/>
    <w:basedOn w:val="DefaultParagraphFont"/>
    <w:rPr>
      <w:rFonts w:ascii="Arial" w:hAnsi="Arial"/>
      <w:sz w:val="16"/>
    </w:rPr>
  </w:style>
  <w:style w:type="paragraph" w:customStyle="1" w:styleId="SingleSpace">
    <w:name w:val="Single Space"/>
    <w:basedOn w:val="Normal"/>
    <w:pPr>
      <w:adjustRightInd w:val="0"/>
      <w:snapToGrid w:val="0"/>
    </w:pPr>
    <w:rPr>
      <w:rFonts w:ascii="Arial" w:eastAsia="MS Mincho" w:hAnsi="Arial"/>
      <w:color w:val="3D3935" w:themeColor="text2"/>
      <w:lang w:eastAsia="ja-JP"/>
    </w:rPr>
  </w:style>
  <w:style w:type="numbering" w:customStyle="1" w:styleId="Bullets">
    <w:name w:val="Bullets"/>
    <w:uiPriority w:val="99"/>
    <w:pPr>
      <w:numPr>
        <w:numId w:val="14"/>
      </w:numPr>
    </w:pPr>
  </w:style>
  <w:style w:type="paragraph" w:customStyle="1" w:styleId="IntroCopy">
    <w:name w:val="Intro Copy"/>
    <w:basedOn w:val="Normal"/>
    <w:qFormat/>
    <w:pPr>
      <w:adjustRightInd w:val="0"/>
      <w:snapToGrid w:val="0"/>
      <w:spacing w:after="280" w:line="260" w:lineRule="atLeast"/>
    </w:pPr>
    <w:rPr>
      <w:rFonts w:ascii="Arial" w:eastAsia="MS Mincho" w:hAnsi="Arial"/>
      <w:b/>
      <w:color w:val="3D3935" w:themeColor="text2"/>
      <w:sz w:val="22"/>
      <w:lang w:eastAsia="ja-JP"/>
    </w:rPr>
  </w:style>
  <w:style w:type="numbering" w:customStyle="1" w:styleId="ListBullets0">
    <w:name w:val="ListBullets"/>
    <w:uiPriority w:val="99"/>
    <w:pPr>
      <w:numPr>
        <w:numId w:val="11"/>
      </w:numPr>
    </w:pPr>
  </w:style>
  <w:style w:type="paragraph" w:styleId="ListBullet2">
    <w:name w:val="List Bullet 2"/>
    <w:basedOn w:val="Normal"/>
    <w:qFormat/>
    <w:pPr>
      <w:numPr>
        <w:ilvl w:val="1"/>
        <w:numId w:val="34"/>
      </w:numPr>
      <w:adjustRightInd w:val="0"/>
      <w:snapToGrid w:val="0"/>
      <w:spacing w:after="70" w:line="280" w:lineRule="atLeast"/>
    </w:pPr>
    <w:rPr>
      <w:rFonts w:ascii="Arial" w:eastAsia="MS Mincho" w:hAnsi="Arial"/>
      <w:color w:val="3D3935" w:themeColor="text2"/>
      <w:lang w:eastAsia="ja-JP"/>
    </w:rPr>
  </w:style>
  <w:style w:type="paragraph" w:styleId="ListBullet3">
    <w:name w:val="List Bullet 3"/>
    <w:basedOn w:val="Normal"/>
    <w:semiHidden/>
    <w:unhideWhenUsed/>
    <w:pPr>
      <w:numPr>
        <w:ilvl w:val="2"/>
        <w:numId w:val="34"/>
      </w:numPr>
      <w:adjustRightInd w:val="0"/>
      <w:snapToGrid w:val="0"/>
      <w:spacing w:after="70" w:line="280" w:lineRule="atLeast"/>
    </w:pPr>
    <w:rPr>
      <w:rFonts w:ascii="Arial" w:eastAsia="MS Mincho" w:hAnsi="Arial"/>
      <w:color w:val="3D3935" w:themeColor="text2"/>
      <w:lang w:eastAsia="ja-JP"/>
    </w:rPr>
  </w:style>
  <w:style w:type="character" w:customStyle="1" w:styleId="FooterChar">
    <w:name w:val="Footer Char"/>
    <w:basedOn w:val="DefaultParagraphFont"/>
    <w:link w:val="Footer"/>
    <w:rPr>
      <w:rFonts w:ascii="Arial" w:hAnsi="Arial"/>
      <w:color w:val="3D3935" w:themeColor="text2"/>
      <w:sz w:val="14"/>
      <w:szCs w:val="14"/>
      <w:lang w:eastAsia="ja-JP"/>
    </w:rPr>
  </w:style>
  <w:style w:type="paragraph" w:customStyle="1" w:styleId="SenderAddress">
    <w:name w:val="Sender Address"/>
    <w:basedOn w:val="Normal"/>
    <w:qFormat/>
    <w:pPr>
      <w:tabs>
        <w:tab w:val="left" w:pos="227"/>
        <w:tab w:val="right" w:pos="8760"/>
      </w:tabs>
      <w:adjustRightInd w:val="0"/>
      <w:snapToGrid w:val="0"/>
    </w:pPr>
    <w:rPr>
      <w:rFonts w:ascii="Arial" w:eastAsia="MS Mincho" w:hAnsi="Arial"/>
      <w:color w:val="3D3935" w:themeColor="text2"/>
      <w:sz w:val="14"/>
      <w:lang w:eastAsia="ja-JP"/>
    </w:rPr>
  </w:style>
  <w:style w:type="numbering" w:customStyle="1" w:styleId="ListBullets">
    <w:name w:val="List Bullets"/>
    <w:uiPriority w:val="99"/>
    <w:pPr>
      <w:numPr>
        <w:numId w:val="15"/>
      </w:numPr>
    </w:pPr>
  </w:style>
  <w:style w:type="paragraph" w:styleId="ListNumber">
    <w:name w:val="List Number"/>
    <w:basedOn w:val="Normal"/>
    <w:qFormat/>
    <w:pPr>
      <w:numPr>
        <w:numId w:val="39"/>
      </w:numPr>
      <w:adjustRightInd w:val="0"/>
      <w:snapToGrid w:val="0"/>
      <w:spacing w:after="70" w:line="280" w:lineRule="atLeast"/>
    </w:pPr>
    <w:rPr>
      <w:rFonts w:ascii="Arial" w:eastAsia="MS Mincho" w:hAnsi="Arial"/>
      <w:color w:val="3D3935" w:themeColor="text2"/>
      <w:lang w:eastAsia="ja-JP"/>
    </w:rPr>
  </w:style>
  <w:style w:type="numbering" w:customStyle="1" w:styleId="ListNumbers">
    <w:name w:val="List Numbers"/>
    <w:uiPriority w:val="99"/>
    <w:pPr>
      <w:numPr>
        <w:numId w:val="18"/>
      </w:numPr>
    </w:pPr>
  </w:style>
  <w:style w:type="paragraph" w:customStyle="1" w:styleId="Note">
    <w:name w:val="Note"/>
    <w:basedOn w:val="Normal"/>
    <w:qFormat/>
    <w:pPr>
      <w:adjustRightInd w:val="0"/>
      <w:snapToGrid w:val="0"/>
      <w:spacing w:after="120" w:line="280" w:lineRule="atLeast"/>
    </w:pPr>
    <w:rPr>
      <w:rFonts w:ascii="Arial" w:eastAsia="MS Mincho" w:hAnsi="Arial"/>
      <w:color w:val="3D3935" w:themeColor="text2"/>
      <w:sz w:val="16"/>
      <w:lang w:eastAsia="ja-JP"/>
    </w:rPr>
  </w:style>
  <w:style w:type="paragraph" w:customStyle="1" w:styleId="Pulloutcopy">
    <w:name w:val="Pullout copy"/>
    <w:basedOn w:val="Note"/>
    <w:qFormat/>
    <w:rPr>
      <w:color w:val="A7A8AA" w:themeColor="accent2"/>
      <w:sz w:val="26"/>
    </w:rPr>
  </w:style>
  <w:style w:type="paragraph" w:customStyle="1" w:styleId="TableHeading">
    <w:name w:val="Table Heading"/>
    <w:basedOn w:val="Normal"/>
    <w:qFormat/>
    <w:pPr>
      <w:adjustRightInd w:val="0"/>
      <w:snapToGrid w:val="0"/>
      <w:spacing w:after="60" w:line="280" w:lineRule="atLeast"/>
    </w:pPr>
    <w:rPr>
      <w:rFonts w:ascii="Arial" w:eastAsia="MS Mincho" w:hAnsi="Arial"/>
      <w:b/>
      <w:color w:val="3D3935" w:themeColor="text2"/>
      <w:lang w:eastAsia="ja-JP"/>
    </w:rPr>
  </w:style>
  <w:style w:type="table" w:customStyle="1" w:styleId="TableAustrade">
    <w:name w:val="Table_Austrade"/>
    <w:basedOn w:val="TableNormal"/>
    <w:pPr>
      <w:spacing w:before="40" w:after="40" w:line="250" w:lineRule="atLeast"/>
    </w:pPr>
    <w:rPr>
      <w:rFonts w:ascii="Arial" w:eastAsia="Times New Roman" w:hAnsi="Arial"/>
      <w:color w:val="717171"/>
      <w:sz w:val="18"/>
    </w:rPr>
    <w:tblPr>
      <w:tblInd w:w="113" w:type="dxa"/>
      <w:tblBorders>
        <w:bottom w:val="single" w:sz="2" w:space="0" w:color="D9D9D9"/>
        <w:insideH w:val="single" w:sz="2" w:space="0" w:color="D9D9D9"/>
      </w:tblBorders>
      <w:tblCellMar>
        <w:top w:w="0" w:type="dxa"/>
        <w:left w:w="108" w:type="dxa"/>
        <w:bottom w:w="0" w:type="dxa"/>
        <w:right w:w="108" w:type="dxa"/>
      </w:tblCellMar>
    </w:tblPr>
    <w:tblStylePr w:type="firstRow">
      <w:rPr>
        <w:b/>
        <w:i w:val="0"/>
        <w:color w:val="3D3935" w:themeColor="text1"/>
      </w:rPr>
      <w:tblPr/>
      <w:tcPr>
        <w:shd w:val="clear" w:color="auto" w:fill="D7D2CB" w:themeFill="background2"/>
      </w:tcPr>
    </w:tblStylePr>
  </w:style>
  <w:style w:type="character" w:customStyle="1" w:styleId="Orange">
    <w:name w:val="Orange"/>
    <w:basedOn w:val="DefaultParagraphFont"/>
    <w:uiPriority w:val="1"/>
    <w:qFormat/>
    <w:rPr>
      <w:rFonts w:ascii="Arial" w:hAnsi="Arial"/>
      <w:color w:val="F58400" w:themeColor="accent1"/>
    </w:rPr>
  </w:style>
  <w:style w:type="paragraph" w:styleId="BalloonText">
    <w:name w:val="Balloon Text"/>
    <w:basedOn w:val="Normal"/>
    <w:link w:val="BalloonTextChar"/>
    <w:pPr>
      <w:adjustRightInd w:val="0"/>
      <w:snapToGrid w:val="0"/>
    </w:pPr>
    <w:rPr>
      <w:rFonts w:ascii="Tahoma" w:eastAsia="MS Mincho" w:hAnsi="Tahoma" w:cs="Tahoma"/>
      <w:color w:val="3D3935" w:themeColor="text2"/>
      <w:sz w:val="16"/>
      <w:szCs w:val="16"/>
      <w:lang w:eastAsia="ja-JP"/>
    </w:rPr>
  </w:style>
  <w:style w:type="character" w:customStyle="1" w:styleId="BalloonTextChar">
    <w:name w:val="Balloon Text Char"/>
    <w:basedOn w:val="DefaultParagraphFont"/>
    <w:link w:val="BalloonText"/>
    <w:rPr>
      <w:rFonts w:ascii="Tahoma" w:hAnsi="Tahoma" w:cs="Tahoma"/>
      <w:color w:val="3D3935" w:themeColor="text1"/>
      <w:sz w:val="16"/>
      <w:szCs w:val="16"/>
      <w:lang w:eastAsia="ja-JP"/>
    </w:rPr>
  </w:style>
  <w:style w:type="paragraph" w:customStyle="1" w:styleId="BannerTitle">
    <w:name w:val="Banner Title"/>
    <w:basedOn w:val="Normal"/>
    <w:pPr>
      <w:adjustRightInd w:val="0"/>
      <w:snapToGrid w:val="0"/>
      <w:spacing w:before="60" w:line="216" w:lineRule="auto"/>
    </w:pPr>
    <w:rPr>
      <w:rFonts w:ascii="Arial" w:eastAsia="MS Mincho" w:hAnsi="Arial"/>
      <w:color w:val="FFFFFF"/>
      <w:sz w:val="40"/>
      <w:lang w:eastAsia="ja-JP"/>
    </w:rPr>
  </w:style>
  <w:style w:type="character" w:customStyle="1" w:styleId="Heading4Char">
    <w:name w:val="Heading 4 Char"/>
    <w:basedOn w:val="DefaultParagraphFont"/>
    <w:link w:val="Heading4"/>
    <w:semiHidden/>
    <w:rPr>
      <w:rFonts w:ascii="Arial" w:hAnsi="Arial"/>
      <w:b/>
      <w:bCs/>
      <w:color w:val="3D3935" w:themeColor="text1"/>
      <w:szCs w:val="28"/>
      <w:lang w:eastAsia="ja-JP"/>
    </w:rPr>
  </w:style>
  <w:style w:type="character" w:customStyle="1" w:styleId="Heading5Char">
    <w:name w:val="Heading 5 Char"/>
    <w:basedOn w:val="DefaultParagraphFont"/>
    <w:link w:val="Heading5"/>
    <w:semiHidden/>
    <w:rPr>
      <w:rFonts w:ascii="Arial" w:hAnsi="Arial"/>
      <w:b/>
      <w:bCs/>
      <w:i/>
      <w:iCs/>
      <w:color w:val="3D3935" w:themeColor="text1"/>
      <w:szCs w:val="26"/>
      <w:lang w:eastAsia="ja-JP"/>
    </w:rPr>
  </w:style>
  <w:style w:type="character" w:customStyle="1" w:styleId="Heading6Char">
    <w:name w:val="Heading 6 Char"/>
    <w:basedOn w:val="DefaultParagraphFont"/>
    <w:link w:val="Heading6"/>
    <w:semiHidden/>
    <w:rPr>
      <w:rFonts w:ascii="Arial" w:hAnsi="Arial"/>
      <w:b/>
      <w:bCs/>
      <w:color w:val="3D3935" w:themeColor="text1"/>
      <w:sz w:val="16"/>
      <w:szCs w:val="22"/>
      <w:lang w:eastAsia="ja-JP"/>
    </w:rPr>
  </w:style>
  <w:style w:type="character" w:customStyle="1" w:styleId="Heading7Char">
    <w:name w:val="Heading 7 Char"/>
    <w:basedOn w:val="DefaultParagraphFont"/>
    <w:link w:val="Heading7"/>
    <w:semiHidden/>
    <w:rPr>
      <w:rFonts w:ascii="Arial" w:hAnsi="Arial"/>
      <w:color w:val="3D3935" w:themeColor="text1"/>
      <w:sz w:val="24"/>
      <w:szCs w:val="24"/>
      <w:lang w:eastAsia="ja-JP"/>
    </w:rPr>
  </w:style>
  <w:style w:type="character" w:customStyle="1" w:styleId="Heading8Char">
    <w:name w:val="Heading 8 Char"/>
    <w:basedOn w:val="DefaultParagraphFont"/>
    <w:link w:val="Heading8"/>
    <w:semiHidden/>
    <w:rPr>
      <w:rFonts w:ascii="Arial" w:hAnsi="Arial"/>
      <w:i/>
      <w:iCs/>
      <w:color w:val="3D3935" w:themeColor="text1"/>
      <w:sz w:val="24"/>
      <w:szCs w:val="24"/>
      <w:lang w:eastAsia="ja-JP"/>
    </w:rPr>
  </w:style>
  <w:style w:type="numbering" w:customStyle="1" w:styleId="AustradeBullets">
    <w:name w:val="Austrade Bullets"/>
    <w:uiPriority w:val="99"/>
    <w:pPr>
      <w:numPr>
        <w:numId w:val="26"/>
      </w:numPr>
    </w:pPr>
  </w:style>
  <w:style w:type="numbering" w:customStyle="1" w:styleId="AustradeNumbers">
    <w:name w:val="Austrade Numbers"/>
    <w:uiPriority w:val="99"/>
    <w:pPr>
      <w:numPr>
        <w:numId w:val="27"/>
      </w:numPr>
    </w:pPr>
  </w:style>
  <w:style w:type="paragraph" w:styleId="ListBullet4">
    <w:name w:val="List Bullet 4"/>
    <w:basedOn w:val="Normal"/>
    <w:semiHidden/>
    <w:unhideWhenUsed/>
    <w:pPr>
      <w:numPr>
        <w:ilvl w:val="3"/>
        <w:numId w:val="34"/>
      </w:numPr>
      <w:adjustRightInd w:val="0"/>
      <w:snapToGrid w:val="0"/>
      <w:spacing w:after="70" w:line="280" w:lineRule="atLeast"/>
      <w:contextualSpacing/>
    </w:pPr>
    <w:rPr>
      <w:rFonts w:ascii="Arial" w:eastAsia="MS Mincho" w:hAnsi="Arial"/>
      <w:color w:val="3D3935" w:themeColor="text2"/>
      <w:lang w:eastAsia="ja-JP"/>
    </w:rPr>
  </w:style>
  <w:style w:type="paragraph" w:styleId="ListBullet5">
    <w:name w:val="List Bullet 5"/>
    <w:basedOn w:val="Normal"/>
    <w:semiHidden/>
    <w:unhideWhenUsed/>
    <w:pPr>
      <w:numPr>
        <w:ilvl w:val="4"/>
        <w:numId w:val="34"/>
      </w:numPr>
      <w:adjustRightInd w:val="0"/>
      <w:snapToGrid w:val="0"/>
      <w:spacing w:after="120" w:line="280" w:lineRule="atLeast"/>
      <w:contextualSpacing/>
    </w:pPr>
    <w:rPr>
      <w:rFonts w:ascii="Arial" w:eastAsia="MS Mincho" w:hAnsi="Arial"/>
      <w:color w:val="3D3935" w:themeColor="text2"/>
      <w:lang w:eastAsia="ja-JP"/>
    </w:rPr>
  </w:style>
  <w:style w:type="paragraph" w:styleId="ListNumber2">
    <w:name w:val="List Number 2"/>
    <w:basedOn w:val="Normal"/>
    <w:semiHidden/>
    <w:unhideWhenUsed/>
    <w:pPr>
      <w:numPr>
        <w:ilvl w:val="1"/>
        <w:numId w:val="39"/>
      </w:numPr>
      <w:adjustRightInd w:val="0"/>
      <w:snapToGrid w:val="0"/>
      <w:spacing w:after="70" w:line="280" w:lineRule="atLeast"/>
      <w:contextualSpacing/>
    </w:pPr>
    <w:rPr>
      <w:rFonts w:ascii="Arial" w:eastAsia="MS Mincho" w:hAnsi="Arial"/>
      <w:color w:val="3D3935" w:themeColor="text2"/>
      <w:lang w:eastAsia="ja-JP"/>
    </w:rPr>
  </w:style>
  <w:style w:type="paragraph" w:styleId="ListNumber3">
    <w:name w:val="List Number 3"/>
    <w:basedOn w:val="Normal"/>
    <w:semiHidden/>
    <w:unhideWhenUsed/>
    <w:pPr>
      <w:numPr>
        <w:ilvl w:val="2"/>
        <w:numId w:val="39"/>
      </w:numPr>
      <w:adjustRightInd w:val="0"/>
      <w:snapToGrid w:val="0"/>
      <w:spacing w:after="70" w:line="280" w:lineRule="atLeast"/>
      <w:contextualSpacing/>
    </w:pPr>
    <w:rPr>
      <w:rFonts w:ascii="Arial" w:eastAsia="MS Mincho" w:hAnsi="Arial"/>
      <w:color w:val="3D3935" w:themeColor="text2"/>
      <w:lang w:eastAsia="ja-JP"/>
    </w:rPr>
  </w:style>
  <w:style w:type="paragraph" w:styleId="ListNumber4">
    <w:name w:val="List Number 4"/>
    <w:basedOn w:val="Normal"/>
    <w:semiHidden/>
    <w:unhideWhenUsed/>
    <w:pPr>
      <w:numPr>
        <w:ilvl w:val="3"/>
        <w:numId w:val="39"/>
      </w:numPr>
      <w:adjustRightInd w:val="0"/>
      <w:snapToGrid w:val="0"/>
      <w:spacing w:after="70" w:line="280" w:lineRule="atLeast"/>
      <w:contextualSpacing/>
    </w:pPr>
    <w:rPr>
      <w:rFonts w:ascii="Arial" w:eastAsia="MS Mincho" w:hAnsi="Arial"/>
      <w:color w:val="3D3935" w:themeColor="text2"/>
      <w:lang w:eastAsia="ja-JP"/>
    </w:rPr>
  </w:style>
  <w:style w:type="paragraph" w:styleId="ListNumber5">
    <w:name w:val="List Number 5"/>
    <w:basedOn w:val="Normal"/>
    <w:semiHidden/>
    <w:unhideWhenUsed/>
    <w:pPr>
      <w:numPr>
        <w:ilvl w:val="4"/>
        <w:numId w:val="39"/>
      </w:numPr>
      <w:adjustRightInd w:val="0"/>
      <w:snapToGrid w:val="0"/>
      <w:spacing w:after="70" w:line="280" w:lineRule="atLeast"/>
      <w:contextualSpacing/>
    </w:pPr>
    <w:rPr>
      <w:rFonts w:ascii="Arial" w:eastAsia="MS Mincho" w:hAnsi="Arial"/>
      <w:color w:val="3D3935" w:themeColor="text2"/>
      <w:lang w:eastAsia="ja-JP"/>
    </w:rPr>
  </w:style>
  <w:style w:type="table" w:customStyle="1" w:styleId="TableGrid1">
    <w:name w:val="Table Grid1"/>
    <w:basedOn w:val="TableNormal"/>
    <w:next w:val="TableGrid"/>
    <w:uiPriority w:val="59"/>
    <w:rsid w:val="003B119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rsid w:val="00D245F2"/>
    <w:pPr>
      <w:ind w:left="720"/>
      <w:contextualSpacing/>
    </w:pPr>
  </w:style>
  <w:style w:type="character" w:styleId="Hyperlink">
    <w:name w:val="Hyperlink"/>
    <w:basedOn w:val="DefaultParagraphFont"/>
    <w:rsid w:val="00BE6E14"/>
    <w:rPr>
      <w:color w:val="647C7D" w:themeColor="hyperlink"/>
      <w:u w:val="single"/>
    </w:rPr>
  </w:style>
  <w:style w:type="paragraph" w:styleId="FootnoteText">
    <w:name w:val="footnote text"/>
    <w:basedOn w:val="Normal"/>
    <w:link w:val="FootnoteTextChar"/>
    <w:rsid w:val="00D079EC"/>
  </w:style>
  <w:style w:type="character" w:customStyle="1" w:styleId="FootnoteTextChar">
    <w:name w:val="Footnote Text Char"/>
    <w:basedOn w:val="DefaultParagraphFont"/>
    <w:link w:val="FootnoteText"/>
    <w:rsid w:val="00D079EC"/>
    <w:rPr>
      <w:rFonts w:eastAsia="Times New Roman"/>
      <w:lang w:eastAsia="en-US"/>
    </w:rPr>
  </w:style>
  <w:style w:type="character" w:styleId="FootnoteReference">
    <w:name w:val="footnote reference"/>
    <w:basedOn w:val="DefaultParagraphFont"/>
    <w:rsid w:val="00D079E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qFormat="1"/>
    <w:lsdException w:name="List Number" w:qFormat="1"/>
    <w:lsdException w:name="List Bullet 2" w:qFormat="1"/>
    <w:lsdException w:name="Default Paragraph Font" w:uiPriority="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E345D2"/>
    <w:rPr>
      <w:rFonts w:eastAsia="Times New Roman"/>
      <w:lang w:eastAsia="en-US"/>
    </w:rPr>
  </w:style>
  <w:style w:type="paragraph" w:styleId="Heading1">
    <w:name w:val="heading 1"/>
    <w:basedOn w:val="Normal"/>
    <w:next w:val="Normal"/>
    <w:qFormat/>
    <w:pPr>
      <w:keepNext/>
      <w:adjustRightInd w:val="0"/>
      <w:snapToGrid w:val="0"/>
      <w:spacing w:after="200" w:line="320" w:lineRule="atLeast"/>
      <w:outlineLvl w:val="0"/>
    </w:pPr>
    <w:rPr>
      <w:rFonts w:asciiTheme="majorHAnsi" w:eastAsia="MS Mincho" w:hAnsiTheme="majorHAnsi" w:cs="Arial"/>
      <w:bCs/>
      <w:color w:val="F58400" w:themeColor="accent1"/>
      <w:sz w:val="28"/>
      <w:lang w:eastAsia="ja-JP"/>
    </w:rPr>
  </w:style>
  <w:style w:type="paragraph" w:styleId="Heading2">
    <w:name w:val="heading 2"/>
    <w:basedOn w:val="Normal"/>
    <w:next w:val="Normal"/>
    <w:qFormat/>
    <w:pPr>
      <w:keepNext/>
      <w:adjustRightInd w:val="0"/>
      <w:snapToGrid w:val="0"/>
      <w:spacing w:after="140" w:line="280" w:lineRule="atLeast"/>
      <w:outlineLvl w:val="1"/>
    </w:pPr>
    <w:rPr>
      <w:rFonts w:asciiTheme="majorHAnsi" w:eastAsia="MS Mincho" w:hAnsiTheme="majorHAnsi" w:cs="Arial"/>
      <w:b/>
      <w:bCs/>
      <w:iCs/>
      <w:color w:val="3D3935" w:themeColor="text2"/>
      <w:sz w:val="24"/>
      <w:lang w:eastAsia="ja-JP"/>
    </w:rPr>
  </w:style>
  <w:style w:type="paragraph" w:styleId="Heading3">
    <w:name w:val="heading 3"/>
    <w:basedOn w:val="Normal"/>
    <w:next w:val="Normal"/>
    <w:qFormat/>
    <w:pPr>
      <w:keepNext/>
      <w:adjustRightInd w:val="0"/>
      <w:snapToGrid w:val="0"/>
      <w:spacing w:after="180" w:line="280" w:lineRule="atLeast"/>
      <w:outlineLvl w:val="2"/>
    </w:pPr>
    <w:rPr>
      <w:rFonts w:asciiTheme="majorHAnsi" w:eastAsia="MS Mincho" w:hAnsiTheme="majorHAnsi" w:cs="Arial"/>
      <w:b/>
      <w:bCs/>
      <w:color w:val="3D3935" w:themeColor="text2"/>
      <w:lang w:eastAsia="ja-JP"/>
    </w:rPr>
  </w:style>
  <w:style w:type="paragraph" w:styleId="Heading4">
    <w:name w:val="heading 4"/>
    <w:basedOn w:val="Normal"/>
    <w:next w:val="Normal"/>
    <w:link w:val="Heading4Char"/>
    <w:semiHidden/>
    <w:pPr>
      <w:keepNext/>
      <w:adjustRightInd w:val="0"/>
      <w:snapToGrid w:val="0"/>
      <w:spacing w:before="240" w:after="60" w:line="280" w:lineRule="atLeast"/>
      <w:outlineLvl w:val="3"/>
    </w:pPr>
    <w:rPr>
      <w:rFonts w:ascii="Arial" w:eastAsia="MS Mincho" w:hAnsi="Arial"/>
      <w:b/>
      <w:bCs/>
      <w:color w:val="3D3935" w:themeColor="text2"/>
      <w:szCs w:val="28"/>
      <w:lang w:eastAsia="ja-JP"/>
    </w:rPr>
  </w:style>
  <w:style w:type="paragraph" w:styleId="Heading5">
    <w:name w:val="heading 5"/>
    <w:basedOn w:val="Normal"/>
    <w:next w:val="Normal"/>
    <w:link w:val="Heading5Char"/>
    <w:semiHidden/>
    <w:pPr>
      <w:adjustRightInd w:val="0"/>
      <w:snapToGrid w:val="0"/>
      <w:spacing w:before="240" w:after="60" w:line="280" w:lineRule="atLeast"/>
      <w:outlineLvl w:val="4"/>
    </w:pPr>
    <w:rPr>
      <w:rFonts w:ascii="Arial" w:eastAsia="MS Mincho" w:hAnsi="Arial"/>
      <w:b/>
      <w:bCs/>
      <w:i/>
      <w:iCs/>
      <w:color w:val="3D3935" w:themeColor="text2"/>
      <w:szCs w:val="26"/>
      <w:lang w:eastAsia="ja-JP"/>
    </w:rPr>
  </w:style>
  <w:style w:type="paragraph" w:styleId="Heading6">
    <w:name w:val="heading 6"/>
    <w:basedOn w:val="Normal"/>
    <w:next w:val="Normal"/>
    <w:link w:val="Heading6Char"/>
    <w:semiHidden/>
    <w:pPr>
      <w:adjustRightInd w:val="0"/>
      <w:snapToGrid w:val="0"/>
      <w:spacing w:before="240" w:after="60" w:line="280" w:lineRule="atLeast"/>
      <w:outlineLvl w:val="5"/>
    </w:pPr>
    <w:rPr>
      <w:rFonts w:ascii="Arial" w:eastAsia="MS Mincho" w:hAnsi="Arial"/>
      <w:b/>
      <w:bCs/>
      <w:color w:val="3D3935" w:themeColor="text2"/>
      <w:sz w:val="16"/>
      <w:szCs w:val="22"/>
      <w:lang w:eastAsia="ja-JP"/>
    </w:rPr>
  </w:style>
  <w:style w:type="paragraph" w:styleId="Heading7">
    <w:name w:val="heading 7"/>
    <w:basedOn w:val="Normal"/>
    <w:next w:val="Normal"/>
    <w:link w:val="Heading7Char"/>
    <w:semiHidden/>
    <w:pPr>
      <w:adjustRightInd w:val="0"/>
      <w:snapToGrid w:val="0"/>
      <w:spacing w:before="240" w:after="60" w:line="280" w:lineRule="atLeast"/>
      <w:outlineLvl w:val="6"/>
    </w:pPr>
    <w:rPr>
      <w:rFonts w:ascii="Arial" w:eastAsia="MS Mincho" w:hAnsi="Arial"/>
      <w:color w:val="3D3935" w:themeColor="text2"/>
      <w:sz w:val="24"/>
      <w:szCs w:val="24"/>
      <w:lang w:eastAsia="ja-JP"/>
    </w:rPr>
  </w:style>
  <w:style w:type="paragraph" w:styleId="Heading8">
    <w:name w:val="heading 8"/>
    <w:basedOn w:val="Normal"/>
    <w:next w:val="Normal"/>
    <w:link w:val="Heading8Char"/>
    <w:semiHidden/>
    <w:pPr>
      <w:adjustRightInd w:val="0"/>
      <w:snapToGrid w:val="0"/>
      <w:spacing w:before="240" w:after="60" w:line="280" w:lineRule="atLeast"/>
      <w:outlineLvl w:val="7"/>
    </w:pPr>
    <w:rPr>
      <w:rFonts w:ascii="Arial" w:eastAsia="MS Mincho" w:hAnsi="Arial"/>
      <w:i/>
      <w:iCs/>
      <w:color w:val="3D3935" w:themeColor="text2"/>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qFormat/>
    <w:pPr>
      <w:numPr>
        <w:numId w:val="34"/>
      </w:numPr>
      <w:adjustRightInd w:val="0"/>
      <w:snapToGrid w:val="0"/>
      <w:spacing w:after="70" w:line="280" w:lineRule="atLeast"/>
    </w:pPr>
    <w:rPr>
      <w:rFonts w:ascii="Arial" w:eastAsia="MS Mincho" w:hAnsi="Arial"/>
      <w:color w:val="3D3935" w:themeColor="text2"/>
      <w:lang w:eastAsia="ja-JP"/>
    </w:rPr>
  </w:style>
  <w:style w:type="table" w:styleId="TableGrid">
    <w:name w:val="Table Grid"/>
    <w:basedOn w:val="TableNormal"/>
    <w:pPr>
      <w:adjustRightInd w:val="0"/>
      <w:snapToGrid w:val="0"/>
      <w:spacing w:line="240" w:lineRule="atLeast"/>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pPr>
      <w:tabs>
        <w:tab w:val="center" w:pos="4320"/>
        <w:tab w:val="right" w:pos="8640"/>
      </w:tabs>
      <w:adjustRightInd w:val="0"/>
      <w:snapToGrid w:val="0"/>
      <w:spacing w:line="180" w:lineRule="atLeast"/>
    </w:pPr>
    <w:rPr>
      <w:rFonts w:ascii="Arial" w:eastAsia="MS Mincho" w:hAnsi="Arial"/>
      <w:color w:val="3D3935" w:themeColor="text2"/>
      <w:sz w:val="14"/>
      <w:lang w:eastAsia="ja-JP"/>
    </w:rPr>
  </w:style>
  <w:style w:type="paragraph" w:styleId="Footer">
    <w:name w:val="footer"/>
    <w:basedOn w:val="Normal"/>
    <w:link w:val="FooterChar"/>
    <w:pPr>
      <w:tabs>
        <w:tab w:val="right" w:pos="8760"/>
      </w:tabs>
      <w:adjustRightInd w:val="0"/>
      <w:snapToGrid w:val="0"/>
      <w:jc w:val="right"/>
    </w:pPr>
    <w:rPr>
      <w:rFonts w:ascii="Arial" w:eastAsia="MS Mincho" w:hAnsi="Arial"/>
      <w:color w:val="3D3935" w:themeColor="text2"/>
      <w:sz w:val="14"/>
      <w:szCs w:val="14"/>
      <w:lang w:eastAsia="ja-JP"/>
    </w:rPr>
  </w:style>
  <w:style w:type="character" w:styleId="PageNumber">
    <w:name w:val="page number"/>
    <w:basedOn w:val="DefaultParagraphFont"/>
    <w:rPr>
      <w:rFonts w:ascii="Arial" w:hAnsi="Arial"/>
      <w:sz w:val="16"/>
    </w:rPr>
  </w:style>
  <w:style w:type="paragraph" w:customStyle="1" w:styleId="SingleSpace">
    <w:name w:val="Single Space"/>
    <w:basedOn w:val="Normal"/>
    <w:pPr>
      <w:adjustRightInd w:val="0"/>
      <w:snapToGrid w:val="0"/>
    </w:pPr>
    <w:rPr>
      <w:rFonts w:ascii="Arial" w:eastAsia="MS Mincho" w:hAnsi="Arial"/>
      <w:color w:val="3D3935" w:themeColor="text2"/>
      <w:lang w:eastAsia="ja-JP"/>
    </w:rPr>
  </w:style>
  <w:style w:type="numbering" w:customStyle="1" w:styleId="Bullets">
    <w:name w:val="Bullets"/>
    <w:uiPriority w:val="99"/>
    <w:pPr>
      <w:numPr>
        <w:numId w:val="14"/>
      </w:numPr>
    </w:pPr>
  </w:style>
  <w:style w:type="paragraph" w:customStyle="1" w:styleId="IntroCopy">
    <w:name w:val="Intro Copy"/>
    <w:basedOn w:val="Normal"/>
    <w:qFormat/>
    <w:pPr>
      <w:adjustRightInd w:val="0"/>
      <w:snapToGrid w:val="0"/>
      <w:spacing w:after="280" w:line="260" w:lineRule="atLeast"/>
    </w:pPr>
    <w:rPr>
      <w:rFonts w:ascii="Arial" w:eastAsia="MS Mincho" w:hAnsi="Arial"/>
      <w:b/>
      <w:color w:val="3D3935" w:themeColor="text2"/>
      <w:sz w:val="22"/>
      <w:lang w:eastAsia="ja-JP"/>
    </w:rPr>
  </w:style>
  <w:style w:type="numbering" w:customStyle="1" w:styleId="ListBullets0">
    <w:name w:val="ListBullets"/>
    <w:uiPriority w:val="99"/>
    <w:pPr>
      <w:numPr>
        <w:numId w:val="11"/>
      </w:numPr>
    </w:pPr>
  </w:style>
  <w:style w:type="paragraph" w:styleId="ListBullet2">
    <w:name w:val="List Bullet 2"/>
    <w:basedOn w:val="Normal"/>
    <w:qFormat/>
    <w:pPr>
      <w:numPr>
        <w:ilvl w:val="1"/>
        <w:numId w:val="34"/>
      </w:numPr>
      <w:adjustRightInd w:val="0"/>
      <w:snapToGrid w:val="0"/>
      <w:spacing w:after="70" w:line="280" w:lineRule="atLeast"/>
    </w:pPr>
    <w:rPr>
      <w:rFonts w:ascii="Arial" w:eastAsia="MS Mincho" w:hAnsi="Arial"/>
      <w:color w:val="3D3935" w:themeColor="text2"/>
      <w:lang w:eastAsia="ja-JP"/>
    </w:rPr>
  </w:style>
  <w:style w:type="paragraph" w:styleId="ListBullet3">
    <w:name w:val="List Bullet 3"/>
    <w:basedOn w:val="Normal"/>
    <w:semiHidden/>
    <w:unhideWhenUsed/>
    <w:pPr>
      <w:numPr>
        <w:ilvl w:val="2"/>
        <w:numId w:val="34"/>
      </w:numPr>
      <w:adjustRightInd w:val="0"/>
      <w:snapToGrid w:val="0"/>
      <w:spacing w:after="70" w:line="280" w:lineRule="atLeast"/>
    </w:pPr>
    <w:rPr>
      <w:rFonts w:ascii="Arial" w:eastAsia="MS Mincho" w:hAnsi="Arial"/>
      <w:color w:val="3D3935" w:themeColor="text2"/>
      <w:lang w:eastAsia="ja-JP"/>
    </w:rPr>
  </w:style>
  <w:style w:type="character" w:customStyle="1" w:styleId="FooterChar">
    <w:name w:val="Footer Char"/>
    <w:basedOn w:val="DefaultParagraphFont"/>
    <w:link w:val="Footer"/>
    <w:rPr>
      <w:rFonts w:ascii="Arial" w:hAnsi="Arial"/>
      <w:color w:val="3D3935" w:themeColor="text2"/>
      <w:sz w:val="14"/>
      <w:szCs w:val="14"/>
      <w:lang w:eastAsia="ja-JP"/>
    </w:rPr>
  </w:style>
  <w:style w:type="paragraph" w:customStyle="1" w:styleId="SenderAddress">
    <w:name w:val="Sender Address"/>
    <w:basedOn w:val="Normal"/>
    <w:qFormat/>
    <w:pPr>
      <w:tabs>
        <w:tab w:val="left" w:pos="227"/>
        <w:tab w:val="right" w:pos="8760"/>
      </w:tabs>
      <w:adjustRightInd w:val="0"/>
      <w:snapToGrid w:val="0"/>
    </w:pPr>
    <w:rPr>
      <w:rFonts w:ascii="Arial" w:eastAsia="MS Mincho" w:hAnsi="Arial"/>
      <w:color w:val="3D3935" w:themeColor="text2"/>
      <w:sz w:val="14"/>
      <w:lang w:eastAsia="ja-JP"/>
    </w:rPr>
  </w:style>
  <w:style w:type="numbering" w:customStyle="1" w:styleId="ListBullets">
    <w:name w:val="List Bullets"/>
    <w:uiPriority w:val="99"/>
    <w:pPr>
      <w:numPr>
        <w:numId w:val="15"/>
      </w:numPr>
    </w:pPr>
  </w:style>
  <w:style w:type="paragraph" w:styleId="ListNumber">
    <w:name w:val="List Number"/>
    <w:basedOn w:val="Normal"/>
    <w:qFormat/>
    <w:pPr>
      <w:numPr>
        <w:numId w:val="39"/>
      </w:numPr>
      <w:adjustRightInd w:val="0"/>
      <w:snapToGrid w:val="0"/>
      <w:spacing w:after="70" w:line="280" w:lineRule="atLeast"/>
    </w:pPr>
    <w:rPr>
      <w:rFonts w:ascii="Arial" w:eastAsia="MS Mincho" w:hAnsi="Arial"/>
      <w:color w:val="3D3935" w:themeColor="text2"/>
      <w:lang w:eastAsia="ja-JP"/>
    </w:rPr>
  </w:style>
  <w:style w:type="numbering" w:customStyle="1" w:styleId="ListNumbers">
    <w:name w:val="List Numbers"/>
    <w:uiPriority w:val="99"/>
    <w:pPr>
      <w:numPr>
        <w:numId w:val="18"/>
      </w:numPr>
    </w:pPr>
  </w:style>
  <w:style w:type="paragraph" w:customStyle="1" w:styleId="Note">
    <w:name w:val="Note"/>
    <w:basedOn w:val="Normal"/>
    <w:qFormat/>
    <w:pPr>
      <w:adjustRightInd w:val="0"/>
      <w:snapToGrid w:val="0"/>
      <w:spacing w:after="120" w:line="280" w:lineRule="atLeast"/>
    </w:pPr>
    <w:rPr>
      <w:rFonts w:ascii="Arial" w:eastAsia="MS Mincho" w:hAnsi="Arial"/>
      <w:color w:val="3D3935" w:themeColor="text2"/>
      <w:sz w:val="16"/>
      <w:lang w:eastAsia="ja-JP"/>
    </w:rPr>
  </w:style>
  <w:style w:type="paragraph" w:customStyle="1" w:styleId="Pulloutcopy">
    <w:name w:val="Pullout copy"/>
    <w:basedOn w:val="Note"/>
    <w:qFormat/>
    <w:rPr>
      <w:color w:val="A7A8AA" w:themeColor="accent2"/>
      <w:sz w:val="26"/>
    </w:rPr>
  </w:style>
  <w:style w:type="paragraph" w:customStyle="1" w:styleId="TableHeading">
    <w:name w:val="Table Heading"/>
    <w:basedOn w:val="Normal"/>
    <w:qFormat/>
    <w:pPr>
      <w:adjustRightInd w:val="0"/>
      <w:snapToGrid w:val="0"/>
      <w:spacing w:after="60" w:line="280" w:lineRule="atLeast"/>
    </w:pPr>
    <w:rPr>
      <w:rFonts w:ascii="Arial" w:eastAsia="MS Mincho" w:hAnsi="Arial"/>
      <w:b/>
      <w:color w:val="3D3935" w:themeColor="text2"/>
      <w:lang w:eastAsia="ja-JP"/>
    </w:rPr>
  </w:style>
  <w:style w:type="table" w:customStyle="1" w:styleId="TableAustrade">
    <w:name w:val="Table_Austrade"/>
    <w:basedOn w:val="TableNormal"/>
    <w:pPr>
      <w:spacing w:before="40" w:after="40" w:line="250" w:lineRule="atLeast"/>
    </w:pPr>
    <w:rPr>
      <w:rFonts w:ascii="Arial" w:eastAsia="Times New Roman" w:hAnsi="Arial"/>
      <w:color w:val="717171"/>
      <w:sz w:val="18"/>
    </w:rPr>
    <w:tblPr>
      <w:tblInd w:w="113" w:type="dxa"/>
      <w:tblBorders>
        <w:bottom w:val="single" w:sz="2" w:space="0" w:color="D9D9D9"/>
        <w:insideH w:val="single" w:sz="2" w:space="0" w:color="D9D9D9"/>
      </w:tblBorders>
      <w:tblCellMar>
        <w:top w:w="0" w:type="dxa"/>
        <w:left w:w="108" w:type="dxa"/>
        <w:bottom w:w="0" w:type="dxa"/>
        <w:right w:w="108" w:type="dxa"/>
      </w:tblCellMar>
    </w:tblPr>
    <w:tblStylePr w:type="firstRow">
      <w:rPr>
        <w:b/>
        <w:i w:val="0"/>
        <w:color w:val="3D3935" w:themeColor="text1"/>
      </w:rPr>
      <w:tblPr/>
      <w:tcPr>
        <w:shd w:val="clear" w:color="auto" w:fill="D7D2CB" w:themeFill="background2"/>
      </w:tcPr>
    </w:tblStylePr>
  </w:style>
  <w:style w:type="character" w:customStyle="1" w:styleId="Orange">
    <w:name w:val="Orange"/>
    <w:basedOn w:val="DefaultParagraphFont"/>
    <w:uiPriority w:val="1"/>
    <w:qFormat/>
    <w:rPr>
      <w:rFonts w:ascii="Arial" w:hAnsi="Arial"/>
      <w:color w:val="F58400" w:themeColor="accent1"/>
    </w:rPr>
  </w:style>
  <w:style w:type="paragraph" w:styleId="BalloonText">
    <w:name w:val="Balloon Text"/>
    <w:basedOn w:val="Normal"/>
    <w:link w:val="BalloonTextChar"/>
    <w:pPr>
      <w:adjustRightInd w:val="0"/>
      <w:snapToGrid w:val="0"/>
    </w:pPr>
    <w:rPr>
      <w:rFonts w:ascii="Tahoma" w:eastAsia="MS Mincho" w:hAnsi="Tahoma" w:cs="Tahoma"/>
      <w:color w:val="3D3935" w:themeColor="text2"/>
      <w:sz w:val="16"/>
      <w:szCs w:val="16"/>
      <w:lang w:eastAsia="ja-JP"/>
    </w:rPr>
  </w:style>
  <w:style w:type="character" w:customStyle="1" w:styleId="BalloonTextChar">
    <w:name w:val="Balloon Text Char"/>
    <w:basedOn w:val="DefaultParagraphFont"/>
    <w:link w:val="BalloonText"/>
    <w:rPr>
      <w:rFonts w:ascii="Tahoma" w:hAnsi="Tahoma" w:cs="Tahoma"/>
      <w:color w:val="3D3935" w:themeColor="text1"/>
      <w:sz w:val="16"/>
      <w:szCs w:val="16"/>
      <w:lang w:eastAsia="ja-JP"/>
    </w:rPr>
  </w:style>
  <w:style w:type="paragraph" w:customStyle="1" w:styleId="BannerTitle">
    <w:name w:val="Banner Title"/>
    <w:basedOn w:val="Normal"/>
    <w:pPr>
      <w:adjustRightInd w:val="0"/>
      <w:snapToGrid w:val="0"/>
      <w:spacing w:before="60" w:line="216" w:lineRule="auto"/>
    </w:pPr>
    <w:rPr>
      <w:rFonts w:ascii="Arial" w:eastAsia="MS Mincho" w:hAnsi="Arial"/>
      <w:color w:val="FFFFFF"/>
      <w:sz w:val="40"/>
      <w:lang w:eastAsia="ja-JP"/>
    </w:rPr>
  </w:style>
  <w:style w:type="character" w:customStyle="1" w:styleId="Heading4Char">
    <w:name w:val="Heading 4 Char"/>
    <w:basedOn w:val="DefaultParagraphFont"/>
    <w:link w:val="Heading4"/>
    <w:semiHidden/>
    <w:rPr>
      <w:rFonts w:ascii="Arial" w:hAnsi="Arial"/>
      <w:b/>
      <w:bCs/>
      <w:color w:val="3D3935" w:themeColor="text1"/>
      <w:szCs w:val="28"/>
      <w:lang w:eastAsia="ja-JP"/>
    </w:rPr>
  </w:style>
  <w:style w:type="character" w:customStyle="1" w:styleId="Heading5Char">
    <w:name w:val="Heading 5 Char"/>
    <w:basedOn w:val="DefaultParagraphFont"/>
    <w:link w:val="Heading5"/>
    <w:semiHidden/>
    <w:rPr>
      <w:rFonts w:ascii="Arial" w:hAnsi="Arial"/>
      <w:b/>
      <w:bCs/>
      <w:i/>
      <w:iCs/>
      <w:color w:val="3D3935" w:themeColor="text1"/>
      <w:szCs w:val="26"/>
      <w:lang w:eastAsia="ja-JP"/>
    </w:rPr>
  </w:style>
  <w:style w:type="character" w:customStyle="1" w:styleId="Heading6Char">
    <w:name w:val="Heading 6 Char"/>
    <w:basedOn w:val="DefaultParagraphFont"/>
    <w:link w:val="Heading6"/>
    <w:semiHidden/>
    <w:rPr>
      <w:rFonts w:ascii="Arial" w:hAnsi="Arial"/>
      <w:b/>
      <w:bCs/>
      <w:color w:val="3D3935" w:themeColor="text1"/>
      <w:sz w:val="16"/>
      <w:szCs w:val="22"/>
      <w:lang w:eastAsia="ja-JP"/>
    </w:rPr>
  </w:style>
  <w:style w:type="character" w:customStyle="1" w:styleId="Heading7Char">
    <w:name w:val="Heading 7 Char"/>
    <w:basedOn w:val="DefaultParagraphFont"/>
    <w:link w:val="Heading7"/>
    <w:semiHidden/>
    <w:rPr>
      <w:rFonts w:ascii="Arial" w:hAnsi="Arial"/>
      <w:color w:val="3D3935" w:themeColor="text1"/>
      <w:sz w:val="24"/>
      <w:szCs w:val="24"/>
      <w:lang w:eastAsia="ja-JP"/>
    </w:rPr>
  </w:style>
  <w:style w:type="character" w:customStyle="1" w:styleId="Heading8Char">
    <w:name w:val="Heading 8 Char"/>
    <w:basedOn w:val="DefaultParagraphFont"/>
    <w:link w:val="Heading8"/>
    <w:semiHidden/>
    <w:rPr>
      <w:rFonts w:ascii="Arial" w:hAnsi="Arial"/>
      <w:i/>
      <w:iCs/>
      <w:color w:val="3D3935" w:themeColor="text1"/>
      <w:sz w:val="24"/>
      <w:szCs w:val="24"/>
      <w:lang w:eastAsia="ja-JP"/>
    </w:rPr>
  </w:style>
  <w:style w:type="numbering" w:customStyle="1" w:styleId="AustradeBullets">
    <w:name w:val="Austrade Bullets"/>
    <w:uiPriority w:val="99"/>
    <w:pPr>
      <w:numPr>
        <w:numId w:val="26"/>
      </w:numPr>
    </w:pPr>
  </w:style>
  <w:style w:type="numbering" w:customStyle="1" w:styleId="AustradeNumbers">
    <w:name w:val="Austrade Numbers"/>
    <w:uiPriority w:val="99"/>
    <w:pPr>
      <w:numPr>
        <w:numId w:val="27"/>
      </w:numPr>
    </w:pPr>
  </w:style>
  <w:style w:type="paragraph" w:styleId="ListBullet4">
    <w:name w:val="List Bullet 4"/>
    <w:basedOn w:val="Normal"/>
    <w:semiHidden/>
    <w:unhideWhenUsed/>
    <w:pPr>
      <w:numPr>
        <w:ilvl w:val="3"/>
        <w:numId w:val="34"/>
      </w:numPr>
      <w:adjustRightInd w:val="0"/>
      <w:snapToGrid w:val="0"/>
      <w:spacing w:after="70" w:line="280" w:lineRule="atLeast"/>
      <w:contextualSpacing/>
    </w:pPr>
    <w:rPr>
      <w:rFonts w:ascii="Arial" w:eastAsia="MS Mincho" w:hAnsi="Arial"/>
      <w:color w:val="3D3935" w:themeColor="text2"/>
      <w:lang w:eastAsia="ja-JP"/>
    </w:rPr>
  </w:style>
  <w:style w:type="paragraph" w:styleId="ListBullet5">
    <w:name w:val="List Bullet 5"/>
    <w:basedOn w:val="Normal"/>
    <w:semiHidden/>
    <w:unhideWhenUsed/>
    <w:pPr>
      <w:numPr>
        <w:ilvl w:val="4"/>
        <w:numId w:val="34"/>
      </w:numPr>
      <w:adjustRightInd w:val="0"/>
      <w:snapToGrid w:val="0"/>
      <w:spacing w:after="120" w:line="280" w:lineRule="atLeast"/>
      <w:contextualSpacing/>
    </w:pPr>
    <w:rPr>
      <w:rFonts w:ascii="Arial" w:eastAsia="MS Mincho" w:hAnsi="Arial"/>
      <w:color w:val="3D3935" w:themeColor="text2"/>
      <w:lang w:eastAsia="ja-JP"/>
    </w:rPr>
  </w:style>
  <w:style w:type="paragraph" w:styleId="ListNumber2">
    <w:name w:val="List Number 2"/>
    <w:basedOn w:val="Normal"/>
    <w:semiHidden/>
    <w:unhideWhenUsed/>
    <w:pPr>
      <w:numPr>
        <w:ilvl w:val="1"/>
        <w:numId w:val="39"/>
      </w:numPr>
      <w:adjustRightInd w:val="0"/>
      <w:snapToGrid w:val="0"/>
      <w:spacing w:after="70" w:line="280" w:lineRule="atLeast"/>
      <w:contextualSpacing/>
    </w:pPr>
    <w:rPr>
      <w:rFonts w:ascii="Arial" w:eastAsia="MS Mincho" w:hAnsi="Arial"/>
      <w:color w:val="3D3935" w:themeColor="text2"/>
      <w:lang w:eastAsia="ja-JP"/>
    </w:rPr>
  </w:style>
  <w:style w:type="paragraph" w:styleId="ListNumber3">
    <w:name w:val="List Number 3"/>
    <w:basedOn w:val="Normal"/>
    <w:semiHidden/>
    <w:unhideWhenUsed/>
    <w:pPr>
      <w:numPr>
        <w:ilvl w:val="2"/>
        <w:numId w:val="39"/>
      </w:numPr>
      <w:adjustRightInd w:val="0"/>
      <w:snapToGrid w:val="0"/>
      <w:spacing w:after="70" w:line="280" w:lineRule="atLeast"/>
      <w:contextualSpacing/>
    </w:pPr>
    <w:rPr>
      <w:rFonts w:ascii="Arial" w:eastAsia="MS Mincho" w:hAnsi="Arial"/>
      <w:color w:val="3D3935" w:themeColor="text2"/>
      <w:lang w:eastAsia="ja-JP"/>
    </w:rPr>
  </w:style>
  <w:style w:type="paragraph" w:styleId="ListNumber4">
    <w:name w:val="List Number 4"/>
    <w:basedOn w:val="Normal"/>
    <w:semiHidden/>
    <w:unhideWhenUsed/>
    <w:pPr>
      <w:numPr>
        <w:ilvl w:val="3"/>
        <w:numId w:val="39"/>
      </w:numPr>
      <w:adjustRightInd w:val="0"/>
      <w:snapToGrid w:val="0"/>
      <w:spacing w:after="70" w:line="280" w:lineRule="atLeast"/>
      <w:contextualSpacing/>
    </w:pPr>
    <w:rPr>
      <w:rFonts w:ascii="Arial" w:eastAsia="MS Mincho" w:hAnsi="Arial"/>
      <w:color w:val="3D3935" w:themeColor="text2"/>
      <w:lang w:eastAsia="ja-JP"/>
    </w:rPr>
  </w:style>
  <w:style w:type="paragraph" w:styleId="ListNumber5">
    <w:name w:val="List Number 5"/>
    <w:basedOn w:val="Normal"/>
    <w:semiHidden/>
    <w:unhideWhenUsed/>
    <w:pPr>
      <w:numPr>
        <w:ilvl w:val="4"/>
        <w:numId w:val="39"/>
      </w:numPr>
      <w:adjustRightInd w:val="0"/>
      <w:snapToGrid w:val="0"/>
      <w:spacing w:after="70" w:line="280" w:lineRule="atLeast"/>
      <w:contextualSpacing/>
    </w:pPr>
    <w:rPr>
      <w:rFonts w:ascii="Arial" w:eastAsia="MS Mincho" w:hAnsi="Arial"/>
      <w:color w:val="3D3935" w:themeColor="text2"/>
      <w:lang w:eastAsia="ja-JP"/>
    </w:rPr>
  </w:style>
  <w:style w:type="table" w:customStyle="1" w:styleId="TableGrid1">
    <w:name w:val="Table Grid1"/>
    <w:basedOn w:val="TableNormal"/>
    <w:next w:val="TableGrid"/>
    <w:uiPriority w:val="59"/>
    <w:rsid w:val="003B119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rsid w:val="00D245F2"/>
    <w:pPr>
      <w:ind w:left="720"/>
      <w:contextualSpacing/>
    </w:pPr>
  </w:style>
  <w:style w:type="character" w:styleId="Hyperlink">
    <w:name w:val="Hyperlink"/>
    <w:basedOn w:val="DefaultParagraphFont"/>
    <w:rsid w:val="00BE6E14"/>
    <w:rPr>
      <w:color w:val="647C7D" w:themeColor="hyperlink"/>
      <w:u w:val="single"/>
    </w:rPr>
  </w:style>
  <w:style w:type="paragraph" w:styleId="FootnoteText">
    <w:name w:val="footnote text"/>
    <w:basedOn w:val="Normal"/>
    <w:link w:val="FootnoteTextChar"/>
    <w:rsid w:val="00D079EC"/>
  </w:style>
  <w:style w:type="character" w:customStyle="1" w:styleId="FootnoteTextChar">
    <w:name w:val="Footnote Text Char"/>
    <w:basedOn w:val="DefaultParagraphFont"/>
    <w:link w:val="FootnoteText"/>
    <w:rsid w:val="00D079EC"/>
    <w:rPr>
      <w:rFonts w:eastAsia="Times New Roman"/>
      <w:lang w:eastAsia="en-US"/>
    </w:rPr>
  </w:style>
  <w:style w:type="character" w:styleId="FootnoteReference">
    <w:name w:val="footnote reference"/>
    <w:basedOn w:val="DefaultParagraphFont"/>
    <w:rsid w:val="00D079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163763">
      <w:bodyDiv w:val="1"/>
      <w:marLeft w:val="0"/>
      <w:marRight w:val="0"/>
      <w:marTop w:val="0"/>
      <w:marBottom w:val="0"/>
      <w:divBdr>
        <w:top w:val="none" w:sz="0" w:space="0" w:color="auto"/>
        <w:left w:val="none" w:sz="0" w:space="0" w:color="auto"/>
        <w:bottom w:val="none" w:sz="0" w:space="0" w:color="auto"/>
        <w:right w:val="none" w:sz="0" w:space="0" w:color="auto"/>
      </w:divBdr>
    </w:div>
    <w:div w:id="1050105714">
      <w:bodyDiv w:val="1"/>
      <w:marLeft w:val="0"/>
      <w:marRight w:val="0"/>
      <w:marTop w:val="0"/>
      <w:marBottom w:val="0"/>
      <w:divBdr>
        <w:top w:val="none" w:sz="0" w:space="0" w:color="auto"/>
        <w:left w:val="none" w:sz="0" w:space="0" w:color="auto"/>
        <w:bottom w:val="none" w:sz="0" w:space="0" w:color="auto"/>
        <w:right w:val="none" w:sz="0" w:space="0" w:color="auto"/>
      </w:divBdr>
      <w:divsChild>
        <w:div w:id="586694272">
          <w:marLeft w:val="0"/>
          <w:marRight w:val="0"/>
          <w:marTop w:val="0"/>
          <w:marBottom w:val="0"/>
          <w:divBdr>
            <w:top w:val="none" w:sz="0" w:space="0" w:color="auto"/>
            <w:left w:val="none" w:sz="0" w:space="0" w:color="auto"/>
            <w:bottom w:val="none" w:sz="0" w:space="0" w:color="auto"/>
            <w:right w:val="none" w:sz="0" w:space="0" w:color="auto"/>
          </w:divBdr>
          <w:divsChild>
            <w:div w:id="932204901">
              <w:marLeft w:val="0"/>
              <w:marRight w:val="0"/>
              <w:marTop w:val="0"/>
              <w:marBottom w:val="0"/>
              <w:divBdr>
                <w:top w:val="none" w:sz="0" w:space="0" w:color="auto"/>
                <w:left w:val="none" w:sz="0" w:space="0" w:color="auto"/>
                <w:bottom w:val="none" w:sz="0" w:space="0" w:color="auto"/>
                <w:right w:val="none" w:sz="0" w:space="0" w:color="auto"/>
              </w:divBdr>
              <w:divsChild>
                <w:div w:id="9367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990200">
      <w:bodyDiv w:val="1"/>
      <w:marLeft w:val="0"/>
      <w:marRight w:val="0"/>
      <w:marTop w:val="0"/>
      <w:marBottom w:val="0"/>
      <w:divBdr>
        <w:top w:val="none" w:sz="0" w:space="0" w:color="auto"/>
        <w:left w:val="none" w:sz="0" w:space="0" w:color="auto"/>
        <w:bottom w:val="none" w:sz="0" w:space="0" w:color="auto"/>
        <w:right w:val="none" w:sz="0" w:space="0" w:color="auto"/>
      </w:divBdr>
    </w:div>
    <w:div w:id="207142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Austrade\Corporate%20Templates\Correspondence\Letter_Austrade.dotm"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Figure 1 -</a:t>
            </a:r>
            <a:r>
              <a:rPr lang="en-US" baseline="0"/>
              <a:t> </a:t>
            </a:r>
            <a:r>
              <a:rPr lang="en-US"/>
              <a:t>Cost of Hire</a:t>
            </a:r>
            <a:r>
              <a:rPr lang="en-US" baseline="0"/>
              <a:t> Car</a:t>
            </a:r>
          </a:p>
        </c:rich>
      </c:tx>
      <c:overlay val="0"/>
    </c:title>
    <c:autoTitleDeleted val="0"/>
    <c:plotArea>
      <c:layout/>
      <c:barChart>
        <c:barDir val="col"/>
        <c:grouping val="clustered"/>
        <c:varyColors val="0"/>
        <c:ser>
          <c:idx val="0"/>
          <c:order val="0"/>
          <c:tx>
            <c:strRef>
              <c:f>Sheet1!$B$1</c:f>
              <c:strCache>
                <c:ptCount val="1"/>
                <c:pt idx="0">
                  <c:v>Price</c:v>
                </c:pt>
              </c:strCache>
            </c:strRef>
          </c:tx>
          <c:invertIfNegative val="0"/>
          <c:dPt>
            <c:idx val="6"/>
            <c:invertIfNegative val="0"/>
            <c:bubble3D val="0"/>
            <c:spPr>
              <a:solidFill>
                <a:srgbClr val="00B050"/>
              </a:solidFill>
              <a:ln>
                <a:solidFill>
                  <a:srgbClr val="00B050"/>
                </a:solidFill>
              </a:ln>
            </c:spPr>
          </c:dPt>
          <c:cat>
            <c:strRef>
              <c:f>Sheet1!$A$2:$A$8</c:f>
              <c:strCache>
                <c:ptCount val="7"/>
                <c:pt idx="0">
                  <c:v>Albany (WA)</c:v>
                </c:pt>
                <c:pt idx="1">
                  <c:v>Busselton (WA)</c:v>
                </c:pt>
                <c:pt idx="2">
                  <c:v>Kalgoorlie (WA)</c:v>
                </c:pt>
                <c:pt idx="3">
                  <c:v>Bathurst (NSW)</c:v>
                </c:pt>
                <c:pt idx="4">
                  <c:v>Nowra (NSW)</c:v>
                </c:pt>
                <c:pt idx="5">
                  <c:v>Dubbo (NSW)</c:v>
                </c:pt>
                <c:pt idx="6">
                  <c:v>Devonport (TAS)</c:v>
                </c:pt>
              </c:strCache>
            </c:strRef>
          </c:cat>
          <c:val>
            <c:numRef>
              <c:f>Sheet1!$B$2:$B$8</c:f>
              <c:numCache>
                <c:formatCode>General</c:formatCode>
                <c:ptCount val="7"/>
                <c:pt idx="0">
                  <c:v>562.87</c:v>
                </c:pt>
                <c:pt idx="1">
                  <c:v>382.54</c:v>
                </c:pt>
                <c:pt idx="2">
                  <c:v>618.13</c:v>
                </c:pt>
                <c:pt idx="3">
                  <c:v>391.64</c:v>
                </c:pt>
                <c:pt idx="4">
                  <c:v>446.29</c:v>
                </c:pt>
                <c:pt idx="5">
                  <c:v>401.67</c:v>
                </c:pt>
                <c:pt idx="6">
                  <c:v>243.91</c:v>
                </c:pt>
              </c:numCache>
            </c:numRef>
          </c:val>
        </c:ser>
        <c:dLbls>
          <c:showLegendKey val="0"/>
          <c:showVal val="0"/>
          <c:showCatName val="0"/>
          <c:showSerName val="0"/>
          <c:showPercent val="0"/>
          <c:showBubbleSize val="0"/>
        </c:dLbls>
        <c:gapWidth val="150"/>
        <c:axId val="177886336"/>
        <c:axId val="177887872"/>
      </c:barChart>
      <c:catAx>
        <c:axId val="177886336"/>
        <c:scaling>
          <c:orientation val="minMax"/>
        </c:scaling>
        <c:delete val="0"/>
        <c:axPos val="b"/>
        <c:majorTickMark val="out"/>
        <c:minorTickMark val="none"/>
        <c:tickLblPos val="nextTo"/>
        <c:crossAx val="177887872"/>
        <c:crosses val="autoZero"/>
        <c:auto val="1"/>
        <c:lblAlgn val="ctr"/>
        <c:lblOffset val="100"/>
        <c:noMultiLvlLbl val="0"/>
      </c:catAx>
      <c:valAx>
        <c:axId val="177887872"/>
        <c:scaling>
          <c:orientation val="minMax"/>
        </c:scaling>
        <c:delete val="0"/>
        <c:axPos val="l"/>
        <c:majorGridlines/>
        <c:title>
          <c:tx>
            <c:rich>
              <a:bodyPr rot="0" vert="wordArtVert"/>
              <a:lstStyle/>
              <a:p>
                <a:pPr>
                  <a:defRPr/>
                </a:pPr>
                <a:r>
                  <a:rPr lang="en-AU"/>
                  <a:t>Price</a:t>
                </a:r>
                <a:r>
                  <a:rPr lang="en-AU" baseline="0"/>
                  <a:t> ($)</a:t>
                </a:r>
                <a:endParaRPr lang="en-AU"/>
              </a:p>
            </c:rich>
          </c:tx>
          <c:overlay val="0"/>
        </c:title>
        <c:numFmt formatCode="General" sourceLinked="1"/>
        <c:majorTickMark val="out"/>
        <c:minorTickMark val="none"/>
        <c:tickLblPos val="nextTo"/>
        <c:crossAx val="177886336"/>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Figure 2 -</a:t>
            </a:r>
            <a:r>
              <a:rPr lang="en-US" baseline="0"/>
              <a:t> Capital City Hire Car Cost</a:t>
            </a:r>
            <a:endParaRPr lang="en-US"/>
          </a:p>
        </c:rich>
      </c:tx>
      <c:overlay val="0"/>
    </c:title>
    <c:autoTitleDeleted val="0"/>
    <c:plotArea>
      <c:layout/>
      <c:barChart>
        <c:barDir val="col"/>
        <c:grouping val="clustered"/>
        <c:varyColors val="0"/>
        <c:ser>
          <c:idx val="0"/>
          <c:order val="0"/>
          <c:tx>
            <c:strRef>
              <c:f>Sheet1!$B$1</c:f>
              <c:strCache>
                <c:ptCount val="1"/>
                <c:pt idx="0">
                  <c:v>Price</c:v>
                </c:pt>
              </c:strCache>
            </c:strRef>
          </c:tx>
          <c:invertIfNegative val="0"/>
          <c:dPt>
            <c:idx val="6"/>
            <c:invertIfNegative val="0"/>
            <c:bubble3D val="0"/>
            <c:spPr>
              <a:solidFill>
                <a:srgbClr val="00B050"/>
              </a:solidFill>
            </c:spPr>
          </c:dPt>
          <c:cat>
            <c:strRef>
              <c:f>Sheet1!$A$2:$A$9</c:f>
              <c:strCache>
                <c:ptCount val="8"/>
                <c:pt idx="0">
                  <c:v>Sydney </c:v>
                </c:pt>
                <c:pt idx="1">
                  <c:v>Melbourne</c:v>
                </c:pt>
                <c:pt idx="2">
                  <c:v>Brisbane</c:v>
                </c:pt>
                <c:pt idx="3">
                  <c:v>Perth</c:v>
                </c:pt>
                <c:pt idx="4">
                  <c:v>Adelaide</c:v>
                </c:pt>
                <c:pt idx="5">
                  <c:v>Canberra</c:v>
                </c:pt>
                <c:pt idx="6">
                  <c:v>Hobart </c:v>
                </c:pt>
                <c:pt idx="7">
                  <c:v>Darwin </c:v>
                </c:pt>
              </c:strCache>
            </c:strRef>
          </c:cat>
          <c:val>
            <c:numRef>
              <c:f>Sheet1!$B$2:$B$9</c:f>
              <c:numCache>
                <c:formatCode>General</c:formatCode>
                <c:ptCount val="8"/>
                <c:pt idx="0">
                  <c:v>448.12</c:v>
                </c:pt>
                <c:pt idx="1">
                  <c:v>331.12</c:v>
                </c:pt>
                <c:pt idx="2">
                  <c:v>360.68</c:v>
                </c:pt>
                <c:pt idx="3">
                  <c:v>339.55</c:v>
                </c:pt>
                <c:pt idx="4">
                  <c:v>350.91</c:v>
                </c:pt>
                <c:pt idx="5">
                  <c:v>338.82</c:v>
                </c:pt>
                <c:pt idx="6">
                  <c:v>244.83</c:v>
                </c:pt>
                <c:pt idx="7">
                  <c:v>350.18</c:v>
                </c:pt>
              </c:numCache>
            </c:numRef>
          </c:val>
        </c:ser>
        <c:dLbls>
          <c:showLegendKey val="0"/>
          <c:showVal val="0"/>
          <c:showCatName val="0"/>
          <c:showSerName val="0"/>
          <c:showPercent val="0"/>
          <c:showBubbleSize val="0"/>
        </c:dLbls>
        <c:gapWidth val="150"/>
        <c:axId val="188206080"/>
        <c:axId val="188207872"/>
      </c:barChart>
      <c:catAx>
        <c:axId val="188206080"/>
        <c:scaling>
          <c:orientation val="minMax"/>
        </c:scaling>
        <c:delete val="0"/>
        <c:axPos val="b"/>
        <c:majorTickMark val="out"/>
        <c:minorTickMark val="none"/>
        <c:tickLblPos val="nextTo"/>
        <c:crossAx val="188207872"/>
        <c:crosses val="autoZero"/>
        <c:auto val="1"/>
        <c:lblAlgn val="ctr"/>
        <c:lblOffset val="100"/>
        <c:noMultiLvlLbl val="0"/>
      </c:catAx>
      <c:valAx>
        <c:axId val="188207872"/>
        <c:scaling>
          <c:orientation val="minMax"/>
        </c:scaling>
        <c:delete val="0"/>
        <c:axPos val="l"/>
        <c:majorGridlines/>
        <c:title>
          <c:tx>
            <c:rich>
              <a:bodyPr rot="0" vert="wordArtVert"/>
              <a:lstStyle/>
              <a:p>
                <a:pPr>
                  <a:defRPr/>
                </a:pPr>
                <a:r>
                  <a:rPr lang="en-AU"/>
                  <a:t>Prices</a:t>
                </a:r>
                <a:r>
                  <a:rPr lang="en-AU" baseline="0"/>
                  <a:t> ($)</a:t>
                </a:r>
              </a:p>
            </c:rich>
          </c:tx>
          <c:overlay val="0"/>
        </c:title>
        <c:numFmt formatCode="General" sourceLinked="1"/>
        <c:majorTickMark val="out"/>
        <c:minorTickMark val="none"/>
        <c:tickLblPos val="nextTo"/>
        <c:crossAx val="188206080"/>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Austrade Colours">
      <a:dk1>
        <a:srgbClr val="3D3935"/>
      </a:dk1>
      <a:lt1>
        <a:srgbClr val="FFFFFF"/>
      </a:lt1>
      <a:dk2>
        <a:srgbClr val="3D3935"/>
      </a:dk2>
      <a:lt2>
        <a:srgbClr val="D7D2CB"/>
      </a:lt2>
      <a:accent1>
        <a:srgbClr val="F58400"/>
      </a:accent1>
      <a:accent2>
        <a:srgbClr val="A7A8AA"/>
      </a:accent2>
      <a:accent3>
        <a:srgbClr val="FFAB00"/>
      </a:accent3>
      <a:accent4>
        <a:srgbClr val="E35205"/>
      </a:accent4>
      <a:accent5>
        <a:srgbClr val="582D40"/>
      </a:accent5>
      <a:accent6>
        <a:srgbClr val="41748D"/>
      </a:accent6>
      <a:hlink>
        <a:srgbClr val="647C7D"/>
      </a:hlink>
      <a:folHlink>
        <a:srgbClr val="A3B2A4"/>
      </a:folHlink>
    </a:clrScheme>
    <a:fontScheme name="Austrade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01730-8150-4D63-AE83-01D656C45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Letter_Austrade.dotm</Template>
  <TotalTime>0</TotalTime>
  <Pages>8</Pages>
  <Words>3305</Words>
  <Characters>18300</Characters>
  <Application>Microsoft Office Word</Application>
  <DocSecurity>0</DocSecurity>
  <Lines>290</Lines>
  <Paragraphs>91</Paragraphs>
  <ScaleCrop>false</ScaleCrop>
  <HeadingPairs>
    <vt:vector size="2" baseType="variant">
      <vt:variant>
        <vt:lpstr>Title</vt:lpstr>
      </vt:variant>
      <vt:variant>
        <vt:i4>1</vt:i4>
      </vt:variant>
    </vt:vector>
  </HeadingPairs>
  <TitlesOfParts>
    <vt:vector size="1" baseType="lpstr">
      <vt:lpstr>Submission 41 - Austrade - Tasmanian Shipping and Freight - Public inquiry</vt:lpstr>
    </vt:vector>
  </TitlesOfParts>
  <Company>Austrade</Company>
  <LinksUpToDate>false</LinksUpToDate>
  <CharactersWithSpaces>21601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41 - Austrade - Tasmanian Shipping and Freight - Public inquiry</dc:title>
  <dc:creator>Austrade</dc:creator>
  <cp:lastModifiedBy>Productivity Commission</cp:lastModifiedBy>
  <cp:revision>2</cp:revision>
  <cp:lastPrinted>2013-12-11T21:36:00Z</cp:lastPrinted>
  <dcterms:created xsi:type="dcterms:W3CDTF">2013-12-18T22:35:00Z</dcterms:created>
  <dcterms:modified xsi:type="dcterms:W3CDTF">2013-12-18T22:35:00Z</dcterms:modified>
</cp:coreProperties>
</file>