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688" w:rsidRDefault="00C92EA4" w:rsidP="00690CE7">
      <w:pPr>
        <w:jc w:val="center"/>
        <w:rPr>
          <w:rFonts w:ascii="Century Gothic" w:hAnsi="Century Gothic" w:cs="Arial"/>
          <w:b/>
          <w:bCs/>
          <w:color w:val="000000"/>
          <w:sz w:val="40"/>
          <w:szCs w:val="40"/>
        </w:rPr>
      </w:pPr>
      <w:bookmarkStart w:id="0" w:name="_GoBack"/>
      <w:bookmarkEnd w:id="0"/>
      <w:r>
        <w:rPr>
          <w:rFonts w:ascii="Century Gothic" w:hAnsi="Century Gothic" w:cs="Arial"/>
          <w:b/>
          <w:bCs/>
          <w:noProof/>
          <w:color w:val="000000"/>
          <w:sz w:val="40"/>
          <w:szCs w:val="40"/>
        </w:rPr>
        <w:drawing>
          <wp:inline distT="0" distB="0" distL="0" distR="0">
            <wp:extent cx="3028950" cy="2838450"/>
            <wp:effectExtent l="0" t="0" r="0" b="0"/>
            <wp:docPr id="1" name="Picture 1" descr="MUAlogoz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AlogozFIN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28950" cy="2838450"/>
                    </a:xfrm>
                    <a:prstGeom prst="rect">
                      <a:avLst/>
                    </a:prstGeom>
                    <a:noFill/>
                    <a:ln>
                      <a:noFill/>
                    </a:ln>
                  </pic:spPr>
                </pic:pic>
              </a:graphicData>
            </a:graphic>
          </wp:inline>
        </w:drawing>
      </w:r>
    </w:p>
    <w:p w:rsidR="004C1892" w:rsidRDefault="004C1892" w:rsidP="00327E7B">
      <w:pPr>
        <w:jc w:val="center"/>
        <w:rPr>
          <w:rFonts w:cs="Arial"/>
          <w:b/>
          <w:bCs/>
          <w:color w:val="0000FF"/>
          <w:sz w:val="40"/>
          <w:szCs w:val="40"/>
        </w:rPr>
      </w:pPr>
    </w:p>
    <w:p w:rsidR="00C66921" w:rsidRDefault="00C66921" w:rsidP="00327E7B">
      <w:pPr>
        <w:jc w:val="center"/>
        <w:rPr>
          <w:rFonts w:cs="Arial"/>
          <w:b/>
          <w:bCs/>
          <w:color w:val="0000FF"/>
          <w:sz w:val="40"/>
          <w:szCs w:val="40"/>
        </w:rPr>
      </w:pPr>
    </w:p>
    <w:p w:rsidR="00453283" w:rsidRDefault="00453283" w:rsidP="00327E7B">
      <w:pPr>
        <w:jc w:val="center"/>
        <w:rPr>
          <w:rFonts w:cs="Arial"/>
          <w:b/>
          <w:bCs/>
          <w:color w:val="0000FF"/>
          <w:sz w:val="40"/>
          <w:szCs w:val="40"/>
        </w:rPr>
      </w:pPr>
    </w:p>
    <w:p w:rsidR="00453283" w:rsidRDefault="00453283" w:rsidP="00327E7B">
      <w:pPr>
        <w:jc w:val="center"/>
        <w:rPr>
          <w:rFonts w:cs="Arial"/>
          <w:b/>
          <w:bCs/>
          <w:color w:val="0000FF"/>
          <w:sz w:val="40"/>
          <w:szCs w:val="40"/>
        </w:rPr>
      </w:pPr>
    </w:p>
    <w:p w:rsidR="006D2737" w:rsidRDefault="006D2737" w:rsidP="00327E7B">
      <w:pPr>
        <w:jc w:val="center"/>
        <w:rPr>
          <w:rFonts w:cs="Arial"/>
          <w:b/>
          <w:bCs/>
          <w:color w:val="0000FF"/>
          <w:sz w:val="40"/>
          <w:szCs w:val="40"/>
        </w:rPr>
      </w:pPr>
      <w:r>
        <w:rPr>
          <w:rFonts w:cs="Arial"/>
          <w:b/>
          <w:bCs/>
          <w:color w:val="0000FF"/>
          <w:sz w:val="40"/>
          <w:szCs w:val="40"/>
        </w:rPr>
        <w:t>MARITIME UNION OF AUSTRALIA (MUA)</w:t>
      </w:r>
    </w:p>
    <w:p w:rsidR="000539E0" w:rsidRDefault="000539E0" w:rsidP="00327E7B">
      <w:pPr>
        <w:jc w:val="center"/>
        <w:rPr>
          <w:rFonts w:cs="Arial"/>
          <w:b/>
          <w:bCs/>
          <w:color w:val="0000FF"/>
          <w:sz w:val="40"/>
          <w:szCs w:val="40"/>
        </w:rPr>
      </w:pPr>
    </w:p>
    <w:p w:rsidR="00BB2C96" w:rsidRDefault="00BB2C96" w:rsidP="00327E7B">
      <w:pPr>
        <w:jc w:val="center"/>
        <w:rPr>
          <w:rFonts w:cs="Arial"/>
          <w:b/>
          <w:bCs/>
          <w:color w:val="0000FF"/>
          <w:sz w:val="40"/>
          <w:szCs w:val="40"/>
        </w:rPr>
      </w:pPr>
    </w:p>
    <w:p w:rsidR="001E05B7" w:rsidRDefault="00453283" w:rsidP="00327E7B">
      <w:pPr>
        <w:jc w:val="center"/>
        <w:rPr>
          <w:rFonts w:cs="Arial"/>
          <w:b/>
          <w:bCs/>
          <w:color w:val="0000FF"/>
          <w:sz w:val="40"/>
          <w:szCs w:val="40"/>
        </w:rPr>
      </w:pPr>
      <w:r>
        <w:rPr>
          <w:rFonts w:cs="Arial"/>
          <w:b/>
          <w:bCs/>
          <w:color w:val="0000FF"/>
          <w:sz w:val="40"/>
          <w:szCs w:val="40"/>
        </w:rPr>
        <w:t xml:space="preserve">SUPPLEMENTARY </w:t>
      </w:r>
      <w:r w:rsidR="001E05B7">
        <w:rPr>
          <w:rFonts w:cs="Arial"/>
          <w:b/>
          <w:bCs/>
          <w:color w:val="0000FF"/>
          <w:sz w:val="40"/>
          <w:szCs w:val="40"/>
        </w:rPr>
        <w:t>SUBM</w:t>
      </w:r>
      <w:r w:rsidR="0090231D">
        <w:rPr>
          <w:rFonts w:cs="Arial"/>
          <w:b/>
          <w:bCs/>
          <w:color w:val="0000FF"/>
          <w:sz w:val="40"/>
          <w:szCs w:val="40"/>
        </w:rPr>
        <w:t>IS</w:t>
      </w:r>
      <w:r w:rsidR="001E05B7">
        <w:rPr>
          <w:rFonts w:cs="Arial"/>
          <w:b/>
          <w:bCs/>
          <w:color w:val="0000FF"/>
          <w:sz w:val="40"/>
          <w:szCs w:val="40"/>
        </w:rPr>
        <w:t xml:space="preserve">SION TO </w:t>
      </w:r>
      <w:r w:rsidR="00577CEA">
        <w:rPr>
          <w:rFonts w:cs="Arial"/>
          <w:b/>
          <w:bCs/>
          <w:color w:val="0000FF"/>
          <w:sz w:val="40"/>
          <w:szCs w:val="40"/>
        </w:rPr>
        <w:t xml:space="preserve">THE </w:t>
      </w:r>
      <w:r w:rsidR="001E05B7">
        <w:rPr>
          <w:rFonts w:cs="Arial"/>
          <w:b/>
          <w:bCs/>
          <w:color w:val="0000FF"/>
          <w:sz w:val="40"/>
          <w:szCs w:val="40"/>
        </w:rPr>
        <w:t>PRODUCTIVITY COMMISSION</w:t>
      </w:r>
    </w:p>
    <w:p w:rsidR="00BB2C96" w:rsidRDefault="00BB2C96" w:rsidP="00327E7B">
      <w:pPr>
        <w:jc w:val="center"/>
        <w:rPr>
          <w:rFonts w:cs="Arial"/>
          <w:b/>
          <w:bCs/>
          <w:color w:val="0000FF"/>
          <w:sz w:val="40"/>
          <w:szCs w:val="40"/>
        </w:rPr>
      </w:pPr>
    </w:p>
    <w:p w:rsidR="00F72560" w:rsidRDefault="00F72560" w:rsidP="00327E7B">
      <w:pPr>
        <w:jc w:val="center"/>
        <w:rPr>
          <w:rFonts w:cs="Arial"/>
          <w:b/>
          <w:bCs/>
          <w:color w:val="0000FF"/>
          <w:sz w:val="40"/>
          <w:szCs w:val="40"/>
        </w:rPr>
      </w:pPr>
    </w:p>
    <w:p w:rsidR="00BC75BF" w:rsidRDefault="00BC75BF" w:rsidP="00327E7B">
      <w:pPr>
        <w:jc w:val="center"/>
        <w:rPr>
          <w:rFonts w:cs="Arial"/>
          <w:b/>
          <w:bCs/>
          <w:color w:val="0000FF"/>
          <w:sz w:val="40"/>
          <w:szCs w:val="40"/>
        </w:rPr>
      </w:pPr>
    </w:p>
    <w:p w:rsidR="001E05B7" w:rsidRDefault="001E05B7" w:rsidP="00327E7B">
      <w:pPr>
        <w:jc w:val="center"/>
        <w:rPr>
          <w:rFonts w:cs="Arial"/>
          <w:b/>
          <w:bCs/>
          <w:color w:val="0000FF"/>
          <w:sz w:val="40"/>
          <w:szCs w:val="40"/>
        </w:rPr>
      </w:pPr>
      <w:r>
        <w:rPr>
          <w:rFonts w:cs="Arial"/>
          <w:b/>
          <w:bCs/>
          <w:color w:val="0000FF"/>
          <w:sz w:val="40"/>
          <w:szCs w:val="40"/>
        </w:rPr>
        <w:t>RESP</w:t>
      </w:r>
      <w:r w:rsidR="0090231D">
        <w:rPr>
          <w:rFonts w:cs="Arial"/>
          <w:b/>
          <w:bCs/>
          <w:color w:val="0000FF"/>
          <w:sz w:val="40"/>
          <w:szCs w:val="40"/>
        </w:rPr>
        <w:t>O</w:t>
      </w:r>
      <w:r>
        <w:rPr>
          <w:rFonts w:cs="Arial"/>
          <w:b/>
          <w:bCs/>
          <w:color w:val="0000FF"/>
          <w:sz w:val="40"/>
          <w:szCs w:val="40"/>
        </w:rPr>
        <w:t>NSE TO DRAFT REPORT</w:t>
      </w:r>
      <w:r w:rsidR="00BB2C96">
        <w:rPr>
          <w:rFonts w:cs="Arial"/>
          <w:b/>
          <w:bCs/>
          <w:color w:val="0000FF"/>
          <w:sz w:val="40"/>
          <w:szCs w:val="40"/>
        </w:rPr>
        <w:t xml:space="preserve"> OF 24 JANUARY 2014</w:t>
      </w:r>
    </w:p>
    <w:p w:rsidR="00BB2C96" w:rsidRDefault="00BB2C96" w:rsidP="00327E7B">
      <w:pPr>
        <w:jc w:val="center"/>
        <w:rPr>
          <w:rFonts w:cs="Arial"/>
          <w:b/>
          <w:bCs/>
          <w:color w:val="0000FF"/>
          <w:sz w:val="40"/>
          <w:szCs w:val="40"/>
        </w:rPr>
      </w:pPr>
    </w:p>
    <w:p w:rsidR="001E05B7" w:rsidRDefault="001E05B7" w:rsidP="00327E7B">
      <w:pPr>
        <w:jc w:val="center"/>
        <w:rPr>
          <w:rFonts w:cs="Arial"/>
          <w:b/>
          <w:bCs/>
          <w:color w:val="0000FF"/>
          <w:sz w:val="40"/>
          <w:szCs w:val="40"/>
        </w:rPr>
      </w:pPr>
    </w:p>
    <w:p w:rsidR="001E05B7" w:rsidRDefault="001E05B7" w:rsidP="00327E7B">
      <w:pPr>
        <w:jc w:val="center"/>
        <w:rPr>
          <w:rFonts w:cs="Arial"/>
          <w:b/>
          <w:bCs/>
          <w:color w:val="0000FF"/>
          <w:sz w:val="40"/>
          <w:szCs w:val="40"/>
        </w:rPr>
      </w:pPr>
      <w:r>
        <w:rPr>
          <w:rFonts w:cs="Arial"/>
          <w:b/>
          <w:bCs/>
          <w:color w:val="0000FF"/>
          <w:sz w:val="40"/>
          <w:szCs w:val="40"/>
        </w:rPr>
        <w:t>INQUIRY INTO TASMANIAN SHIPPING AND FREIGHT</w:t>
      </w:r>
    </w:p>
    <w:p w:rsidR="001E05B7" w:rsidRDefault="001E05B7" w:rsidP="00327E7B">
      <w:pPr>
        <w:jc w:val="center"/>
        <w:rPr>
          <w:rFonts w:cs="Arial"/>
          <w:b/>
          <w:bCs/>
          <w:color w:val="0000FF"/>
          <w:sz w:val="40"/>
          <w:szCs w:val="40"/>
        </w:rPr>
      </w:pPr>
    </w:p>
    <w:p w:rsidR="001E05B7" w:rsidRDefault="001E05B7" w:rsidP="00327E7B">
      <w:pPr>
        <w:jc w:val="center"/>
        <w:rPr>
          <w:rFonts w:cs="Arial"/>
          <w:b/>
          <w:bCs/>
          <w:color w:val="0000FF"/>
          <w:sz w:val="40"/>
          <w:szCs w:val="40"/>
        </w:rPr>
      </w:pPr>
    </w:p>
    <w:p w:rsidR="001E05B7" w:rsidRPr="00C55967" w:rsidRDefault="00C55967" w:rsidP="00C55967">
      <w:pPr>
        <w:pStyle w:val="ListParagraph"/>
        <w:numPr>
          <w:ilvl w:val="0"/>
          <w:numId w:val="20"/>
        </w:numPr>
        <w:jc w:val="center"/>
        <w:rPr>
          <w:rFonts w:cs="Arial"/>
          <w:b/>
          <w:bCs/>
          <w:color w:val="0000FF"/>
          <w:sz w:val="40"/>
          <w:szCs w:val="40"/>
        </w:rPr>
      </w:pPr>
      <w:r>
        <w:rPr>
          <w:rFonts w:cs="Arial"/>
          <w:b/>
          <w:bCs/>
          <w:color w:val="0000FF"/>
          <w:sz w:val="40"/>
          <w:szCs w:val="40"/>
        </w:rPr>
        <w:t>FEBRUARY</w:t>
      </w:r>
      <w:r w:rsidR="001E05B7" w:rsidRPr="00C55967">
        <w:rPr>
          <w:rFonts w:cs="Arial"/>
          <w:b/>
          <w:bCs/>
          <w:color w:val="0000FF"/>
          <w:sz w:val="40"/>
          <w:szCs w:val="40"/>
        </w:rPr>
        <w:t xml:space="preserve"> 2014</w:t>
      </w:r>
    </w:p>
    <w:p w:rsidR="00CD1A1E" w:rsidRPr="00CD1A1E" w:rsidRDefault="00CD1A1E" w:rsidP="00CD1A1E">
      <w:pPr>
        <w:jc w:val="center"/>
        <w:rPr>
          <w:rFonts w:cs="Arial"/>
          <w:b/>
          <w:bCs/>
          <w:color w:val="0000FF"/>
        </w:rPr>
      </w:pPr>
    </w:p>
    <w:p w:rsidR="001A2C10" w:rsidRDefault="001A2C10" w:rsidP="001A2C10">
      <w:pPr>
        <w:rPr>
          <w:rFonts w:cs="Arial"/>
          <w:b/>
          <w:bCs/>
          <w:color w:val="0070C0"/>
        </w:rPr>
      </w:pPr>
      <w:r>
        <w:rPr>
          <w:rFonts w:cs="Arial"/>
          <w:b/>
          <w:bCs/>
          <w:color w:val="0070C0"/>
        </w:rPr>
        <w:lastRenderedPageBreak/>
        <w:t>Executive summary</w:t>
      </w:r>
    </w:p>
    <w:p w:rsidR="001A2C10" w:rsidRPr="001A2C10" w:rsidRDefault="001A2C10" w:rsidP="001A2C10">
      <w:pPr>
        <w:rPr>
          <w:rFonts w:cs="Arial"/>
          <w:bCs/>
        </w:rPr>
      </w:pPr>
    </w:p>
    <w:p w:rsidR="001A2C10" w:rsidRPr="00C55967" w:rsidRDefault="001A2C10" w:rsidP="00C55967">
      <w:pPr>
        <w:pStyle w:val="ListParagraph"/>
        <w:numPr>
          <w:ilvl w:val="0"/>
          <w:numId w:val="18"/>
        </w:numPr>
        <w:rPr>
          <w:rFonts w:cs="Arial"/>
          <w:bCs/>
        </w:rPr>
      </w:pPr>
      <w:r w:rsidRPr="00C55967">
        <w:rPr>
          <w:rFonts w:cs="Arial"/>
          <w:bCs/>
        </w:rPr>
        <w:t xml:space="preserve">We are concerned that the </w:t>
      </w:r>
      <w:r w:rsidR="00A72E02">
        <w:rPr>
          <w:rFonts w:cs="Arial"/>
          <w:bCs/>
        </w:rPr>
        <w:t>Productivity Commission (</w:t>
      </w:r>
      <w:r w:rsidRPr="00C55967">
        <w:rPr>
          <w:rFonts w:cs="Arial"/>
          <w:bCs/>
        </w:rPr>
        <w:t>PC</w:t>
      </w:r>
      <w:r w:rsidR="00A72E02">
        <w:rPr>
          <w:rFonts w:cs="Arial"/>
          <w:bCs/>
        </w:rPr>
        <w:t>)</w:t>
      </w:r>
      <w:r w:rsidRPr="00C55967">
        <w:rPr>
          <w:rFonts w:cs="Arial"/>
          <w:bCs/>
        </w:rPr>
        <w:t xml:space="preserve"> may have reached a con</w:t>
      </w:r>
      <w:r w:rsidR="00A72E02">
        <w:rPr>
          <w:rFonts w:cs="Arial"/>
          <w:bCs/>
        </w:rPr>
        <w:t>clusion about the need for</w:t>
      </w:r>
      <w:r w:rsidRPr="00C55967">
        <w:rPr>
          <w:rFonts w:cs="Arial"/>
          <w:bCs/>
        </w:rPr>
        <w:t xml:space="preserve"> a radical change in the </w:t>
      </w:r>
      <w:r w:rsidR="000179D0" w:rsidRPr="00C55967">
        <w:rPr>
          <w:rFonts w:cs="Arial"/>
          <w:bCs/>
        </w:rPr>
        <w:t>regulatory</w:t>
      </w:r>
      <w:r w:rsidRPr="00C55967">
        <w:rPr>
          <w:rFonts w:cs="Arial"/>
          <w:bCs/>
        </w:rPr>
        <w:t xml:space="preserve"> framework for </w:t>
      </w:r>
      <w:r w:rsidR="000179D0" w:rsidRPr="00C55967">
        <w:rPr>
          <w:rFonts w:cs="Arial"/>
          <w:bCs/>
        </w:rPr>
        <w:t>Australian</w:t>
      </w:r>
      <w:r w:rsidRPr="00C55967">
        <w:rPr>
          <w:rFonts w:cs="Arial"/>
          <w:bCs/>
        </w:rPr>
        <w:t xml:space="preserve"> coastal shipping</w:t>
      </w:r>
      <w:r w:rsidR="00792F83" w:rsidRPr="00C55967">
        <w:rPr>
          <w:rFonts w:cs="Arial"/>
          <w:bCs/>
        </w:rPr>
        <w:t xml:space="preserve"> based on </w:t>
      </w:r>
      <w:r w:rsidR="000179D0" w:rsidRPr="00C55967">
        <w:rPr>
          <w:rFonts w:cs="Arial"/>
          <w:bCs/>
        </w:rPr>
        <w:t>questionable</w:t>
      </w:r>
      <w:r w:rsidR="00792F83" w:rsidRPr="00C55967">
        <w:rPr>
          <w:rFonts w:cs="Arial"/>
          <w:bCs/>
        </w:rPr>
        <w:t xml:space="preserve"> </w:t>
      </w:r>
      <w:r w:rsidR="000179D0" w:rsidRPr="00C55967">
        <w:rPr>
          <w:rFonts w:cs="Arial"/>
          <w:bCs/>
        </w:rPr>
        <w:t>evidence</w:t>
      </w:r>
      <w:r w:rsidR="00792F83" w:rsidRPr="00C55967">
        <w:rPr>
          <w:rFonts w:cs="Arial"/>
          <w:bCs/>
        </w:rPr>
        <w:t xml:space="preserve"> a</w:t>
      </w:r>
      <w:r w:rsidR="00C64CB2" w:rsidRPr="00C55967">
        <w:rPr>
          <w:rFonts w:cs="Arial"/>
          <w:bCs/>
        </w:rPr>
        <w:t xml:space="preserve">nd without a </w:t>
      </w:r>
      <w:r w:rsidR="00792F83" w:rsidRPr="00C55967">
        <w:rPr>
          <w:rFonts w:cs="Arial"/>
          <w:bCs/>
        </w:rPr>
        <w:t>cost benefit analysis</w:t>
      </w:r>
      <w:r w:rsidR="00C64CB2" w:rsidRPr="00C55967">
        <w:rPr>
          <w:rFonts w:cs="Arial"/>
          <w:bCs/>
        </w:rPr>
        <w:t xml:space="preserve"> being undertaken</w:t>
      </w:r>
      <w:r w:rsidR="00A72E02">
        <w:rPr>
          <w:rFonts w:cs="Arial"/>
          <w:bCs/>
        </w:rPr>
        <w:t xml:space="preserve"> as to the impact of its </w:t>
      </w:r>
      <w:r w:rsidR="00B56666">
        <w:rPr>
          <w:rFonts w:cs="Arial"/>
          <w:bCs/>
        </w:rPr>
        <w:t>proposed</w:t>
      </w:r>
      <w:r w:rsidR="00A72E02">
        <w:rPr>
          <w:rFonts w:cs="Arial"/>
          <w:bCs/>
        </w:rPr>
        <w:t xml:space="preserve"> approach</w:t>
      </w:r>
      <w:r w:rsidR="00C55967">
        <w:rPr>
          <w:rFonts w:cs="Arial"/>
          <w:bCs/>
        </w:rPr>
        <w:t>.</w:t>
      </w:r>
    </w:p>
    <w:p w:rsidR="001A2C10" w:rsidRDefault="001A2C10" w:rsidP="001A2C10">
      <w:pPr>
        <w:rPr>
          <w:rFonts w:cs="Arial"/>
          <w:bCs/>
        </w:rPr>
      </w:pPr>
    </w:p>
    <w:p w:rsidR="001A2C10" w:rsidRPr="00C55967" w:rsidRDefault="000179D0" w:rsidP="00C55967">
      <w:pPr>
        <w:pStyle w:val="ListParagraph"/>
        <w:numPr>
          <w:ilvl w:val="0"/>
          <w:numId w:val="18"/>
        </w:numPr>
        <w:rPr>
          <w:rFonts w:cs="Arial"/>
          <w:bCs/>
        </w:rPr>
      </w:pPr>
      <w:r w:rsidRPr="00C55967">
        <w:rPr>
          <w:rFonts w:cs="Arial"/>
          <w:bCs/>
        </w:rPr>
        <w:t>Recommendation</w:t>
      </w:r>
      <w:r w:rsidR="001A2C10" w:rsidRPr="00C55967">
        <w:rPr>
          <w:rFonts w:cs="Arial"/>
          <w:bCs/>
        </w:rPr>
        <w:t xml:space="preserve"> 1 in the draft </w:t>
      </w:r>
      <w:r w:rsidRPr="00C55967">
        <w:rPr>
          <w:rFonts w:cs="Arial"/>
          <w:bCs/>
        </w:rPr>
        <w:t>report</w:t>
      </w:r>
      <w:r w:rsidR="001A2C10" w:rsidRPr="00C55967">
        <w:rPr>
          <w:rFonts w:cs="Arial"/>
          <w:bCs/>
        </w:rPr>
        <w:t xml:space="preserve"> may appear, prima facie, quite benign </w:t>
      </w:r>
      <w:r w:rsidR="00C55967">
        <w:rPr>
          <w:rFonts w:cs="Arial"/>
          <w:bCs/>
        </w:rPr>
        <w:t>and superficially</w:t>
      </w:r>
      <w:r w:rsidR="001A2C10" w:rsidRPr="00C55967">
        <w:rPr>
          <w:rFonts w:cs="Arial"/>
          <w:bCs/>
        </w:rPr>
        <w:t xml:space="preserve"> attractive</w:t>
      </w:r>
      <w:r w:rsidR="00C55967">
        <w:rPr>
          <w:rFonts w:cs="Arial"/>
          <w:bCs/>
        </w:rPr>
        <w:t>,</w:t>
      </w:r>
      <w:r w:rsidR="001A2C10" w:rsidRPr="00C55967">
        <w:rPr>
          <w:rFonts w:cs="Arial"/>
          <w:bCs/>
        </w:rPr>
        <w:t xml:space="preserve"> in that it urges the </w:t>
      </w:r>
      <w:r w:rsidRPr="00C55967">
        <w:rPr>
          <w:rFonts w:cs="Arial"/>
          <w:bCs/>
        </w:rPr>
        <w:t>Government</w:t>
      </w:r>
      <w:r w:rsidR="001A2C10" w:rsidRPr="00C55967">
        <w:rPr>
          <w:rFonts w:cs="Arial"/>
          <w:bCs/>
        </w:rPr>
        <w:t xml:space="preserve"> to </w:t>
      </w:r>
      <w:r w:rsidRPr="00C55967">
        <w:rPr>
          <w:rFonts w:cs="Arial"/>
          <w:bCs/>
        </w:rPr>
        <w:t>undertake</w:t>
      </w:r>
      <w:r w:rsidR="001A2C10" w:rsidRPr="00C55967">
        <w:rPr>
          <w:rFonts w:cs="Arial"/>
          <w:bCs/>
        </w:rPr>
        <w:t xml:space="preserve"> a review of coastal shipping</w:t>
      </w:r>
      <w:r w:rsidR="00A72E02">
        <w:rPr>
          <w:rFonts w:cs="Arial"/>
          <w:bCs/>
        </w:rPr>
        <w:t>,</w:t>
      </w:r>
      <w:r w:rsidR="001A2C10" w:rsidRPr="00C55967">
        <w:rPr>
          <w:rFonts w:cs="Arial"/>
          <w:bCs/>
        </w:rPr>
        <w:t xml:space="preserve"> suggesting that review happen quickly and that it aim at achieving the most efficient coastal shipping services possible</w:t>
      </w:r>
      <w:r w:rsidR="00C55967">
        <w:rPr>
          <w:rFonts w:cs="Arial"/>
          <w:bCs/>
        </w:rPr>
        <w:t>.</w:t>
      </w:r>
    </w:p>
    <w:p w:rsidR="001A2C10" w:rsidRDefault="001A2C10" w:rsidP="001A2C10">
      <w:pPr>
        <w:rPr>
          <w:rFonts w:cs="Arial"/>
          <w:bCs/>
        </w:rPr>
      </w:pPr>
    </w:p>
    <w:p w:rsidR="00792F83" w:rsidRPr="00C55967" w:rsidRDefault="00C64CB2" w:rsidP="00A72E02">
      <w:pPr>
        <w:pStyle w:val="ListParagraph"/>
        <w:numPr>
          <w:ilvl w:val="0"/>
          <w:numId w:val="18"/>
        </w:numPr>
        <w:rPr>
          <w:rFonts w:cs="Arial"/>
          <w:bCs/>
        </w:rPr>
      </w:pPr>
      <w:r w:rsidRPr="00C55967">
        <w:rPr>
          <w:rFonts w:cs="Arial"/>
          <w:bCs/>
        </w:rPr>
        <w:t xml:space="preserve">We agree that there is </w:t>
      </w:r>
      <w:r w:rsidR="00792F83" w:rsidRPr="00C55967">
        <w:rPr>
          <w:rFonts w:cs="Arial"/>
          <w:bCs/>
        </w:rPr>
        <w:t xml:space="preserve">nothing wrong </w:t>
      </w:r>
      <w:r w:rsidR="000179D0" w:rsidRPr="00C55967">
        <w:rPr>
          <w:rFonts w:cs="Arial"/>
          <w:bCs/>
        </w:rPr>
        <w:t>with</w:t>
      </w:r>
      <w:r w:rsidR="00792F83" w:rsidRPr="00C55967">
        <w:rPr>
          <w:rFonts w:cs="Arial"/>
          <w:bCs/>
        </w:rPr>
        <w:t xml:space="preserve"> a review – the </w:t>
      </w:r>
      <w:r w:rsidR="00B56666">
        <w:rPr>
          <w:rFonts w:cs="Arial"/>
          <w:bCs/>
        </w:rPr>
        <w:t>Maritime</w:t>
      </w:r>
      <w:r w:rsidR="00A72E02">
        <w:rPr>
          <w:rFonts w:cs="Arial"/>
          <w:bCs/>
        </w:rPr>
        <w:t xml:space="preserve"> </w:t>
      </w:r>
      <w:r w:rsidR="00B56666">
        <w:rPr>
          <w:rFonts w:cs="Arial"/>
          <w:bCs/>
        </w:rPr>
        <w:t>Union</w:t>
      </w:r>
      <w:r w:rsidR="00A72E02">
        <w:rPr>
          <w:rFonts w:cs="Arial"/>
          <w:bCs/>
        </w:rPr>
        <w:t xml:space="preserve"> of Australia (</w:t>
      </w:r>
      <w:r w:rsidR="00792F83" w:rsidRPr="00C55967">
        <w:rPr>
          <w:rFonts w:cs="Arial"/>
          <w:bCs/>
        </w:rPr>
        <w:t>MUA</w:t>
      </w:r>
      <w:r w:rsidR="00A72E02">
        <w:rPr>
          <w:rFonts w:cs="Arial"/>
          <w:bCs/>
        </w:rPr>
        <w:t>)</w:t>
      </w:r>
      <w:r w:rsidR="00792F83" w:rsidRPr="00C55967">
        <w:rPr>
          <w:rFonts w:cs="Arial"/>
          <w:bCs/>
        </w:rPr>
        <w:t xml:space="preserve"> has</w:t>
      </w:r>
      <w:r w:rsidR="00A72E02">
        <w:rPr>
          <w:rFonts w:cs="Arial"/>
          <w:bCs/>
        </w:rPr>
        <w:t xml:space="preserve"> publicly</w:t>
      </w:r>
      <w:r w:rsidR="00792F83" w:rsidRPr="00C55967">
        <w:rPr>
          <w:rFonts w:cs="Arial"/>
          <w:bCs/>
        </w:rPr>
        <w:t xml:space="preserve"> indicated </w:t>
      </w:r>
      <w:r w:rsidR="00A72E02">
        <w:rPr>
          <w:rFonts w:cs="Arial"/>
          <w:bCs/>
        </w:rPr>
        <w:t xml:space="preserve">that </w:t>
      </w:r>
      <w:r w:rsidRPr="00C55967">
        <w:rPr>
          <w:rFonts w:cs="Arial"/>
          <w:bCs/>
        </w:rPr>
        <w:t xml:space="preserve">a review </w:t>
      </w:r>
      <w:r w:rsidR="00A72E02">
        <w:rPr>
          <w:rFonts w:cs="Arial"/>
          <w:bCs/>
        </w:rPr>
        <w:t xml:space="preserve">of coastal shipping legislation </w:t>
      </w:r>
      <w:r w:rsidRPr="00C55967">
        <w:rPr>
          <w:rFonts w:cs="Arial"/>
          <w:bCs/>
        </w:rPr>
        <w:t xml:space="preserve">could </w:t>
      </w:r>
      <w:r w:rsidR="000179D0" w:rsidRPr="00C55967">
        <w:rPr>
          <w:rFonts w:cs="Arial"/>
          <w:bCs/>
        </w:rPr>
        <w:t>potentially</w:t>
      </w:r>
      <w:r w:rsidR="00792F83" w:rsidRPr="00C55967">
        <w:rPr>
          <w:rFonts w:cs="Arial"/>
          <w:bCs/>
        </w:rPr>
        <w:t xml:space="preserve"> be a useful </w:t>
      </w:r>
      <w:r w:rsidR="000179D0" w:rsidRPr="00C55967">
        <w:rPr>
          <w:rFonts w:cs="Arial"/>
          <w:bCs/>
        </w:rPr>
        <w:t>mechanism</w:t>
      </w:r>
      <w:r w:rsidR="00792F83" w:rsidRPr="00C55967">
        <w:rPr>
          <w:rFonts w:cs="Arial"/>
          <w:bCs/>
        </w:rPr>
        <w:t xml:space="preserve"> to </w:t>
      </w:r>
      <w:r w:rsidR="000179D0" w:rsidRPr="00C55967">
        <w:rPr>
          <w:rFonts w:cs="Arial"/>
          <w:bCs/>
        </w:rPr>
        <w:t>resolve</w:t>
      </w:r>
      <w:r w:rsidR="00792F83" w:rsidRPr="00C55967">
        <w:rPr>
          <w:rFonts w:cs="Arial"/>
          <w:bCs/>
        </w:rPr>
        <w:t xml:space="preserve"> some unintended </w:t>
      </w:r>
      <w:r w:rsidR="000179D0" w:rsidRPr="00C55967">
        <w:rPr>
          <w:rFonts w:cs="Arial"/>
          <w:bCs/>
        </w:rPr>
        <w:t>consequences</w:t>
      </w:r>
      <w:r w:rsidR="00792F83" w:rsidRPr="00C55967">
        <w:rPr>
          <w:rFonts w:cs="Arial"/>
          <w:bCs/>
        </w:rPr>
        <w:t xml:space="preserve"> of the </w:t>
      </w:r>
      <w:r w:rsidR="000179D0" w:rsidRPr="00C55967">
        <w:rPr>
          <w:rFonts w:cs="Arial"/>
          <w:bCs/>
        </w:rPr>
        <w:t>operation</w:t>
      </w:r>
      <w:r w:rsidR="00792F83" w:rsidRPr="00C55967">
        <w:rPr>
          <w:rFonts w:cs="Arial"/>
          <w:bCs/>
        </w:rPr>
        <w:t xml:space="preserve"> of the </w:t>
      </w:r>
      <w:r w:rsidR="00A72E02" w:rsidRPr="00A72E02">
        <w:rPr>
          <w:rFonts w:cs="Arial"/>
          <w:bCs/>
          <w:i/>
        </w:rPr>
        <w:t>Coastal Trading (Revitalising Australian Shipping) Act 2012</w:t>
      </w:r>
      <w:r w:rsidR="00A72E02">
        <w:rPr>
          <w:rFonts w:cs="Arial"/>
          <w:bCs/>
        </w:rPr>
        <w:t xml:space="preserve"> (the CT Act) </w:t>
      </w:r>
      <w:r w:rsidR="00792F83" w:rsidRPr="00C55967">
        <w:rPr>
          <w:rFonts w:cs="Arial"/>
          <w:bCs/>
        </w:rPr>
        <w:t xml:space="preserve">and to </w:t>
      </w:r>
      <w:r w:rsidR="000179D0" w:rsidRPr="00C55967">
        <w:rPr>
          <w:rFonts w:cs="Arial"/>
          <w:bCs/>
        </w:rPr>
        <w:t>clarify</w:t>
      </w:r>
      <w:r w:rsidR="00792F83" w:rsidRPr="00C55967">
        <w:rPr>
          <w:rFonts w:cs="Arial"/>
          <w:bCs/>
        </w:rPr>
        <w:t xml:space="preserve"> some ambiguities and flaws in the legislation</w:t>
      </w:r>
      <w:r w:rsidR="00C55967">
        <w:rPr>
          <w:rFonts w:cs="Arial"/>
          <w:bCs/>
        </w:rPr>
        <w:t>.</w:t>
      </w:r>
    </w:p>
    <w:p w:rsidR="00792F83" w:rsidRDefault="00792F83" w:rsidP="001A2C10">
      <w:pPr>
        <w:rPr>
          <w:rFonts w:cs="Arial"/>
          <w:bCs/>
        </w:rPr>
      </w:pPr>
    </w:p>
    <w:p w:rsidR="001A2C10" w:rsidRPr="00C55967" w:rsidRDefault="001A2C10" w:rsidP="00C55967">
      <w:pPr>
        <w:pStyle w:val="ListParagraph"/>
        <w:numPr>
          <w:ilvl w:val="0"/>
          <w:numId w:val="18"/>
        </w:numPr>
        <w:rPr>
          <w:rFonts w:cs="Arial"/>
          <w:bCs/>
        </w:rPr>
      </w:pPr>
      <w:r w:rsidRPr="00C55967">
        <w:rPr>
          <w:rFonts w:cs="Arial"/>
          <w:bCs/>
        </w:rPr>
        <w:t xml:space="preserve">However, it is the detail in the Draft report that points to the outcome </w:t>
      </w:r>
      <w:r w:rsidR="00792F83" w:rsidRPr="00C55967">
        <w:rPr>
          <w:rFonts w:cs="Arial"/>
          <w:bCs/>
        </w:rPr>
        <w:t xml:space="preserve">of that </w:t>
      </w:r>
      <w:r w:rsidR="000179D0" w:rsidRPr="00C55967">
        <w:rPr>
          <w:rFonts w:cs="Arial"/>
          <w:bCs/>
        </w:rPr>
        <w:t>review</w:t>
      </w:r>
      <w:r w:rsidR="00792F83" w:rsidRPr="00C55967">
        <w:rPr>
          <w:rFonts w:cs="Arial"/>
          <w:bCs/>
        </w:rPr>
        <w:t xml:space="preserve"> </w:t>
      </w:r>
      <w:r w:rsidRPr="00C55967">
        <w:rPr>
          <w:rFonts w:cs="Arial"/>
          <w:bCs/>
        </w:rPr>
        <w:t xml:space="preserve">that </w:t>
      </w:r>
      <w:r w:rsidR="000179D0" w:rsidRPr="00C55967">
        <w:rPr>
          <w:rFonts w:cs="Arial"/>
          <w:bCs/>
        </w:rPr>
        <w:t>the</w:t>
      </w:r>
      <w:r w:rsidRPr="00C55967">
        <w:rPr>
          <w:rFonts w:cs="Arial"/>
          <w:bCs/>
        </w:rPr>
        <w:t xml:space="preserve"> PC is </w:t>
      </w:r>
      <w:r w:rsidR="000179D0" w:rsidRPr="00C55967">
        <w:rPr>
          <w:rFonts w:cs="Arial"/>
          <w:bCs/>
        </w:rPr>
        <w:t>proposing</w:t>
      </w:r>
      <w:r w:rsidR="00792F83" w:rsidRPr="00C55967">
        <w:rPr>
          <w:rFonts w:cs="Arial"/>
          <w:bCs/>
        </w:rPr>
        <w:t xml:space="preserve"> that is not at all </w:t>
      </w:r>
      <w:r w:rsidR="000179D0" w:rsidRPr="00C55967">
        <w:rPr>
          <w:rFonts w:cs="Arial"/>
          <w:bCs/>
        </w:rPr>
        <w:t>benign</w:t>
      </w:r>
      <w:r w:rsidR="00C55967">
        <w:rPr>
          <w:rFonts w:cs="Arial"/>
          <w:bCs/>
        </w:rPr>
        <w:t>.</w:t>
      </w:r>
    </w:p>
    <w:p w:rsidR="00792F83" w:rsidRDefault="00792F83" w:rsidP="001A2C10">
      <w:pPr>
        <w:rPr>
          <w:rFonts w:cs="Arial"/>
          <w:bCs/>
        </w:rPr>
      </w:pPr>
    </w:p>
    <w:p w:rsidR="00792F83" w:rsidRPr="00C55967" w:rsidRDefault="00792F83" w:rsidP="00C55967">
      <w:pPr>
        <w:pStyle w:val="ListParagraph"/>
        <w:numPr>
          <w:ilvl w:val="0"/>
          <w:numId w:val="18"/>
        </w:numPr>
        <w:rPr>
          <w:rFonts w:cs="Arial"/>
          <w:bCs/>
        </w:rPr>
      </w:pPr>
      <w:r w:rsidRPr="00C55967">
        <w:rPr>
          <w:rFonts w:cs="Arial"/>
          <w:bCs/>
        </w:rPr>
        <w:t xml:space="preserve">What the PC is clearly </w:t>
      </w:r>
      <w:r w:rsidR="000179D0" w:rsidRPr="00C55967">
        <w:rPr>
          <w:rFonts w:cs="Arial"/>
          <w:bCs/>
        </w:rPr>
        <w:t>proposing</w:t>
      </w:r>
      <w:r w:rsidRPr="00C55967">
        <w:rPr>
          <w:rFonts w:cs="Arial"/>
          <w:bCs/>
        </w:rPr>
        <w:t xml:space="preserve"> is wholesale </w:t>
      </w:r>
      <w:r w:rsidR="000179D0" w:rsidRPr="00C55967">
        <w:rPr>
          <w:rFonts w:cs="Arial"/>
          <w:bCs/>
        </w:rPr>
        <w:t>deregulation</w:t>
      </w:r>
      <w:r w:rsidRPr="00C55967">
        <w:rPr>
          <w:rFonts w:cs="Arial"/>
          <w:bCs/>
        </w:rPr>
        <w:t xml:space="preserve"> of </w:t>
      </w:r>
      <w:r w:rsidR="000179D0" w:rsidRPr="00C55967">
        <w:rPr>
          <w:rFonts w:cs="Arial"/>
          <w:bCs/>
        </w:rPr>
        <w:t>Australian</w:t>
      </w:r>
      <w:r w:rsidRPr="00C55967">
        <w:rPr>
          <w:rFonts w:cs="Arial"/>
          <w:bCs/>
        </w:rPr>
        <w:t xml:space="preserve"> co</w:t>
      </w:r>
      <w:r w:rsidR="00C64CB2" w:rsidRPr="00C55967">
        <w:rPr>
          <w:rFonts w:cs="Arial"/>
          <w:bCs/>
        </w:rPr>
        <w:t>a</w:t>
      </w:r>
      <w:r w:rsidRPr="00C55967">
        <w:rPr>
          <w:rFonts w:cs="Arial"/>
          <w:bCs/>
        </w:rPr>
        <w:t xml:space="preserve">stal shipping – </w:t>
      </w:r>
      <w:r w:rsidR="00A72E02">
        <w:rPr>
          <w:rFonts w:cs="Arial"/>
          <w:bCs/>
        </w:rPr>
        <w:t xml:space="preserve">in effect </w:t>
      </w:r>
      <w:r w:rsidRPr="00C55967">
        <w:rPr>
          <w:rFonts w:cs="Arial"/>
          <w:bCs/>
        </w:rPr>
        <w:t xml:space="preserve">the repeal of the CT Act.  </w:t>
      </w:r>
      <w:r w:rsidR="00C64CB2" w:rsidRPr="00C55967">
        <w:rPr>
          <w:rFonts w:cs="Arial"/>
          <w:bCs/>
        </w:rPr>
        <w:t xml:space="preserve">What is </w:t>
      </w:r>
      <w:r w:rsidR="000179D0" w:rsidRPr="00C55967">
        <w:rPr>
          <w:rFonts w:cs="Arial"/>
          <w:bCs/>
        </w:rPr>
        <w:t>proposed</w:t>
      </w:r>
      <w:r w:rsidR="00C64CB2" w:rsidRPr="00C55967">
        <w:rPr>
          <w:rFonts w:cs="Arial"/>
          <w:bCs/>
        </w:rPr>
        <w:t xml:space="preserve"> is </w:t>
      </w:r>
      <w:r w:rsidR="000179D0" w:rsidRPr="00C55967">
        <w:rPr>
          <w:rFonts w:cs="Arial"/>
          <w:bCs/>
        </w:rPr>
        <w:t>not even</w:t>
      </w:r>
      <w:r w:rsidR="00621B93" w:rsidRPr="00C55967">
        <w:rPr>
          <w:rFonts w:cs="Arial"/>
          <w:bCs/>
        </w:rPr>
        <w:t xml:space="preserve"> a return to the previous Permit </w:t>
      </w:r>
      <w:r w:rsidR="000179D0" w:rsidRPr="00C55967">
        <w:rPr>
          <w:rFonts w:cs="Arial"/>
          <w:bCs/>
        </w:rPr>
        <w:t>system</w:t>
      </w:r>
      <w:r w:rsidR="00621B93" w:rsidRPr="00C55967">
        <w:rPr>
          <w:rFonts w:cs="Arial"/>
          <w:bCs/>
        </w:rPr>
        <w:t>, or som</w:t>
      </w:r>
      <w:r w:rsidR="00C64CB2" w:rsidRPr="00C55967">
        <w:rPr>
          <w:rFonts w:cs="Arial"/>
          <w:bCs/>
        </w:rPr>
        <w:t xml:space="preserve">e form of regulatory </w:t>
      </w:r>
      <w:r w:rsidR="000179D0" w:rsidRPr="00C55967">
        <w:rPr>
          <w:rFonts w:cs="Arial"/>
          <w:bCs/>
        </w:rPr>
        <w:t>framework</w:t>
      </w:r>
      <w:r w:rsidR="00621B93" w:rsidRPr="00C55967">
        <w:rPr>
          <w:rFonts w:cs="Arial"/>
          <w:bCs/>
        </w:rPr>
        <w:t xml:space="preserve"> that </w:t>
      </w:r>
      <w:r w:rsidR="00C64CB2" w:rsidRPr="00C55967">
        <w:rPr>
          <w:rFonts w:cs="Arial"/>
          <w:bCs/>
        </w:rPr>
        <w:t>promotes</w:t>
      </w:r>
      <w:r w:rsidR="00621B93" w:rsidRPr="00C55967">
        <w:rPr>
          <w:rFonts w:cs="Arial"/>
          <w:bCs/>
        </w:rPr>
        <w:t xml:space="preserve"> competition.  </w:t>
      </w:r>
      <w:r w:rsidR="000179D0" w:rsidRPr="00C55967">
        <w:rPr>
          <w:rFonts w:cs="Arial"/>
          <w:bCs/>
        </w:rPr>
        <w:t>There are no caveats or qualifications in anything the PC has put forward in the draft report</w:t>
      </w:r>
      <w:r w:rsidR="00C55967">
        <w:rPr>
          <w:rFonts w:cs="Arial"/>
          <w:bCs/>
        </w:rPr>
        <w:t>.</w:t>
      </w:r>
    </w:p>
    <w:p w:rsidR="00792F83" w:rsidRDefault="00792F83" w:rsidP="001A2C10">
      <w:pPr>
        <w:rPr>
          <w:rFonts w:cs="Arial"/>
          <w:bCs/>
        </w:rPr>
      </w:pPr>
    </w:p>
    <w:p w:rsidR="00C64CB2" w:rsidRPr="00C55967" w:rsidRDefault="00792F83" w:rsidP="00C55967">
      <w:pPr>
        <w:pStyle w:val="ListParagraph"/>
        <w:numPr>
          <w:ilvl w:val="0"/>
          <w:numId w:val="18"/>
        </w:numPr>
        <w:rPr>
          <w:rFonts w:cs="Arial"/>
          <w:bCs/>
        </w:rPr>
      </w:pPr>
      <w:r w:rsidRPr="00C55967">
        <w:rPr>
          <w:rFonts w:cs="Arial"/>
          <w:bCs/>
        </w:rPr>
        <w:t>Thi</w:t>
      </w:r>
      <w:r w:rsidR="00A72E02">
        <w:rPr>
          <w:rFonts w:cs="Arial"/>
          <w:bCs/>
        </w:rPr>
        <w:t>s is in essence is a proposal</w:t>
      </w:r>
      <w:r w:rsidRPr="00C55967">
        <w:rPr>
          <w:rFonts w:cs="Arial"/>
          <w:bCs/>
        </w:rPr>
        <w:t xml:space="preserve"> for the complete dismantling of an entire </w:t>
      </w:r>
      <w:r w:rsidR="000179D0" w:rsidRPr="00C55967">
        <w:rPr>
          <w:rFonts w:cs="Arial"/>
          <w:bCs/>
        </w:rPr>
        <w:t>Australian</w:t>
      </w:r>
      <w:r w:rsidRPr="00C55967">
        <w:rPr>
          <w:rFonts w:cs="Arial"/>
          <w:bCs/>
        </w:rPr>
        <w:t xml:space="preserve"> service</w:t>
      </w:r>
      <w:r w:rsidR="00C64CB2" w:rsidRPr="00C55967">
        <w:rPr>
          <w:rFonts w:cs="Arial"/>
          <w:bCs/>
        </w:rPr>
        <w:t xml:space="preserve"> industry.</w:t>
      </w:r>
    </w:p>
    <w:p w:rsidR="00C64CB2" w:rsidRDefault="00C64CB2" w:rsidP="001A2C10">
      <w:pPr>
        <w:rPr>
          <w:rFonts w:cs="Arial"/>
          <w:bCs/>
        </w:rPr>
      </w:pPr>
    </w:p>
    <w:p w:rsidR="00792F83" w:rsidRPr="00C55967" w:rsidRDefault="000179D0" w:rsidP="00C55967">
      <w:pPr>
        <w:pStyle w:val="ListParagraph"/>
        <w:numPr>
          <w:ilvl w:val="0"/>
          <w:numId w:val="18"/>
        </w:numPr>
        <w:rPr>
          <w:rFonts w:cs="Arial"/>
          <w:bCs/>
        </w:rPr>
      </w:pPr>
      <w:r w:rsidRPr="00C55967">
        <w:rPr>
          <w:rFonts w:cs="Arial"/>
          <w:bCs/>
        </w:rPr>
        <w:t xml:space="preserve">It would lead to the replacement of a </w:t>
      </w:r>
      <w:r w:rsidR="00A72E02">
        <w:rPr>
          <w:rFonts w:cs="Arial"/>
          <w:bCs/>
        </w:rPr>
        <w:t xml:space="preserve">shipping </w:t>
      </w:r>
      <w:r w:rsidRPr="00C55967">
        <w:rPr>
          <w:rFonts w:cs="Arial"/>
          <w:bCs/>
        </w:rPr>
        <w:t xml:space="preserve">market that provides a combination of both long term contracts and spot market opportunities, with complete reliance on a foreign controlled spot shipping market.  </w:t>
      </w:r>
      <w:r w:rsidR="006B03D5" w:rsidRPr="00C55967">
        <w:rPr>
          <w:rFonts w:cs="Arial"/>
          <w:bCs/>
        </w:rPr>
        <w:t xml:space="preserve">What the PC is proposing is elimination of the flexibility provided by the </w:t>
      </w:r>
      <w:r w:rsidRPr="00C55967">
        <w:rPr>
          <w:rFonts w:cs="Arial"/>
          <w:bCs/>
        </w:rPr>
        <w:t>current</w:t>
      </w:r>
      <w:r w:rsidR="006B03D5" w:rsidRPr="00C55967">
        <w:rPr>
          <w:rFonts w:cs="Arial"/>
          <w:bCs/>
        </w:rPr>
        <w:t xml:space="preserve"> (and previous</w:t>
      </w:r>
      <w:r w:rsidR="00C55967">
        <w:rPr>
          <w:rFonts w:cs="Arial"/>
          <w:bCs/>
        </w:rPr>
        <w:t>)</w:t>
      </w:r>
      <w:r w:rsidR="006B03D5" w:rsidRPr="00C55967">
        <w:rPr>
          <w:rFonts w:cs="Arial"/>
          <w:bCs/>
        </w:rPr>
        <w:t xml:space="preserve"> </w:t>
      </w:r>
      <w:r w:rsidRPr="00C55967">
        <w:rPr>
          <w:rFonts w:cs="Arial"/>
          <w:bCs/>
        </w:rPr>
        <w:t>regulatory</w:t>
      </w:r>
      <w:r w:rsidR="006B03D5" w:rsidRPr="00C55967">
        <w:rPr>
          <w:rFonts w:cs="Arial"/>
          <w:bCs/>
        </w:rPr>
        <w:t xml:space="preserve"> systems by creating </w:t>
      </w:r>
      <w:proofErr w:type="gramStart"/>
      <w:r w:rsidR="006B03D5" w:rsidRPr="00C55967">
        <w:rPr>
          <w:rFonts w:cs="Arial"/>
          <w:bCs/>
        </w:rPr>
        <w:t xml:space="preserve">a </w:t>
      </w:r>
      <w:r w:rsidRPr="00C55967">
        <w:rPr>
          <w:rFonts w:cs="Arial"/>
          <w:bCs/>
        </w:rPr>
        <w:t>rigidity</w:t>
      </w:r>
      <w:proofErr w:type="gramEnd"/>
      <w:r w:rsidR="006B03D5" w:rsidRPr="00C55967">
        <w:rPr>
          <w:rFonts w:cs="Arial"/>
          <w:bCs/>
        </w:rPr>
        <w:t xml:space="preserve"> th</w:t>
      </w:r>
      <w:r w:rsidR="002D2139">
        <w:rPr>
          <w:rFonts w:cs="Arial"/>
          <w:bCs/>
        </w:rPr>
        <w:t>r</w:t>
      </w:r>
      <w:r w:rsidR="006B03D5" w:rsidRPr="00C55967">
        <w:rPr>
          <w:rFonts w:cs="Arial"/>
          <w:bCs/>
        </w:rPr>
        <w:t>ough a spot market only option for shippers</w:t>
      </w:r>
      <w:r w:rsidR="00C55967">
        <w:rPr>
          <w:rFonts w:cs="Arial"/>
          <w:bCs/>
        </w:rPr>
        <w:t>.</w:t>
      </w:r>
    </w:p>
    <w:p w:rsidR="00792F83" w:rsidRDefault="00792F83" w:rsidP="001A2C10">
      <w:pPr>
        <w:rPr>
          <w:rFonts w:cs="Arial"/>
          <w:bCs/>
        </w:rPr>
      </w:pPr>
    </w:p>
    <w:p w:rsidR="00E11E11" w:rsidRDefault="006B03D5" w:rsidP="001A2C10">
      <w:pPr>
        <w:pStyle w:val="ListParagraph"/>
        <w:numPr>
          <w:ilvl w:val="0"/>
          <w:numId w:val="18"/>
        </w:numPr>
        <w:rPr>
          <w:rFonts w:cs="Arial"/>
          <w:bCs/>
        </w:rPr>
      </w:pPr>
      <w:r w:rsidRPr="00C55967">
        <w:rPr>
          <w:rFonts w:cs="Arial"/>
          <w:bCs/>
        </w:rPr>
        <w:t xml:space="preserve">The PC seems to have relied </w:t>
      </w:r>
      <w:r w:rsidR="000179D0" w:rsidRPr="00C55967">
        <w:rPr>
          <w:rFonts w:cs="Arial"/>
          <w:bCs/>
        </w:rPr>
        <w:t>solely</w:t>
      </w:r>
      <w:r w:rsidRPr="00C55967">
        <w:rPr>
          <w:rFonts w:cs="Arial"/>
          <w:bCs/>
        </w:rPr>
        <w:t xml:space="preserve"> on the economic cost of </w:t>
      </w:r>
      <w:r w:rsidR="002D2139">
        <w:rPr>
          <w:rFonts w:cs="Arial"/>
          <w:bCs/>
        </w:rPr>
        <w:t xml:space="preserve">Bass Strait </w:t>
      </w:r>
      <w:r w:rsidRPr="00C55967">
        <w:rPr>
          <w:rFonts w:cs="Arial"/>
          <w:bCs/>
        </w:rPr>
        <w:t xml:space="preserve">shipping </w:t>
      </w:r>
      <w:r w:rsidR="00A72E02">
        <w:rPr>
          <w:rFonts w:cs="Arial"/>
          <w:bCs/>
        </w:rPr>
        <w:t xml:space="preserve">relative to international shipping </w:t>
      </w:r>
      <w:r w:rsidRPr="00C55967">
        <w:rPr>
          <w:rFonts w:cs="Arial"/>
          <w:bCs/>
        </w:rPr>
        <w:t xml:space="preserve">and has not had regard to </w:t>
      </w:r>
      <w:r w:rsidR="00A72E02">
        <w:rPr>
          <w:rFonts w:cs="Arial"/>
          <w:bCs/>
        </w:rPr>
        <w:t xml:space="preserve">the supply </w:t>
      </w:r>
      <w:r w:rsidR="00B56666">
        <w:rPr>
          <w:rFonts w:cs="Arial"/>
          <w:bCs/>
        </w:rPr>
        <w:t>chain impact</w:t>
      </w:r>
      <w:r w:rsidR="00A72E02">
        <w:rPr>
          <w:rFonts w:cs="Arial"/>
          <w:bCs/>
        </w:rPr>
        <w:t xml:space="preserve">, nor the </w:t>
      </w:r>
      <w:r w:rsidRPr="00C55967">
        <w:rPr>
          <w:rFonts w:cs="Arial"/>
          <w:bCs/>
        </w:rPr>
        <w:t xml:space="preserve">non economic </w:t>
      </w:r>
      <w:r w:rsidR="00A72E02">
        <w:rPr>
          <w:rFonts w:cs="Arial"/>
          <w:bCs/>
        </w:rPr>
        <w:t xml:space="preserve">or social </w:t>
      </w:r>
      <w:r w:rsidR="000179D0" w:rsidRPr="00C55967">
        <w:rPr>
          <w:rFonts w:cs="Arial"/>
          <w:bCs/>
        </w:rPr>
        <w:t>consequences</w:t>
      </w:r>
      <w:r w:rsidRPr="00C55967">
        <w:rPr>
          <w:rFonts w:cs="Arial"/>
          <w:bCs/>
        </w:rPr>
        <w:t xml:space="preserve"> of its proposed solution</w:t>
      </w:r>
      <w:r w:rsidR="002D2139">
        <w:rPr>
          <w:rFonts w:cs="Arial"/>
          <w:bCs/>
        </w:rPr>
        <w:t xml:space="preserve">, or to the consequences for sea </w:t>
      </w:r>
      <w:r w:rsidR="00E11E11">
        <w:rPr>
          <w:rFonts w:cs="Arial"/>
          <w:bCs/>
        </w:rPr>
        <w:t>freight</w:t>
      </w:r>
      <w:r w:rsidR="002D2139">
        <w:rPr>
          <w:rFonts w:cs="Arial"/>
          <w:bCs/>
        </w:rPr>
        <w:t xml:space="preserve"> shipping in other trades or regions of </w:t>
      </w:r>
      <w:r w:rsidR="00B56666">
        <w:rPr>
          <w:rFonts w:cs="Arial"/>
          <w:bCs/>
        </w:rPr>
        <w:t>Australia.</w:t>
      </w:r>
    </w:p>
    <w:p w:rsidR="00E11E11" w:rsidRPr="00E11E11" w:rsidRDefault="00E11E11" w:rsidP="00E11E11">
      <w:pPr>
        <w:pStyle w:val="ListParagraph"/>
        <w:rPr>
          <w:rFonts w:cs="Arial"/>
          <w:bCs/>
        </w:rPr>
      </w:pPr>
    </w:p>
    <w:p w:rsidR="00E11E11" w:rsidRDefault="00BD7596" w:rsidP="001A2C10">
      <w:pPr>
        <w:pStyle w:val="ListParagraph"/>
        <w:numPr>
          <w:ilvl w:val="0"/>
          <w:numId w:val="18"/>
        </w:numPr>
        <w:rPr>
          <w:rFonts w:cs="Arial"/>
          <w:bCs/>
        </w:rPr>
      </w:pPr>
      <w:r w:rsidRPr="00E11E11">
        <w:rPr>
          <w:rFonts w:cs="Arial"/>
          <w:bCs/>
        </w:rPr>
        <w:t xml:space="preserve">The PC has not addressed the ship substitution issue </w:t>
      </w:r>
      <w:r w:rsidR="00E11E11" w:rsidRPr="00E11E11">
        <w:rPr>
          <w:rFonts w:cs="Arial"/>
          <w:bCs/>
        </w:rPr>
        <w:t>either</w:t>
      </w:r>
      <w:r w:rsidRPr="00E11E11">
        <w:rPr>
          <w:rFonts w:cs="Arial"/>
          <w:bCs/>
        </w:rPr>
        <w:t xml:space="preserve">, </w:t>
      </w:r>
      <w:r w:rsidR="00E11E11" w:rsidRPr="00E11E11">
        <w:rPr>
          <w:rFonts w:cs="Arial"/>
          <w:bCs/>
        </w:rPr>
        <w:t>apparently</w:t>
      </w:r>
      <w:r w:rsidRPr="00E11E11">
        <w:rPr>
          <w:rFonts w:cs="Arial"/>
          <w:bCs/>
        </w:rPr>
        <w:t xml:space="preserve"> assuming that any international ship is </w:t>
      </w:r>
      <w:r w:rsidR="00E11E11" w:rsidRPr="00E11E11">
        <w:rPr>
          <w:rFonts w:cs="Arial"/>
          <w:bCs/>
        </w:rPr>
        <w:t>suitable</w:t>
      </w:r>
      <w:r w:rsidRPr="00E11E11">
        <w:rPr>
          <w:rFonts w:cs="Arial"/>
          <w:bCs/>
        </w:rPr>
        <w:t xml:space="preserve"> for </w:t>
      </w:r>
      <w:r w:rsidR="00E11E11" w:rsidRPr="00E11E11">
        <w:rPr>
          <w:rFonts w:cs="Arial"/>
          <w:bCs/>
        </w:rPr>
        <w:t>Tasmanian</w:t>
      </w:r>
      <w:r w:rsidRPr="00E11E11">
        <w:rPr>
          <w:rFonts w:cs="Arial"/>
          <w:bCs/>
        </w:rPr>
        <w:t xml:space="preserve"> trade.  It is </w:t>
      </w:r>
      <w:r w:rsidR="00E11E11" w:rsidRPr="00E11E11">
        <w:rPr>
          <w:rFonts w:cs="Arial"/>
          <w:bCs/>
        </w:rPr>
        <w:t>questionable</w:t>
      </w:r>
      <w:r w:rsidRPr="00E11E11">
        <w:rPr>
          <w:rFonts w:cs="Arial"/>
          <w:bCs/>
        </w:rPr>
        <w:t xml:space="preserve"> if </w:t>
      </w:r>
      <w:r w:rsidR="00E11E11" w:rsidRPr="00E11E11">
        <w:rPr>
          <w:rFonts w:cs="Arial"/>
          <w:bCs/>
        </w:rPr>
        <w:t>international</w:t>
      </w:r>
      <w:r w:rsidRPr="00E11E11">
        <w:rPr>
          <w:rFonts w:cs="Arial"/>
          <w:bCs/>
        </w:rPr>
        <w:t xml:space="preserve"> ships with </w:t>
      </w:r>
      <w:r w:rsidR="009A13C4">
        <w:rPr>
          <w:rFonts w:cs="Arial"/>
          <w:bCs/>
        </w:rPr>
        <w:t xml:space="preserve">specialist bulk liquids, </w:t>
      </w:r>
      <w:r w:rsidRPr="00E11E11">
        <w:rPr>
          <w:rFonts w:cs="Arial"/>
          <w:bCs/>
        </w:rPr>
        <w:t xml:space="preserve">Ro-Ro and </w:t>
      </w:r>
      <w:r w:rsidR="00E11E11" w:rsidRPr="00E11E11">
        <w:rPr>
          <w:rFonts w:cs="Arial"/>
          <w:bCs/>
        </w:rPr>
        <w:t>self</w:t>
      </w:r>
      <w:r w:rsidRPr="00E11E11">
        <w:rPr>
          <w:rFonts w:cs="Arial"/>
          <w:bCs/>
        </w:rPr>
        <w:t xml:space="preserve"> discharging capability would be available for </w:t>
      </w:r>
      <w:r w:rsidR="00E11E11" w:rsidRPr="00E11E11">
        <w:rPr>
          <w:rFonts w:cs="Arial"/>
          <w:bCs/>
        </w:rPr>
        <w:t>substitution</w:t>
      </w:r>
      <w:r w:rsidR="009A13C4">
        <w:rPr>
          <w:rFonts w:cs="Arial"/>
          <w:bCs/>
        </w:rPr>
        <w:t xml:space="preserve"> of the specialist</w:t>
      </w:r>
      <w:r w:rsidRPr="00E11E11">
        <w:rPr>
          <w:rFonts w:cs="Arial"/>
          <w:bCs/>
        </w:rPr>
        <w:t xml:space="preserve"> vessel types that service the </w:t>
      </w:r>
      <w:r w:rsidR="00E11E11" w:rsidRPr="00E11E11">
        <w:rPr>
          <w:rFonts w:cs="Arial"/>
          <w:bCs/>
        </w:rPr>
        <w:t>Tasmanian</w:t>
      </w:r>
      <w:r w:rsidRPr="00E11E11">
        <w:rPr>
          <w:rFonts w:cs="Arial"/>
          <w:bCs/>
        </w:rPr>
        <w:t xml:space="preserve"> trade.</w:t>
      </w:r>
    </w:p>
    <w:p w:rsidR="00E11E11" w:rsidRPr="00E11E11" w:rsidRDefault="00E11E11" w:rsidP="00E11E11">
      <w:pPr>
        <w:pStyle w:val="ListParagraph"/>
        <w:rPr>
          <w:rFonts w:cs="Arial"/>
          <w:bCs/>
        </w:rPr>
      </w:pPr>
    </w:p>
    <w:p w:rsidR="008D316E" w:rsidRPr="00E11E11" w:rsidRDefault="00B56666" w:rsidP="001A2C10">
      <w:pPr>
        <w:pStyle w:val="ListParagraph"/>
        <w:numPr>
          <w:ilvl w:val="0"/>
          <w:numId w:val="18"/>
        </w:numPr>
        <w:rPr>
          <w:rFonts w:cs="Arial"/>
          <w:bCs/>
        </w:rPr>
      </w:pPr>
      <w:r>
        <w:rPr>
          <w:rFonts w:cs="Arial"/>
          <w:bCs/>
        </w:rPr>
        <w:lastRenderedPageBreak/>
        <w:t>The MUA submits that t</w:t>
      </w:r>
      <w:r w:rsidRPr="00E11E11">
        <w:rPr>
          <w:rFonts w:cs="Arial"/>
          <w:bCs/>
        </w:rPr>
        <w:t xml:space="preserve">he impact on retention of the maritime skills base in Australia alone would be massive.  </w:t>
      </w:r>
      <w:r w:rsidR="008D316E" w:rsidRPr="00E11E11">
        <w:rPr>
          <w:rFonts w:cs="Arial"/>
          <w:bCs/>
        </w:rPr>
        <w:t>Where does the PC believe the skills to service Australia’s m</w:t>
      </w:r>
      <w:r w:rsidR="009A13C4">
        <w:rPr>
          <w:rFonts w:cs="Arial"/>
          <w:bCs/>
        </w:rPr>
        <w:t>aritime dependency will come fro</w:t>
      </w:r>
      <w:r w:rsidR="008D316E" w:rsidRPr="00E11E11">
        <w:rPr>
          <w:rFonts w:cs="Arial"/>
          <w:bCs/>
        </w:rPr>
        <w:t xml:space="preserve">m if there are no </w:t>
      </w:r>
      <w:r w:rsidR="00E11E11" w:rsidRPr="00E11E11">
        <w:rPr>
          <w:rFonts w:cs="Arial"/>
          <w:bCs/>
        </w:rPr>
        <w:t>Australian</w:t>
      </w:r>
      <w:r w:rsidR="008D316E" w:rsidRPr="00E11E11">
        <w:rPr>
          <w:rFonts w:cs="Arial"/>
          <w:bCs/>
        </w:rPr>
        <w:t xml:space="preserve"> ships on which to gain the seatime that </w:t>
      </w:r>
      <w:r w:rsidR="00E11E11" w:rsidRPr="00E11E11">
        <w:rPr>
          <w:rFonts w:cs="Arial"/>
          <w:bCs/>
        </w:rPr>
        <w:t>underpins</w:t>
      </w:r>
      <w:r w:rsidR="008D316E" w:rsidRPr="00E11E11">
        <w:rPr>
          <w:rFonts w:cs="Arial"/>
          <w:bCs/>
        </w:rPr>
        <w:t xml:space="preserve"> the quality </w:t>
      </w:r>
      <w:r w:rsidR="00E11E11" w:rsidRPr="00E11E11">
        <w:rPr>
          <w:rFonts w:cs="Arial"/>
          <w:bCs/>
        </w:rPr>
        <w:t>assurance</w:t>
      </w:r>
      <w:r w:rsidR="008D316E" w:rsidRPr="00E11E11">
        <w:rPr>
          <w:rFonts w:cs="Arial"/>
          <w:bCs/>
        </w:rPr>
        <w:t xml:space="preserve"> for ships Masters, </w:t>
      </w:r>
      <w:r w:rsidR="00E11E11" w:rsidRPr="00E11E11">
        <w:rPr>
          <w:rFonts w:cs="Arial"/>
          <w:bCs/>
        </w:rPr>
        <w:t>Engineers</w:t>
      </w:r>
      <w:r w:rsidR="008D316E" w:rsidRPr="00E11E11">
        <w:rPr>
          <w:rFonts w:cs="Arial"/>
          <w:bCs/>
        </w:rPr>
        <w:t xml:space="preserve">, Ratings, Marine surveyors, ships Pilots, Harbour </w:t>
      </w:r>
      <w:r w:rsidR="00E11E11" w:rsidRPr="00E11E11">
        <w:rPr>
          <w:rFonts w:cs="Arial"/>
          <w:bCs/>
        </w:rPr>
        <w:t>masters</w:t>
      </w:r>
      <w:r w:rsidR="008D316E" w:rsidRPr="00E11E11">
        <w:rPr>
          <w:rFonts w:cs="Arial"/>
          <w:bCs/>
        </w:rPr>
        <w:t xml:space="preserve"> and so on?</w:t>
      </w:r>
    </w:p>
    <w:p w:rsidR="008D316E" w:rsidRDefault="008D316E" w:rsidP="001A2C10">
      <w:pPr>
        <w:rPr>
          <w:rFonts w:cs="Arial"/>
          <w:bCs/>
        </w:rPr>
      </w:pPr>
    </w:p>
    <w:p w:rsidR="00792F83" w:rsidRPr="00C55967" w:rsidRDefault="000179D0" w:rsidP="00C55967">
      <w:pPr>
        <w:pStyle w:val="ListParagraph"/>
        <w:numPr>
          <w:ilvl w:val="0"/>
          <w:numId w:val="18"/>
        </w:numPr>
        <w:rPr>
          <w:rFonts w:cs="Arial"/>
          <w:bCs/>
        </w:rPr>
      </w:pPr>
      <w:r w:rsidRPr="00C55967">
        <w:rPr>
          <w:rFonts w:cs="Arial"/>
          <w:bCs/>
        </w:rPr>
        <w:t>Disturbingly, the PC</w:t>
      </w:r>
      <w:r w:rsidR="009A13C4">
        <w:rPr>
          <w:rFonts w:cs="Arial"/>
          <w:bCs/>
        </w:rPr>
        <w:t>s deregulation</w:t>
      </w:r>
      <w:r w:rsidRPr="00C55967">
        <w:rPr>
          <w:rFonts w:cs="Arial"/>
          <w:bCs/>
        </w:rPr>
        <w:t xml:space="preserve"> solution can only be achieved by the </w:t>
      </w:r>
      <w:r w:rsidR="00C55967">
        <w:rPr>
          <w:rFonts w:cs="Arial"/>
          <w:bCs/>
        </w:rPr>
        <w:t xml:space="preserve">complete </w:t>
      </w:r>
      <w:r w:rsidRPr="00C55967">
        <w:rPr>
          <w:rFonts w:cs="Arial"/>
          <w:bCs/>
        </w:rPr>
        <w:t>replacement of Australian employment with foreign employment</w:t>
      </w:r>
      <w:r w:rsidR="00C55967">
        <w:rPr>
          <w:rFonts w:cs="Arial"/>
          <w:bCs/>
        </w:rPr>
        <w:t>,</w:t>
      </w:r>
      <w:r w:rsidRPr="00C55967">
        <w:rPr>
          <w:rFonts w:cs="Arial"/>
          <w:bCs/>
        </w:rPr>
        <w:t xml:space="preserve"> and replacement of Australian business participation by foreign assets (ships) and foreign investment in the Australian coastal sea freight trade</w:t>
      </w:r>
      <w:r w:rsidR="00C55967">
        <w:rPr>
          <w:rFonts w:cs="Arial"/>
          <w:bCs/>
        </w:rPr>
        <w:t>.</w:t>
      </w:r>
    </w:p>
    <w:p w:rsidR="00621B93" w:rsidRDefault="00621B93" w:rsidP="001A2C10">
      <w:pPr>
        <w:rPr>
          <w:rFonts w:cs="Arial"/>
          <w:bCs/>
        </w:rPr>
      </w:pPr>
    </w:p>
    <w:p w:rsidR="00621B93" w:rsidRPr="00C55967" w:rsidRDefault="00621B93" w:rsidP="00C55967">
      <w:pPr>
        <w:pStyle w:val="ListParagraph"/>
        <w:numPr>
          <w:ilvl w:val="0"/>
          <w:numId w:val="18"/>
        </w:numPr>
        <w:rPr>
          <w:rFonts w:cs="Arial"/>
          <w:bCs/>
        </w:rPr>
      </w:pPr>
      <w:r w:rsidRPr="00C55967">
        <w:rPr>
          <w:rFonts w:cs="Arial"/>
          <w:bCs/>
        </w:rPr>
        <w:t xml:space="preserve">It is one </w:t>
      </w:r>
      <w:r w:rsidR="000179D0" w:rsidRPr="00C55967">
        <w:rPr>
          <w:rFonts w:cs="Arial"/>
          <w:bCs/>
        </w:rPr>
        <w:t>thing</w:t>
      </w:r>
      <w:r w:rsidRPr="00C55967">
        <w:rPr>
          <w:rFonts w:cs="Arial"/>
          <w:bCs/>
        </w:rPr>
        <w:t xml:space="preserve"> in our </w:t>
      </w:r>
      <w:r w:rsidR="000179D0" w:rsidRPr="00C55967">
        <w:rPr>
          <w:rFonts w:cs="Arial"/>
          <w:bCs/>
        </w:rPr>
        <w:t>view</w:t>
      </w:r>
      <w:r w:rsidRPr="00C55967">
        <w:rPr>
          <w:rFonts w:cs="Arial"/>
          <w:bCs/>
        </w:rPr>
        <w:t xml:space="preserve"> for the PC to seek efficiencies in </w:t>
      </w:r>
      <w:r w:rsidR="000179D0" w:rsidRPr="00C55967">
        <w:rPr>
          <w:rFonts w:cs="Arial"/>
          <w:bCs/>
        </w:rPr>
        <w:t>industries</w:t>
      </w:r>
      <w:r w:rsidRPr="00C55967">
        <w:rPr>
          <w:rFonts w:cs="Arial"/>
          <w:bCs/>
        </w:rPr>
        <w:t xml:space="preserve"> that are subsidised or simply cannot compete in a g</w:t>
      </w:r>
      <w:r w:rsidR="00C64CB2" w:rsidRPr="00C55967">
        <w:rPr>
          <w:rFonts w:cs="Arial"/>
          <w:bCs/>
        </w:rPr>
        <w:t>lobal marketplace</w:t>
      </w:r>
      <w:r w:rsidR="00C55967">
        <w:rPr>
          <w:rFonts w:cs="Arial"/>
          <w:bCs/>
        </w:rPr>
        <w:t>,</w:t>
      </w:r>
      <w:r w:rsidR="00C64CB2" w:rsidRPr="00C55967">
        <w:rPr>
          <w:rFonts w:cs="Arial"/>
          <w:bCs/>
        </w:rPr>
        <w:t xml:space="preserve"> </w:t>
      </w:r>
      <w:r w:rsidR="002D2139">
        <w:rPr>
          <w:rFonts w:cs="Arial"/>
          <w:bCs/>
        </w:rPr>
        <w:t xml:space="preserve">where efficiency measures </w:t>
      </w:r>
      <w:r w:rsidR="00C64CB2" w:rsidRPr="00C55967">
        <w:rPr>
          <w:rFonts w:cs="Arial"/>
          <w:bCs/>
        </w:rPr>
        <w:t xml:space="preserve">may lead to import </w:t>
      </w:r>
      <w:r w:rsidR="000179D0" w:rsidRPr="00C55967">
        <w:rPr>
          <w:rFonts w:cs="Arial"/>
          <w:bCs/>
        </w:rPr>
        <w:t>substitution</w:t>
      </w:r>
      <w:r w:rsidR="00C64CB2" w:rsidRPr="00C55967">
        <w:rPr>
          <w:rFonts w:cs="Arial"/>
          <w:bCs/>
        </w:rPr>
        <w:t xml:space="preserve"> and offshoring</w:t>
      </w:r>
      <w:r w:rsidR="002D2139">
        <w:rPr>
          <w:rFonts w:cs="Arial"/>
          <w:bCs/>
        </w:rPr>
        <w:t xml:space="preserve"> of some </w:t>
      </w:r>
      <w:r w:rsidR="00E11E11">
        <w:rPr>
          <w:rFonts w:cs="Arial"/>
          <w:bCs/>
        </w:rPr>
        <w:t>business</w:t>
      </w:r>
      <w:r w:rsidR="002D2139">
        <w:rPr>
          <w:rFonts w:cs="Arial"/>
          <w:bCs/>
        </w:rPr>
        <w:t xml:space="preserve"> </w:t>
      </w:r>
      <w:r w:rsidR="00E11E11">
        <w:rPr>
          <w:rFonts w:cs="Arial"/>
          <w:bCs/>
        </w:rPr>
        <w:t>activity</w:t>
      </w:r>
      <w:r w:rsidR="00C55967">
        <w:rPr>
          <w:rFonts w:cs="Arial"/>
          <w:bCs/>
        </w:rPr>
        <w:t>.</w:t>
      </w:r>
    </w:p>
    <w:p w:rsidR="00621B93" w:rsidRDefault="00621B93" w:rsidP="001A2C10">
      <w:pPr>
        <w:rPr>
          <w:rFonts w:cs="Arial"/>
          <w:bCs/>
        </w:rPr>
      </w:pPr>
    </w:p>
    <w:p w:rsidR="00621B93" w:rsidRDefault="00621B93" w:rsidP="00C55967">
      <w:pPr>
        <w:pStyle w:val="ListParagraph"/>
        <w:numPr>
          <w:ilvl w:val="0"/>
          <w:numId w:val="18"/>
        </w:numPr>
        <w:rPr>
          <w:rFonts w:cs="Arial"/>
          <w:bCs/>
        </w:rPr>
      </w:pPr>
      <w:r w:rsidRPr="00C55967">
        <w:rPr>
          <w:rFonts w:cs="Arial"/>
          <w:bCs/>
        </w:rPr>
        <w:t xml:space="preserve">It is </w:t>
      </w:r>
      <w:r w:rsidR="000179D0" w:rsidRPr="00C55967">
        <w:rPr>
          <w:rFonts w:cs="Arial"/>
          <w:bCs/>
        </w:rPr>
        <w:t>quite</w:t>
      </w:r>
      <w:r w:rsidRPr="00C55967">
        <w:rPr>
          <w:rFonts w:cs="Arial"/>
          <w:bCs/>
        </w:rPr>
        <w:t xml:space="preserve"> </w:t>
      </w:r>
      <w:r w:rsidR="000179D0" w:rsidRPr="00C55967">
        <w:rPr>
          <w:rFonts w:cs="Arial"/>
          <w:bCs/>
        </w:rPr>
        <w:t>another</w:t>
      </w:r>
      <w:r w:rsidRPr="00C55967">
        <w:rPr>
          <w:rFonts w:cs="Arial"/>
          <w:bCs/>
        </w:rPr>
        <w:t xml:space="preserve"> to propose an </w:t>
      </w:r>
      <w:r w:rsidR="000179D0" w:rsidRPr="00C55967">
        <w:rPr>
          <w:rFonts w:cs="Arial"/>
          <w:bCs/>
        </w:rPr>
        <w:t>efficiency</w:t>
      </w:r>
      <w:r w:rsidRPr="00C55967">
        <w:rPr>
          <w:rFonts w:cs="Arial"/>
          <w:bCs/>
        </w:rPr>
        <w:t xml:space="preserve"> </w:t>
      </w:r>
      <w:r w:rsidR="000179D0" w:rsidRPr="00C55967">
        <w:rPr>
          <w:rFonts w:cs="Arial"/>
          <w:bCs/>
        </w:rPr>
        <w:t>solution</w:t>
      </w:r>
      <w:r w:rsidRPr="00C55967">
        <w:rPr>
          <w:rFonts w:cs="Arial"/>
          <w:bCs/>
        </w:rPr>
        <w:t xml:space="preserve"> that is based </w:t>
      </w:r>
      <w:r w:rsidR="00C64CB2" w:rsidRPr="00C55967">
        <w:rPr>
          <w:rFonts w:cs="Arial"/>
          <w:bCs/>
        </w:rPr>
        <w:t>entirely</w:t>
      </w:r>
      <w:r w:rsidRPr="00C55967">
        <w:rPr>
          <w:rFonts w:cs="Arial"/>
          <w:bCs/>
        </w:rPr>
        <w:t xml:space="preserve"> </w:t>
      </w:r>
      <w:r w:rsidR="00C64CB2" w:rsidRPr="00C55967">
        <w:rPr>
          <w:rFonts w:cs="Arial"/>
          <w:bCs/>
        </w:rPr>
        <w:t>on</w:t>
      </w:r>
      <w:r w:rsidRPr="00C55967">
        <w:rPr>
          <w:rFonts w:cs="Arial"/>
          <w:bCs/>
        </w:rPr>
        <w:t xml:space="preserve"> foreign </w:t>
      </w:r>
      <w:r w:rsidR="000179D0" w:rsidRPr="00C55967">
        <w:rPr>
          <w:rFonts w:cs="Arial"/>
          <w:bCs/>
        </w:rPr>
        <w:t>labour</w:t>
      </w:r>
      <w:r w:rsidRPr="00C55967">
        <w:rPr>
          <w:rFonts w:cs="Arial"/>
          <w:bCs/>
        </w:rPr>
        <w:t xml:space="preserve"> substitution in the </w:t>
      </w:r>
      <w:r w:rsidR="000179D0" w:rsidRPr="00C55967">
        <w:rPr>
          <w:rFonts w:cs="Arial"/>
          <w:bCs/>
        </w:rPr>
        <w:t>Australian</w:t>
      </w:r>
      <w:r w:rsidRPr="00C55967">
        <w:rPr>
          <w:rFonts w:cs="Arial"/>
          <w:bCs/>
        </w:rPr>
        <w:t xml:space="preserve"> labour market.</w:t>
      </w:r>
      <w:r w:rsidR="003A3B77">
        <w:rPr>
          <w:rFonts w:cs="Arial"/>
          <w:bCs/>
        </w:rPr>
        <w:t xml:space="preserve">  </w:t>
      </w:r>
      <w:r w:rsidR="00B56666">
        <w:rPr>
          <w:rFonts w:cs="Arial"/>
          <w:bCs/>
        </w:rPr>
        <w:t>This is an extreme solution and is not justified when the draft report actually shows that shipping’s relative competiveness is improving.</w:t>
      </w:r>
    </w:p>
    <w:p w:rsidR="008D316E" w:rsidRPr="008D316E" w:rsidRDefault="008D316E" w:rsidP="008D316E">
      <w:pPr>
        <w:pStyle w:val="ListParagraph"/>
        <w:rPr>
          <w:rFonts w:cs="Arial"/>
          <w:bCs/>
        </w:rPr>
      </w:pPr>
    </w:p>
    <w:p w:rsidR="008D316E" w:rsidRPr="00C55967" w:rsidRDefault="008D316E" w:rsidP="00C55967">
      <w:pPr>
        <w:pStyle w:val="ListParagraph"/>
        <w:numPr>
          <w:ilvl w:val="0"/>
          <w:numId w:val="18"/>
        </w:numPr>
        <w:rPr>
          <w:rFonts w:cs="Arial"/>
          <w:bCs/>
        </w:rPr>
      </w:pPr>
      <w:r>
        <w:rPr>
          <w:rFonts w:cs="Arial"/>
          <w:bCs/>
        </w:rPr>
        <w:t xml:space="preserve">This is </w:t>
      </w:r>
      <w:r w:rsidR="00E11E11">
        <w:rPr>
          <w:rFonts w:cs="Arial"/>
          <w:bCs/>
        </w:rPr>
        <w:t>particularly</w:t>
      </w:r>
      <w:r>
        <w:rPr>
          <w:rFonts w:cs="Arial"/>
          <w:bCs/>
        </w:rPr>
        <w:t xml:space="preserve"> </w:t>
      </w:r>
      <w:r w:rsidR="00E11E11">
        <w:rPr>
          <w:rFonts w:cs="Arial"/>
          <w:bCs/>
        </w:rPr>
        <w:t>concerning</w:t>
      </w:r>
      <w:r>
        <w:rPr>
          <w:rFonts w:cs="Arial"/>
          <w:bCs/>
        </w:rPr>
        <w:t xml:space="preserve"> for an industry that it not subsidised – no corporate welfare is directed at </w:t>
      </w:r>
      <w:r w:rsidR="00E11E11">
        <w:rPr>
          <w:rFonts w:cs="Arial"/>
          <w:bCs/>
        </w:rPr>
        <w:t>Australian</w:t>
      </w:r>
      <w:r>
        <w:rPr>
          <w:rFonts w:cs="Arial"/>
          <w:bCs/>
        </w:rPr>
        <w:t xml:space="preserve"> </w:t>
      </w:r>
      <w:r w:rsidR="00E11E11">
        <w:rPr>
          <w:rFonts w:cs="Arial"/>
          <w:bCs/>
        </w:rPr>
        <w:t>shipping</w:t>
      </w:r>
      <w:r>
        <w:rPr>
          <w:rFonts w:cs="Arial"/>
          <w:bCs/>
        </w:rPr>
        <w:t xml:space="preserve">, unlike the road and to a lesser extent, the rail </w:t>
      </w:r>
      <w:r w:rsidR="00E11E11">
        <w:rPr>
          <w:rFonts w:cs="Arial"/>
          <w:bCs/>
        </w:rPr>
        <w:t>sectors</w:t>
      </w:r>
      <w:r w:rsidR="009A13C4">
        <w:rPr>
          <w:rFonts w:cs="Arial"/>
          <w:bCs/>
        </w:rPr>
        <w:t xml:space="preserve"> with which shipping competes in most domestic freight corridors.</w:t>
      </w:r>
      <w:r w:rsidR="003A3B77">
        <w:rPr>
          <w:rFonts w:cs="Arial"/>
          <w:bCs/>
        </w:rPr>
        <w:t xml:space="preserve"> In </w:t>
      </w:r>
      <w:r w:rsidR="00B56666">
        <w:rPr>
          <w:rFonts w:cs="Arial"/>
          <w:bCs/>
        </w:rPr>
        <w:t>circumstances</w:t>
      </w:r>
      <w:r w:rsidR="003A3B77">
        <w:rPr>
          <w:rFonts w:cs="Arial"/>
          <w:bCs/>
        </w:rPr>
        <w:t xml:space="preserve"> where shipping </w:t>
      </w:r>
      <w:r w:rsidR="00B56666">
        <w:rPr>
          <w:rFonts w:cs="Arial"/>
          <w:bCs/>
        </w:rPr>
        <w:t>operators</w:t>
      </w:r>
      <w:r w:rsidR="003A3B77">
        <w:rPr>
          <w:rFonts w:cs="Arial"/>
          <w:bCs/>
        </w:rPr>
        <w:t xml:space="preserve"> have taken advantage of shipping tax </w:t>
      </w:r>
      <w:r w:rsidR="00B56666">
        <w:rPr>
          <w:rFonts w:cs="Arial"/>
          <w:bCs/>
        </w:rPr>
        <w:t>incentives</w:t>
      </w:r>
      <w:r w:rsidR="003A3B77">
        <w:rPr>
          <w:rFonts w:cs="Arial"/>
          <w:bCs/>
        </w:rPr>
        <w:t xml:space="preserve">, </w:t>
      </w:r>
      <w:r w:rsidR="00B56666">
        <w:rPr>
          <w:rFonts w:cs="Arial"/>
          <w:bCs/>
        </w:rPr>
        <w:t>the</w:t>
      </w:r>
      <w:r w:rsidR="003A3B77">
        <w:rPr>
          <w:rFonts w:cs="Arial"/>
          <w:bCs/>
        </w:rPr>
        <w:t xml:space="preserve"> quid pro quo is that such </w:t>
      </w:r>
      <w:r w:rsidR="00B56666">
        <w:rPr>
          <w:rFonts w:cs="Arial"/>
          <w:bCs/>
        </w:rPr>
        <w:t>operators</w:t>
      </w:r>
      <w:r w:rsidR="003A3B77">
        <w:rPr>
          <w:rFonts w:cs="Arial"/>
          <w:bCs/>
        </w:rPr>
        <w:t xml:space="preserve"> must contribute to training.</w:t>
      </w:r>
    </w:p>
    <w:p w:rsidR="00792F83" w:rsidRDefault="00792F83" w:rsidP="001A2C10">
      <w:pPr>
        <w:rPr>
          <w:rFonts w:cs="Arial"/>
          <w:bCs/>
        </w:rPr>
      </w:pPr>
    </w:p>
    <w:p w:rsidR="00C55967" w:rsidRDefault="00C64CB2" w:rsidP="00C55967">
      <w:pPr>
        <w:pStyle w:val="ListParagraph"/>
        <w:numPr>
          <w:ilvl w:val="0"/>
          <w:numId w:val="18"/>
        </w:numPr>
        <w:rPr>
          <w:rFonts w:cs="Arial"/>
          <w:bCs/>
        </w:rPr>
      </w:pPr>
      <w:r w:rsidRPr="00C55967">
        <w:rPr>
          <w:rFonts w:cs="Arial"/>
          <w:bCs/>
        </w:rPr>
        <w:t xml:space="preserve">We are </w:t>
      </w:r>
      <w:r w:rsidR="000179D0" w:rsidRPr="00C55967">
        <w:rPr>
          <w:rFonts w:cs="Arial"/>
          <w:bCs/>
        </w:rPr>
        <w:t>concerned</w:t>
      </w:r>
      <w:r w:rsidRPr="00C55967">
        <w:rPr>
          <w:rFonts w:cs="Arial"/>
          <w:bCs/>
        </w:rPr>
        <w:t xml:space="preserve"> that the PC has relied </w:t>
      </w:r>
      <w:r w:rsidR="006B03D5" w:rsidRPr="00C55967">
        <w:rPr>
          <w:rFonts w:cs="Arial"/>
          <w:bCs/>
        </w:rPr>
        <w:t xml:space="preserve">on </w:t>
      </w:r>
      <w:r w:rsidR="000179D0" w:rsidRPr="00C55967">
        <w:rPr>
          <w:rFonts w:cs="Arial"/>
          <w:bCs/>
        </w:rPr>
        <w:t>unsubstantiated</w:t>
      </w:r>
      <w:r w:rsidR="006B03D5" w:rsidRPr="00C55967">
        <w:rPr>
          <w:rFonts w:cs="Arial"/>
          <w:bCs/>
        </w:rPr>
        <w:t xml:space="preserve">, and in some cases, </w:t>
      </w:r>
      <w:r w:rsidR="000179D0" w:rsidRPr="00C55967">
        <w:rPr>
          <w:rFonts w:cs="Arial"/>
          <w:bCs/>
        </w:rPr>
        <w:t>incorrect</w:t>
      </w:r>
      <w:r w:rsidR="006B03D5" w:rsidRPr="00C55967">
        <w:rPr>
          <w:rFonts w:cs="Arial"/>
          <w:bCs/>
        </w:rPr>
        <w:t xml:space="preserve">, </w:t>
      </w:r>
      <w:r w:rsidRPr="00C55967">
        <w:rPr>
          <w:rFonts w:cs="Arial"/>
          <w:bCs/>
        </w:rPr>
        <w:t xml:space="preserve">evidence </w:t>
      </w:r>
      <w:r w:rsidR="006B03D5" w:rsidRPr="00C55967">
        <w:rPr>
          <w:rFonts w:cs="Arial"/>
          <w:bCs/>
        </w:rPr>
        <w:t>to support its conclusion.  Key evidence that is questionable in our view</w:t>
      </w:r>
      <w:r w:rsidR="00C55967">
        <w:rPr>
          <w:rFonts w:cs="Arial"/>
          <w:bCs/>
        </w:rPr>
        <w:t>, includes:</w:t>
      </w:r>
    </w:p>
    <w:p w:rsidR="00C55967" w:rsidRPr="00C55967" w:rsidRDefault="00C55967" w:rsidP="00C55967">
      <w:pPr>
        <w:pStyle w:val="ListParagraph"/>
        <w:rPr>
          <w:rFonts w:cs="Arial"/>
          <w:bCs/>
        </w:rPr>
      </w:pPr>
    </w:p>
    <w:p w:rsidR="00792F83" w:rsidRPr="00C55967" w:rsidRDefault="00C55967" w:rsidP="00C55967">
      <w:pPr>
        <w:pStyle w:val="ListParagraph"/>
        <w:numPr>
          <w:ilvl w:val="0"/>
          <w:numId w:val="18"/>
        </w:numPr>
        <w:rPr>
          <w:rFonts w:cs="Arial"/>
          <w:bCs/>
        </w:rPr>
      </w:pPr>
      <w:r>
        <w:rPr>
          <w:rFonts w:cs="Arial"/>
          <w:bCs/>
        </w:rPr>
        <w:t>T</w:t>
      </w:r>
      <w:r w:rsidR="006B03D5" w:rsidRPr="00C55967">
        <w:rPr>
          <w:rFonts w:cs="Arial"/>
          <w:bCs/>
        </w:rPr>
        <w:t xml:space="preserve">hat of the ACCC, which has provided only assertion and no evidence </w:t>
      </w:r>
      <w:r w:rsidR="000179D0" w:rsidRPr="00C55967">
        <w:rPr>
          <w:rFonts w:cs="Arial"/>
          <w:bCs/>
        </w:rPr>
        <w:t>that</w:t>
      </w:r>
      <w:r w:rsidR="006B03D5" w:rsidRPr="00C55967">
        <w:rPr>
          <w:rFonts w:cs="Arial"/>
          <w:bCs/>
        </w:rPr>
        <w:t xml:space="preserve"> there is a reduced </w:t>
      </w:r>
      <w:r w:rsidR="000179D0" w:rsidRPr="00C55967">
        <w:rPr>
          <w:rFonts w:cs="Arial"/>
          <w:bCs/>
        </w:rPr>
        <w:t>interest</w:t>
      </w:r>
      <w:r w:rsidR="006B03D5" w:rsidRPr="00C55967">
        <w:rPr>
          <w:rFonts w:cs="Arial"/>
          <w:bCs/>
        </w:rPr>
        <w:t xml:space="preserve"> by </w:t>
      </w:r>
      <w:r w:rsidR="000179D0" w:rsidRPr="00C55967">
        <w:rPr>
          <w:rFonts w:cs="Arial"/>
          <w:bCs/>
        </w:rPr>
        <w:t>international</w:t>
      </w:r>
      <w:r w:rsidR="006B03D5" w:rsidRPr="00C55967">
        <w:rPr>
          <w:rFonts w:cs="Arial"/>
          <w:bCs/>
        </w:rPr>
        <w:t xml:space="preserve"> shipping lines using TLs such that shipper’s are unable to secure an international ship to carry </w:t>
      </w:r>
      <w:r w:rsidR="000179D0" w:rsidRPr="00C55967">
        <w:rPr>
          <w:rFonts w:cs="Arial"/>
          <w:bCs/>
        </w:rPr>
        <w:t>their</w:t>
      </w:r>
      <w:r w:rsidR="006B03D5" w:rsidRPr="00C55967">
        <w:rPr>
          <w:rFonts w:cs="Arial"/>
          <w:bCs/>
        </w:rPr>
        <w:t xml:space="preserve"> </w:t>
      </w:r>
      <w:r w:rsidR="000179D0" w:rsidRPr="00C55967">
        <w:rPr>
          <w:rFonts w:cs="Arial"/>
          <w:bCs/>
        </w:rPr>
        <w:t>cargo</w:t>
      </w:r>
      <w:r>
        <w:rPr>
          <w:rFonts w:cs="Arial"/>
          <w:bCs/>
        </w:rPr>
        <w:t>.</w:t>
      </w:r>
    </w:p>
    <w:p w:rsidR="006B03D5" w:rsidRDefault="006B03D5" w:rsidP="001A2C10">
      <w:pPr>
        <w:rPr>
          <w:rFonts w:cs="Arial"/>
          <w:bCs/>
        </w:rPr>
      </w:pPr>
    </w:p>
    <w:p w:rsidR="006B03D5" w:rsidRPr="00C55967" w:rsidRDefault="006B03D5" w:rsidP="00C55967">
      <w:pPr>
        <w:pStyle w:val="ListParagraph"/>
        <w:numPr>
          <w:ilvl w:val="0"/>
          <w:numId w:val="18"/>
        </w:numPr>
        <w:rPr>
          <w:rFonts w:cs="Arial"/>
          <w:bCs/>
        </w:rPr>
      </w:pPr>
      <w:r w:rsidRPr="00C55967">
        <w:rPr>
          <w:rFonts w:cs="Arial"/>
          <w:bCs/>
        </w:rPr>
        <w:t xml:space="preserve">The evidence by </w:t>
      </w:r>
      <w:r w:rsidR="00773D6C" w:rsidRPr="00C55967">
        <w:rPr>
          <w:rFonts w:cs="Arial"/>
          <w:bCs/>
        </w:rPr>
        <w:t xml:space="preserve">Bell Bay </w:t>
      </w:r>
      <w:r w:rsidR="000179D0" w:rsidRPr="00C55967">
        <w:rPr>
          <w:rFonts w:cs="Arial"/>
          <w:bCs/>
        </w:rPr>
        <w:t>Aluminium</w:t>
      </w:r>
      <w:r w:rsidR="00773D6C" w:rsidRPr="00C55967">
        <w:rPr>
          <w:rFonts w:cs="Arial"/>
          <w:bCs/>
        </w:rPr>
        <w:t xml:space="preserve"> that its freight costs increased following introduc</w:t>
      </w:r>
      <w:r w:rsidR="002D2139">
        <w:rPr>
          <w:rFonts w:cs="Arial"/>
          <w:bCs/>
        </w:rPr>
        <w:t>tion of the CT Act.  The facts show</w:t>
      </w:r>
      <w:r w:rsidR="00773D6C" w:rsidRPr="00C55967">
        <w:rPr>
          <w:rFonts w:cs="Arial"/>
          <w:bCs/>
        </w:rPr>
        <w:t xml:space="preserve"> that its </w:t>
      </w:r>
      <w:r w:rsidR="009A13C4">
        <w:rPr>
          <w:rFonts w:cs="Arial"/>
          <w:bCs/>
        </w:rPr>
        <w:t xml:space="preserve">Temporary </w:t>
      </w:r>
      <w:r w:rsidR="00B56666">
        <w:rPr>
          <w:rFonts w:cs="Arial"/>
          <w:bCs/>
        </w:rPr>
        <w:t>License</w:t>
      </w:r>
      <w:r w:rsidR="009A13C4">
        <w:rPr>
          <w:rFonts w:cs="Arial"/>
          <w:bCs/>
        </w:rPr>
        <w:t xml:space="preserve"> (</w:t>
      </w:r>
      <w:r w:rsidR="00773D6C" w:rsidRPr="00C55967">
        <w:rPr>
          <w:rFonts w:cs="Arial"/>
          <w:bCs/>
        </w:rPr>
        <w:t>TL</w:t>
      </w:r>
      <w:r w:rsidR="009A13C4">
        <w:rPr>
          <w:rFonts w:cs="Arial"/>
          <w:bCs/>
        </w:rPr>
        <w:t>)</w:t>
      </w:r>
      <w:r w:rsidR="00773D6C" w:rsidRPr="00C55967">
        <w:rPr>
          <w:rFonts w:cs="Arial"/>
          <w:bCs/>
        </w:rPr>
        <w:t xml:space="preserve"> </w:t>
      </w:r>
      <w:r w:rsidR="000179D0" w:rsidRPr="00C55967">
        <w:rPr>
          <w:rFonts w:cs="Arial"/>
          <w:bCs/>
        </w:rPr>
        <w:t>voyages</w:t>
      </w:r>
      <w:r w:rsidR="00773D6C" w:rsidRPr="00C55967">
        <w:rPr>
          <w:rFonts w:cs="Arial"/>
          <w:bCs/>
        </w:rPr>
        <w:t xml:space="preserve"> were on ships </w:t>
      </w:r>
      <w:r w:rsidR="000179D0" w:rsidRPr="00C55967">
        <w:rPr>
          <w:rFonts w:cs="Arial"/>
          <w:bCs/>
        </w:rPr>
        <w:t>to</w:t>
      </w:r>
      <w:r w:rsidR="00773D6C" w:rsidRPr="00C55967">
        <w:rPr>
          <w:rFonts w:cs="Arial"/>
          <w:bCs/>
        </w:rPr>
        <w:t xml:space="preserve"> which the </w:t>
      </w:r>
      <w:r w:rsidR="009A13C4" w:rsidRPr="009A13C4">
        <w:rPr>
          <w:rFonts w:cs="Arial"/>
          <w:bCs/>
          <w:i/>
        </w:rPr>
        <w:t>Fair Work Act 2009</w:t>
      </w:r>
      <w:r w:rsidR="009A13C4">
        <w:rPr>
          <w:rFonts w:cs="Arial"/>
          <w:bCs/>
        </w:rPr>
        <w:t xml:space="preserve"> (</w:t>
      </w:r>
      <w:r w:rsidR="00773D6C" w:rsidRPr="00C55967">
        <w:rPr>
          <w:rFonts w:cs="Arial"/>
          <w:bCs/>
        </w:rPr>
        <w:t>FW Act</w:t>
      </w:r>
      <w:r w:rsidR="009A13C4">
        <w:rPr>
          <w:rFonts w:cs="Arial"/>
          <w:bCs/>
        </w:rPr>
        <w:t>)</w:t>
      </w:r>
      <w:r w:rsidR="00773D6C" w:rsidRPr="00C55967">
        <w:rPr>
          <w:rFonts w:cs="Arial"/>
          <w:bCs/>
        </w:rPr>
        <w:t xml:space="preserve"> did not apply</w:t>
      </w:r>
      <w:r w:rsidR="00C55967">
        <w:rPr>
          <w:rFonts w:cs="Arial"/>
          <w:bCs/>
        </w:rPr>
        <w:t>.</w:t>
      </w:r>
    </w:p>
    <w:p w:rsidR="00773D6C" w:rsidRDefault="00773D6C" w:rsidP="001A2C10">
      <w:pPr>
        <w:rPr>
          <w:rFonts w:cs="Arial"/>
          <w:bCs/>
        </w:rPr>
      </w:pPr>
    </w:p>
    <w:p w:rsidR="00773D6C" w:rsidRPr="00C55967" w:rsidRDefault="00773D6C" w:rsidP="00C55967">
      <w:pPr>
        <w:pStyle w:val="ListParagraph"/>
        <w:numPr>
          <w:ilvl w:val="0"/>
          <w:numId w:val="18"/>
        </w:numPr>
        <w:rPr>
          <w:rFonts w:cs="Arial"/>
          <w:bCs/>
        </w:rPr>
      </w:pPr>
      <w:r w:rsidRPr="00C55967">
        <w:rPr>
          <w:rFonts w:cs="Arial"/>
          <w:bCs/>
        </w:rPr>
        <w:t xml:space="preserve">The evidence by the Business Council of </w:t>
      </w:r>
      <w:r w:rsidR="000179D0" w:rsidRPr="00C55967">
        <w:rPr>
          <w:rFonts w:cs="Arial"/>
          <w:bCs/>
        </w:rPr>
        <w:t>Australia</w:t>
      </w:r>
      <w:r w:rsidRPr="00C55967">
        <w:rPr>
          <w:rFonts w:cs="Arial"/>
          <w:bCs/>
        </w:rPr>
        <w:t xml:space="preserve"> that shippers have faced increased costs since 1 July 2012, where again, the facts show that very little cargo where shipper’s sought to carry the cargo on TL ships has been </w:t>
      </w:r>
      <w:r w:rsidR="000179D0" w:rsidRPr="00C55967">
        <w:rPr>
          <w:rFonts w:cs="Arial"/>
          <w:bCs/>
        </w:rPr>
        <w:t>successfully</w:t>
      </w:r>
      <w:r w:rsidRPr="00C55967">
        <w:rPr>
          <w:rFonts w:cs="Arial"/>
          <w:bCs/>
        </w:rPr>
        <w:t xml:space="preserve"> contested by a GL holder</w:t>
      </w:r>
      <w:r w:rsidR="00C55967">
        <w:rPr>
          <w:rFonts w:cs="Arial"/>
          <w:bCs/>
        </w:rPr>
        <w:t>.</w:t>
      </w:r>
    </w:p>
    <w:p w:rsidR="00773D6C" w:rsidRDefault="00773D6C" w:rsidP="001A2C10">
      <w:pPr>
        <w:rPr>
          <w:rFonts w:cs="Arial"/>
          <w:bCs/>
        </w:rPr>
      </w:pPr>
    </w:p>
    <w:p w:rsidR="00773D6C" w:rsidRPr="00C55967" w:rsidRDefault="00773D6C" w:rsidP="00C55967">
      <w:pPr>
        <w:pStyle w:val="ListParagraph"/>
        <w:numPr>
          <w:ilvl w:val="0"/>
          <w:numId w:val="18"/>
        </w:numPr>
        <w:rPr>
          <w:rFonts w:cs="Arial"/>
          <w:bCs/>
        </w:rPr>
      </w:pPr>
      <w:r w:rsidRPr="00C55967">
        <w:rPr>
          <w:rFonts w:cs="Arial"/>
          <w:bCs/>
        </w:rPr>
        <w:t xml:space="preserve">The Simplot </w:t>
      </w:r>
      <w:r w:rsidR="000179D0" w:rsidRPr="00C55967">
        <w:rPr>
          <w:rFonts w:cs="Arial"/>
          <w:bCs/>
        </w:rPr>
        <w:t>claim</w:t>
      </w:r>
      <w:r w:rsidRPr="00C55967">
        <w:rPr>
          <w:rFonts w:cs="Arial"/>
          <w:bCs/>
        </w:rPr>
        <w:t xml:space="preserve"> about added costs.  </w:t>
      </w:r>
      <w:r w:rsidR="000179D0" w:rsidRPr="00C55967">
        <w:rPr>
          <w:rFonts w:cs="Arial"/>
          <w:bCs/>
        </w:rPr>
        <w:t>Again</w:t>
      </w:r>
      <w:r w:rsidRPr="00C55967">
        <w:rPr>
          <w:rFonts w:cs="Arial"/>
          <w:bCs/>
        </w:rPr>
        <w:t xml:space="preserve"> the data shows that the Simplot guestimate is </w:t>
      </w:r>
      <w:r w:rsidR="000179D0" w:rsidRPr="00C55967">
        <w:rPr>
          <w:rFonts w:cs="Arial"/>
          <w:bCs/>
        </w:rPr>
        <w:t>wildly</w:t>
      </w:r>
      <w:r w:rsidRPr="00C55967">
        <w:rPr>
          <w:rFonts w:cs="Arial"/>
          <w:bCs/>
        </w:rPr>
        <w:t xml:space="preserve"> inaccurate.</w:t>
      </w:r>
    </w:p>
    <w:p w:rsidR="00773D6C" w:rsidRDefault="00773D6C" w:rsidP="001A2C10">
      <w:pPr>
        <w:rPr>
          <w:rFonts w:cs="Arial"/>
          <w:bCs/>
        </w:rPr>
      </w:pPr>
    </w:p>
    <w:p w:rsidR="00773D6C" w:rsidRPr="00C55967" w:rsidRDefault="00773D6C" w:rsidP="00C55967">
      <w:pPr>
        <w:pStyle w:val="ListParagraph"/>
        <w:numPr>
          <w:ilvl w:val="0"/>
          <w:numId w:val="18"/>
        </w:numPr>
        <w:rPr>
          <w:rFonts w:cs="Arial"/>
          <w:bCs/>
        </w:rPr>
      </w:pPr>
      <w:r w:rsidRPr="00C55967">
        <w:rPr>
          <w:rFonts w:cs="Arial"/>
          <w:bCs/>
        </w:rPr>
        <w:t xml:space="preserve">We are </w:t>
      </w:r>
      <w:r w:rsidR="000179D0" w:rsidRPr="00C55967">
        <w:rPr>
          <w:rFonts w:cs="Arial"/>
          <w:bCs/>
        </w:rPr>
        <w:t>concerned</w:t>
      </w:r>
      <w:r w:rsidRPr="00C55967">
        <w:rPr>
          <w:rFonts w:cs="Arial"/>
          <w:bCs/>
        </w:rPr>
        <w:t xml:space="preserve"> that there </w:t>
      </w:r>
      <w:r w:rsidR="000179D0" w:rsidRPr="00C55967">
        <w:rPr>
          <w:rFonts w:cs="Arial"/>
          <w:bCs/>
        </w:rPr>
        <w:t>remain</w:t>
      </w:r>
      <w:r w:rsidRPr="00C55967">
        <w:rPr>
          <w:rFonts w:cs="Arial"/>
          <w:bCs/>
        </w:rPr>
        <w:t xml:space="preserve"> in the PC draft report incorrect statements about the effects of the </w:t>
      </w:r>
      <w:r w:rsidR="009A13C4">
        <w:rPr>
          <w:rFonts w:cs="Arial"/>
          <w:bCs/>
        </w:rPr>
        <w:t xml:space="preserve">2012 </w:t>
      </w:r>
      <w:r w:rsidRPr="00C55967">
        <w:rPr>
          <w:rFonts w:cs="Arial"/>
          <w:bCs/>
        </w:rPr>
        <w:t xml:space="preserve">shipping </w:t>
      </w:r>
      <w:r w:rsidR="000179D0" w:rsidRPr="00C55967">
        <w:rPr>
          <w:rFonts w:cs="Arial"/>
          <w:bCs/>
        </w:rPr>
        <w:t>reform</w:t>
      </w:r>
      <w:r w:rsidRPr="00C55967">
        <w:rPr>
          <w:rFonts w:cs="Arial"/>
          <w:bCs/>
        </w:rPr>
        <w:t xml:space="preserve"> legislation.</w:t>
      </w:r>
    </w:p>
    <w:p w:rsidR="00773D6C" w:rsidRDefault="00773D6C" w:rsidP="001A2C10">
      <w:pPr>
        <w:rPr>
          <w:rFonts w:cs="Arial"/>
          <w:bCs/>
        </w:rPr>
      </w:pPr>
    </w:p>
    <w:p w:rsidR="00773D6C" w:rsidRPr="00C55967" w:rsidRDefault="00721E18" w:rsidP="00C55967">
      <w:pPr>
        <w:pStyle w:val="ListParagraph"/>
        <w:numPr>
          <w:ilvl w:val="0"/>
          <w:numId w:val="18"/>
        </w:numPr>
        <w:rPr>
          <w:rFonts w:cs="Arial"/>
          <w:bCs/>
        </w:rPr>
      </w:pPr>
      <w:r w:rsidRPr="00C55967">
        <w:rPr>
          <w:rFonts w:cs="Arial"/>
          <w:bCs/>
        </w:rPr>
        <w:t xml:space="preserve">For example, the </w:t>
      </w:r>
      <w:r w:rsidR="000179D0" w:rsidRPr="00C55967">
        <w:rPr>
          <w:rFonts w:cs="Arial"/>
          <w:bCs/>
        </w:rPr>
        <w:t>reference</w:t>
      </w:r>
      <w:r w:rsidRPr="00C55967">
        <w:rPr>
          <w:rFonts w:cs="Arial"/>
          <w:bCs/>
        </w:rPr>
        <w:t xml:space="preserve"> to the need for hiring </w:t>
      </w:r>
      <w:r w:rsidR="000179D0" w:rsidRPr="00C55967">
        <w:rPr>
          <w:rFonts w:cs="Arial"/>
          <w:bCs/>
        </w:rPr>
        <w:t>Australian</w:t>
      </w:r>
      <w:r w:rsidR="008D316E">
        <w:rPr>
          <w:rFonts w:cs="Arial"/>
          <w:bCs/>
        </w:rPr>
        <w:t xml:space="preserve"> workers on TL ships.</w:t>
      </w:r>
      <w:r w:rsidR="009A13C4">
        <w:rPr>
          <w:rFonts w:cs="Arial"/>
          <w:bCs/>
        </w:rPr>
        <w:t xml:space="preserve">  This is incorrect.</w:t>
      </w:r>
    </w:p>
    <w:p w:rsidR="00721E18" w:rsidRDefault="00721E18" w:rsidP="001A2C10">
      <w:pPr>
        <w:rPr>
          <w:rFonts w:cs="Arial"/>
          <w:bCs/>
        </w:rPr>
      </w:pPr>
    </w:p>
    <w:p w:rsidR="00721E18" w:rsidRPr="00C55967" w:rsidRDefault="00721E18" w:rsidP="00C55967">
      <w:pPr>
        <w:pStyle w:val="ListParagraph"/>
        <w:numPr>
          <w:ilvl w:val="0"/>
          <w:numId w:val="18"/>
        </w:numPr>
        <w:rPr>
          <w:rFonts w:cs="Arial"/>
          <w:bCs/>
        </w:rPr>
      </w:pPr>
      <w:r w:rsidRPr="00C55967">
        <w:rPr>
          <w:rFonts w:cs="Arial"/>
          <w:bCs/>
        </w:rPr>
        <w:t xml:space="preserve">We are uncertain if the radical </w:t>
      </w:r>
      <w:r w:rsidR="000179D0" w:rsidRPr="00C55967">
        <w:rPr>
          <w:rFonts w:cs="Arial"/>
          <w:bCs/>
        </w:rPr>
        <w:t>solution</w:t>
      </w:r>
      <w:r w:rsidRPr="00C55967">
        <w:rPr>
          <w:rFonts w:cs="Arial"/>
          <w:bCs/>
        </w:rPr>
        <w:t xml:space="preserve"> proposed by the PC would in fact deliver the shipping cost efficiencies presumed (thoug</w:t>
      </w:r>
      <w:r w:rsidR="00C55967">
        <w:rPr>
          <w:rFonts w:cs="Arial"/>
          <w:bCs/>
        </w:rPr>
        <w:t xml:space="preserve">h unquantified).  </w:t>
      </w:r>
      <w:r w:rsidRPr="00C55967">
        <w:rPr>
          <w:rFonts w:cs="Arial"/>
          <w:bCs/>
        </w:rPr>
        <w:t xml:space="preserve">There are two matters that seem to have been overlooked in the PC </w:t>
      </w:r>
      <w:r w:rsidR="000179D0" w:rsidRPr="00C55967">
        <w:rPr>
          <w:rFonts w:cs="Arial"/>
          <w:bCs/>
        </w:rPr>
        <w:t>draft</w:t>
      </w:r>
      <w:r w:rsidRPr="00C55967">
        <w:rPr>
          <w:rFonts w:cs="Arial"/>
          <w:bCs/>
        </w:rPr>
        <w:t xml:space="preserve"> report.</w:t>
      </w:r>
    </w:p>
    <w:p w:rsidR="00721E18" w:rsidRDefault="00721E18" w:rsidP="001A2C10">
      <w:pPr>
        <w:rPr>
          <w:rFonts w:cs="Arial"/>
          <w:bCs/>
        </w:rPr>
      </w:pPr>
    </w:p>
    <w:p w:rsidR="00721E18" w:rsidRPr="00C55967" w:rsidRDefault="00721E18" w:rsidP="00C55967">
      <w:pPr>
        <w:pStyle w:val="ListParagraph"/>
        <w:numPr>
          <w:ilvl w:val="0"/>
          <w:numId w:val="18"/>
        </w:numPr>
        <w:rPr>
          <w:rFonts w:cs="Arial"/>
          <w:bCs/>
        </w:rPr>
      </w:pPr>
      <w:r w:rsidRPr="00C55967">
        <w:rPr>
          <w:rFonts w:cs="Arial"/>
          <w:bCs/>
        </w:rPr>
        <w:t xml:space="preserve">First, the visa requirements for foreign seafarers.  Repeal of the CT Act will presumably end the CT Act s112 </w:t>
      </w:r>
      <w:r w:rsidR="000179D0" w:rsidRPr="00C55967">
        <w:rPr>
          <w:rFonts w:cs="Arial"/>
          <w:bCs/>
        </w:rPr>
        <w:t>protection</w:t>
      </w:r>
      <w:r w:rsidR="00C55967">
        <w:rPr>
          <w:rFonts w:cs="Arial"/>
          <w:bCs/>
        </w:rPr>
        <w:t xml:space="preserve"> for TL ships by</w:t>
      </w:r>
      <w:r w:rsidR="002D2139">
        <w:rPr>
          <w:rFonts w:cs="Arial"/>
          <w:bCs/>
        </w:rPr>
        <w:t xml:space="preserve"> </w:t>
      </w:r>
      <w:r w:rsidRPr="00C55967">
        <w:rPr>
          <w:rFonts w:cs="Arial"/>
          <w:bCs/>
        </w:rPr>
        <w:t xml:space="preserve">eliminating the availability of the </w:t>
      </w:r>
      <w:r w:rsidR="000179D0" w:rsidRPr="00C55967">
        <w:rPr>
          <w:rFonts w:cs="Arial"/>
          <w:bCs/>
        </w:rPr>
        <w:t>Maritime</w:t>
      </w:r>
      <w:r w:rsidRPr="00C55967">
        <w:rPr>
          <w:rFonts w:cs="Arial"/>
          <w:bCs/>
        </w:rPr>
        <w:t xml:space="preserve"> Crew </w:t>
      </w:r>
      <w:r w:rsidR="000179D0" w:rsidRPr="00C55967">
        <w:rPr>
          <w:rFonts w:cs="Arial"/>
          <w:bCs/>
        </w:rPr>
        <w:t>Visa</w:t>
      </w:r>
      <w:r w:rsidR="00C55967">
        <w:rPr>
          <w:rFonts w:cs="Arial"/>
          <w:bCs/>
        </w:rPr>
        <w:t xml:space="preserve"> (MCV)</w:t>
      </w:r>
      <w:r w:rsidR="000179D0" w:rsidRPr="00C55967">
        <w:rPr>
          <w:rFonts w:cs="Arial"/>
          <w:bCs/>
        </w:rPr>
        <w:t>,</w:t>
      </w:r>
      <w:r w:rsidRPr="00C55967">
        <w:rPr>
          <w:rFonts w:cs="Arial"/>
          <w:bCs/>
        </w:rPr>
        <w:t xml:space="preserve"> which for </w:t>
      </w:r>
      <w:r w:rsidR="000179D0" w:rsidRPr="00C55967">
        <w:rPr>
          <w:rFonts w:cs="Arial"/>
          <w:bCs/>
        </w:rPr>
        <w:t>imported</w:t>
      </w:r>
      <w:r w:rsidRPr="00C55967">
        <w:rPr>
          <w:rFonts w:cs="Arial"/>
          <w:bCs/>
        </w:rPr>
        <w:t xml:space="preserve"> ships ceases to allow work rights after 5 days.  </w:t>
      </w:r>
      <w:r w:rsidR="000179D0" w:rsidRPr="00C55967">
        <w:rPr>
          <w:rFonts w:cs="Arial"/>
          <w:bCs/>
        </w:rPr>
        <w:t>International vessels regularly trading the Tasmania</w:t>
      </w:r>
      <w:r w:rsidR="00C55967">
        <w:rPr>
          <w:rFonts w:cs="Arial"/>
          <w:bCs/>
        </w:rPr>
        <w:t xml:space="preserve"> to the mainland route</w:t>
      </w:r>
      <w:r w:rsidR="000179D0" w:rsidRPr="00C55967">
        <w:rPr>
          <w:rFonts w:cs="Arial"/>
          <w:bCs/>
        </w:rPr>
        <w:t xml:space="preserve"> would presumably need to remain in that trade to offer the service levels required of Tasmanian shippers (even if the f</w:t>
      </w:r>
      <w:r w:rsidR="002D2139">
        <w:rPr>
          <w:rFonts w:cs="Arial"/>
          <w:bCs/>
        </w:rPr>
        <w:t>requency was less than</w:t>
      </w:r>
      <w:r w:rsidR="000179D0" w:rsidRPr="00C55967">
        <w:rPr>
          <w:rFonts w:cs="Arial"/>
          <w:bCs/>
        </w:rPr>
        <w:t xml:space="preserve"> the daily serv</w:t>
      </w:r>
      <w:r w:rsidR="002D2139">
        <w:rPr>
          <w:rFonts w:cs="Arial"/>
          <w:bCs/>
        </w:rPr>
        <w:t xml:space="preserve">ice which some have suggested </w:t>
      </w:r>
      <w:r w:rsidR="00E11E11">
        <w:rPr>
          <w:rFonts w:cs="Arial"/>
          <w:bCs/>
        </w:rPr>
        <w:t>amounts</w:t>
      </w:r>
      <w:r w:rsidR="002D2139">
        <w:rPr>
          <w:rFonts w:cs="Arial"/>
          <w:bCs/>
        </w:rPr>
        <w:t xml:space="preserve"> to</w:t>
      </w:r>
      <w:r w:rsidR="000179D0" w:rsidRPr="00C55967">
        <w:rPr>
          <w:rFonts w:cs="Arial"/>
          <w:bCs/>
        </w:rPr>
        <w:t xml:space="preserve"> over servicing</w:t>
      </w:r>
      <w:r w:rsidR="002D2139">
        <w:rPr>
          <w:rFonts w:cs="Arial"/>
          <w:bCs/>
        </w:rPr>
        <w:t xml:space="preserve"> of the market</w:t>
      </w:r>
      <w:r w:rsidR="000179D0" w:rsidRPr="00C55967">
        <w:rPr>
          <w:rFonts w:cs="Arial"/>
          <w:bCs/>
        </w:rPr>
        <w:t xml:space="preserve">).  </w:t>
      </w:r>
      <w:r w:rsidR="00B56666">
        <w:rPr>
          <w:rFonts w:cs="Arial"/>
          <w:bCs/>
        </w:rPr>
        <w:t>In the circumstances, it would be inevitable that Customs Australia would declare those ships to be imported, and the MCV would cease to have effect.</w:t>
      </w:r>
    </w:p>
    <w:p w:rsidR="00721E18" w:rsidRDefault="00721E18" w:rsidP="001A2C10">
      <w:pPr>
        <w:rPr>
          <w:rFonts w:cs="Arial"/>
          <w:bCs/>
        </w:rPr>
      </w:pPr>
    </w:p>
    <w:p w:rsidR="00721E18" w:rsidRPr="00C55967" w:rsidRDefault="00721E18" w:rsidP="00C55967">
      <w:pPr>
        <w:pStyle w:val="ListParagraph"/>
        <w:numPr>
          <w:ilvl w:val="0"/>
          <w:numId w:val="18"/>
        </w:numPr>
        <w:rPr>
          <w:rFonts w:cs="Arial"/>
          <w:bCs/>
        </w:rPr>
      </w:pPr>
      <w:r w:rsidRPr="00C55967">
        <w:rPr>
          <w:rFonts w:cs="Arial"/>
          <w:bCs/>
        </w:rPr>
        <w:t xml:space="preserve">In those </w:t>
      </w:r>
      <w:r w:rsidR="000179D0" w:rsidRPr="00C55967">
        <w:rPr>
          <w:rFonts w:cs="Arial"/>
          <w:bCs/>
        </w:rPr>
        <w:t>circumstances</w:t>
      </w:r>
      <w:r w:rsidRPr="00C55967">
        <w:rPr>
          <w:rFonts w:cs="Arial"/>
          <w:bCs/>
        </w:rPr>
        <w:t xml:space="preserve"> so</w:t>
      </w:r>
      <w:r w:rsidR="002D2139">
        <w:rPr>
          <w:rFonts w:cs="Arial"/>
          <w:bCs/>
        </w:rPr>
        <w:t>me other visa type that conveys</w:t>
      </w:r>
      <w:r w:rsidRPr="00C55967">
        <w:rPr>
          <w:rFonts w:cs="Arial"/>
          <w:bCs/>
        </w:rPr>
        <w:t xml:space="preserve"> work rights </w:t>
      </w:r>
      <w:r w:rsidR="00C55967">
        <w:rPr>
          <w:rFonts w:cs="Arial"/>
          <w:bCs/>
        </w:rPr>
        <w:t xml:space="preserve">to the foreign seafarers would be required, like a </w:t>
      </w:r>
      <w:r w:rsidRPr="00C55967">
        <w:rPr>
          <w:rFonts w:cs="Arial"/>
          <w:bCs/>
        </w:rPr>
        <w:t>457 v</w:t>
      </w:r>
      <w:r w:rsidR="00A5550D" w:rsidRPr="00C55967">
        <w:rPr>
          <w:rFonts w:cs="Arial"/>
          <w:bCs/>
        </w:rPr>
        <w:t xml:space="preserve">isa.  </w:t>
      </w:r>
      <w:r w:rsidR="00A5550D" w:rsidRPr="00A5550D">
        <w:t xml:space="preserve"> </w:t>
      </w:r>
      <w:r w:rsidR="00A5550D" w:rsidRPr="00C55967">
        <w:rPr>
          <w:rFonts w:cs="Arial"/>
          <w:bCs/>
        </w:rPr>
        <w:t>As the PC is aware, that visa requires market rates to appl</w:t>
      </w:r>
      <w:r w:rsidR="00C55967">
        <w:rPr>
          <w:rFonts w:cs="Arial"/>
          <w:bCs/>
        </w:rPr>
        <w:t>y, which could in fact increase</w:t>
      </w:r>
      <w:r w:rsidR="00A5550D" w:rsidRPr="00C55967">
        <w:rPr>
          <w:rFonts w:cs="Arial"/>
          <w:bCs/>
        </w:rPr>
        <w:t xml:space="preserve"> the wage costs over those that </w:t>
      </w:r>
      <w:r w:rsidR="000179D0" w:rsidRPr="00C55967">
        <w:rPr>
          <w:rFonts w:cs="Arial"/>
          <w:bCs/>
        </w:rPr>
        <w:t>derive</w:t>
      </w:r>
      <w:r w:rsidR="00A5550D" w:rsidRPr="00C55967">
        <w:rPr>
          <w:rFonts w:cs="Arial"/>
          <w:bCs/>
        </w:rPr>
        <w:t xml:space="preserve"> </w:t>
      </w:r>
      <w:r w:rsidR="000179D0" w:rsidRPr="00C55967">
        <w:rPr>
          <w:rFonts w:cs="Arial"/>
          <w:bCs/>
        </w:rPr>
        <w:t>from</w:t>
      </w:r>
      <w:r w:rsidR="00A5550D" w:rsidRPr="00C55967">
        <w:rPr>
          <w:rFonts w:cs="Arial"/>
          <w:bCs/>
        </w:rPr>
        <w:t xml:space="preserve"> Part B of the Seagoing Industry Award</w:t>
      </w:r>
      <w:r w:rsidR="009A13C4">
        <w:rPr>
          <w:rFonts w:cs="Arial"/>
          <w:bCs/>
        </w:rPr>
        <w:t xml:space="preserve"> 2010</w:t>
      </w:r>
      <w:r w:rsidR="00A5550D" w:rsidRPr="00C55967">
        <w:rPr>
          <w:rFonts w:cs="Arial"/>
          <w:bCs/>
        </w:rPr>
        <w:t>.</w:t>
      </w:r>
    </w:p>
    <w:p w:rsidR="00A5550D" w:rsidRDefault="00A5550D" w:rsidP="001A2C10">
      <w:pPr>
        <w:rPr>
          <w:rFonts w:cs="Arial"/>
          <w:bCs/>
        </w:rPr>
      </w:pPr>
    </w:p>
    <w:p w:rsidR="00E11E11" w:rsidRDefault="00A5550D" w:rsidP="001A2C10">
      <w:pPr>
        <w:pStyle w:val="ListParagraph"/>
        <w:numPr>
          <w:ilvl w:val="0"/>
          <w:numId w:val="18"/>
        </w:numPr>
        <w:rPr>
          <w:rFonts w:cs="Arial"/>
          <w:bCs/>
        </w:rPr>
      </w:pPr>
      <w:r w:rsidRPr="00C55967">
        <w:rPr>
          <w:rFonts w:cs="Arial"/>
          <w:bCs/>
        </w:rPr>
        <w:t>Second, the PC has not addressed</w:t>
      </w:r>
      <w:r w:rsidR="00C55967">
        <w:rPr>
          <w:rFonts w:cs="Arial"/>
          <w:bCs/>
        </w:rPr>
        <w:t xml:space="preserve"> the legal issue arising from the</w:t>
      </w:r>
      <w:r w:rsidRPr="00C55967">
        <w:rPr>
          <w:rFonts w:cs="Arial"/>
          <w:bCs/>
        </w:rPr>
        <w:t xml:space="preserve"> decision of the High Court regarding the power </w:t>
      </w:r>
      <w:r w:rsidR="00C55967">
        <w:rPr>
          <w:rFonts w:cs="Arial"/>
          <w:bCs/>
        </w:rPr>
        <w:t xml:space="preserve">of the industrial </w:t>
      </w:r>
      <w:r w:rsidR="004724E9">
        <w:rPr>
          <w:rFonts w:cs="Arial"/>
          <w:bCs/>
        </w:rPr>
        <w:t>regulator</w:t>
      </w:r>
      <w:r w:rsidR="00C55967">
        <w:rPr>
          <w:rFonts w:cs="Arial"/>
          <w:bCs/>
        </w:rPr>
        <w:t xml:space="preserve"> </w:t>
      </w:r>
      <w:r w:rsidRPr="00C55967">
        <w:rPr>
          <w:rFonts w:cs="Arial"/>
          <w:bCs/>
        </w:rPr>
        <w:t xml:space="preserve">to set terms and conditions </w:t>
      </w:r>
      <w:r w:rsidR="00C55967">
        <w:rPr>
          <w:rFonts w:cs="Arial"/>
          <w:bCs/>
        </w:rPr>
        <w:t xml:space="preserve">of </w:t>
      </w:r>
      <w:r w:rsidR="004724E9">
        <w:rPr>
          <w:rFonts w:cs="Arial"/>
          <w:bCs/>
        </w:rPr>
        <w:t>employment</w:t>
      </w:r>
      <w:r w:rsidR="00C55967">
        <w:rPr>
          <w:rFonts w:cs="Arial"/>
          <w:bCs/>
        </w:rPr>
        <w:t xml:space="preserve"> </w:t>
      </w:r>
      <w:r w:rsidRPr="00C55967">
        <w:rPr>
          <w:rFonts w:cs="Arial"/>
          <w:bCs/>
        </w:rPr>
        <w:t xml:space="preserve">for seafarers </w:t>
      </w:r>
      <w:r w:rsidR="000179D0" w:rsidRPr="00C55967">
        <w:rPr>
          <w:rFonts w:cs="Arial"/>
          <w:bCs/>
        </w:rPr>
        <w:t>operating</w:t>
      </w:r>
      <w:r w:rsidRPr="00C55967">
        <w:rPr>
          <w:rFonts w:cs="Arial"/>
          <w:bCs/>
        </w:rPr>
        <w:t xml:space="preserve"> in the </w:t>
      </w:r>
      <w:r w:rsidR="000179D0" w:rsidRPr="00C55967">
        <w:rPr>
          <w:rFonts w:cs="Arial"/>
          <w:bCs/>
        </w:rPr>
        <w:t>Australian</w:t>
      </w:r>
      <w:r w:rsidRPr="00C55967">
        <w:rPr>
          <w:rFonts w:cs="Arial"/>
          <w:bCs/>
        </w:rPr>
        <w:t xml:space="preserve"> jurisdiction.</w:t>
      </w:r>
      <w:r w:rsidR="002D2139">
        <w:rPr>
          <w:rFonts w:cs="Arial"/>
          <w:bCs/>
        </w:rPr>
        <w:t xml:space="preserve">  Again, the assumption that foreign seafarers can operate in the </w:t>
      </w:r>
      <w:r w:rsidR="00E11E11">
        <w:rPr>
          <w:rFonts w:cs="Arial"/>
          <w:bCs/>
        </w:rPr>
        <w:t>Australian</w:t>
      </w:r>
      <w:r w:rsidR="002D2139">
        <w:rPr>
          <w:rFonts w:cs="Arial"/>
          <w:bCs/>
        </w:rPr>
        <w:t xml:space="preserve"> coastal trade under international labour standards could </w:t>
      </w:r>
      <w:r w:rsidR="009A13C4">
        <w:rPr>
          <w:rFonts w:cs="Arial"/>
          <w:bCs/>
        </w:rPr>
        <w:t xml:space="preserve">prove to be an unattainable </w:t>
      </w:r>
      <w:r w:rsidR="00B56666">
        <w:rPr>
          <w:rFonts w:cs="Arial"/>
          <w:bCs/>
        </w:rPr>
        <w:t>outcome</w:t>
      </w:r>
      <w:r w:rsidR="009A13C4">
        <w:rPr>
          <w:rFonts w:cs="Arial"/>
          <w:bCs/>
        </w:rPr>
        <w:t>.</w:t>
      </w:r>
    </w:p>
    <w:p w:rsidR="00E11E11" w:rsidRPr="00E11E11" w:rsidRDefault="00E11E11" w:rsidP="00E11E11">
      <w:pPr>
        <w:pStyle w:val="ListParagraph"/>
        <w:rPr>
          <w:rFonts w:cs="Arial"/>
          <w:bCs/>
        </w:rPr>
      </w:pPr>
    </w:p>
    <w:p w:rsidR="00BD7596" w:rsidRPr="00E11E11" w:rsidRDefault="00BD7596" w:rsidP="001A2C10">
      <w:pPr>
        <w:pStyle w:val="ListParagraph"/>
        <w:numPr>
          <w:ilvl w:val="0"/>
          <w:numId w:val="18"/>
        </w:numPr>
        <w:rPr>
          <w:rFonts w:cs="Arial"/>
          <w:bCs/>
        </w:rPr>
      </w:pPr>
      <w:r w:rsidRPr="00E11E11">
        <w:rPr>
          <w:rFonts w:cs="Arial"/>
          <w:bCs/>
        </w:rPr>
        <w:t>Finally we note that the PC has misunderstood</w:t>
      </w:r>
      <w:r w:rsidR="009A13C4">
        <w:rPr>
          <w:rFonts w:cs="Arial"/>
          <w:bCs/>
        </w:rPr>
        <w:t>,</w:t>
      </w:r>
      <w:r w:rsidRPr="00E11E11">
        <w:rPr>
          <w:rFonts w:cs="Arial"/>
          <w:bCs/>
        </w:rPr>
        <w:t xml:space="preserve"> and therefore sought to denigrate</w:t>
      </w:r>
      <w:r w:rsidR="009A13C4">
        <w:rPr>
          <w:rFonts w:cs="Arial"/>
          <w:bCs/>
        </w:rPr>
        <w:t>,</w:t>
      </w:r>
      <w:r w:rsidRPr="00E11E11">
        <w:rPr>
          <w:rFonts w:cs="Arial"/>
          <w:bCs/>
        </w:rPr>
        <w:t xml:space="preserve"> the Labour Relations Compact signed by the social </w:t>
      </w:r>
      <w:r w:rsidR="00E11E11" w:rsidRPr="00E11E11">
        <w:rPr>
          <w:rFonts w:cs="Arial"/>
          <w:bCs/>
        </w:rPr>
        <w:t>partners</w:t>
      </w:r>
      <w:r w:rsidRPr="00E11E11">
        <w:rPr>
          <w:rFonts w:cs="Arial"/>
          <w:bCs/>
        </w:rPr>
        <w:t>.  The Compact is working.  Its requirements establish international best practi</w:t>
      </w:r>
      <w:r w:rsidR="009A13C4">
        <w:rPr>
          <w:rFonts w:cs="Arial"/>
          <w:bCs/>
        </w:rPr>
        <w:t>ce in shipping labour relations and seafarer labour utilisation.</w:t>
      </w:r>
    </w:p>
    <w:p w:rsidR="00BD7596" w:rsidRDefault="00BD7596" w:rsidP="001A2C10">
      <w:pPr>
        <w:rPr>
          <w:rFonts w:cs="Arial"/>
          <w:bCs/>
        </w:rPr>
      </w:pPr>
    </w:p>
    <w:p w:rsidR="008D316E" w:rsidRDefault="000179D0" w:rsidP="00C55967">
      <w:pPr>
        <w:pStyle w:val="ListParagraph"/>
        <w:numPr>
          <w:ilvl w:val="0"/>
          <w:numId w:val="18"/>
        </w:numPr>
        <w:rPr>
          <w:rFonts w:cs="Arial"/>
          <w:bCs/>
        </w:rPr>
      </w:pPr>
      <w:r w:rsidRPr="00C55967">
        <w:rPr>
          <w:rFonts w:cs="Arial"/>
          <w:bCs/>
        </w:rPr>
        <w:t xml:space="preserve">In view of the issues raised by the union, </w:t>
      </w:r>
      <w:r w:rsidR="009A13C4">
        <w:rPr>
          <w:rFonts w:cs="Arial"/>
          <w:bCs/>
        </w:rPr>
        <w:t>and addressed in detail in the sections that follow, the MUA</w:t>
      </w:r>
      <w:r w:rsidRPr="00C55967">
        <w:rPr>
          <w:rFonts w:cs="Arial"/>
          <w:bCs/>
        </w:rPr>
        <w:t xml:space="preserve"> strongly recommend</w:t>
      </w:r>
      <w:r w:rsidR="009A13C4">
        <w:rPr>
          <w:rFonts w:cs="Arial"/>
          <w:bCs/>
        </w:rPr>
        <w:t>s</w:t>
      </w:r>
      <w:r w:rsidRPr="00C55967">
        <w:rPr>
          <w:rFonts w:cs="Arial"/>
          <w:bCs/>
        </w:rPr>
        <w:t xml:space="preserve"> that the PC re-consider the extreme solution proposed</w:t>
      </w:r>
      <w:r w:rsidR="002D2139">
        <w:rPr>
          <w:rFonts w:cs="Arial"/>
          <w:bCs/>
        </w:rPr>
        <w:t xml:space="preserve">.  At the very </w:t>
      </w:r>
      <w:r w:rsidR="00E11E11">
        <w:rPr>
          <w:rFonts w:cs="Arial"/>
          <w:bCs/>
        </w:rPr>
        <w:t>least</w:t>
      </w:r>
      <w:r w:rsidR="002D2139">
        <w:rPr>
          <w:rFonts w:cs="Arial"/>
          <w:bCs/>
        </w:rPr>
        <w:t xml:space="preserve">, the PC should quantify the </w:t>
      </w:r>
      <w:r w:rsidR="009A13C4">
        <w:rPr>
          <w:rFonts w:cs="Arial"/>
          <w:bCs/>
        </w:rPr>
        <w:t xml:space="preserve">implied </w:t>
      </w:r>
      <w:r w:rsidR="002D2139">
        <w:rPr>
          <w:rFonts w:cs="Arial"/>
          <w:bCs/>
        </w:rPr>
        <w:t xml:space="preserve">benefits and address the costs.  Those benefits and </w:t>
      </w:r>
      <w:r w:rsidR="00E11E11">
        <w:rPr>
          <w:rFonts w:cs="Arial"/>
          <w:bCs/>
        </w:rPr>
        <w:t>costs</w:t>
      </w:r>
      <w:r w:rsidR="002D2139">
        <w:rPr>
          <w:rFonts w:cs="Arial"/>
          <w:bCs/>
        </w:rPr>
        <w:t xml:space="preserve"> should be weighed up against </w:t>
      </w:r>
      <w:r w:rsidR="008D316E">
        <w:rPr>
          <w:rFonts w:cs="Arial"/>
          <w:bCs/>
        </w:rPr>
        <w:t xml:space="preserve">the benefits and costs of other efficiencies that could be </w:t>
      </w:r>
      <w:r w:rsidR="00E11E11">
        <w:rPr>
          <w:rFonts w:cs="Arial"/>
          <w:bCs/>
        </w:rPr>
        <w:t>gained</w:t>
      </w:r>
      <w:r w:rsidR="008D316E">
        <w:rPr>
          <w:rFonts w:cs="Arial"/>
          <w:bCs/>
        </w:rPr>
        <w:t xml:space="preserve"> in the </w:t>
      </w:r>
      <w:r w:rsidR="00E11E11">
        <w:rPr>
          <w:rFonts w:cs="Arial"/>
          <w:bCs/>
        </w:rPr>
        <w:t>freight</w:t>
      </w:r>
      <w:r w:rsidR="008D316E">
        <w:rPr>
          <w:rFonts w:cs="Arial"/>
          <w:bCs/>
        </w:rPr>
        <w:t xml:space="preserve"> supply </w:t>
      </w:r>
      <w:r w:rsidR="00E11E11">
        <w:rPr>
          <w:rFonts w:cs="Arial"/>
          <w:bCs/>
        </w:rPr>
        <w:t>chain, such</w:t>
      </w:r>
      <w:r w:rsidR="008D316E">
        <w:rPr>
          <w:rFonts w:cs="Arial"/>
          <w:bCs/>
        </w:rPr>
        <w:t xml:space="preserve"> as </w:t>
      </w:r>
      <w:r w:rsidR="00D57406">
        <w:rPr>
          <w:rFonts w:cs="Arial"/>
          <w:bCs/>
        </w:rPr>
        <w:t xml:space="preserve">reductions </w:t>
      </w:r>
      <w:r w:rsidR="008D316E">
        <w:rPr>
          <w:rFonts w:cs="Arial"/>
          <w:bCs/>
        </w:rPr>
        <w:t>in State Government, regulatory and service provider charges.</w:t>
      </w:r>
    </w:p>
    <w:p w:rsidR="008D316E" w:rsidRPr="008D316E" w:rsidRDefault="008D316E" w:rsidP="008D316E">
      <w:pPr>
        <w:pStyle w:val="ListParagraph"/>
        <w:rPr>
          <w:rFonts w:cs="Arial"/>
          <w:bCs/>
        </w:rPr>
      </w:pPr>
    </w:p>
    <w:p w:rsidR="00A5550D" w:rsidRPr="008D316E" w:rsidRDefault="00B56666" w:rsidP="008D316E">
      <w:pPr>
        <w:pStyle w:val="ListParagraph"/>
        <w:numPr>
          <w:ilvl w:val="0"/>
          <w:numId w:val="18"/>
        </w:numPr>
        <w:rPr>
          <w:rFonts w:cs="Arial"/>
          <w:bCs/>
        </w:rPr>
      </w:pPr>
      <w:r>
        <w:rPr>
          <w:rFonts w:cs="Arial"/>
          <w:bCs/>
        </w:rPr>
        <w:t xml:space="preserve">The MUA believes the PC has a responsibility to </w:t>
      </w:r>
      <w:r w:rsidRPr="008D316E">
        <w:rPr>
          <w:rFonts w:cs="Arial"/>
          <w:bCs/>
        </w:rPr>
        <w:t xml:space="preserve">temper the so called magic bullet solution </w:t>
      </w:r>
      <w:r>
        <w:rPr>
          <w:rFonts w:cs="Arial"/>
          <w:bCs/>
        </w:rPr>
        <w:t xml:space="preserve">it has proposed </w:t>
      </w:r>
      <w:r w:rsidRPr="008D316E">
        <w:rPr>
          <w:rFonts w:cs="Arial"/>
          <w:bCs/>
        </w:rPr>
        <w:t>that seems to have gained currency in some sectors of indust</w:t>
      </w:r>
      <w:r>
        <w:rPr>
          <w:rFonts w:cs="Arial"/>
          <w:bCs/>
        </w:rPr>
        <w:t>ry, the community and the media, and which has the capacity to distort a much needed high quality and rigorous public policy discussion about this important Australian industry.</w:t>
      </w:r>
    </w:p>
    <w:p w:rsidR="001A2C10" w:rsidRPr="00A5550D" w:rsidRDefault="001A2C10" w:rsidP="00A5550D">
      <w:pPr>
        <w:rPr>
          <w:rFonts w:cs="Arial"/>
          <w:bCs/>
          <w:color w:val="0070C0"/>
        </w:rPr>
      </w:pPr>
    </w:p>
    <w:p w:rsidR="001E05B7" w:rsidRPr="006441D6" w:rsidRDefault="00BB2C96" w:rsidP="002C6A17">
      <w:pPr>
        <w:pStyle w:val="ListParagraph"/>
        <w:numPr>
          <w:ilvl w:val="0"/>
          <w:numId w:val="3"/>
        </w:numPr>
        <w:rPr>
          <w:rFonts w:cs="Arial"/>
          <w:b/>
          <w:bCs/>
          <w:color w:val="0070C0"/>
        </w:rPr>
      </w:pPr>
      <w:r w:rsidRPr="006441D6">
        <w:rPr>
          <w:rFonts w:cs="Arial"/>
          <w:b/>
          <w:bCs/>
          <w:color w:val="0070C0"/>
        </w:rPr>
        <w:lastRenderedPageBreak/>
        <w:t>Background</w:t>
      </w:r>
    </w:p>
    <w:p w:rsidR="001E05B7" w:rsidRPr="001E05B7" w:rsidRDefault="001E05B7" w:rsidP="001E05B7">
      <w:pPr>
        <w:rPr>
          <w:rFonts w:cs="Arial"/>
          <w:bCs/>
        </w:rPr>
      </w:pPr>
    </w:p>
    <w:p w:rsidR="001E05B7" w:rsidRDefault="00A9363F" w:rsidP="00A9363F">
      <w:pPr>
        <w:ind w:left="720" w:hanging="720"/>
        <w:rPr>
          <w:rFonts w:cs="Arial"/>
          <w:bCs/>
        </w:rPr>
      </w:pPr>
      <w:r>
        <w:rPr>
          <w:rFonts w:cs="Arial"/>
          <w:bCs/>
        </w:rPr>
        <w:t>1.1</w:t>
      </w:r>
      <w:r>
        <w:rPr>
          <w:rFonts w:cs="Arial"/>
          <w:bCs/>
        </w:rPr>
        <w:tab/>
      </w:r>
      <w:r w:rsidR="001E05B7" w:rsidRPr="001E05B7">
        <w:rPr>
          <w:rFonts w:cs="Arial"/>
          <w:bCs/>
        </w:rPr>
        <w:t xml:space="preserve">The Maritime Union </w:t>
      </w:r>
      <w:r w:rsidR="006A1084">
        <w:rPr>
          <w:rFonts w:cs="Arial"/>
          <w:bCs/>
        </w:rPr>
        <w:t xml:space="preserve">of Australia (MUA) </w:t>
      </w:r>
      <w:r w:rsidR="001E05B7" w:rsidRPr="001E05B7">
        <w:rPr>
          <w:rFonts w:cs="Arial"/>
          <w:bCs/>
        </w:rPr>
        <w:t xml:space="preserve">lodged a submission </w:t>
      </w:r>
      <w:r w:rsidR="007C5744">
        <w:rPr>
          <w:rFonts w:cs="Arial"/>
          <w:bCs/>
        </w:rPr>
        <w:t xml:space="preserve">(Primary submission) </w:t>
      </w:r>
      <w:r w:rsidR="001E05B7" w:rsidRPr="001E05B7">
        <w:rPr>
          <w:rFonts w:cs="Arial"/>
          <w:bCs/>
        </w:rPr>
        <w:t xml:space="preserve">with the </w:t>
      </w:r>
      <w:r w:rsidR="007943D2" w:rsidRPr="001E05B7">
        <w:rPr>
          <w:rFonts w:cs="Arial"/>
          <w:bCs/>
        </w:rPr>
        <w:t>Productivity</w:t>
      </w:r>
      <w:r w:rsidR="001E05B7" w:rsidRPr="001E05B7">
        <w:rPr>
          <w:rFonts w:cs="Arial"/>
          <w:bCs/>
        </w:rPr>
        <w:t xml:space="preserve"> Commission </w:t>
      </w:r>
      <w:r w:rsidR="00BB2C96">
        <w:rPr>
          <w:rFonts w:cs="Arial"/>
          <w:bCs/>
        </w:rPr>
        <w:t xml:space="preserve">(PC) </w:t>
      </w:r>
      <w:r w:rsidR="001E05B7" w:rsidRPr="001E05B7">
        <w:rPr>
          <w:rFonts w:cs="Arial"/>
          <w:bCs/>
        </w:rPr>
        <w:t xml:space="preserve">regarding its inquiry in to </w:t>
      </w:r>
      <w:r w:rsidR="007943D2" w:rsidRPr="001E05B7">
        <w:rPr>
          <w:rFonts w:cs="Arial"/>
          <w:bCs/>
        </w:rPr>
        <w:t>Tasmanian</w:t>
      </w:r>
      <w:r w:rsidR="001E05B7" w:rsidRPr="001E05B7">
        <w:rPr>
          <w:rFonts w:cs="Arial"/>
          <w:bCs/>
        </w:rPr>
        <w:t xml:space="preserve"> shipping and freight on </w:t>
      </w:r>
      <w:r w:rsidR="001E05B7">
        <w:rPr>
          <w:rFonts w:cs="Arial"/>
          <w:bCs/>
        </w:rPr>
        <w:t xml:space="preserve">13 December 2013.  The MUA submission </w:t>
      </w:r>
      <w:r w:rsidR="007943D2">
        <w:rPr>
          <w:rFonts w:cs="Arial"/>
          <w:bCs/>
        </w:rPr>
        <w:t>included</w:t>
      </w:r>
      <w:r w:rsidR="001E05B7">
        <w:rPr>
          <w:rFonts w:cs="Arial"/>
          <w:bCs/>
        </w:rPr>
        <w:t xml:space="preserve"> an Appendix which incorporated the MUA submission to the </w:t>
      </w:r>
      <w:r w:rsidR="007943D2">
        <w:rPr>
          <w:rFonts w:cs="Arial"/>
          <w:bCs/>
        </w:rPr>
        <w:t>Tasmanian</w:t>
      </w:r>
      <w:r w:rsidR="001E05B7">
        <w:rPr>
          <w:rFonts w:cs="Arial"/>
          <w:bCs/>
        </w:rPr>
        <w:t xml:space="preserve"> Freight Logistics </w:t>
      </w:r>
      <w:r w:rsidR="007943D2">
        <w:rPr>
          <w:rFonts w:cs="Arial"/>
          <w:bCs/>
        </w:rPr>
        <w:t>Coordination</w:t>
      </w:r>
      <w:r w:rsidR="001E05B7">
        <w:rPr>
          <w:rFonts w:cs="Arial"/>
          <w:bCs/>
        </w:rPr>
        <w:t xml:space="preserve"> </w:t>
      </w:r>
      <w:r w:rsidR="007943D2">
        <w:rPr>
          <w:rFonts w:cs="Arial"/>
          <w:bCs/>
        </w:rPr>
        <w:t>Team</w:t>
      </w:r>
      <w:r w:rsidR="001E05B7">
        <w:rPr>
          <w:rFonts w:cs="Arial"/>
          <w:bCs/>
        </w:rPr>
        <w:t xml:space="preserve"> </w:t>
      </w:r>
      <w:r>
        <w:rPr>
          <w:rFonts w:cs="Arial"/>
          <w:bCs/>
        </w:rPr>
        <w:t>examining Tasmania’s freight infrastructure.</w:t>
      </w:r>
    </w:p>
    <w:p w:rsidR="00A9363F" w:rsidRDefault="00A9363F" w:rsidP="001E05B7">
      <w:pPr>
        <w:rPr>
          <w:rFonts w:cs="Arial"/>
          <w:bCs/>
        </w:rPr>
      </w:pPr>
    </w:p>
    <w:p w:rsidR="00A9363F" w:rsidRDefault="00A9363F" w:rsidP="00A9363F">
      <w:pPr>
        <w:ind w:left="720" w:hanging="720"/>
        <w:rPr>
          <w:rFonts w:cs="Arial"/>
          <w:bCs/>
        </w:rPr>
      </w:pPr>
      <w:r>
        <w:rPr>
          <w:rFonts w:cs="Arial"/>
          <w:bCs/>
        </w:rPr>
        <w:t>1.2</w:t>
      </w:r>
      <w:r>
        <w:rPr>
          <w:rFonts w:cs="Arial"/>
          <w:bCs/>
        </w:rPr>
        <w:tab/>
        <w:t xml:space="preserve">This submission </w:t>
      </w:r>
      <w:r w:rsidR="007C5744">
        <w:rPr>
          <w:rFonts w:cs="Arial"/>
          <w:bCs/>
        </w:rPr>
        <w:t xml:space="preserve">(Supplementary submission) </w:t>
      </w:r>
      <w:r>
        <w:rPr>
          <w:rFonts w:cs="Arial"/>
          <w:bCs/>
        </w:rPr>
        <w:t xml:space="preserve">responds to the PC’s draft report of 24 </w:t>
      </w:r>
      <w:r w:rsidR="007943D2">
        <w:rPr>
          <w:rFonts w:cs="Arial"/>
          <w:bCs/>
        </w:rPr>
        <w:t>January</w:t>
      </w:r>
      <w:r>
        <w:rPr>
          <w:rFonts w:cs="Arial"/>
          <w:bCs/>
        </w:rPr>
        <w:t xml:space="preserve"> 2014.</w:t>
      </w:r>
    </w:p>
    <w:p w:rsidR="00D57406" w:rsidRDefault="00D57406" w:rsidP="00A9363F">
      <w:pPr>
        <w:ind w:left="720" w:hanging="720"/>
        <w:rPr>
          <w:rFonts w:cs="Arial"/>
          <w:bCs/>
        </w:rPr>
      </w:pPr>
    </w:p>
    <w:p w:rsidR="00D57406" w:rsidRDefault="00D57406" w:rsidP="00A9363F">
      <w:pPr>
        <w:ind w:left="720" w:hanging="720"/>
        <w:rPr>
          <w:rFonts w:cs="Arial"/>
          <w:bCs/>
        </w:rPr>
      </w:pPr>
      <w:r>
        <w:rPr>
          <w:rFonts w:cs="Arial"/>
          <w:bCs/>
        </w:rPr>
        <w:t>1.3</w:t>
      </w:r>
      <w:r>
        <w:rPr>
          <w:rFonts w:cs="Arial"/>
          <w:bCs/>
        </w:rPr>
        <w:tab/>
        <w:t xml:space="preserve">The MUA gave evidence to the PC at its public hearing in Melbourne on Monday 3 </w:t>
      </w:r>
      <w:r w:rsidR="00B56666">
        <w:rPr>
          <w:rFonts w:cs="Arial"/>
          <w:bCs/>
        </w:rPr>
        <w:t>February</w:t>
      </w:r>
      <w:r>
        <w:rPr>
          <w:rFonts w:cs="Arial"/>
          <w:bCs/>
        </w:rPr>
        <w:t xml:space="preserve"> 2014.</w:t>
      </w:r>
    </w:p>
    <w:p w:rsidR="00A9363F" w:rsidRDefault="00A9363F" w:rsidP="001E05B7">
      <w:pPr>
        <w:rPr>
          <w:rFonts w:cs="Arial"/>
          <w:bCs/>
        </w:rPr>
      </w:pPr>
    </w:p>
    <w:p w:rsidR="00A9363F" w:rsidRPr="006441D6" w:rsidRDefault="006A1084" w:rsidP="002C6A17">
      <w:pPr>
        <w:pStyle w:val="ListParagraph"/>
        <w:numPr>
          <w:ilvl w:val="0"/>
          <w:numId w:val="3"/>
        </w:numPr>
        <w:rPr>
          <w:rFonts w:cs="Arial"/>
          <w:b/>
          <w:bCs/>
          <w:color w:val="0070C0"/>
        </w:rPr>
      </w:pPr>
      <w:r>
        <w:rPr>
          <w:rFonts w:cs="Arial"/>
          <w:b/>
          <w:bCs/>
          <w:color w:val="0070C0"/>
        </w:rPr>
        <w:t xml:space="preserve">A summary of key issues raised by the MUA in its </w:t>
      </w:r>
      <w:r w:rsidR="00577CEA">
        <w:rPr>
          <w:rFonts w:cs="Arial"/>
          <w:b/>
          <w:bCs/>
          <w:color w:val="0070C0"/>
        </w:rPr>
        <w:t>primary</w:t>
      </w:r>
      <w:r>
        <w:rPr>
          <w:rFonts w:cs="Arial"/>
          <w:b/>
          <w:bCs/>
          <w:color w:val="0070C0"/>
        </w:rPr>
        <w:t xml:space="preserve"> submission</w:t>
      </w:r>
    </w:p>
    <w:p w:rsidR="00BB2C96" w:rsidRDefault="00BB2C96" w:rsidP="001E05B7">
      <w:pPr>
        <w:rPr>
          <w:rFonts w:cs="Arial"/>
          <w:bCs/>
        </w:rPr>
      </w:pPr>
    </w:p>
    <w:p w:rsidR="00BB2C96" w:rsidRDefault="006441D6" w:rsidP="006441D6">
      <w:pPr>
        <w:ind w:left="720" w:hanging="720"/>
        <w:rPr>
          <w:rFonts w:cs="Arial"/>
          <w:bCs/>
        </w:rPr>
      </w:pPr>
      <w:r>
        <w:rPr>
          <w:rFonts w:cs="Arial"/>
          <w:bCs/>
        </w:rPr>
        <w:t>2.1</w:t>
      </w:r>
      <w:r>
        <w:rPr>
          <w:rFonts w:cs="Arial"/>
          <w:bCs/>
        </w:rPr>
        <w:tab/>
      </w:r>
      <w:r w:rsidR="00EF7F4B">
        <w:rPr>
          <w:rFonts w:cs="Arial"/>
          <w:bCs/>
        </w:rPr>
        <w:t xml:space="preserve">In the MUA </w:t>
      </w:r>
      <w:r w:rsidR="007943D2">
        <w:rPr>
          <w:rFonts w:cs="Arial"/>
          <w:bCs/>
        </w:rPr>
        <w:t>primary</w:t>
      </w:r>
      <w:r w:rsidR="00EF7F4B">
        <w:rPr>
          <w:rFonts w:cs="Arial"/>
          <w:bCs/>
        </w:rPr>
        <w:t xml:space="preserve"> </w:t>
      </w:r>
      <w:r w:rsidR="007943D2">
        <w:rPr>
          <w:rFonts w:cs="Arial"/>
          <w:bCs/>
        </w:rPr>
        <w:t>submission</w:t>
      </w:r>
      <w:r w:rsidR="0090231D">
        <w:rPr>
          <w:rFonts w:cs="Arial"/>
          <w:bCs/>
        </w:rPr>
        <w:t xml:space="preserve"> to the PC, the union</w:t>
      </w:r>
      <w:r w:rsidR="00EF7F4B">
        <w:rPr>
          <w:rFonts w:cs="Arial"/>
          <w:bCs/>
        </w:rPr>
        <w:t xml:space="preserve"> made the following points</w:t>
      </w:r>
      <w:r>
        <w:rPr>
          <w:rFonts w:cs="Arial"/>
          <w:bCs/>
        </w:rPr>
        <w:t>, in summary</w:t>
      </w:r>
      <w:r w:rsidR="00EF7F4B">
        <w:rPr>
          <w:rFonts w:cs="Arial"/>
          <w:bCs/>
        </w:rPr>
        <w:t>:</w:t>
      </w:r>
    </w:p>
    <w:p w:rsidR="00EF7F4B" w:rsidRPr="006441D6" w:rsidRDefault="00EF7F4B" w:rsidP="001E05B7">
      <w:pPr>
        <w:rPr>
          <w:rFonts w:cs="Arial"/>
          <w:bCs/>
        </w:rPr>
      </w:pPr>
    </w:p>
    <w:p w:rsidR="00EF7F4B" w:rsidRPr="006441D6" w:rsidRDefault="00EF7F4B" w:rsidP="002C6A17">
      <w:pPr>
        <w:pStyle w:val="ListParagraph"/>
        <w:numPr>
          <w:ilvl w:val="0"/>
          <w:numId w:val="9"/>
        </w:numPr>
        <w:ind w:left="1080"/>
        <w:rPr>
          <w:rFonts w:cs="Arial"/>
          <w:bCs/>
        </w:rPr>
      </w:pPr>
      <w:r w:rsidRPr="006441D6">
        <w:rPr>
          <w:rFonts w:cs="Arial"/>
          <w:bCs/>
        </w:rPr>
        <w:t xml:space="preserve">In relation to sea freight, it </w:t>
      </w:r>
      <w:r w:rsidR="006441D6" w:rsidRPr="006441D6">
        <w:rPr>
          <w:rFonts w:cs="Arial"/>
          <w:bCs/>
        </w:rPr>
        <w:t xml:space="preserve">is critically important </w:t>
      </w:r>
      <w:r w:rsidRPr="006441D6">
        <w:rPr>
          <w:rFonts w:cs="Arial"/>
          <w:bCs/>
        </w:rPr>
        <w:t>that Tasmania’s domestic freight movement which requires a sea leg i.e. distribution to the Australian mainland, and its international export requirements by sea, are examined separately given they are two distinct freight markets characterised by significantly different regulatory and economic frameworks.</w:t>
      </w:r>
    </w:p>
    <w:p w:rsidR="00BB2C96" w:rsidRPr="006441D6" w:rsidRDefault="00BB2C96" w:rsidP="006441D6">
      <w:pPr>
        <w:ind w:left="360"/>
        <w:rPr>
          <w:rFonts w:cs="Arial"/>
          <w:bCs/>
        </w:rPr>
      </w:pPr>
    </w:p>
    <w:p w:rsidR="00BB2C96" w:rsidRPr="006441D6" w:rsidRDefault="00EF7F4B" w:rsidP="002C6A17">
      <w:pPr>
        <w:pStyle w:val="ListParagraph"/>
        <w:numPr>
          <w:ilvl w:val="0"/>
          <w:numId w:val="9"/>
        </w:numPr>
        <w:ind w:left="1080"/>
        <w:rPr>
          <w:rFonts w:cs="Arial"/>
          <w:bCs/>
        </w:rPr>
      </w:pPr>
      <w:r w:rsidRPr="006441D6">
        <w:rPr>
          <w:rFonts w:cs="Arial"/>
          <w:bCs/>
        </w:rPr>
        <w:t xml:space="preserve">A failure by the PC to properly understand these differences and to base its analysis and findings on a full and proper understanding of those distinctions could result in the PC replicating the inaccuracies that featured in the Tasmanian Freight Logistics Coordination Team (TFLCT) Discussion Paper on Interim Observations and Directions for Tasmanian freight infrastructure following the release of the TFLCT Chair's Interim Findings of August 2013.  </w:t>
      </w:r>
    </w:p>
    <w:p w:rsidR="00EF7F4B" w:rsidRPr="006441D6" w:rsidRDefault="00EF7F4B" w:rsidP="006441D6">
      <w:pPr>
        <w:ind w:left="360"/>
        <w:rPr>
          <w:rFonts w:cs="Arial"/>
          <w:bCs/>
        </w:rPr>
      </w:pPr>
    </w:p>
    <w:p w:rsidR="00EF7F4B" w:rsidRPr="006441D6" w:rsidRDefault="006441D6" w:rsidP="002C6A17">
      <w:pPr>
        <w:pStyle w:val="ListParagraph"/>
        <w:numPr>
          <w:ilvl w:val="0"/>
          <w:numId w:val="9"/>
        </w:numPr>
        <w:ind w:left="1080"/>
        <w:rPr>
          <w:rFonts w:cs="Arial"/>
          <w:bCs/>
        </w:rPr>
      </w:pPr>
      <w:r w:rsidRPr="006441D6">
        <w:rPr>
          <w:rFonts w:cs="Arial"/>
          <w:bCs/>
        </w:rPr>
        <w:t>I</w:t>
      </w:r>
      <w:r w:rsidR="00EF7F4B" w:rsidRPr="006441D6">
        <w:rPr>
          <w:rFonts w:cs="Arial"/>
          <w:bCs/>
        </w:rPr>
        <w:t>t would be in</w:t>
      </w:r>
      <w:r w:rsidRPr="006441D6">
        <w:rPr>
          <w:rFonts w:cs="Arial"/>
          <w:bCs/>
        </w:rPr>
        <w:t>structive if the PC were to</w:t>
      </w:r>
      <w:r w:rsidR="00EF7F4B" w:rsidRPr="006441D6">
        <w:rPr>
          <w:rFonts w:cs="Arial"/>
          <w:bCs/>
        </w:rPr>
        <w:t xml:space="preserve"> break down the costs of sea freight into its component parts, such as ship operating costs (including regulatory charges e.g. those imposed by the Australian Maritime Safety Authority), stevedoring costs, port charges (including the mandated return to State Governments at both ends of the Tasmanian sea freight chain), regulatory transaction costs such as required through activation, as necessary, of the </w:t>
      </w:r>
      <w:r w:rsidR="00EF7F4B" w:rsidRPr="006441D6">
        <w:rPr>
          <w:rFonts w:cs="Arial"/>
          <w:bCs/>
          <w:i/>
        </w:rPr>
        <w:t>Coastal Trading (Revitalising Australian Shipping) Act 2012</w:t>
      </w:r>
      <w:r w:rsidR="00EF7F4B" w:rsidRPr="006441D6">
        <w:rPr>
          <w:rFonts w:cs="Arial"/>
          <w:bCs/>
        </w:rPr>
        <w:t xml:space="preserve"> (the CT Act).  </w:t>
      </w:r>
    </w:p>
    <w:p w:rsidR="00EF7F4B" w:rsidRPr="006441D6" w:rsidRDefault="00EF7F4B" w:rsidP="006441D6">
      <w:pPr>
        <w:ind w:left="360"/>
        <w:rPr>
          <w:rFonts w:cs="Arial"/>
          <w:bCs/>
        </w:rPr>
      </w:pPr>
    </w:p>
    <w:p w:rsidR="00EF7F4B" w:rsidRPr="006441D6" w:rsidRDefault="00EF7F4B" w:rsidP="002C6A17">
      <w:pPr>
        <w:pStyle w:val="ListParagraph"/>
        <w:numPr>
          <w:ilvl w:val="0"/>
          <w:numId w:val="9"/>
        </w:numPr>
        <w:ind w:left="1080"/>
        <w:rPr>
          <w:rFonts w:cs="Arial"/>
          <w:bCs/>
        </w:rPr>
      </w:pPr>
      <w:r w:rsidRPr="006441D6">
        <w:rPr>
          <w:rFonts w:cs="Arial"/>
          <w:bCs/>
        </w:rPr>
        <w:t xml:space="preserve">Such a rigorous analysis has never been attempted to our knowledge, so the proportional contributions of those components to overall freight costs are unknown. The lack of such analysis has impeded the development of evidence based policy options, particularly those which are discretionary to Government such as imposition of State Government port charges.  The absence of rigorous analysis of the kind we believe should be undertaken often leads to a bias towards ideologically motivated policy solutions focussed on labour market </w:t>
      </w:r>
      <w:r w:rsidRPr="006441D6">
        <w:rPr>
          <w:rFonts w:cs="Arial"/>
          <w:bCs/>
        </w:rPr>
        <w:lastRenderedPageBreak/>
        <w:t xml:space="preserve">issues, when in fact even radical labour market solutions such as a real wage reduction would have only marginal impact on freight costs relative to positive discriminatory State Government port charging (i.e. positive to coastal shipping relative to international shipping).  </w:t>
      </w:r>
    </w:p>
    <w:p w:rsidR="00EF7F4B" w:rsidRPr="006441D6" w:rsidRDefault="00EF7F4B" w:rsidP="006441D6">
      <w:pPr>
        <w:ind w:left="360"/>
        <w:rPr>
          <w:rFonts w:cs="Arial"/>
          <w:bCs/>
        </w:rPr>
      </w:pPr>
    </w:p>
    <w:p w:rsidR="00BB2C96" w:rsidRPr="006441D6" w:rsidRDefault="006441D6" w:rsidP="002C6A17">
      <w:pPr>
        <w:pStyle w:val="ListParagraph"/>
        <w:numPr>
          <w:ilvl w:val="0"/>
          <w:numId w:val="9"/>
        </w:numPr>
        <w:ind w:left="1080"/>
        <w:rPr>
          <w:rFonts w:cs="Arial"/>
          <w:bCs/>
        </w:rPr>
      </w:pPr>
      <w:r w:rsidRPr="006441D6">
        <w:rPr>
          <w:rFonts w:cs="Arial"/>
          <w:bCs/>
        </w:rPr>
        <w:t>T</w:t>
      </w:r>
      <w:r w:rsidR="00EF7F4B" w:rsidRPr="006441D6">
        <w:rPr>
          <w:rFonts w:cs="Arial"/>
          <w:bCs/>
        </w:rPr>
        <w:t xml:space="preserve">he PC should </w:t>
      </w:r>
      <w:r w:rsidR="005A62E7">
        <w:rPr>
          <w:rFonts w:cs="Arial"/>
          <w:bCs/>
        </w:rPr>
        <w:t xml:space="preserve">also </w:t>
      </w:r>
      <w:r w:rsidR="00EF7F4B" w:rsidRPr="006441D6">
        <w:rPr>
          <w:rFonts w:cs="Arial"/>
          <w:bCs/>
        </w:rPr>
        <w:t>analyse exchange rate fluctuations and the impact on the cost of capital given the high capital costs of ships, whether purchased or chartered, to examine the relative impact on freight rates.</w:t>
      </w:r>
    </w:p>
    <w:p w:rsidR="00EF7F4B" w:rsidRPr="006A1084" w:rsidRDefault="00EF7F4B" w:rsidP="001E05B7">
      <w:pPr>
        <w:rPr>
          <w:rFonts w:cs="Arial"/>
          <w:bCs/>
        </w:rPr>
      </w:pPr>
    </w:p>
    <w:p w:rsidR="006A1084" w:rsidRPr="006A1084" w:rsidRDefault="006A1084" w:rsidP="006A1084">
      <w:pPr>
        <w:ind w:left="720" w:hanging="720"/>
        <w:rPr>
          <w:rFonts w:cs="Arial"/>
          <w:bCs/>
        </w:rPr>
      </w:pPr>
      <w:r>
        <w:rPr>
          <w:rFonts w:cs="Arial"/>
          <w:bCs/>
        </w:rPr>
        <w:t>2.2</w:t>
      </w:r>
      <w:r>
        <w:rPr>
          <w:rFonts w:cs="Arial"/>
          <w:bCs/>
        </w:rPr>
        <w:tab/>
      </w:r>
      <w:r w:rsidRPr="006A1084">
        <w:rPr>
          <w:rFonts w:cs="Arial"/>
          <w:bCs/>
        </w:rPr>
        <w:t xml:space="preserve">The </w:t>
      </w:r>
      <w:r w:rsidR="00577CEA" w:rsidRPr="006A1084">
        <w:rPr>
          <w:rFonts w:cs="Arial"/>
          <w:bCs/>
        </w:rPr>
        <w:t>remainder</w:t>
      </w:r>
      <w:r w:rsidRPr="006A1084">
        <w:rPr>
          <w:rFonts w:cs="Arial"/>
          <w:bCs/>
        </w:rPr>
        <w:t xml:space="preserve"> of this submission focuses on the </w:t>
      </w:r>
      <w:r w:rsidR="00577CEA" w:rsidRPr="006A1084">
        <w:rPr>
          <w:rFonts w:cs="Arial"/>
          <w:bCs/>
        </w:rPr>
        <w:t>issues</w:t>
      </w:r>
      <w:r w:rsidRPr="006A1084">
        <w:rPr>
          <w:rFonts w:cs="Arial"/>
          <w:bCs/>
        </w:rPr>
        <w:t xml:space="preserve"> raised in the </w:t>
      </w:r>
      <w:r w:rsidR="007C5744">
        <w:rPr>
          <w:rFonts w:cs="Arial"/>
          <w:bCs/>
        </w:rPr>
        <w:t>PCs</w:t>
      </w:r>
      <w:r w:rsidRPr="006A1084">
        <w:rPr>
          <w:rFonts w:cs="Arial"/>
          <w:bCs/>
        </w:rPr>
        <w:t xml:space="preserve"> </w:t>
      </w:r>
      <w:r w:rsidR="00CD1A1E">
        <w:rPr>
          <w:rFonts w:cs="Arial"/>
          <w:bCs/>
        </w:rPr>
        <w:t xml:space="preserve">Draft </w:t>
      </w:r>
      <w:r w:rsidRPr="006A1084">
        <w:rPr>
          <w:rFonts w:cs="Arial"/>
          <w:bCs/>
        </w:rPr>
        <w:t>report</w:t>
      </w:r>
      <w:r w:rsidR="007C5744">
        <w:rPr>
          <w:rFonts w:cs="Arial"/>
          <w:bCs/>
        </w:rPr>
        <w:t xml:space="preserve"> of 24 </w:t>
      </w:r>
      <w:r w:rsidR="00BC75BF">
        <w:rPr>
          <w:rFonts w:cs="Arial"/>
          <w:bCs/>
        </w:rPr>
        <w:t>January</w:t>
      </w:r>
      <w:r w:rsidR="007C5744">
        <w:rPr>
          <w:rFonts w:cs="Arial"/>
          <w:bCs/>
        </w:rPr>
        <w:t xml:space="preserve"> 2014</w:t>
      </w:r>
      <w:r>
        <w:rPr>
          <w:rFonts w:cs="Arial"/>
          <w:bCs/>
        </w:rPr>
        <w:t>.</w:t>
      </w:r>
    </w:p>
    <w:p w:rsidR="006A1084" w:rsidRPr="006A1084" w:rsidRDefault="006A1084" w:rsidP="001E05B7">
      <w:pPr>
        <w:rPr>
          <w:rFonts w:cs="Arial"/>
          <w:bCs/>
        </w:rPr>
      </w:pPr>
    </w:p>
    <w:p w:rsidR="00381E00" w:rsidRPr="0090231D" w:rsidRDefault="00381E00" w:rsidP="0090231D">
      <w:pPr>
        <w:pStyle w:val="ListParagraph"/>
        <w:numPr>
          <w:ilvl w:val="0"/>
          <w:numId w:val="3"/>
        </w:numPr>
        <w:rPr>
          <w:rFonts w:cs="Arial"/>
          <w:b/>
          <w:bCs/>
          <w:color w:val="0070C0"/>
        </w:rPr>
      </w:pPr>
      <w:r w:rsidRPr="0090231D">
        <w:rPr>
          <w:rFonts w:cs="Arial"/>
          <w:b/>
          <w:bCs/>
          <w:color w:val="0070C0"/>
        </w:rPr>
        <w:t>Chapter 1 - Overview</w:t>
      </w:r>
    </w:p>
    <w:p w:rsidR="00381E00" w:rsidRDefault="00381E00" w:rsidP="001E05B7">
      <w:pPr>
        <w:rPr>
          <w:rFonts w:cs="Arial"/>
          <w:bCs/>
        </w:rPr>
      </w:pPr>
    </w:p>
    <w:p w:rsidR="00736DA9" w:rsidRDefault="0090231D" w:rsidP="006E74F0">
      <w:pPr>
        <w:ind w:left="720" w:hanging="720"/>
        <w:rPr>
          <w:rFonts w:cs="Arial"/>
          <w:bCs/>
        </w:rPr>
      </w:pPr>
      <w:r>
        <w:rPr>
          <w:rFonts w:cs="Arial"/>
          <w:bCs/>
        </w:rPr>
        <w:t>3.1</w:t>
      </w:r>
      <w:r>
        <w:rPr>
          <w:rFonts w:cs="Arial"/>
          <w:bCs/>
        </w:rPr>
        <w:tab/>
      </w:r>
      <w:r w:rsidR="00017529">
        <w:rPr>
          <w:rFonts w:cs="Arial"/>
          <w:bCs/>
        </w:rPr>
        <w:t>T</w:t>
      </w:r>
      <w:r w:rsidR="006A1084">
        <w:rPr>
          <w:rFonts w:cs="Arial"/>
          <w:bCs/>
        </w:rPr>
        <w:t xml:space="preserve">he PC does not appear to have taken </w:t>
      </w:r>
      <w:r w:rsidR="006441D6">
        <w:rPr>
          <w:rFonts w:cs="Arial"/>
          <w:bCs/>
        </w:rPr>
        <w:t xml:space="preserve">on board </w:t>
      </w:r>
      <w:r w:rsidR="005A62E7">
        <w:rPr>
          <w:rFonts w:cs="Arial"/>
          <w:bCs/>
        </w:rPr>
        <w:t>the MUA suggestions</w:t>
      </w:r>
      <w:r w:rsidR="007C5744">
        <w:rPr>
          <w:rFonts w:cs="Arial"/>
          <w:bCs/>
        </w:rPr>
        <w:t>, and has, as we suggested might</w:t>
      </w:r>
      <w:r w:rsidR="006A1084">
        <w:rPr>
          <w:rFonts w:cs="Arial"/>
          <w:bCs/>
        </w:rPr>
        <w:t xml:space="preserve"> occur</w:t>
      </w:r>
      <w:r w:rsidR="009A5CB9">
        <w:rPr>
          <w:rFonts w:cs="Arial"/>
          <w:bCs/>
        </w:rPr>
        <w:t xml:space="preserve">, repeated some of the </w:t>
      </w:r>
      <w:r w:rsidR="007943D2">
        <w:rPr>
          <w:rFonts w:cs="Arial"/>
          <w:bCs/>
        </w:rPr>
        <w:t>misunderstandings</w:t>
      </w:r>
      <w:r w:rsidR="009A5CB9">
        <w:rPr>
          <w:rFonts w:cs="Arial"/>
          <w:bCs/>
        </w:rPr>
        <w:t xml:space="preserve"> and </w:t>
      </w:r>
      <w:r w:rsidR="007943D2">
        <w:rPr>
          <w:rFonts w:cs="Arial"/>
          <w:bCs/>
        </w:rPr>
        <w:t>inaccuracies</w:t>
      </w:r>
      <w:r w:rsidR="009A5CB9">
        <w:rPr>
          <w:rFonts w:cs="Arial"/>
          <w:bCs/>
        </w:rPr>
        <w:t xml:space="preserve"> </w:t>
      </w:r>
      <w:r w:rsidR="007943D2">
        <w:rPr>
          <w:rFonts w:cs="Arial"/>
          <w:bCs/>
        </w:rPr>
        <w:t>contained</w:t>
      </w:r>
      <w:r w:rsidR="009A5CB9">
        <w:rPr>
          <w:rFonts w:cs="Arial"/>
          <w:bCs/>
        </w:rPr>
        <w:t xml:space="preserve"> in the </w:t>
      </w:r>
      <w:r w:rsidR="009A5CB9" w:rsidRPr="009A5CB9">
        <w:rPr>
          <w:rFonts w:cs="Arial"/>
          <w:bCs/>
        </w:rPr>
        <w:t>Tasmanian Freight Logistics Coordination Team (TFLCT) Discussion Paper on Interim Observations and Directions for Tasmanian freight infrastructure</w:t>
      </w:r>
      <w:r w:rsidR="009A5CB9">
        <w:rPr>
          <w:rFonts w:cs="Arial"/>
          <w:bCs/>
        </w:rPr>
        <w:t xml:space="preserve"> in relation to coastal shipping.  </w:t>
      </w:r>
      <w:r w:rsidR="00BC75BF">
        <w:rPr>
          <w:rFonts w:cs="Arial"/>
          <w:bCs/>
        </w:rPr>
        <w:t>This contrasts to the TFLTC Final Report (released since the MUA lodged its primary submission to the PC on 13 December) which dealt with coastal shippi</w:t>
      </w:r>
      <w:r w:rsidR="00736DA9">
        <w:rPr>
          <w:rFonts w:cs="Arial"/>
          <w:bCs/>
        </w:rPr>
        <w:t>ng in a more balanced way in that</w:t>
      </w:r>
      <w:r w:rsidR="00BC75BF">
        <w:rPr>
          <w:rFonts w:cs="Arial"/>
          <w:bCs/>
        </w:rPr>
        <w:t xml:space="preserve"> report</w:t>
      </w:r>
      <w:r w:rsidR="00736DA9">
        <w:rPr>
          <w:rFonts w:cs="Arial"/>
          <w:bCs/>
        </w:rPr>
        <w:t>, notwithstanding that it has still gone on to recommend</w:t>
      </w:r>
      <w:r w:rsidR="00736DA9" w:rsidRPr="00736DA9">
        <w:rPr>
          <w:rFonts w:cs="Arial"/>
          <w:bCs/>
        </w:rPr>
        <w:t xml:space="preserve"> that </w:t>
      </w:r>
      <w:r w:rsidR="00736DA9">
        <w:rPr>
          <w:rFonts w:cs="Arial"/>
          <w:bCs/>
        </w:rPr>
        <w:t>the Tasmanian Government lobby</w:t>
      </w:r>
      <w:r w:rsidR="00736DA9" w:rsidRPr="00736DA9">
        <w:rPr>
          <w:rFonts w:cs="Arial"/>
          <w:bCs/>
        </w:rPr>
        <w:t xml:space="preserve"> for changes to the coastal shipping arrangements, to provide greater service choice for Tasmanian business by removing all restrictions on the ability of international vessels to carry domestic cargo within Australian waters</w:t>
      </w:r>
      <w:r w:rsidR="00736DA9">
        <w:rPr>
          <w:rFonts w:cs="Arial"/>
          <w:bCs/>
        </w:rPr>
        <w:t>.</w:t>
      </w:r>
    </w:p>
    <w:p w:rsidR="00EF7F4B" w:rsidRDefault="00EF7F4B" w:rsidP="006E74F0">
      <w:pPr>
        <w:ind w:left="720" w:hanging="720"/>
        <w:rPr>
          <w:rFonts w:cs="Arial"/>
          <w:bCs/>
        </w:rPr>
      </w:pPr>
    </w:p>
    <w:p w:rsidR="00C8551F" w:rsidRDefault="00C8551F" w:rsidP="006E74F0">
      <w:pPr>
        <w:ind w:left="720" w:hanging="720"/>
        <w:rPr>
          <w:rFonts w:cs="Arial"/>
          <w:bCs/>
        </w:rPr>
      </w:pPr>
      <w:r w:rsidRPr="00C8551F">
        <w:rPr>
          <w:rFonts w:cs="Arial"/>
          <w:b/>
          <w:bCs/>
        </w:rPr>
        <w:t>Note:</w:t>
      </w:r>
      <w:r>
        <w:rPr>
          <w:rFonts w:cs="Arial"/>
          <w:bCs/>
        </w:rPr>
        <w:t xml:space="preserve"> We have provided at </w:t>
      </w:r>
      <w:r w:rsidRPr="00C8551F">
        <w:rPr>
          <w:rFonts w:cs="Arial"/>
          <w:b/>
          <w:bCs/>
        </w:rPr>
        <w:t>Attachment A</w:t>
      </w:r>
      <w:r>
        <w:rPr>
          <w:rFonts w:cs="Arial"/>
          <w:bCs/>
        </w:rPr>
        <w:t xml:space="preserve"> a list of the </w:t>
      </w:r>
      <w:r w:rsidRPr="00C8551F">
        <w:rPr>
          <w:rFonts w:cs="Arial"/>
          <w:bCs/>
        </w:rPr>
        <w:t>TFLTC</w:t>
      </w:r>
      <w:r>
        <w:rPr>
          <w:rFonts w:cs="Arial"/>
          <w:bCs/>
        </w:rPr>
        <w:t xml:space="preserve"> Recommendations that we think would be worthy of more detailed investigation.</w:t>
      </w:r>
    </w:p>
    <w:p w:rsidR="00C8551F" w:rsidRDefault="00C8551F" w:rsidP="006E74F0">
      <w:pPr>
        <w:ind w:left="720" w:hanging="720"/>
        <w:rPr>
          <w:rFonts w:cs="Arial"/>
          <w:bCs/>
        </w:rPr>
      </w:pPr>
    </w:p>
    <w:p w:rsidR="009A5CB9" w:rsidRPr="00736DA9" w:rsidRDefault="0090231D" w:rsidP="006E74F0">
      <w:pPr>
        <w:ind w:left="720" w:hanging="720"/>
        <w:rPr>
          <w:rFonts w:cs="Arial"/>
          <w:bCs/>
        </w:rPr>
      </w:pPr>
      <w:r>
        <w:rPr>
          <w:rFonts w:cs="Arial"/>
          <w:bCs/>
        </w:rPr>
        <w:t>3.2</w:t>
      </w:r>
      <w:r>
        <w:rPr>
          <w:rFonts w:cs="Arial"/>
          <w:bCs/>
        </w:rPr>
        <w:tab/>
      </w:r>
      <w:r w:rsidR="00017529">
        <w:rPr>
          <w:rFonts w:cs="Arial"/>
          <w:bCs/>
        </w:rPr>
        <w:t xml:space="preserve">The PC has not </w:t>
      </w:r>
      <w:r w:rsidR="00CD1A1E">
        <w:rPr>
          <w:rFonts w:cs="Arial"/>
          <w:bCs/>
        </w:rPr>
        <w:t xml:space="preserve">in the view of the MUA, </w:t>
      </w:r>
      <w:r w:rsidR="007943D2">
        <w:rPr>
          <w:rFonts w:cs="Arial"/>
          <w:bCs/>
        </w:rPr>
        <w:t>clearly</w:t>
      </w:r>
      <w:r w:rsidR="00017529">
        <w:rPr>
          <w:rFonts w:cs="Arial"/>
          <w:bCs/>
        </w:rPr>
        <w:t xml:space="preserve"> </w:t>
      </w:r>
      <w:r w:rsidR="007943D2">
        <w:rPr>
          <w:rFonts w:cs="Arial"/>
          <w:bCs/>
        </w:rPr>
        <w:t>distinguished</w:t>
      </w:r>
      <w:r w:rsidR="00017529">
        <w:rPr>
          <w:rFonts w:cs="Arial"/>
          <w:bCs/>
        </w:rPr>
        <w:t xml:space="preserve"> the costs of shipping as a freight transport mode in the domestic freight market from shipping in international trade, and as a result </w:t>
      </w:r>
      <w:r w:rsidR="007C5744">
        <w:rPr>
          <w:rFonts w:cs="Arial"/>
          <w:bCs/>
        </w:rPr>
        <w:t>appears to have</w:t>
      </w:r>
      <w:r w:rsidR="00017529">
        <w:rPr>
          <w:rFonts w:cs="Arial"/>
          <w:bCs/>
        </w:rPr>
        <w:t xml:space="preserve"> confused the </w:t>
      </w:r>
      <w:r w:rsidR="007943D2">
        <w:rPr>
          <w:rFonts w:cs="Arial"/>
          <w:bCs/>
        </w:rPr>
        <w:t>different</w:t>
      </w:r>
      <w:r w:rsidR="00017529">
        <w:rPr>
          <w:rFonts w:cs="Arial"/>
          <w:bCs/>
        </w:rPr>
        <w:t xml:space="preserve"> regulatory systems that apply in the two markets, not withstanding there is, potentially, som</w:t>
      </w:r>
      <w:r w:rsidR="00B87B68">
        <w:rPr>
          <w:rFonts w:cs="Arial"/>
          <w:bCs/>
        </w:rPr>
        <w:t>e overlap</w:t>
      </w:r>
      <w:r w:rsidR="00017529">
        <w:rPr>
          <w:rFonts w:cs="Arial"/>
          <w:bCs/>
        </w:rPr>
        <w:t>.</w:t>
      </w:r>
    </w:p>
    <w:p w:rsidR="00017529" w:rsidRDefault="00017529" w:rsidP="006E74F0">
      <w:pPr>
        <w:ind w:left="720" w:hanging="720"/>
        <w:rPr>
          <w:rFonts w:cs="Arial"/>
          <w:bCs/>
        </w:rPr>
      </w:pPr>
    </w:p>
    <w:p w:rsidR="00017529" w:rsidRDefault="0090231D" w:rsidP="006E74F0">
      <w:pPr>
        <w:ind w:left="720" w:hanging="720"/>
        <w:rPr>
          <w:rFonts w:cs="Arial"/>
          <w:bCs/>
        </w:rPr>
      </w:pPr>
      <w:r>
        <w:rPr>
          <w:rFonts w:cs="Arial"/>
          <w:bCs/>
        </w:rPr>
        <w:t>3.3</w:t>
      </w:r>
      <w:r>
        <w:rPr>
          <w:rFonts w:cs="Arial"/>
          <w:bCs/>
        </w:rPr>
        <w:tab/>
      </w:r>
      <w:r w:rsidR="00017529">
        <w:rPr>
          <w:rFonts w:cs="Arial"/>
          <w:bCs/>
        </w:rPr>
        <w:t xml:space="preserve">The PC has chosen </w:t>
      </w:r>
      <w:r w:rsidR="00CD1A1E">
        <w:rPr>
          <w:rFonts w:cs="Arial"/>
          <w:bCs/>
        </w:rPr>
        <w:t xml:space="preserve">at this stage </w:t>
      </w:r>
      <w:r w:rsidR="00017529">
        <w:rPr>
          <w:rFonts w:cs="Arial"/>
          <w:bCs/>
        </w:rPr>
        <w:t xml:space="preserve">not to undertake a rigorous cost breakdown of the drivers of overall freight costs in the </w:t>
      </w:r>
      <w:r w:rsidR="007943D2">
        <w:rPr>
          <w:rFonts w:cs="Arial"/>
          <w:bCs/>
        </w:rPr>
        <w:t>Tasmanian</w:t>
      </w:r>
      <w:r w:rsidR="00017529">
        <w:rPr>
          <w:rFonts w:cs="Arial"/>
          <w:bCs/>
        </w:rPr>
        <w:t xml:space="preserve"> </w:t>
      </w:r>
      <w:r w:rsidR="00B87B68">
        <w:rPr>
          <w:rFonts w:cs="Arial"/>
          <w:bCs/>
        </w:rPr>
        <w:t xml:space="preserve">freight </w:t>
      </w:r>
      <w:r w:rsidR="00017529">
        <w:rPr>
          <w:rFonts w:cs="Arial"/>
          <w:bCs/>
        </w:rPr>
        <w:t xml:space="preserve">supply chain, selectively focusing on the operational costs of shipping, without </w:t>
      </w:r>
      <w:r w:rsidR="00B87B68">
        <w:rPr>
          <w:rFonts w:cs="Arial"/>
          <w:bCs/>
        </w:rPr>
        <w:t xml:space="preserve">fully </w:t>
      </w:r>
      <w:r w:rsidR="00017529">
        <w:rPr>
          <w:rFonts w:cs="Arial"/>
          <w:bCs/>
        </w:rPr>
        <w:t xml:space="preserve">examining other cost drivers in the </w:t>
      </w:r>
      <w:r w:rsidR="002C6A17">
        <w:rPr>
          <w:rFonts w:cs="Arial"/>
          <w:bCs/>
        </w:rPr>
        <w:t xml:space="preserve">supply chain that </w:t>
      </w:r>
      <w:r w:rsidR="007943D2">
        <w:rPr>
          <w:rFonts w:cs="Arial"/>
          <w:bCs/>
        </w:rPr>
        <w:t>deliver</w:t>
      </w:r>
      <w:r w:rsidR="005A62E7">
        <w:rPr>
          <w:rFonts w:cs="Arial"/>
          <w:bCs/>
        </w:rPr>
        <w:t xml:space="preserve"> the overall</w:t>
      </w:r>
      <w:r w:rsidR="002C6A17">
        <w:rPr>
          <w:rFonts w:cs="Arial"/>
          <w:bCs/>
        </w:rPr>
        <w:t xml:space="preserve"> </w:t>
      </w:r>
      <w:r w:rsidR="007943D2">
        <w:rPr>
          <w:rFonts w:cs="Arial"/>
          <w:bCs/>
        </w:rPr>
        <w:t>freight</w:t>
      </w:r>
      <w:r w:rsidR="002C6A17">
        <w:rPr>
          <w:rFonts w:cs="Arial"/>
          <w:bCs/>
        </w:rPr>
        <w:t xml:space="preserve"> rate.</w:t>
      </w:r>
      <w:r w:rsidR="005A62E7">
        <w:rPr>
          <w:rFonts w:cs="Arial"/>
          <w:bCs/>
        </w:rPr>
        <w:t xml:space="preserve"> </w:t>
      </w:r>
      <w:r w:rsidR="00964DD3">
        <w:rPr>
          <w:rFonts w:cs="Arial"/>
          <w:bCs/>
        </w:rPr>
        <w:t xml:space="preserve">  We note the submission of Simplot which claims that </w:t>
      </w:r>
      <w:r w:rsidR="00AE3FD0">
        <w:rPr>
          <w:rFonts w:cs="Arial"/>
          <w:bCs/>
        </w:rPr>
        <w:t>changes</w:t>
      </w:r>
      <w:r w:rsidR="00964DD3">
        <w:rPr>
          <w:rFonts w:cs="Arial"/>
          <w:bCs/>
        </w:rPr>
        <w:t xml:space="preserve"> to the </w:t>
      </w:r>
      <w:r w:rsidR="00964DD3" w:rsidRPr="00964DD3">
        <w:rPr>
          <w:rFonts w:cs="Arial"/>
          <w:bCs/>
          <w:i/>
        </w:rPr>
        <w:t>Fair Work Act 2009</w:t>
      </w:r>
      <w:r w:rsidR="00964DD3">
        <w:rPr>
          <w:rFonts w:cs="Arial"/>
          <w:bCs/>
        </w:rPr>
        <w:t xml:space="preserve"> </w:t>
      </w:r>
      <w:r w:rsidR="00D57406">
        <w:rPr>
          <w:rFonts w:cs="Arial"/>
          <w:bCs/>
        </w:rPr>
        <w:t xml:space="preserve">(FW Act) </w:t>
      </w:r>
      <w:r w:rsidR="00964DD3">
        <w:rPr>
          <w:rFonts w:cs="Arial"/>
          <w:bCs/>
        </w:rPr>
        <w:t xml:space="preserve">and application of the </w:t>
      </w:r>
      <w:r w:rsidR="00AE3FD0">
        <w:rPr>
          <w:rFonts w:cs="Arial"/>
          <w:bCs/>
        </w:rPr>
        <w:t>Seagoing</w:t>
      </w:r>
      <w:r w:rsidR="00964DD3">
        <w:rPr>
          <w:rFonts w:cs="Arial"/>
          <w:bCs/>
        </w:rPr>
        <w:t xml:space="preserve"> </w:t>
      </w:r>
      <w:r w:rsidR="00AE3FD0">
        <w:rPr>
          <w:rFonts w:cs="Arial"/>
          <w:bCs/>
        </w:rPr>
        <w:t>Industry</w:t>
      </w:r>
      <w:r w:rsidR="00964DD3">
        <w:rPr>
          <w:rFonts w:cs="Arial"/>
          <w:bCs/>
        </w:rPr>
        <w:t xml:space="preserve"> </w:t>
      </w:r>
      <w:r w:rsidR="00D57406">
        <w:rPr>
          <w:rFonts w:cs="Arial"/>
          <w:bCs/>
        </w:rPr>
        <w:t xml:space="preserve">Modernised </w:t>
      </w:r>
      <w:r w:rsidR="00964DD3">
        <w:rPr>
          <w:rFonts w:cs="Arial"/>
          <w:bCs/>
        </w:rPr>
        <w:t xml:space="preserve">Award </w:t>
      </w:r>
      <w:r w:rsidR="00D57406">
        <w:rPr>
          <w:rFonts w:cs="Arial"/>
          <w:bCs/>
        </w:rPr>
        <w:t xml:space="preserve">(SIMA) </w:t>
      </w:r>
      <w:r w:rsidR="00964DD3">
        <w:rPr>
          <w:rFonts w:cs="Arial"/>
          <w:bCs/>
        </w:rPr>
        <w:t>from 1 January 2011 has added $150,000 to its supply chain costs</w:t>
      </w:r>
      <w:r w:rsidR="00E33A44">
        <w:rPr>
          <w:rFonts w:cs="Arial"/>
          <w:bCs/>
        </w:rPr>
        <w:t xml:space="preserve"> (which we further analyse in section 5.1.5 below)</w:t>
      </w:r>
      <w:r w:rsidR="00964DD3">
        <w:rPr>
          <w:rFonts w:cs="Arial"/>
          <w:bCs/>
        </w:rPr>
        <w:t xml:space="preserve">, whereas its submits that the Port of Melbourne </w:t>
      </w:r>
      <w:r w:rsidR="00AE3FD0">
        <w:rPr>
          <w:rFonts w:cs="Arial"/>
          <w:bCs/>
        </w:rPr>
        <w:t>License</w:t>
      </w:r>
      <w:r w:rsidR="00964DD3">
        <w:rPr>
          <w:rFonts w:cs="Arial"/>
          <w:bCs/>
        </w:rPr>
        <w:t xml:space="preserve"> Fee (PLF) to recover the port dredging cost has added $350,000 to its Bass Strait </w:t>
      </w:r>
      <w:r w:rsidR="00AE3FD0">
        <w:rPr>
          <w:rFonts w:cs="Arial"/>
          <w:bCs/>
        </w:rPr>
        <w:t>shipping</w:t>
      </w:r>
      <w:r w:rsidR="00964DD3">
        <w:rPr>
          <w:rFonts w:cs="Arial"/>
          <w:bCs/>
        </w:rPr>
        <w:t xml:space="preserve"> task.</w:t>
      </w:r>
      <w:r w:rsidR="00964DD3">
        <w:rPr>
          <w:rStyle w:val="FootnoteReference"/>
          <w:rFonts w:cs="Arial"/>
          <w:bCs/>
        </w:rPr>
        <w:footnoteReference w:id="1"/>
      </w:r>
      <w:r w:rsidR="00E33A44">
        <w:rPr>
          <w:rFonts w:cs="Arial"/>
          <w:bCs/>
        </w:rPr>
        <w:t xml:space="preserve">  </w:t>
      </w:r>
      <w:r w:rsidR="00C8551F">
        <w:rPr>
          <w:rFonts w:cs="Arial"/>
          <w:bCs/>
        </w:rPr>
        <w:t>That submission would suggest t</w:t>
      </w:r>
      <w:r w:rsidR="00150496">
        <w:rPr>
          <w:rFonts w:cs="Arial"/>
          <w:bCs/>
        </w:rPr>
        <w:t>hat there are considerable cost</w:t>
      </w:r>
      <w:r w:rsidR="00C8551F">
        <w:rPr>
          <w:rFonts w:cs="Arial"/>
          <w:bCs/>
        </w:rPr>
        <w:t xml:space="preserve"> impacts from discretionary State Government charges which could deliver more dramatic cost reductions than the </w:t>
      </w:r>
      <w:r w:rsidR="00C8551F">
        <w:rPr>
          <w:rFonts w:cs="Arial"/>
          <w:bCs/>
        </w:rPr>
        <w:lastRenderedPageBreak/>
        <w:t>extreme solution of introducing foreign labour standards into</w:t>
      </w:r>
      <w:r w:rsidR="00D57406">
        <w:rPr>
          <w:rFonts w:cs="Arial"/>
          <w:bCs/>
        </w:rPr>
        <w:t xml:space="preserve"> the Tasmanian freight chain as proposed by the PC.</w:t>
      </w:r>
    </w:p>
    <w:p w:rsidR="002C6A17" w:rsidRDefault="002C6A17" w:rsidP="006E74F0">
      <w:pPr>
        <w:ind w:left="720" w:hanging="720"/>
        <w:rPr>
          <w:rFonts w:cs="Arial"/>
          <w:bCs/>
        </w:rPr>
      </w:pPr>
    </w:p>
    <w:p w:rsidR="002C6A17" w:rsidRDefault="0090231D" w:rsidP="006E74F0">
      <w:pPr>
        <w:ind w:left="720" w:hanging="720"/>
        <w:rPr>
          <w:rFonts w:cs="Arial"/>
          <w:bCs/>
        </w:rPr>
      </w:pPr>
      <w:r>
        <w:rPr>
          <w:rFonts w:cs="Arial"/>
          <w:bCs/>
        </w:rPr>
        <w:t>3.4</w:t>
      </w:r>
      <w:r>
        <w:rPr>
          <w:rFonts w:cs="Arial"/>
          <w:bCs/>
        </w:rPr>
        <w:tab/>
      </w:r>
      <w:r w:rsidR="00C14AA6">
        <w:rPr>
          <w:rFonts w:cs="Arial"/>
          <w:bCs/>
        </w:rPr>
        <w:t>Importantly</w:t>
      </w:r>
      <w:r w:rsidR="005A62E7">
        <w:rPr>
          <w:rFonts w:cs="Arial"/>
          <w:bCs/>
        </w:rPr>
        <w:t xml:space="preserve">, the PC has not identified </w:t>
      </w:r>
      <w:r w:rsidR="00B56666">
        <w:rPr>
          <w:rFonts w:cs="Arial"/>
          <w:bCs/>
        </w:rPr>
        <w:t>precisely</w:t>
      </w:r>
      <w:r w:rsidR="00D57406">
        <w:rPr>
          <w:rFonts w:cs="Arial"/>
          <w:bCs/>
        </w:rPr>
        <w:t xml:space="preserve"> </w:t>
      </w:r>
      <w:r w:rsidR="005A62E7">
        <w:rPr>
          <w:rFonts w:cs="Arial"/>
          <w:bCs/>
        </w:rPr>
        <w:t xml:space="preserve">what coastal shipping </w:t>
      </w:r>
      <w:r w:rsidR="00C14AA6">
        <w:rPr>
          <w:rFonts w:cs="Arial"/>
          <w:bCs/>
        </w:rPr>
        <w:t>reform</w:t>
      </w:r>
      <w:r w:rsidR="005A62E7">
        <w:rPr>
          <w:rFonts w:cs="Arial"/>
          <w:bCs/>
        </w:rPr>
        <w:t xml:space="preserve"> is necessary</w:t>
      </w:r>
      <w:r w:rsidR="00B87B68">
        <w:rPr>
          <w:rFonts w:cs="Arial"/>
          <w:bCs/>
        </w:rPr>
        <w:t xml:space="preserve"> to attract the reduction in shippin</w:t>
      </w:r>
      <w:r w:rsidR="007C5744">
        <w:rPr>
          <w:rFonts w:cs="Arial"/>
          <w:bCs/>
        </w:rPr>
        <w:t xml:space="preserve">g costs such that implementing that </w:t>
      </w:r>
      <w:r w:rsidR="00BC75BF">
        <w:rPr>
          <w:rFonts w:cs="Arial"/>
          <w:bCs/>
        </w:rPr>
        <w:t>reform</w:t>
      </w:r>
      <w:r w:rsidR="00B87B68">
        <w:rPr>
          <w:rFonts w:cs="Arial"/>
          <w:bCs/>
        </w:rPr>
        <w:t xml:space="preserve"> would outweigh the costs</w:t>
      </w:r>
      <w:r w:rsidR="005A62E7">
        <w:rPr>
          <w:rFonts w:cs="Arial"/>
          <w:bCs/>
        </w:rPr>
        <w:t xml:space="preserve">, nor </w:t>
      </w:r>
      <w:r w:rsidR="00C14AA6">
        <w:rPr>
          <w:rFonts w:cs="Arial"/>
          <w:bCs/>
        </w:rPr>
        <w:t>attempted</w:t>
      </w:r>
      <w:r w:rsidR="005A62E7">
        <w:rPr>
          <w:rFonts w:cs="Arial"/>
          <w:bCs/>
        </w:rPr>
        <w:t xml:space="preserve"> to </w:t>
      </w:r>
      <w:r w:rsidR="00C14AA6">
        <w:rPr>
          <w:rFonts w:cs="Arial"/>
          <w:bCs/>
        </w:rPr>
        <w:t>quantify</w:t>
      </w:r>
      <w:r w:rsidR="005A62E7">
        <w:rPr>
          <w:rFonts w:cs="Arial"/>
          <w:bCs/>
        </w:rPr>
        <w:t xml:space="preserve"> the cost saving to industry </w:t>
      </w:r>
      <w:r w:rsidR="00C14AA6">
        <w:rPr>
          <w:rFonts w:cs="Arial"/>
          <w:bCs/>
        </w:rPr>
        <w:t>sectors</w:t>
      </w:r>
      <w:r w:rsidR="005A62E7">
        <w:rPr>
          <w:rFonts w:cs="Arial"/>
          <w:bCs/>
        </w:rPr>
        <w:t xml:space="preserve"> or to the </w:t>
      </w:r>
      <w:r w:rsidR="00C14AA6">
        <w:rPr>
          <w:rFonts w:cs="Arial"/>
          <w:bCs/>
        </w:rPr>
        <w:t>Tasmanian</w:t>
      </w:r>
      <w:r w:rsidR="005A62E7">
        <w:rPr>
          <w:rFonts w:cs="Arial"/>
          <w:bCs/>
        </w:rPr>
        <w:t xml:space="preserve"> </w:t>
      </w:r>
      <w:r w:rsidR="00C14AA6">
        <w:rPr>
          <w:rFonts w:cs="Arial"/>
          <w:bCs/>
        </w:rPr>
        <w:t>economy</w:t>
      </w:r>
      <w:r w:rsidR="005A62E7">
        <w:rPr>
          <w:rFonts w:cs="Arial"/>
          <w:bCs/>
        </w:rPr>
        <w:t xml:space="preserve"> from such reform.  No benefit-cost analysis has be</w:t>
      </w:r>
      <w:r w:rsidR="00E33A44">
        <w:rPr>
          <w:rFonts w:cs="Arial"/>
          <w:bCs/>
        </w:rPr>
        <w:t>e</w:t>
      </w:r>
      <w:r w:rsidR="005A62E7">
        <w:rPr>
          <w:rFonts w:cs="Arial"/>
          <w:bCs/>
        </w:rPr>
        <w:t>n undertaken, and as a result, no downside to a change in coastal shipping regulation has b</w:t>
      </w:r>
      <w:r w:rsidR="00B87B68">
        <w:rPr>
          <w:rFonts w:cs="Arial"/>
          <w:bCs/>
        </w:rPr>
        <w:t>e</w:t>
      </w:r>
      <w:r w:rsidR="005A62E7">
        <w:rPr>
          <w:rFonts w:cs="Arial"/>
          <w:bCs/>
        </w:rPr>
        <w:t xml:space="preserve">en </w:t>
      </w:r>
      <w:r w:rsidR="00B87B68">
        <w:rPr>
          <w:rFonts w:cs="Arial"/>
          <w:bCs/>
        </w:rPr>
        <w:t>included in its draft report</w:t>
      </w:r>
      <w:r w:rsidR="005A62E7">
        <w:rPr>
          <w:rFonts w:cs="Arial"/>
          <w:bCs/>
        </w:rPr>
        <w:t>.</w:t>
      </w:r>
    </w:p>
    <w:p w:rsidR="00381E00" w:rsidRDefault="00381E00" w:rsidP="006E74F0">
      <w:pPr>
        <w:ind w:left="720" w:hanging="720"/>
        <w:rPr>
          <w:rFonts w:cs="Arial"/>
          <w:bCs/>
        </w:rPr>
      </w:pPr>
    </w:p>
    <w:p w:rsidR="005A62E7" w:rsidRDefault="0090231D" w:rsidP="006E74F0">
      <w:pPr>
        <w:ind w:left="720" w:hanging="720"/>
        <w:rPr>
          <w:rFonts w:cs="Arial"/>
          <w:bCs/>
        </w:rPr>
      </w:pPr>
      <w:r>
        <w:rPr>
          <w:rFonts w:cs="Arial"/>
          <w:bCs/>
        </w:rPr>
        <w:t>3.5</w:t>
      </w:r>
      <w:r>
        <w:rPr>
          <w:rFonts w:cs="Arial"/>
          <w:bCs/>
        </w:rPr>
        <w:tab/>
      </w:r>
      <w:r w:rsidR="00C14AA6">
        <w:rPr>
          <w:rFonts w:cs="Arial"/>
          <w:bCs/>
        </w:rPr>
        <w:t xml:space="preserve">The fact is that the 2012 shipping reforms introduced through the </w:t>
      </w:r>
      <w:r w:rsidR="00C14AA6" w:rsidRPr="000559C4">
        <w:rPr>
          <w:rFonts w:cs="Arial"/>
          <w:bCs/>
          <w:i/>
        </w:rPr>
        <w:t>Co</w:t>
      </w:r>
      <w:r w:rsidR="00B87B68">
        <w:rPr>
          <w:rFonts w:cs="Arial"/>
          <w:bCs/>
          <w:i/>
        </w:rPr>
        <w:t xml:space="preserve">astal Trading (Revitalising </w:t>
      </w:r>
      <w:r w:rsidR="00C14AA6">
        <w:rPr>
          <w:rFonts w:cs="Arial"/>
          <w:bCs/>
          <w:i/>
        </w:rPr>
        <w:t>Australian Shipping</w:t>
      </w:r>
      <w:r w:rsidR="00C14AA6" w:rsidRPr="000559C4">
        <w:rPr>
          <w:rFonts w:cs="Arial"/>
          <w:bCs/>
          <w:i/>
        </w:rPr>
        <w:t>) Act 2012</w:t>
      </w:r>
      <w:r w:rsidR="00C14AA6">
        <w:rPr>
          <w:rFonts w:cs="Arial"/>
          <w:bCs/>
        </w:rPr>
        <w:t xml:space="preserve"> </w:t>
      </w:r>
      <w:r w:rsidR="006A1084">
        <w:rPr>
          <w:rFonts w:cs="Arial"/>
          <w:bCs/>
        </w:rPr>
        <w:t xml:space="preserve">(CT Act) </w:t>
      </w:r>
      <w:r w:rsidR="00C14AA6">
        <w:rPr>
          <w:rFonts w:cs="Arial"/>
          <w:bCs/>
        </w:rPr>
        <w:t xml:space="preserve">made only subtle differences to the previous shipping regulatory arrangements under Part VI of the former </w:t>
      </w:r>
      <w:r w:rsidR="00C14AA6" w:rsidRPr="006A1084">
        <w:rPr>
          <w:rFonts w:cs="Arial"/>
          <w:bCs/>
          <w:i/>
        </w:rPr>
        <w:t>Navigation Act 1912</w:t>
      </w:r>
      <w:r w:rsidR="00C14AA6">
        <w:rPr>
          <w:rFonts w:cs="Arial"/>
          <w:bCs/>
        </w:rPr>
        <w:t>.  Conceptually</w:t>
      </w:r>
      <w:r w:rsidR="000559C4">
        <w:rPr>
          <w:rFonts w:cs="Arial"/>
          <w:bCs/>
        </w:rPr>
        <w:t xml:space="preserve"> the 2 </w:t>
      </w:r>
      <w:r w:rsidR="00C14AA6">
        <w:rPr>
          <w:rFonts w:cs="Arial"/>
          <w:bCs/>
        </w:rPr>
        <w:t>regulatory</w:t>
      </w:r>
      <w:r w:rsidR="00B87B68">
        <w:rPr>
          <w:rFonts w:cs="Arial"/>
          <w:bCs/>
        </w:rPr>
        <w:t xml:space="preserve"> schemes are quit</w:t>
      </w:r>
      <w:r w:rsidR="000559C4">
        <w:rPr>
          <w:rFonts w:cs="Arial"/>
          <w:bCs/>
        </w:rPr>
        <w:t xml:space="preserve">e similar.  </w:t>
      </w:r>
      <w:r w:rsidR="00C7342D">
        <w:rPr>
          <w:rFonts w:cs="Arial"/>
          <w:bCs/>
        </w:rPr>
        <w:t xml:space="preserve">This was acknowledged by the Department of </w:t>
      </w:r>
      <w:r w:rsidR="00C14AA6">
        <w:rPr>
          <w:rFonts w:cs="Arial"/>
          <w:bCs/>
        </w:rPr>
        <w:t>Infrastructure</w:t>
      </w:r>
      <w:r w:rsidR="00C7342D">
        <w:rPr>
          <w:rFonts w:cs="Arial"/>
          <w:bCs/>
        </w:rPr>
        <w:t xml:space="preserve"> and </w:t>
      </w:r>
      <w:r w:rsidR="00C14AA6">
        <w:rPr>
          <w:rFonts w:cs="Arial"/>
          <w:bCs/>
        </w:rPr>
        <w:t>Regional</w:t>
      </w:r>
      <w:r w:rsidR="00C7342D">
        <w:rPr>
          <w:rFonts w:cs="Arial"/>
          <w:bCs/>
        </w:rPr>
        <w:t xml:space="preserve"> </w:t>
      </w:r>
      <w:r w:rsidR="00C14AA6">
        <w:rPr>
          <w:rFonts w:cs="Arial"/>
          <w:bCs/>
        </w:rPr>
        <w:t>Development</w:t>
      </w:r>
      <w:r w:rsidR="00C7342D">
        <w:rPr>
          <w:rFonts w:cs="Arial"/>
          <w:bCs/>
        </w:rPr>
        <w:t xml:space="preserve"> </w:t>
      </w:r>
      <w:r w:rsidR="006A1084">
        <w:rPr>
          <w:rFonts w:cs="Arial"/>
          <w:bCs/>
        </w:rPr>
        <w:t xml:space="preserve">(DIRD) </w:t>
      </w:r>
      <w:r w:rsidR="00C7342D">
        <w:rPr>
          <w:rFonts w:cs="Arial"/>
          <w:bCs/>
        </w:rPr>
        <w:t>submission quoted in the PC draft report.</w:t>
      </w:r>
      <w:r w:rsidR="00C7342D">
        <w:rPr>
          <w:rStyle w:val="FootnoteReference"/>
          <w:rFonts w:cs="Arial"/>
          <w:bCs/>
        </w:rPr>
        <w:footnoteReference w:id="2"/>
      </w:r>
    </w:p>
    <w:p w:rsidR="000559C4" w:rsidRDefault="000559C4" w:rsidP="006E74F0">
      <w:pPr>
        <w:ind w:left="720" w:hanging="720"/>
        <w:rPr>
          <w:rFonts w:cs="Arial"/>
          <w:bCs/>
        </w:rPr>
      </w:pPr>
    </w:p>
    <w:p w:rsidR="000559C4" w:rsidRDefault="0090231D" w:rsidP="006E74F0">
      <w:pPr>
        <w:ind w:left="720" w:hanging="720"/>
        <w:rPr>
          <w:rFonts w:cs="Arial"/>
          <w:bCs/>
        </w:rPr>
      </w:pPr>
      <w:r>
        <w:rPr>
          <w:rFonts w:cs="Arial"/>
          <w:bCs/>
        </w:rPr>
        <w:t>3.6</w:t>
      </w:r>
      <w:r>
        <w:rPr>
          <w:rFonts w:cs="Arial"/>
          <w:bCs/>
        </w:rPr>
        <w:tab/>
      </w:r>
      <w:r w:rsidR="00C14AA6">
        <w:rPr>
          <w:rFonts w:cs="Arial"/>
          <w:bCs/>
        </w:rPr>
        <w:t>We note that the PC has indicated that data limitations have constrained its ability to review in detail the commercial aspects of Bass Strait shipping</w:t>
      </w:r>
      <w:r w:rsidR="00C14AA6">
        <w:rPr>
          <w:rStyle w:val="FootnoteReference"/>
          <w:rFonts w:cs="Arial"/>
          <w:bCs/>
        </w:rPr>
        <w:footnoteReference w:id="3"/>
      </w:r>
      <w:r w:rsidR="00C14AA6">
        <w:rPr>
          <w:rFonts w:cs="Arial"/>
          <w:bCs/>
        </w:rPr>
        <w:t xml:space="preserve">, so we query how it was able to so confidently arrive at its conclusion that </w:t>
      </w:r>
      <w:r w:rsidR="00B87B68">
        <w:rPr>
          <w:rFonts w:cs="Arial"/>
          <w:bCs/>
        </w:rPr>
        <w:t>“</w:t>
      </w:r>
      <w:r w:rsidR="00C14AA6" w:rsidRPr="00B87B68">
        <w:rPr>
          <w:rFonts w:cs="Arial"/>
          <w:bCs/>
          <w:i/>
        </w:rPr>
        <w:t xml:space="preserve">the Australian Government should proceed with the foreshadowed review of coastal shipping regulation as soon as possible. </w:t>
      </w:r>
      <w:r w:rsidR="000559C4" w:rsidRPr="00B87B68">
        <w:rPr>
          <w:rFonts w:cs="Arial"/>
          <w:bCs/>
          <w:i/>
        </w:rPr>
        <w:t>The objective of the review should be to achieve the most efficient coastal shipping services feasible for Australia</w:t>
      </w:r>
      <w:r w:rsidR="00E33A44">
        <w:rPr>
          <w:rFonts w:cs="Arial"/>
          <w:bCs/>
          <w:i/>
        </w:rPr>
        <w:t>”</w:t>
      </w:r>
      <w:r w:rsidR="007C5744">
        <w:rPr>
          <w:rFonts w:cs="Arial"/>
          <w:bCs/>
        </w:rPr>
        <w:t xml:space="preserve">, particularly as the PC has not indicated </w:t>
      </w:r>
      <w:r w:rsidR="00BC75BF">
        <w:rPr>
          <w:rFonts w:cs="Arial"/>
          <w:bCs/>
        </w:rPr>
        <w:t>precisely</w:t>
      </w:r>
      <w:r w:rsidR="007C5744">
        <w:rPr>
          <w:rFonts w:cs="Arial"/>
          <w:bCs/>
        </w:rPr>
        <w:t xml:space="preserve"> what efficiency it believes such a review might be intended to </w:t>
      </w:r>
      <w:r w:rsidR="00BC75BF">
        <w:rPr>
          <w:rFonts w:cs="Arial"/>
          <w:bCs/>
        </w:rPr>
        <w:t>achieve</w:t>
      </w:r>
      <w:r w:rsidR="007C5744">
        <w:rPr>
          <w:rFonts w:cs="Arial"/>
          <w:bCs/>
        </w:rPr>
        <w:t>.</w:t>
      </w:r>
      <w:r w:rsidR="000559C4">
        <w:rPr>
          <w:rStyle w:val="FootnoteReference"/>
          <w:rFonts w:cs="Arial"/>
          <w:bCs/>
        </w:rPr>
        <w:footnoteReference w:id="4"/>
      </w:r>
    </w:p>
    <w:p w:rsidR="00EF7F4B" w:rsidRDefault="00EF7F4B" w:rsidP="006E74F0">
      <w:pPr>
        <w:ind w:left="720" w:hanging="720"/>
        <w:rPr>
          <w:rFonts w:cs="Arial"/>
          <w:bCs/>
        </w:rPr>
      </w:pPr>
    </w:p>
    <w:p w:rsidR="00EF7F4B" w:rsidRDefault="0090231D" w:rsidP="006E74F0">
      <w:pPr>
        <w:ind w:left="720" w:hanging="720"/>
        <w:rPr>
          <w:rFonts w:cs="Arial"/>
          <w:bCs/>
        </w:rPr>
      </w:pPr>
      <w:r>
        <w:rPr>
          <w:rFonts w:cs="Arial"/>
          <w:bCs/>
        </w:rPr>
        <w:t>3.7</w:t>
      </w:r>
      <w:r>
        <w:rPr>
          <w:rFonts w:cs="Arial"/>
          <w:bCs/>
        </w:rPr>
        <w:tab/>
      </w:r>
      <w:r w:rsidR="009D7341">
        <w:rPr>
          <w:rFonts w:cs="Arial"/>
          <w:bCs/>
        </w:rPr>
        <w:t xml:space="preserve">We also note the PCs </w:t>
      </w:r>
      <w:r w:rsidR="00C14AA6">
        <w:rPr>
          <w:rFonts w:cs="Arial"/>
          <w:bCs/>
        </w:rPr>
        <w:t>analysis</w:t>
      </w:r>
      <w:r w:rsidR="009D7341">
        <w:rPr>
          <w:rFonts w:cs="Arial"/>
          <w:bCs/>
        </w:rPr>
        <w:t xml:space="preserve"> of the so called </w:t>
      </w:r>
      <w:r w:rsidR="00C14AA6">
        <w:rPr>
          <w:rFonts w:cs="Arial"/>
          <w:bCs/>
        </w:rPr>
        <w:t>freight</w:t>
      </w:r>
      <w:r w:rsidR="009D7341">
        <w:rPr>
          <w:rFonts w:cs="Arial"/>
          <w:bCs/>
        </w:rPr>
        <w:t xml:space="preserve"> cost </w:t>
      </w:r>
      <w:r w:rsidR="00C14AA6">
        <w:rPr>
          <w:rFonts w:cs="Arial"/>
          <w:bCs/>
        </w:rPr>
        <w:t>disadvantage</w:t>
      </w:r>
      <w:r w:rsidR="009D7341">
        <w:rPr>
          <w:rFonts w:cs="Arial"/>
          <w:bCs/>
        </w:rPr>
        <w:t xml:space="preserve"> that underpins the </w:t>
      </w:r>
      <w:r w:rsidR="00C14AA6">
        <w:rPr>
          <w:rFonts w:cs="Arial"/>
          <w:bCs/>
        </w:rPr>
        <w:t>Tasmanian</w:t>
      </w:r>
      <w:r w:rsidR="009D7341">
        <w:rPr>
          <w:rFonts w:cs="Arial"/>
          <w:bCs/>
        </w:rPr>
        <w:t xml:space="preserve"> </w:t>
      </w:r>
      <w:r w:rsidR="00C14AA6">
        <w:rPr>
          <w:rFonts w:cs="Arial"/>
          <w:bCs/>
        </w:rPr>
        <w:t>Freight</w:t>
      </w:r>
      <w:r w:rsidR="009D7341">
        <w:rPr>
          <w:rFonts w:cs="Arial"/>
          <w:bCs/>
        </w:rPr>
        <w:t xml:space="preserve"> Equalisation Scheme (TFES) where it reports that </w:t>
      </w:r>
      <w:r w:rsidR="00C14AA6">
        <w:rPr>
          <w:rFonts w:cs="Arial"/>
          <w:bCs/>
        </w:rPr>
        <w:t>freight</w:t>
      </w:r>
      <w:r w:rsidR="009D7341">
        <w:rPr>
          <w:rFonts w:cs="Arial"/>
          <w:bCs/>
        </w:rPr>
        <w:t xml:space="preserve"> </w:t>
      </w:r>
      <w:r w:rsidR="00C14AA6">
        <w:rPr>
          <w:rFonts w:cs="Arial"/>
          <w:bCs/>
        </w:rPr>
        <w:t>rates</w:t>
      </w:r>
      <w:r w:rsidR="009D7341">
        <w:rPr>
          <w:rFonts w:cs="Arial"/>
          <w:bCs/>
        </w:rPr>
        <w:t xml:space="preserve"> “</w:t>
      </w:r>
      <w:r w:rsidR="009D7341" w:rsidRPr="009D7341">
        <w:rPr>
          <w:rFonts w:cs="Arial"/>
          <w:bCs/>
          <w:i/>
        </w:rPr>
        <w:t>can differ for a number of reasons — the nature of the shipped product and its volume, the source and destination of the freight task, the direction of travel, the timing and frequency of the service, and the degree of competition in the provision of freight services.</w:t>
      </w:r>
      <w:r w:rsidR="009D7341">
        <w:rPr>
          <w:rFonts w:cs="Arial"/>
          <w:bCs/>
        </w:rPr>
        <w:t>”</w:t>
      </w:r>
      <w:r w:rsidR="009D7341">
        <w:rPr>
          <w:rStyle w:val="FootnoteReference"/>
          <w:rFonts w:cs="Arial"/>
          <w:bCs/>
        </w:rPr>
        <w:footnoteReference w:id="5"/>
      </w:r>
      <w:r w:rsidR="001909E2">
        <w:rPr>
          <w:rFonts w:cs="Arial"/>
          <w:bCs/>
        </w:rPr>
        <w:t xml:space="preserve">  This being </w:t>
      </w:r>
      <w:r w:rsidR="00BC75BF">
        <w:rPr>
          <w:rFonts w:cs="Arial"/>
          <w:bCs/>
        </w:rPr>
        <w:t>the</w:t>
      </w:r>
      <w:r w:rsidR="001909E2">
        <w:rPr>
          <w:rFonts w:cs="Arial"/>
          <w:bCs/>
        </w:rPr>
        <w:t xml:space="preserve"> case, it is </w:t>
      </w:r>
      <w:r w:rsidR="00BC75BF">
        <w:rPr>
          <w:rFonts w:cs="Arial"/>
          <w:bCs/>
        </w:rPr>
        <w:t>difficult</w:t>
      </w:r>
      <w:r w:rsidR="001909E2">
        <w:rPr>
          <w:rFonts w:cs="Arial"/>
          <w:bCs/>
        </w:rPr>
        <w:t xml:space="preserve"> to see how </w:t>
      </w:r>
      <w:r w:rsidR="00BC75BF">
        <w:rPr>
          <w:rFonts w:cs="Arial"/>
          <w:bCs/>
        </w:rPr>
        <w:t>reforming</w:t>
      </w:r>
      <w:r w:rsidR="001909E2">
        <w:rPr>
          <w:rFonts w:cs="Arial"/>
          <w:bCs/>
        </w:rPr>
        <w:t xml:space="preserve"> the CT Act as recommended would have an impact on those </w:t>
      </w:r>
      <w:r w:rsidR="00BC75BF">
        <w:rPr>
          <w:rFonts w:cs="Arial"/>
          <w:bCs/>
        </w:rPr>
        <w:t>freight</w:t>
      </w:r>
      <w:r w:rsidR="001909E2">
        <w:rPr>
          <w:rFonts w:cs="Arial"/>
          <w:bCs/>
        </w:rPr>
        <w:t xml:space="preserve"> rate factors.</w:t>
      </w:r>
    </w:p>
    <w:p w:rsidR="00EF7F4B" w:rsidRDefault="00EF7F4B" w:rsidP="006E74F0">
      <w:pPr>
        <w:ind w:left="720" w:hanging="720"/>
        <w:rPr>
          <w:rFonts w:cs="Arial"/>
          <w:bCs/>
        </w:rPr>
      </w:pPr>
    </w:p>
    <w:p w:rsidR="009D7341" w:rsidRDefault="0090231D" w:rsidP="006E74F0">
      <w:pPr>
        <w:ind w:left="720" w:hanging="720"/>
        <w:rPr>
          <w:rFonts w:cs="Arial"/>
          <w:bCs/>
        </w:rPr>
      </w:pPr>
      <w:r>
        <w:rPr>
          <w:rFonts w:cs="Arial"/>
          <w:bCs/>
        </w:rPr>
        <w:t>3.8</w:t>
      </w:r>
      <w:r>
        <w:rPr>
          <w:rFonts w:cs="Arial"/>
          <w:bCs/>
        </w:rPr>
        <w:tab/>
      </w:r>
      <w:r w:rsidR="009D7341">
        <w:rPr>
          <w:rFonts w:cs="Arial"/>
          <w:bCs/>
        </w:rPr>
        <w:t>The PC concluded that “</w:t>
      </w:r>
      <w:r w:rsidR="009D7341" w:rsidRPr="009D7341">
        <w:rPr>
          <w:rFonts w:cs="Arial"/>
          <w:bCs/>
          <w:i/>
        </w:rPr>
        <w:t>Given these considerations, determining with any confidence the precise freight cost disadvantage at a particular point in time is challenging. The Commission noted in its 2006 review of the freight subsidy schemes that it was unrealistic to suggest that any one ‘road freight equivalent’ was truly representative of a comparable freight task. This remains the case.</w:t>
      </w:r>
      <w:r w:rsidR="009D7341">
        <w:rPr>
          <w:rStyle w:val="FootnoteReference"/>
          <w:rFonts w:cs="Arial"/>
          <w:bCs/>
          <w:i/>
        </w:rPr>
        <w:footnoteReference w:id="6"/>
      </w:r>
    </w:p>
    <w:p w:rsidR="00EF7F4B" w:rsidRDefault="00EF7F4B" w:rsidP="006E74F0">
      <w:pPr>
        <w:ind w:left="720" w:hanging="720"/>
        <w:rPr>
          <w:rFonts w:cs="Arial"/>
          <w:bCs/>
        </w:rPr>
      </w:pPr>
    </w:p>
    <w:p w:rsidR="00EF7F4B" w:rsidRDefault="0090231D" w:rsidP="006E74F0">
      <w:pPr>
        <w:ind w:left="720" w:hanging="720"/>
        <w:rPr>
          <w:rFonts w:cs="Arial"/>
          <w:bCs/>
        </w:rPr>
      </w:pPr>
      <w:r>
        <w:rPr>
          <w:rFonts w:cs="Arial"/>
          <w:bCs/>
        </w:rPr>
        <w:t>3.9</w:t>
      </w:r>
      <w:r>
        <w:rPr>
          <w:rFonts w:cs="Arial"/>
          <w:bCs/>
        </w:rPr>
        <w:tab/>
      </w:r>
      <w:r w:rsidR="009D7341">
        <w:rPr>
          <w:rFonts w:cs="Arial"/>
          <w:bCs/>
        </w:rPr>
        <w:t xml:space="preserve">We submit that the </w:t>
      </w:r>
      <w:r w:rsidR="009D2DAC">
        <w:rPr>
          <w:rFonts w:cs="Arial"/>
          <w:bCs/>
        </w:rPr>
        <w:t xml:space="preserve">Bureau of </w:t>
      </w:r>
      <w:r w:rsidR="00C14AA6">
        <w:rPr>
          <w:rFonts w:cs="Arial"/>
          <w:bCs/>
        </w:rPr>
        <w:t>Infrastructure</w:t>
      </w:r>
      <w:r w:rsidR="009D2DAC">
        <w:rPr>
          <w:rFonts w:cs="Arial"/>
          <w:bCs/>
        </w:rPr>
        <w:t>, Transport and Regional Economics (BITRE) methodology for estimating the cost disadvantage</w:t>
      </w:r>
      <w:r w:rsidR="00E33A44">
        <w:rPr>
          <w:rFonts w:cs="Arial"/>
          <w:bCs/>
        </w:rPr>
        <w:t>,</w:t>
      </w:r>
      <w:r w:rsidR="009D2DAC">
        <w:rPr>
          <w:rFonts w:cs="Arial"/>
          <w:bCs/>
        </w:rPr>
        <w:t xml:space="preserve"> by relying on a comparison with road </w:t>
      </w:r>
      <w:r w:rsidR="00C14AA6">
        <w:rPr>
          <w:rFonts w:cs="Arial"/>
          <w:bCs/>
        </w:rPr>
        <w:t>freight</w:t>
      </w:r>
      <w:r w:rsidR="009D2DAC">
        <w:rPr>
          <w:rFonts w:cs="Arial"/>
          <w:bCs/>
        </w:rPr>
        <w:t xml:space="preserve"> rates</w:t>
      </w:r>
      <w:r w:rsidR="00E33A44">
        <w:rPr>
          <w:rFonts w:cs="Arial"/>
          <w:bCs/>
        </w:rPr>
        <w:t>,</w:t>
      </w:r>
      <w:r w:rsidR="009D2DAC">
        <w:rPr>
          <w:rFonts w:cs="Arial"/>
          <w:bCs/>
        </w:rPr>
        <w:t xml:space="preserve"> is flawed in any case, in </w:t>
      </w:r>
      <w:r w:rsidR="009D2DAC">
        <w:rPr>
          <w:rFonts w:cs="Arial"/>
          <w:bCs/>
        </w:rPr>
        <w:lastRenderedPageBreak/>
        <w:t xml:space="preserve">that it does not take </w:t>
      </w:r>
      <w:r w:rsidR="00C14AA6">
        <w:rPr>
          <w:rFonts w:cs="Arial"/>
          <w:bCs/>
        </w:rPr>
        <w:t>into</w:t>
      </w:r>
      <w:r w:rsidR="009D2DAC">
        <w:rPr>
          <w:rFonts w:cs="Arial"/>
          <w:bCs/>
        </w:rPr>
        <w:t xml:space="preserve"> consideration the subsidisation of </w:t>
      </w:r>
      <w:r w:rsidR="00C14AA6">
        <w:rPr>
          <w:rFonts w:cs="Arial"/>
          <w:bCs/>
        </w:rPr>
        <w:t>road</w:t>
      </w:r>
      <w:r w:rsidR="009D2DAC">
        <w:rPr>
          <w:rFonts w:cs="Arial"/>
          <w:bCs/>
        </w:rPr>
        <w:t xml:space="preserve"> </w:t>
      </w:r>
      <w:r w:rsidR="00C14AA6">
        <w:rPr>
          <w:rFonts w:cs="Arial"/>
          <w:bCs/>
        </w:rPr>
        <w:t>transport</w:t>
      </w:r>
      <w:r w:rsidR="009D2DAC">
        <w:rPr>
          <w:rFonts w:cs="Arial"/>
          <w:bCs/>
        </w:rPr>
        <w:t xml:space="preserve"> that occurs though the under recovery of the cost of providing road </w:t>
      </w:r>
      <w:r w:rsidR="00C14AA6">
        <w:rPr>
          <w:rFonts w:cs="Arial"/>
          <w:bCs/>
        </w:rPr>
        <w:t>infrastructure</w:t>
      </w:r>
      <w:r w:rsidR="001909E2">
        <w:rPr>
          <w:rFonts w:cs="Arial"/>
          <w:bCs/>
        </w:rPr>
        <w:t xml:space="preserve"> in overall roa</w:t>
      </w:r>
      <w:r w:rsidR="009D2DAC">
        <w:rPr>
          <w:rFonts w:cs="Arial"/>
          <w:bCs/>
        </w:rPr>
        <w:t xml:space="preserve">d transport </w:t>
      </w:r>
      <w:r w:rsidR="00C14AA6">
        <w:rPr>
          <w:rFonts w:cs="Arial"/>
          <w:bCs/>
        </w:rPr>
        <w:t>freight</w:t>
      </w:r>
      <w:r w:rsidR="009D2DAC">
        <w:rPr>
          <w:rFonts w:cs="Arial"/>
          <w:bCs/>
        </w:rPr>
        <w:t xml:space="preserve"> costs.  </w:t>
      </w:r>
      <w:r w:rsidR="00C14AA6">
        <w:rPr>
          <w:rFonts w:cs="Arial"/>
          <w:bCs/>
        </w:rPr>
        <w:t xml:space="preserve">We presume the work of the </w:t>
      </w:r>
      <w:r w:rsidR="00C14AA6" w:rsidRPr="009D2DAC">
        <w:rPr>
          <w:rFonts w:cs="Arial"/>
          <w:bCs/>
        </w:rPr>
        <w:t>COAG Heavy Vehicle Ch</w:t>
      </w:r>
      <w:r w:rsidR="00B87B68">
        <w:rPr>
          <w:rFonts w:cs="Arial"/>
          <w:bCs/>
        </w:rPr>
        <w:t>arging and Investment Reform (</w:t>
      </w:r>
      <w:r w:rsidR="00C14AA6" w:rsidRPr="009D2DAC">
        <w:rPr>
          <w:rFonts w:cs="Arial"/>
          <w:bCs/>
        </w:rPr>
        <w:t xml:space="preserve">HVCI) </w:t>
      </w:r>
      <w:r w:rsidR="00B87B68">
        <w:rPr>
          <w:rFonts w:cs="Arial"/>
          <w:bCs/>
        </w:rPr>
        <w:t xml:space="preserve">being managed by the National </w:t>
      </w:r>
      <w:r w:rsidR="00577CEA">
        <w:rPr>
          <w:rFonts w:cs="Arial"/>
          <w:bCs/>
        </w:rPr>
        <w:t>Transport</w:t>
      </w:r>
      <w:r w:rsidR="00B87B68">
        <w:rPr>
          <w:rFonts w:cs="Arial"/>
          <w:bCs/>
        </w:rPr>
        <w:t xml:space="preserve"> Commission</w:t>
      </w:r>
      <w:r w:rsidR="001909E2">
        <w:rPr>
          <w:rFonts w:cs="Arial"/>
          <w:bCs/>
        </w:rPr>
        <w:t xml:space="preserve"> (NTC)</w:t>
      </w:r>
      <w:r w:rsidR="00B87B68">
        <w:rPr>
          <w:rFonts w:cs="Arial"/>
          <w:bCs/>
        </w:rPr>
        <w:t xml:space="preserve">, </w:t>
      </w:r>
      <w:r w:rsidR="00C14AA6">
        <w:rPr>
          <w:rFonts w:cs="Arial"/>
          <w:bCs/>
        </w:rPr>
        <w:t xml:space="preserve">which </w:t>
      </w:r>
      <w:r w:rsidR="00C14AA6" w:rsidRPr="009D2DAC">
        <w:rPr>
          <w:rFonts w:cs="Arial"/>
          <w:bCs/>
        </w:rPr>
        <w:t>was established to undertake a feasibility study investigating alternative char</w:t>
      </w:r>
      <w:r w:rsidR="00C14AA6">
        <w:rPr>
          <w:rFonts w:cs="Arial"/>
          <w:bCs/>
        </w:rPr>
        <w:t xml:space="preserve">ging systems for heavy vehicles will result in a move to recover more of the cost of providing road infrastructure, which will presumably be reflected in road freight costs and be taken into consideration by BITRE estimates in future.  </w:t>
      </w:r>
      <w:r w:rsidR="009D2DAC">
        <w:rPr>
          <w:rFonts w:cs="Arial"/>
          <w:bCs/>
        </w:rPr>
        <w:t xml:space="preserve">This will have the effect of reducing the so called cost </w:t>
      </w:r>
      <w:r w:rsidR="00C14AA6">
        <w:rPr>
          <w:rFonts w:cs="Arial"/>
          <w:bCs/>
        </w:rPr>
        <w:t>differential</w:t>
      </w:r>
      <w:r w:rsidR="009D2DAC">
        <w:rPr>
          <w:rFonts w:cs="Arial"/>
          <w:bCs/>
        </w:rPr>
        <w:t xml:space="preserve">, while at the same time shipping’s relative competiveness </w:t>
      </w:r>
      <w:r w:rsidR="00A13940">
        <w:rPr>
          <w:rFonts w:cs="Arial"/>
          <w:bCs/>
        </w:rPr>
        <w:t xml:space="preserve">will </w:t>
      </w:r>
      <w:r w:rsidR="00C14AA6">
        <w:rPr>
          <w:rFonts w:cs="Arial"/>
          <w:bCs/>
        </w:rPr>
        <w:t>improve</w:t>
      </w:r>
      <w:r w:rsidR="00A13940">
        <w:rPr>
          <w:rFonts w:cs="Arial"/>
          <w:bCs/>
        </w:rPr>
        <w:t xml:space="preserve">, even on short haul routes such as the </w:t>
      </w:r>
      <w:r w:rsidR="00C14AA6">
        <w:rPr>
          <w:rFonts w:cs="Arial"/>
          <w:bCs/>
        </w:rPr>
        <w:t>Tasmania</w:t>
      </w:r>
      <w:r w:rsidR="00A13940">
        <w:rPr>
          <w:rFonts w:cs="Arial"/>
          <w:bCs/>
        </w:rPr>
        <w:t xml:space="preserve"> to Melbourne leg of some 420 kms.</w:t>
      </w:r>
    </w:p>
    <w:p w:rsidR="00A13940" w:rsidRDefault="00A13940" w:rsidP="006E74F0">
      <w:pPr>
        <w:ind w:left="720" w:hanging="720"/>
        <w:rPr>
          <w:rFonts w:cs="Arial"/>
          <w:bCs/>
        </w:rPr>
      </w:pPr>
    </w:p>
    <w:p w:rsidR="00A13940" w:rsidRDefault="0090231D" w:rsidP="006E74F0">
      <w:pPr>
        <w:ind w:left="720" w:hanging="720"/>
        <w:rPr>
          <w:rFonts w:cs="Arial"/>
          <w:bCs/>
        </w:rPr>
      </w:pPr>
      <w:r>
        <w:rPr>
          <w:rFonts w:cs="Arial"/>
          <w:bCs/>
        </w:rPr>
        <w:t>3.10</w:t>
      </w:r>
      <w:r>
        <w:rPr>
          <w:rFonts w:cs="Arial"/>
          <w:bCs/>
        </w:rPr>
        <w:tab/>
      </w:r>
      <w:r w:rsidR="00A13940">
        <w:rPr>
          <w:rFonts w:cs="Arial"/>
          <w:bCs/>
        </w:rPr>
        <w:t xml:space="preserve">We suggest that the PC final report recommend that BITRE review its methodology to take </w:t>
      </w:r>
      <w:r w:rsidR="00C14AA6">
        <w:rPr>
          <w:rFonts w:cs="Arial"/>
          <w:bCs/>
        </w:rPr>
        <w:t>into</w:t>
      </w:r>
      <w:r w:rsidR="00A13940">
        <w:rPr>
          <w:rFonts w:cs="Arial"/>
          <w:bCs/>
        </w:rPr>
        <w:t xml:space="preserve"> consideration the subsidisation of </w:t>
      </w:r>
      <w:r w:rsidR="00C14AA6">
        <w:rPr>
          <w:rFonts w:cs="Arial"/>
          <w:bCs/>
        </w:rPr>
        <w:t>road</w:t>
      </w:r>
      <w:r w:rsidR="00A13940">
        <w:rPr>
          <w:rFonts w:cs="Arial"/>
          <w:bCs/>
        </w:rPr>
        <w:t xml:space="preserve"> </w:t>
      </w:r>
      <w:r w:rsidR="00C14AA6">
        <w:rPr>
          <w:rFonts w:cs="Arial"/>
          <w:bCs/>
        </w:rPr>
        <w:t>freight</w:t>
      </w:r>
      <w:r w:rsidR="00A13940">
        <w:rPr>
          <w:rFonts w:cs="Arial"/>
          <w:bCs/>
        </w:rPr>
        <w:t xml:space="preserve"> costs by the under-charging for road infrastructure </w:t>
      </w:r>
      <w:r w:rsidR="002D5F7D">
        <w:rPr>
          <w:rFonts w:cs="Arial"/>
          <w:bCs/>
        </w:rPr>
        <w:t>in determining the freight cost</w:t>
      </w:r>
      <w:r w:rsidR="00A13940">
        <w:rPr>
          <w:rFonts w:cs="Arial"/>
          <w:bCs/>
        </w:rPr>
        <w:t xml:space="preserve"> disadvantage.</w:t>
      </w:r>
    </w:p>
    <w:p w:rsidR="00A13940" w:rsidRDefault="00A13940" w:rsidP="006E74F0">
      <w:pPr>
        <w:ind w:left="720" w:hanging="720"/>
        <w:rPr>
          <w:rFonts w:cs="Arial"/>
          <w:bCs/>
        </w:rPr>
      </w:pPr>
    </w:p>
    <w:p w:rsidR="00A13940" w:rsidRPr="00F35798" w:rsidRDefault="0090231D" w:rsidP="006E74F0">
      <w:pPr>
        <w:ind w:left="720" w:hanging="720"/>
        <w:rPr>
          <w:rFonts w:cs="Arial"/>
          <w:bCs/>
          <w:i/>
        </w:rPr>
      </w:pPr>
      <w:r>
        <w:rPr>
          <w:rFonts w:cs="Arial"/>
          <w:bCs/>
        </w:rPr>
        <w:t>3.11</w:t>
      </w:r>
      <w:r>
        <w:rPr>
          <w:rFonts w:cs="Arial"/>
          <w:bCs/>
        </w:rPr>
        <w:tab/>
      </w:r>
      <w:r w:rsidR="00A13940">
        <w:rPr>
          <w:rFonts w:cs="Arial"/>
          <w:bCs/>
        </w:rPr>
        <w:t xml:space="preserve">We note that </w:t>
      </w:r>
      <w:r w:rsidR="00C14AA6">
        <w:rPr>
          <w:rFonts w:cs="Arial"/>
          <w:bCs/>
        </w:rPr>
        <w:t>the</w:t>
      </w:r>
      <w:r w:rsidR="00A13940">
        <w:rPr>
          <w:rFonts w:cs="Arial"/>
          <w:bCs/>
        </w:rPr>
        <w:t xml:space="preserve"> PC concludes that “</w:t>
      </w:r>
      <w:r w:rsidR="00A13940" w:rsidRPr="00F35798">
        <w:rPr>
          <w:rFonts w:cs="Arial"/>
          <w:bCs/>
          <w:i/>
        </w:rPr>
        <w:t>The economics of shipping improve relative to other transport modes with the distance traversed. As such, shipping is typically not economic relative to road for distances comparable to Bass Strait.</w:t>
      </w:r>
    </w:p>
    <w:p w:rsidR="00F35798" w:rsidRPr="00F35798" w:rsidRDefault="00F35798" w:rsidP="006E74F0">
      <w:pPr>
        <w:ind w:left="720" w:hanging="720"/>
        <w:rPr>
          <w:rFonts w:cs="Arial"/>
          <w:bCs/>
          <w:i/>
        </w:rPr>
      </w:pPr>
    </w:p>
    <w:p w:rsidR="00A13940" w:rsidRPr="00F35798" w:rsidRDefault="00A13940" w:rsidP="006A1084">
      <w:pPr>
        <w:ind w:left="720"/>
        <w:rPr>
          <w:rFonts w:cs="Arial"/>
          <w:bCs/>
          <w:i/>
        </w:rPr>
      </w:pPr>
      <w:r w:rsidRPr="00F35798">
        <w:rPr>
          <w:rFonts w:cs="Arial"/>
          <w:bCs/>
          <w:i/>
        </w:rPr>
        <w:t>The efficiency of Tasmanian shipping and freight is driven by several direct and interrelated factors: the lack of competition; scale; and capital.</w:t>
      </w:r>
    </w:p>
    <w:p w:rsidR="00F35798" w:rsidRPr="00F35798" w:rsidRDefault="00F35798" w:rsidP="006E74F0">
      <w:pPr>
        <w:ind w:left="720" w:hanging="720"/>
        <w:rPr>
          <w:rFonts w:cs="Arial"/>
          <w:bCs/>
          <w:i/>
        </w:rPr>
      </w:pPr>
    </w:p>
    <w:p w:rsidR="00A13940" w:rsidRDefault="00A13940" w:rsidP="006A1084">
      <w:pPr>
        <w:ind w:left="720"/>
        <w:rPr>
          <w:rFonts w:cs="Arial"/>
          <w:bCs/>
        </w:rPr>
      </w:pPr>
      <w:r w:rsidRPr="00F35798">
        <w:rPr>
          <w:rFonts w:cs="Arial"/>
          <w:bCs/>
          <w:i/>
        </w:rPr>
        <w:t xml:space="preserve">Benchmarking of shipping costs is intrinsically difficult and therefore typically subject to caveats. That said, benchmarking work by Aurecon (commissioned by the </w:t>
      </w:r>
      <w:r w:rsidR="002D5F7D">
        <w:rPr>
          <w:rFonts w:cs="Arial"/>
          <w:bCs/>
          <w:i/>
        </w:rPr>
        <w:t>T</w:t>
      </w:r>
      <w:r w:rsidRPr="00F35798">
        <w:rPr>
          <w:rFonts w:cs="Arial"/>
          <w:bCs/>
          <w:i/>
        </w:rPr>
        <w:t>FLCT) found Bass Strait shipping to be 24 per cent more expensive than comparable European services, which they largely attributed to relatively higher input costs for Bass Strait providers (labour costs and fuel)</w:t>
      </w:r>
      <w:r w:rsidRPr="00A13940">
        <w:rPr>
          <w:rFonts w:cs="Arial"/>
          <w:bCs/>
        </w:rPr>
        <w:t>.</w:t>
      </w:r>
      <w:r w:rsidR="00F35798">
        <w:rPr>
          <w:rStyle w:val="FootnoteReference"/>
          <w:rFonts w:cs="Arial"/>
          <w:bCs/>
        </w:rPr>
        <w:footnoteReference w:id="7"/>
      </w:r>
    </w:p>
    <w:p w:rsidR="00EF7F4B" w:rsidRDefault="00EF7F4B" w:rsidP="006E74F0">
      <w:pPr>
        <w:ind w:left="720" w:hanging="720"/>
        <w:rPr>
          <w:rFonts w:cs="Arial"/>
          <w:bCs/>
        </w:rPr>
      </w:pPr>
    </w:p>
    <w:p w:rsidR="004A3844" w:rsidRDefault="004A3844" w:rsidP="006E74F0">
      <w:pPr>
        <w:ind w:left="720" w:hanging="720"/>
        <w:rPr>
          <w:rFonts w:cs="Arial"/>
          <w:bCs/>
        </w:rPr>
      </w:pPr>
      <w:r w:rsidRPr="004A3844">
        <w:rPr>
          <w:rFonts w:cs="Arial"/>
          <w:bCs/>
        </w:rPr>
        <w:t>3.12</w:t>
      </w:r>
      <w:r w:rsidRPr="004A3844">
        <w:rPr>
          <w:rFonts w:cs="Arial"/>
          <w:bCs/>
        </w:rPr>
        <w:tab/>
        <w:t>This is an unsurprising conclusion, and would be the same if road or rail transport costs were compared with Europe.  Australia has a different labour market cost structure, while fuel costs are a factor of Australia’s geographic positioning relative to major refining capacity in Asia along with movements in the exchange rate.  In this respect we question the PC’s continual reference to shipping being a “high cost” service – cost is a relative factor - so what is the high cost in relation to?</w:t>
      </w:r>
    </w:p>
    <w:p w:rsidR="004A3844" w:rsidRDefault="004A3844" w:rsidP="006E74F0">
      <w:pPr>
        <w:ind w:left="720" w:hanging="720"/>
        <w:rPr>
          <w:rFonts w:cs="Arial"/>
          <w:bCs/>
        </w:rPr>
      </w:pPr>
    </w:p>
    <w:p w:rsidR="005F603C" w:rsidRDefault="005A0FBF" w:rsidP="006E74F0">
      <w:pPr>
        <w:ind w:left="720" w:hanging="720"/>
        <w:rPr>
          <w:rFonts w:cs="Arial"/>
          <w:bCs/>
        </w:rPr>
      </w:pPr>
      <w:r>
        <w:rPr>
          <w:rFonts w:cs="Arial"/>
          <w:bCs/>
        </w:rPr>
        <w:t>3.13</w:t>
      </w:r>
      <w:r>
        <w:rPr>
          <w:rFonts w:cs="Arial"/>
          <w:bCs/>
        </w:rPr>
        <w:tab/>
      </w:r>
      <w:r w:rsidR="005F603C">
        <w:rPr>
          <w:rFonts w:cs="Arial"/>
          <w:bCs/>
        </w:rPr>
        <w:t xml:space="preserve">We urge the PC to examine a Working </w:t>
      </w:r>
      <w:r w:rsidR="00B56666">
        <w:rPr>
          <w:rFonts w:cs="Arial"/>
          <w:bCs/>
        </w:rPr>
        <w:t>Paper</w:t>
      </w:r>
      <w:r w:rsidR="005F603C">
        <w:rPr>
          <w:rFonts w:cs="Arial"/>
          <w:bCs/>
        </w:rPr>
        <w:t xml:space="preserve"> </w:t>
      </w:r>
      <w:r w:rsidR="00B56666">
        <w:rPr>
          <w:rFonts w:cs="Arial"/>
          <w:bCs/>
        </w:rPr>
        <w:t>produced</w:t>
      </w:r>
      <w:r w:rsidR="005F603C">
        <w:rPr>
          <w:rFonts w:cs="Arial"/>
          <w:bCs/>
        </w:rPr>
        <w:t xml:space="preserve"> by the </w:t>
      </w:r>
      <w:r w:rsidR="00B56666">
        <w:rPr>
          <w:rFonts w:cs="Arial"/>
          <w:bCs/>
        </w:rPr>
        <w:t>University</w:t>
      </w:r>
      <w:r w:rsidR="005F603C">
        <w:rPr>
          <w:rFonts w:cs="Arial"/>
          <w:bCs/>
        </w:rPr>
        <w:t xml:space="preserve"> of Sydney’s Institute of Transport and </w:t>
      </w:r>
      <w:r w:rsidR="00B56666">
        <w:rPr>
          <w:rFonts w:cs="Arial"/>
          <w:bCs/>
        </w:rPr>
        <w:t>Logistics</w:t>
      </w:r>
      <w:r w:rsidR="005F603C">
        <w:rPr>
          <w:rFonts w:cs="Arial"/>
          <w:bCs/>
        </w:rPr>
        <w:t xml:space="preserve"> Studies w</w:t>
      </w:r>
      <w:r w:rsidR="004A3844">
        <w:rPr>
          <w:rFonts w:cs="Arial"/>
          <w:bCs/>
        </w:rPr>
        <w:t xml:space="preserve">hich found that there are </w:t>
      </w:r>
      <w:r w:rsidR="005F603C">
        <w:rPr>
          <w:rFonts w:cs="Arial"/>
          <w:bCs/>
        </w:rPr>
        <w:t>service factors that impact on modal choice, such as offering integrated supply chain services that are important, not just distance.</w:t>
      </w:r>
      <w:r w:rsidR="005F603C">
        <w:rPr>
          <w:rStyle w:val="FootnoteReference"/>
          <w:rFonts w:cs="Arial"/>
          <w:bCs/>
        </w:rPr>
        <w:footnoteReference w:id="8"/>
      </w:r>
    </w:p>
    <w:p w:rsidR="005F603C" w:rsidRDefault="005F603C" w:rsidP="006E74F0">
      <w:pPr>
        <w:ind w:left="720" w:hanging="720"/>
        <w:rPr>
          <w:rFonts w:cs="Arial"/>
          <w:bCs/>
        </w:rPr>
      </w:pPr>
    </w:p>
    <w:p w:rsidR="00F35798" w:rsidRDefault="005A0FBF" w:rsidP="006E74F0">
      <w:pPr>
        <w:ind w:left="720" w:hanging="720"/>
        <w:rPr>
          <w:rFonts w:cs="Arial"/>
          <w:bCs/>
        </w:rPr>
      </w:pPr>
      <w:r>
        <w:rPr>
          <w:rFonts w:cs="Arial"/>
          <w:bCs/>
        </w:rPr>
        <w:lastRenderedPageBreak/>
        <w:t>3.14</w:t>
      </w:r>
      <w:r w:rsidR="0090231D">
        <w:rPr>
          <w:rFonts w:cs="Arial"/>
          <w:bCs/>
        </w:rPr>
        <w:tab/>
      </w:r>
      <w:r w:rsidR="00F35798">
        <w:rPr>
          <w:rFonts w:cs="Arial"/>
          <w:bCs/>
        </w:rPr>
        <w:t xml:space="preserve">The PC acknowledges that it does not have access to data on shipping company operating costs and revenues to reach an informed decision on </w:t>
      </w:r>
      <w:r w:rsidR="00C14AA6">
        <w:rPr>
          <w:rFonts w:cs="Arial"/>
          <w:bCs/>
        </w:rPr>
        <w:t>operator</w:t>
      </w:r>
      <w:r w:rsidR="00F35798">
        <w:rPr>
          <w:rFonts w:cs="Arial"/>
          <w:bCs/>
        </w:rPr>
        <w:t xml:space="preserve"> </w:t>
      </w:r>
      <w:r w:rsidR="00C14AA6">
        <w:rPr>
          <w:rFonts w:cs="Arial"/>
          <w:bCs/>
        </w:rPr>
        <w:t>profitability</w:t>
      </w:r>
      <w:r w:rsidR="00F35798">
        <w:rPr>
          <w:rFonts w:cs="Arial"/>
          <w:bCs/>
        </w:rPr>
        <w:t xml:space="preserve"> </w:t>
      </w:r>
      <w:r w:rsidR="00C14AA6">
        <w:rPr>
          <w:rFonts w:cs="Arial"/>
          <w:bCs/>
        </w:rPr>
        <w:t>i.e.</w:t>
      </w:r>
      <w:r w:rsidR="00F35798">
        <w:rPr>
          <w:rFonts w:cs="Arial"/>
          <w:bCs/>
        </w:rPr>
        <w:t xml:space="preserve"> whether there is any </w:t>
      </w:r>
      <w:r w:rsidR="00C14AA6">
        <w:rPr>
          <w:rFonts w:cs="Arial"/>
          <w:bCs/>
        </w:rPr>
        <w:t>price</w:t>
      </w:r>
      <w:r w:rsidR="00F35798">
        <w:rPr>
          <w:rFonts w:cs="Arial"/>
          <w:bCs/>
        </w:rPr>
        <w:t xml:space="preserve"> gouging by </w:t>
      </w:r>
      <w:r w:rsidR="00C14AA6">
        <w:rPr>
          <w:rFonts w:cs="Arial"/>
          <w:bCs/>
        </w:rPr>
        <w:t>shipping</w:t>
      </w:r>
      <w:r w:rsidR="00F35798">
        <w:rPr>
          <w:rFonts w:cs="Arial"/>
          <w:bCs/>
        </w:rPr>
        <w:t xml:space="preserve"> lines.</w:t>
      </w:r>
      <w:r w:rsidR="00C7342D">
        <w:rPr>
          <w:rStyle w:val="FootnoteReference"/>
          <w:rFonts w:cs="Arial"/>
          <w:bCs/>
        </w:rPr>
        <w:footnoteReference w:id="9"/>
      </w:r>
      <w:r w:rsidR="00F35798">
        <w:rPr>
          <w:rFonts w:cs="Arial"/>
          <w:bCs/>
        </w:rPr>
        <w:t xml:space="preserve">  </w:t>
      </w:r>
      <w:r w:rsidR="00C8551F">
        <w:rPr>
          <w:rFonts w:cs="Arial"/>
          <w:bCs/>
        </w:rPr>
        <w:t xml:space="preserve">We note however that the Bass Strait route is probably the only domestic sea freight route in Australia where there is active shipping operator competition, and the fact that operators have submitted to the PC that they are intending to invest in new ships aimed at improving efficiency and service quality, under conditions that allow shippers to negotiate long term freight contracts, is a positive characteristic that is not available to shippers in many other routes around Australia that are reliant, for at least some of their shipping requirements, on the shipping spot market.  </w:t>
      </w:r>
      <w:r w:rsidR="002D5F7D">
        <w:rPr>
          <w:rFonts w:cs="Arial"/>
          <w:bCs/>
        </w:rPr>
        <w:t xml:space="preserve">In such circumstances, those </w:t>
      </w:r>
      <w:r w:rsidR="00577CEA">
        <w:rPr>
          <w:rFonts w:cs="Arial"/>
          <w:bCs/>
        </w:rPr>
        <w:t>shippers</w:t>
      </w:r>
      <w:r w:rsidR="002D5F7D">
        <w:rPr>
          <w:rFonts w:cs="Arial"/>
          <w:bCs/>
        </w:rPr>
        <w:t xml:space="preserve"> </w:t>
      </w:r>
      <w:r w:rsidR="00C14AA6">
        <w:rPr>
          <w:rFonts w:cs="Arial"/>
          <w:bCs/>
        </w:rPr>
        <w:t>have no control over price, quality or frequency of the international carriers’ service.</w:t>
      </w:r>
    </w:p>
    <w:p w:rsidR="00C7342D" w:rsidRDefault="00C7342D" w:rsidP="006E74F0">
      <w:pPr>
        <w:ind w:left="720" w:hanging="720"/>
        <w:rPr>
          <w:rFonts w:cs="Arial"/>
          <w:bCs/>
        </w:rPr>
      </w:pPr>
    </w:p>
    <w:p w:rsidR="004B2E8D" w:rsidRDefault="005A0FBF" w:rsidP="006E74F0">
      <w:pPr>
        <w:ind w:left="720" w:hanging="720"/>
        <w:rPr>
          <w:rFonts w:cs="Arial"/>
          <w:bCs/>
        </w:rPr>
      </w:pPr>
      <w:r>
        <w:rPr>
          <w:rFonts w:cs="Arial"/>
          <w:bCs/>
        </w:rPr>
        <w:t>3.15</w:t>
      </w:r>
      <w:r w:rsidR="0090231D">
        <w:rPr>
          <w:rFonts w:cs="Arial"/>
          <w:bCs/>
        </w:rPr>
        <w:tab/>
      </w:r>
      <w:r w:rsidR="004B2E8D">
        <w:rPr>
          <w:rFonts w:cs="Arial"/>
          <w:bCs/>
        </w:rPr>
        <w:t xml:space="preserve">We take issue with the </w:t>
      </w:r>
      <w:r w:rsidR="00C14AA6">
        <w:rPr>
          <w:rFonts w:cs="Arial"/>
          <w:bCs/>
        </w:rPr>
        <w:t>reliance</w:t>
      </w:r>
      <w:r w:rsidR="004B2E8D">
        <w:rPr>
          <w:rFonts w:cs="Arial"/>
          <w:bCs/>
        </w:rPr>
        <w:t xml:space="preserve"> by the PC on a central assertion made by the </w:t>
      </w:r>
      <w:r w:rsidR="00C14AA6">
        <w:rPr>
          <w:rFonts w:cs="Arial"/>
          <w:bCs/>
        </w:rPr>
        <w:t>Australian</w:t>
      </w:r>
      <w:r w:rsidR="004B2E8D">
        <w:rPr>
          <w:rFonts w:cs="Arial"/>
          <w:bCs/>
        </w:rPr>
        <w:t xml:space="preserve"> </w:t>
      </w:r>
      <w:r w:rsidR="00C14AA6">
        <w:rPr>
          <w:rFonts w:cs="Arial"/>
          <w:bCs/>
        </w:rPr>
        <w:t>Competition</w:t>
      </w:r>
      <w:r w:rsidR="004B2E8D">
        <w:rPr>
          <w:rFonts w:cs="Arial"/>
          <w:bCs/>
        </w:rPr>
        <w:t xml:space="preserve"> and Consumer Commission (ACCC) which claimed that “</w:t>
      </w:r>
      <w:r w:rsidR="004B2E8D" w:rsidRPr="004B2E8D">
        <w:rPr>
          <w:rFonts w:cs="Arial"/>
          <w:bCs/>
          <w:i/>
        </w:rPr>
        <w:t xml:space="preserve">the regulatory requirements to carry domestic cargo act as a general disincentive to </w:t>
      </w:r>
      <w:r w:rsidR="005F20E6" w:rsidRPr="005F20E6">
        <w:rPr>
          <w:rFonts w:cs="Arial"/>
          <w:bCs/>
        </w:rPr>
        <w:t>(international lines)</w:t>
      </w:r>
      <w:r w:rsidR="005F20E6">
        <w:rPr>
          <w:rFonts w:cs="Arial"/>
          <w:bCs/>
          <w:i/>
        </w:rPr>
        <w:t xml:space="preserve"> </w:t>
      </w:r>
      <w:r w:rsidR="004B2E8D" w:rsidRPr="004B2E8D">
        <w:rPr>
          <w:rFonts w:cs="Arial"/>
          <w:bCs/>
          <w:i/>
        </w:rPr>
        <w:t>entering the domestic shipping market</w:t>
      </w:r>
      <w:r w:rsidR="004B2E8D" w:rsidRPr="004B2E8D">
        <w:rPr>
          <w:rFonts w:cs="Arial"/>
          <w:bCs/>
        </w:rPr>
        <w:t>.</w:t>
      </w:r>
      <w:r w:rsidR="004B2E8D">
        <w:rPr>
          <w:rFonts w:cs="Arial"/>
          <w:bCs/>
        </w:rPr>
        <w:t>”</w:t>
      </w:r>
      <w:r w:rsidR="004B2E8D">
        <w:rPr>
          <w:rStyle w:val="FootnoteReference"/>
          <w:rFonts w:cs="Arial"/>
          <w:bCs/>
        </w:rPr>
        <w:footnoteReference w:id="10"/>
      </w:r>
      <w:r w:rsidR="004B2E8D">
        <w:rPr>
          <w:rFonts w:cs="Arial"/>
          <w:bCs/>
        </w:rPr>
        <w:t xml:space="preserve">  </w:t>
      </w:r>
    </w:p>
    <w:p w:rsidR="004B2E8D" w:rsidRDefault="004B2E8D" w:rsidP="006E74F0">
      <w:pPr>
        <w:ind w:left="720" w:hanging="720"/>
        <w:rPr>
          <w:rFonts w:cs="Arial"/>
          <w:bCs/>
        </w:rPr>
      </w:pPr>
    </w:p>
    <w:p w:rsidR="006A1084" w:rsidRDefault="005A0FBF" w:rsidP="006E74F0">
      <w:pPr>
        <w:ind w:left="720" w:hanging="720"/>
        <w:rPr>
          <w:rFonts w:cs="Arial"/>
          <w:bCs/>
        </w:rPr>
      </w:pPr>
      <w:r>
        <w:rPr>
          <w:rFonts w:cs="Arial"/>
          <w:bCs/>
        </w:rPr>
        <w:t>3.16</w:t>
      </w:r>
      <w:r w:rsidR="006E74F0">
        <w:rPr>
          <w:rFonts w:cs="Arial"/>
          <w:bCs/>
        </w:rPr>
        <w:tab/>
      </w:r>
      <w:r w:rsidR="004B2E8D">
        <w:rPr>
          <w:rFonts w:cs="Arial"/>
          <w:bCs/>
        </w:rPr>
        <w:t xml:space="preserve">If the ACCC </w:t>
      </w:r>
      <w:r w:rsidR="002D5F7D">
        <w:rPr>
          <w:rFonts w:cs="Arial"/>
          <w:bCs/>
        </w:rPr>
        <w:t xml:space="preserve">provided </w:t>
      </w:r>
      <w:r w:rsidR="004B2E8D">
        <w:rPr>
          <w:rFonts w:cs="Arial"/>
          <w:bCs/>
        </w:rPr>
        <w:t>evidence to the PC which showed that shippers have be</w:t>
      </w:r>
      <w:r w:rsidR="002D5F7D">
        <w:rPr>
          <w:rFonts w:cs="Arial"/>
          <w:bCs/>
        </w:rPr>
        <w:t>e</w:t>
      </w:r>
      <w:r w:rsidR="004B2E8D">
        <w:rPr>
          <w:rFonts w:cs="Arial"/>
          <w:bCs/>
        </w:rPr>
        <w:t xml:space="preserve">n </w:t>
      </w:r>
      <w:r w:rsidR="00C14AA6">
        <w:rPr>
          <w:rFonts w:cs="Arial"/>
          <w:bCs/>
        </w:rPr>
        <w:t>unable</w:t>
      </w:r>
      <w:r w:rsidR="004B2E8D">
        <w:rPr>
          <w:rFonts w:cs="Arial"/>
          <w:bCs/>
        </w:rPr>
        <w:t xml:space="preserve"> to </w:t>
      </w:r>
      <w:r w:rsidR="004A3844">
        <w:rPr>
          <w:rFonts w:cs="Arial"/>
          <w:bCs/>
        </w:rPr>
        <w:t xml:space="preserve">source or </w:t>
      </w:r>
      <w:r w:rsidR="004B2E8D">
        <w:rPr>
          <w:rFonts w:cs="Arial"/>
          <w:bCs/>
        </w:rPr>
        <w:t xml:space="preserve">secure a foreign flagged </w:t>
      </w:r>
      <w:r w:rsidR="00C14AA6">
        <w:rPr>
          <w:rFonts w:cs="Arial"/>
          <w:bCs/>
        </w:rPr>
        <w:t>international</w:t>
      </w:r>
      <w:r w:rsidR="005F20E6">
        <w:rPr>
          <w:rFonts w:cs="Arial"/>
          <w:bCs/>
        </w:rPr>
        <w:t xml:space="preserve"> </w:t>
      </w:r>
      <w:r w:rsidR="004B2E8D">
        <w:rPr>
          <w:rFonts w:cs="Arial"/>
          <w:bCs/>
        </w:rPr>
        <w:t xml:space="preserve">ship to carry </w:t>
      </w:r>
      <w:r w:rsidR="00C14AA6">
        <w:rPr>
          <w:rFonts w:cs="Arial"/>
          <w:bCs/>
        </w:rPr>
        <w:t>their</w:t>
      </w:r>
      <w:r w:rsidR="004B2E8D">
        <w:rPr>
          <w:rFonts w:cs="Arial"/>
          <w:bCs/>
        </w:rPr>
        <w:t xml:space="preserve"> cargo under the regulatory framework provide</w:t>
      </w:r>
      <w:r w:rsidR="006A1084">
        <w:rPr>
          <w:rFonts w:cs="Arial"/>
          <w:bCs/>
        </w:rPr>
        <w:t>d</w:t>
      </w:r>
      <w:r w:rsidR="004B2E8D">
        <w:rPr>
          <w:rFonts w:cs="Arial"/>
          <w:bCs/>
        </w:rPr>
        <w:t xml:space="preserve"> by the CT Act, then the assertion </w:t>
      </w:r>
      <w:r w:rsidR="00C14AA6">
        <w:rPr>
          <w:rFonts w:cs="Arial"/>
          <w:bCs/>
        </w:rPr>
        <w:t>may</w:t>
      </w:r>
      <w:r w:rsidR="004B2E8D">
        <w:rPr>
          <w:rFonts w:cs="Arial"/>
          <w:bCs/>
        </w:rPr>
        <w:t xml:space="preserve"> be </w:t>
      </w:r>
      <w:r w:rsidR="00C14AA6">
        <w:rPr>
          <w:rFonts w:cs="Arial"/>
          <w:bCs/>
        </w:rPr>
        <w:t>correct</w:t>
      </w:r>
      <w:r w:rsidR="004B2E8D">
        <w:rPr>
          <w:rFonts w:cs="Arial"/>
          <w:bCs/>
        </w:rPr>
        <w:t>.  However, there is unlikely to be such evidence, as shippers, th</w:t>
      </w:r>
      <w:r w:rsidR="005F20E6">
        <w:rPr>
          <w:rFonts w:cs="Arial"/>
          <w:bCs/>
        </w:rPr>
        <w:t>r</w:t>
      </w:r>
      <w:r w:rsidR="004B2E8D">
        <w:rPr>
          <w:rFonts w:cs="Arial"/>
          <w:bCs/>
        </w:rPr>
        <w:t xml:space="preserve">ough their agents, are by and large </w:t>
      </w:r>
      <w:r w:rsidR="00C14AA6">
        <w:rPr>
          <w:rFonts w:cs="Arial"/>
          <w:bCs/>
        </w:rPr>
        <w:t>able</w:t>
      </w:r>
      <w:r w:rsidR="004B2E8D">
        <w:rPr>
          <w:rFonts w:cs="Arial"/>
          <w:bCs/>
        </w:rPr>
        <w:t xml:space="preserve"> to secure a</w:t>
      </w:r>
      <w:r w:rsidR="005F20E6">
        <w:rPr>
          <w:rFonts w:cs="Arial"/>
          <w:bCs/>
        </w:rPr>
        <w:t xml:space="preserve">n </w:t>
      </w:r>
      <w:r w:rsidR="00C14AA6">
        <w:rPr>
          <w:rFonts w:cs="Arial"/>
          <w:bCs/>
        </w:rPr>
        <w:t>international</w:t>
      </w:r>
      <w:r w:rsidR="004B2E8D">
        <w:rPr>
          <w:rFonts w:cs="Arial"/>
          <w:bCs/>
        </w:rPr>
        <w:t xml:space="preserve"> ship operating under a </w:t>
      </w:r>
      <w:r w:rsidR="00C14AA6">
        <w:rPr>
          <w:rFonts w:cs="Arial"/>
          <w:bCs/>
        </w:rPr>
        <w:t>Temporary</w:t>
      </w:r>
      <w:r w:rsidR="004B2E8D">
        <w:rPr>
          <w:rFonts w:cs="Arial"/>
          <w:bCs/>
        </w:rPr>
        <w:t xml:space="preserve"> </w:t>
      </w:r>
      <w:r w:rsidR="00C14AA6">
        <w:rPr>
          <w:rFonts w:cs="Arial"/>
          <w:bCs/>
        </w:rPr>
        <w:t>License</w:t>
      </w:r>
      <w:r w:rsidR="004B2E8D">
        <w:rPr>
          <w:rFonts w:cs="Arial"/>
          <w:bCs/>
        </w:rPr>
        <w:t xml:space="preserve"> </w:t>
      </w:r>
      <w:r w:rsidR="005F20E6">
        <w:rPr>
          <w:rFonts w:cs="Arial"/>
          <w:bCs/>
        </w:rPr>
        <w:t xml:space="preserve">to carry </w:t>
      </w:r>
      <w:r w:rsidR="00C14AA6">
        <w:rPr>
          <w:rFonts w:cs="Arial"/>
          <w:bCs/>
        </w:rPr>
        <w:t>their</w:t>
      </w:r>
      <w:r w:rsidR="002D5F7D">
        <w:rPr>
          <w:rFonts w:cs="Arial"/>
          <w:bCs/>
        </w:rPr>
        <w:t xml:space="preserve"> cargo.  Regrettably this has </w:t>
      </w:r>
      <w:r w:rsidR="00577CEA">
        <w:rPr>
          <w:rFonts w:cs="Arial"/>
          <w:bCs/>
        </w:rPr>
        <w:t>occurred</w:t>
      </w:r>
      <w:r w:rsidR="002D5F7D">
        <w:rPr>
          <w:rFonts w:cs="Arial"/>
          <w:bCs/>
        </w:rPr>
        <w:t xml:space="preserve"> in part due to the gaming behaviour of certain TL holders who are exploiting the CT Act with impunity by creation of a market in TLs, despite the detailed knowledge of the Minister’s delegate in DIRD.</w:t>
      </w:r>
    </w:p>
    <w:p w:rsidR="006A1084" w:rsidRDefault="006A1084" w:rsidP="006E74F0">
      <w:pPr>
        <w:ind w:left="720" w:hanging="720"/>
        <w:rPr>
          <w:rFonts w:cs="Arial"/>
          <w:bCs/>
        </w:rPr>
      </w:pPr>
    </w:p>
    <w:p w:rsidR="006A1084" w:rsidRDefault="005A0FBF" w:rsidP="006E74F0">
      <w:pPr>
        <w:ind w:left="720" w:hanging="720"/>
        <w:rPr>
          <w:rFonts w:cs="Arial"/>
          <w:bCs/>
        </w:rPr>
      </w:pPr>
      <w:r>
        <w:rPr>
          <w:rFonts w:cs="Arial"/>
          <w:bCs/>
        </w:rPr>
        <w:t>3.17</w:t>
      </w:r>
      <w:r w:rsidR="001909E2">
        <w:rPr>
          <w:rFonts w:cs="Arial"/>
          <w:bCs/>
        </w:rPr>
        <w:tab/>
      </w:r>
      <w:r w:rsidR="00C14AA6">
        <w:rPr>
          <w:rFonts w:cs="Arial"/>
          <w:bCs/>
        </w:rPr>
        <w:t xml:space="preserve">If the timing of carriage of that cargo </w:t>
      </w:r>
      <w:r w:rsidR="001909E2">
        <w:rPr>
          <w:rFonts w:cs="Arial"/>
          <w:bCs/>
        </w:rPr>
        <w:t xml:space="preserve">by international lines </w:t>
      </w:r>
      <w:r w:rsidR="00C14AA6">
        <w:rPr>
          <w:rFonts w:cs="Arial"/>
          <w:bCs/>
        </w:rPr>
        <w:t xml:space="preserve">(including delivery date), or the quality of the service does not meet the </w:t>
      </w:r>
      <w:r w:rsidR="006A1084">
        <w:rPr>
          <w:rFonts w:cs="Arial"/>
          <w:bCs/>
        </w:rPr>
        <w:t xml:space="preserve">particular </w:t>
      </w:r>
      <w:r w:rsidR="00C14AA6">
        <w:rPr>
          <w:rFonts w:cs="Arial"/>
          <w:bCs/>
        </w:rPr>
        <w:t>shipper</w:t>
      </w:r>
      <w:r w:rsidR="006A1084">
        <w:rPr>
          <w:rFonts w:cs="Arial"/>
          <w:bCs/>
        </w:rPr>
        <w:t>’</w:t>
      </w:r>
      <w:r w:rsidR="00C14AA6">
        <w:rPr>
          <w:rFonts w:cs="Arial"/>
          <w:bCs/>
        </w:rPr>
        <w:t xml:space="preserve">s requirement, that simply reinforces the point we make about the unreliability of the spot market compared to the security and reliability of a long term freight contract using an Australian registered ship operating under a General License.  </w:t>
      </w:r>
    </w:p>
    <w:p w:rsidR="006A1084" w:rsidRDefault="006A1084" w:rsidP="006E74F0">
      <w:pPr>
        <w:ind w:left="720" w:hanging="720"/>
        <w:rPr>
          <w:rFonts w:cs="Arial"/>
          <w:bCs/>
        </w:rPr>
      </w:pPr>
    </w:p>
    <w:p w:rsidR="006E018C" w:rsidRDefault="005A0FBF" w:rsidP="006E018C">
      <w:pPr>
        <w:ind w:left="720" w:hanging="720"/>
        <w:rPr>
          <w:rFonts w:cs="Arial"/>
          <w:bCs/>
        </w:rPr>
      </w:pPr>
      <w:r>
        <w:rPr>
          <w:rFonts w:cs="Arial"/>
          <w:bCs/>
        </w:rPr>
        <w:t>3.18</w:t>
      </w:r>
      <w:r w:rsidR="001909E2">
        <w:rPr>
          <w:rFonts w:cs="Arial"/>
          <w:bCs/>
        </w:rPr>
        <w:tab/>
      </w:r>
      <w:r w:rsidR="00C14AA6">
        <w:rPr>
          <w:rFonts w:cs="Arial"/>
          <w:bCs/>
        </w:rPr>
        <w:t>There</w:t>
      </w:r>
      <w:r w:rsidR="00212234">
        <w:rPr>
          <w:rFonts w:cs="Arial"/>
          <w:bCs/>
        </w:rPr>
        <w:t xml:space="preserve"> is no evidence that enables the PC to assert that </w:t>
      </w:r>
      <w:r w:rsidR="00575221">
        <w:rPr>
          <w:rFonts w:cs="Arial"/>
          <w:bCs/>
        </w:rPr>
        <w:t>“</w:t>
      </w:r>
      <w:r w:rsidR="00575221" w:rsidRPr="00575221">
        <w:rPr>
          <w:rFonts w:cs="Arial"/>
          <w:bCs/>
          <w:i/>
        </w:rPr>
        <w:t>The cumulative effect of the recent changes has been a reduced interest from international vessels engaging in the Australian coastal trade and, consequently, reduced shipping options for users of domestic shipping services</w:t>
      </w:r>
      <w:r w:rsidR="00575221" w:rsidRPr="00575221">
        <w:rPr>
          <w:rFonts w:cs="Arial"/>
          <w:bCs/>
        </w:rPr>
        <w:t>.</w:t>
      </w:r>
      <w:r w:rsidR="00575221">
        <w:rPr>
          <w:rFonts w:cs="Arial"/>
          <w:bCs/>
        </w:rPr>
        <w:t>”</w:t>
      </w:r>
      <w:r w:rsidR="00575221">
        <w:rPr>
          <w:rStyle w:val="FootnoteReference"/>
          <w:rFonts w:cs="Arial"/>
          <w:bCs/>
        </w:rPr>
        <w:footnoteReference w:id="11"/>
      </w:r>
      <w:r w:rsidR="006E018C">
        <w:rPr>
          <w:rFonts w:cs="Arial"/>
          <w:bCs/>
        </w:rPr>
        <w:t xml:space="preserve">  </w:t>
      </w:r>
      <w:r w:rsidR="006E018C" w:rsidRPr="006E018C">
        <w:rPr>
          <w:rFonts w:cs="Arial"/>
          <w:bCs/>
        </w:rPr>
        <w:t xml:space="preserve">On the contrary, the evidence shows there has been a slight increase in the number of international ships carrying domestic cargos since the introduction of the CT Act. </w:t>
      </w:r>
      <w:r w:rsidR="006E018C">
        <w:rPr>
          <w:rFonts w:cs="Arial"/>
          <w:bCs/>
        </w:rPr>
        <w:t xml:space="preserve"> In a 12-month period in 2010/</w:t>
      </w:r>
      <w:r w:rsidR="006E018C" w:rsidRPr="006E018C">
        <w:rPr>
          <w:rFonts w:cs="Arial"/>
          <w:bCs/>
        </w:rPr>
        <w:t xml:space="preserve">11, 350 different international ships carried at least one domestic cargo under an SVP or a CVP. </w:t>
      </w:r>
      <w:r w:rsidR="006E018C">
        <w:rPr>
          <w:rFonts w:cs="Arial"/>
          <w:bCs/>
        </w:rPr>
        <w:t xml:space="preserve"> </w:t>
      </w:r>
      <w:r w:rsidR="006E018C" w:rsidRPr="006E018C">
        <w:rPr>
          <w:rFonts w:cs="Arial"/>
          <w:bCs/>
        </w:rPr>
        <w:t xml:space="preserve">In the same 12-month </w:t>
      </w:r>
      <w:r w:rsidR="006E018C">
        <w:rPr>
          <w:rFonts w:cs="Arial"/>
          <w:bCs/>
        </w:rPr>
        <w:t>period in 2012/</w:t>
      </w:r>
      <w:r w:rsidR="006E018C" w:rsidRPr="006E018C">
        <w:rPr>
          <w:rFonts w:cs="Arial"/>
          <w:bCs/>
        </w:rPr>
        <w:t xml:space="preserve">13, after the CT Act was </w:t>
      </w:r>
      <w:r w:rsidR="006E018C" w:rsidRPr="006E018C">
        <w:rPr>
          <w:rFonts w:cs="Arial"/>
          <w:bCs/>
        </w:rPr>
        <w:lastRenderedPageBreak/>
        <w:t>introduced, 354 international ships carried at least one domes</w:t>
      </w:r>
      <w:r w:rsidR="006E018C">
        <w:rPr>
          <w:rFonts w:cs="Arial"/>
          <w:bCs/>
        </w:rPr>
        <w:t>tic cargo on a TL</w:t>
      </w:r>
      <w:r w:rsidR="006E018C" w:rsidRPr="006E018C">
        <w:rPr>
          <w:rFonts w:cs="Arial"/>
          <w:bCs/>
        </w:rPr>
        <w:t>.</w:t>
      </w:r>
    </w:p>
    <w:p w:rsidR="006A1084" w:rsidRPr="006E018C" w:rsidRDefault="006A1084" w:rsidP="006E74F0">
      <w:pPr>
        <w:ind w:left="720" w:hanging="720"/>
        <w:rPr>
          <w:rFonts w:cs="Arial"/>
          <w:bCs/>
        </w:rPr>
      </w:pPr>
    </w:p>
    <w:p w:rsidR="005F20E6" w:rsidRDefault="006E018C" w:rsidP="006E74F0">
      <w:pPr>
        <w:ind w:left="720" w:hanging="720"/>
        <w:rPr>
          <w:rFonts w:cs="Arial"/>
          <w:bCs/>
        </w:rPr>
      </w:pPr>
      <w:r>
        <w:rPr>
          <w:rFonts w:cs="Arial"/>
          <w:bCs/>
        </w:rPr>
        <w:t>3.</w:t>
      </w:r>
      <w:r w:rsidR="005A0FBF">
        <w:rPr>
          <w:rFonts w:cs="Arial"/>
          <w:bCs/>
        </w:rPr>
        <w:t>19</w:t>
      </w:r>
      <w:r w:rsidR="006E74F0">
        <w:rPr>
          <w:rFonts w:cs="Arial"/>
          <w:bCs/>
        </w:rPr>
        <w:tab/>
      </w:r>
      <w:r w:rsidR="00C14AA6">
        <w:rPr>
          <w:rFonts w:cs="Arial"/>
          <w:bCs/>
        </w:rPr>
        <w:t xml:space="preserve">Furthermore, the fact that shippers have the flexibility to use a foreign flagged international ship under the regulatory framework provided in the CT Act demonstrates that the legislation does not impede competition but on the contrary, increases competition by providing the opportunity for Australian flagged ships operating under a GL to have a fair opportunity to contest for the cargo, where the Australian GL ship operator can offer long term stability in the freight price as well as other niche market service requirements e.g. roll-on roll-off capacity, or self discharging capacity </w:t>
      </w:r>
      <w:r w:rsidR="006A1084">
        <w:rPr>
          <w:rFonts w:cs="Arial"/>
          <w:bCs/>
        </w:rPr>
        <w:t>(</w:t>
      </w:r>
      <w:r w:rsidR="00C14AA6">
        <w:rPr>
          <w:rFonts w:cs="Arial"/>
          <w:bCs/>
        </w:rPr>
        <w:t>which alleviates the need for land side stevedoring</w:t>
      </w:r>
      <w:r w:rsidR="006A1084">
        <w:rPr>
          <w:rFonts w:cs="Arial"/>
          <w:bCs/>
        </w:rPr>
        <w:t>)</w:t>
      </w:r>
      <w:r w:rsidR="00C14AA6">
        <w:rPr>
          <w:rFonts w:cs="Arial"/>
          <w:bCs/>
        </w:rPr>
        <w:t xml:space="preserve">, all of which are features of competition.  </w:t>
      </w:r>
      <w:r w:rsidR="00B52300">
        <w:rPr>
          <w:rFonts w:cs="Arial"/>
          <w:bCs/>
        </w:rPr>
        <w:t>The PC has noted this where it reports that the “</w:t>
      </w:r>
      <w:r w:rsidR="00B52300" w:rsidRPr="00B52300">
        <w:rPr>
          <w:rFonts w:cs="Arial"/>
          <w:bCs/>
          <w:i/>
        </w:rPr>
        <w:t>ability to negotiate freight rates can be a significant factor in actual rates charged. Medium to large, frequent and fairly uniform shipments generally attract lower freight rates. Shippers of these goods can use their status as ‘anchor’ clients to negotiate more favourable rates with carriers</w:t>
      </w:r>
      <w:r w:rsidR="00B52300" w:rsidRPr="00B52300">
        <w:rPr>
          <w:rFonts w:cs="Arial"/>
          <w:bCs/>
        </w:rPr>
        <w:t>.</w:t>
      </w:r>
      <w:r w:rsidR="00B52300">
        <w:rPr>
          <w:rFonts w:cs="Arial"/>
          <w:bCs/>
        </w:rPr>
        <w:t>”</w:t>
      </w:r>
      <w:r w:rsidR="00B52300">
        <w:rPr>
          <w:rStyle w:val="FootnoteReference"/>
          <w:rFonts w:cs="Arial"/>
          <w:bCs/>
        </w:rPr>
        <w:footnoteReference w:id="12"/>
      </w:r>
      <w:r w:rsidR="00846973">
        <w:rPr>
          <w:rFonts w:cs="Arial"/>
          <w:bCs/>
        </w:rPr>
        <w:t xml:space="preserve">  </w:t>
      </w:r>
      <w:r w:rsidR="00C8551F">
        <w:rPr>
          <w:rFonts w:cs="Arial"/>
          <w:bCs/>
        </w:rPr>
        <w:t>It might be also noted that Australia’s largest coastal shipping operator uses both GLs and TLs to meet shipper needs, and in so doing is able to balance the shipper's desire for freight rate stability over time under long term contractual arrangements</w:t>
      </w:r>
      <w:r w:rsidR="004A3844">
        <w:rPr>
          <w:rFonts w:cs="Arial"/>
          <w:bCs/>
        </w:rPr>
        <w:t>,</w:t>
      </w:r>
      <w:r w:rsidR="00C8551F">
        <w:rPr>
          <w:rFonts w:cs="Arial"/>
          <w:bCs/>
        </w:rPr>
        <w:t xml:space="preserve"> with the need to meet peaks in freight moment through use of TLs</w:t>
      </w:r>
      <w:r w:rsidR="004A3844">
        <w:rPr>
          <w:rFonts w:cs="Arial"/>
          <w:bCs/>
        </w:rPr>
        <w:t>,</w:t>
      </w:r>
      <w:r w:rsidR="00C8551F">
        <w:rPr>
          <w:rFonts w:cs="Arial"/>
          <w:bCs/>
        </w:rPr>
        <w:t xml:space="preserve"> with the effect of offering an overall lower freight rate.  </w:t>
      </w:r>
      <w:r w:rsidR="00846973">
        <w:rPr>
          <w:rFonts w:cs="Arial"/>
          <w:bCs/>
        </w:rPr>
        <w:t xml:space="preserve">This is the essence of the flexibility provided in the </w:t>
      </w:r>
      <w:r w:rsidR="00C8551F">
        <w:rPr>
          <w:rFonts w:cs="Arial"/>
          <w:bCs/>
        </w:rPr>
        <w:t>current</w:t>
      </w:r>
      <w:r w:rsidR="00846973">
        <w:rPr>
          <w:rFonts w:cs="Arial"/>
          <w:bCs/>
        </w:rPr>
        <w:t xml:space="preserve"> </w:t>
      </w:r>
      <w:r w:rsidR="00C8551F">
        <w:rPr>
          <w:rFonts w:cs="Arial"/>
          <w:bCs/>
        </w:rPr>
        <w:t>regulatory</w:t>
      </w:r>
      <w:r w:rsidR="00846973">
        <w:rPr>
          <w:rFonts w:cs="Arial"/>
          <w:bCs/>
        </w:rPr>
        <w:t xml:space="preserve"> framework.</w:t>
      </w:r>
    </w:p>
    <w:p w:rsidR="00212234" w:rsidRDefault="00212234" w:rsidP="006E74F0">
      <w:pPr>
        <w:ind w:left="720" w:hanging="720"/>
        <w:rPr>
          <w:rFonts w:cs="Arial"/>
          <w:bCs/>
        </w:rPr>
      </w:pPr>
    </w:p>
    <w:p w:rsidR="00212234" w:rsidRDefault="005A0FBF" w:rsidP="006E74F0">
      <w:pPr>
        <w:ind w:left="720" w:hanging="720"/>
        <w:rPr>
          <w:rFonts w:cs="Arial"/>
          <w:bCs/>
        </w:rPr>
      </w:pPr>
      <w:r>
        <w:rPr>
          <w:rFonts w:cs="Arial"/>
          <w:bCs/>
        </w:rPr>
        <w:t>3.20</w:t>
      </w:r>
      <w:r w:rsidR="006E74F0">
        <w:rPr>
          <w:rFonts w:cs="Arial"/>
          <w:bCs/>
        </w:rPr>
        <w:tab/>
      </w:r>
      <w:r w:rsidR="00212234">
        <w:rPr>
          <w:rFonts w:cs="Arial"/>
          <w:bCs/>
        </w:rPr>
        <w:t xml:space="preserve">The PC </w:t>
      </w:r>
      <w:r w:rsidR="00C14AA6">
        <w:rPr>
          <w:rFonts w:cs="Arial"/>
          <w:bCs/>
        </w:rPr>
        <w:t>appears</w:t>
      </w:r>
      <w:r w:rsidR="00212234">
        <w:rPr>
          <w:rFonts w:cs="Arial"/>
          <w:bCs/>
        </w:rPr>
        <w:t xml:space="preserve"> to have assumed that a ship is a ship and that any international ship could </w:t>
      </w:r>
      <w:r w:rsidR="00C14AA6">
        <w:rPr>
          <w:rFonts w:cs="Arial"/>
          <w:bCs/>
        </w:rPr>
        <w:t>substitute</w:t>
      </w:r>
      <w:r w:rsidR="00212234">
        <w:rPr>
          <w:rFonts w:cs="Arial"/>
          <w:bCs/>
        </w:rPr>
        <w:t xml:space="preserve"> for the </w:t>
      </w:r>
      <w:r w:rsidR="00C14AA6">
        <w:rPr>
          <w:rFonts w:cs="Arial"/>
          <w:bCs/>
        </w:rPr>
        <w:t>types</w:t>
      </w:r>
      <w:r w:rsidR="00212234">
        <w:rPr>
          <w:rFonts w:cs="Arial"/>
          <w:bCs/>
        </w:rPr>
        <w:t xml:space="preserve"> of ships </w:t>
      </w:r>
      <w:r w:rsidR="00C14AA6">
        <w:rPr>
          <w:rFonts w:cs="Arial"/>
          <w:bCs/>
        </w:rPr>
        <w:t>operating</w:t>
      </w:r>
      <w:r w:rsidR="00212234">
        <w:rPr>
          <w:rFonts w:cs="Arial"/>
          <w:bCs/>
        </w:rPr>
        <w:t xml:space="preserve"> in the Bass Strait trade. </w:t>
      </w:r>
      <w:r w:rsidR="002D5F7D">
        <w:rPr>
          <w:rFonts w:cs="Arial"/>
          <w:bCs/>
        </w:rPr>
        <w:t xml:space="preserve"> </w:t>
      </w:r>
      <w:r w:rsidR="00212234">
        <w:rPr>
          <w:rFonts w:cs="Arial"/>
          <w:bCs/>
        </w:rPr>
        <w:t xml:space="preserve">The PC does not seem to have </w:t>
      </w:r>
      <w:r w:rsidR="00413876">
        <w:rPr>
          <w:rFonts w:cs="Arial"/>
          <w:bCs/>
        </w:rPr>
        <w:t xml:space="preserve">fully </w:t>
      </w:r>
      <w:r w:rsidR="00212234">
        <w:rPr>
          <w:rFonts w:cs="Arial"/>
          <w:bCs/>
        </w:rPr>
        <w:t xml:space="preserve">taken </w:t>
      </w:r>
      <w:r w:rsidR="00C14AA6">
        <w:rPr>
          <w:rFonts w:cs="Arial"/>
          <w:bCs/>
        </w:rPr>
        <w:t>into</w:t>
      </w:r>
      <w:r w:rsidR="00212234">
        <w:rPr>
          <w:rFonts w:cs="Arial"/>
          <w:bCs/>
        </w:rPr>
        <w:t xml:space="preserve"> consideration the </w:t>
      </w:r>
      <w:r w:rsidR="00C14AA6">
        <w:rPr>
          <w:rFonts w:cs="Arial"/>
          <w:bCs/>
        </w:rPr>
        <w:t>specialist</w:t>
      </w:r>
      <w:r w:rsidR="00212234">
        <w:rPr>
          <w:rFonts w:cs="Arial"/>
          <w:bCs/>
        </w:rPr>
        <w:t xml:space="preserve"> nature of ships in certain trades and </w:t>
      </w:r>
      <w:r w:rsidR="00C14AA6">
        <w:rPr>
          <w:rFonts w:cs="Arial"/>
          <w:bCs/>
        </w:rPr>
        <w:t>factored</w:t>
      </w:r>
      <w:r w:rsidR="00212234">
        <w:rPr>
          <w:rFonts w:cs="Arial"/>
          <w:bCs/>
        </w:rPr>
        <w:t xml:space="preserve"> in the </w:t>
      </w:r>
      <w:r w:rsidR="00C14AA6">
        <w:rPr>
          <w:rFonts w:cs="Arial"/>
          <w:bCs/>
        </w:rPr>
        <w:t>availability</w:t>
      </w:r>
      <w:r w:rsidR="00212234">
        <w:rPr>
          <w:rFonts w:cs="Arial"/>
          <w:bCs/>
        </w:rPr>
        <w:t xml:space="preserve"> or cost of ship substitution</w:t>
      </w:r>
      <w:r w:rsidR="00413876">
        <w:rPr>
          <w:rFonts w:cs="Arial"/>
          <w:bCs/>
        </w:rPr>
        <w:t xml:space="preserve">, though it referred to the ship suitability issue </w:t>
      </w:r>
      <w:r w:rsidR="00C14AA6">
        <w:rPr>
          <w:rFonts w:cs="Arial"/>
          <w:bCs/>
        </w:rPr>
        <w:t>when</w:t>
      </w:r>
      <w:r w:rsidR="00413876">
        <w:rPr>
          <w:rFonts w:cs="Arial"/>
          <w:bCs/>
        </w:rPr>
        <w:t xml:space="preserve"> referring to King </w:t>
      </w:r>
      <w:r w:rsidR="00C14AA6">
        <w:rPr>
          <w:rFonts w:cs="Arial"/>
          <w:bCs/>
        </w:rPr>
        <w:t>Island</w:t>
      </w:r>
      <w:r w:rsidR="00413876">
        <w:rPr>
          <w:rFonts w:cs="Arial"/>
          <w:bCs/>
        </w:rPr>
        <w:t xml:space="preserve"> </w:t>
      </w:r>
      <w:r w:rsidR="002D5F7D">
        <w:rPr>
          <w:rFonts w:cs="Arial"/>
          <w:bCs/>
        </w:rPr>
        <w:t xml:space="preserve">shipping </w:t>
      </w:r>
      <w:r w:rsidR="00413876">
        <w:rPr>
          <w:rFonts w:cs="Arial"/>
          <w:bCs/>
        </w:rPr>
        <w:t>needs.</w:t>
      </w:r>
      <w:r w:rsidR="00413876">
        <w:rPr>
          <w:rStyle w:val="FootnoteReference"/>
          <w:rFonts w:cs="Arial"/>
          <w:bCs/>
        </w:rPr>
        <w:footnoteReference w:id="13"/>
      </w:r>
      <w:r w:rsidR="00C97D03">
        <w:rPr>
          <w:rFonts w:cs="Arial"/>
          <w:bCs/>
        </w:rPr>
        <w:t xml:space="preserve"> Spot market ships are often not fit for purpose, which can have cargo </w:t>
      </w:r>
      <w:r w:rsidR="00B56666">
        <w:rPr>
          <w:rFonts w:cs="Arial"/>
          <w:bCs/>
        </w:rPr>
        <w:t>damage</w:t>
      </w:r>
      <w:r w:rsidR="00C97D03">
        <w:rPr>
          <w:rFonts w:cs="Arial"/>
          <w:bCs/>
        </w:rPr>
        <w:t xml:space="preserve"> and </w:t>
      </w:r>
      <w:r w:rsidR="00B56666">
        <w:rPr>
          <w:rFonts w:cs="Arial"/>
          <w:bCs/>
        </w:rPr>
        <w:t>safety</w:t>
      </w:r>
      <w:r w:rsidR="00C97D03">
        <w:rPr>
          <w:rFonts w:cs="Arial"/>
          <w:bCs/>
        </w:rPr>
        <w:t xml:space="preserve"> consequences.  The MUA gave evidence, </w:t>
      </w:r>
      <w:r w:rsidR="00B56666">
        <w:rPr>
          <w:rFonts w:cs="Arial"/>
          <w:bCs/>
        </w:rPr>
        <w:t>which</w:t>
      </w:r>
      <w:r w:rsidR="00C97D03">
        <w:rPr>
          <w:rFonts w:cs="Arial"/>
          <w:bCs/>
        </w:rPr>
        <w:t xml:space="preserve"> can be corroborated with </w:t>
      </w:r>
      <w:r w:rsidR="00B56666">
        <w:rPr>
          <w:rFonts w:cs="Arial"/>
          <w:bCs/>
        </w:rPr>
        <w:t>Coronial</w:t>
      </w:r>
      <w:r w:rsidR="00C97D03">
        <w:rPr>
          <w:rFonts w:cs="Arial"/>
          <w:bCs/>
        </w:rPr>
        <w:t xml:space="preserve"> inquiry reports, that failure to provide </w:t>
      </w:r>
      <w:r w:rsidR="00B56666">
        <w:rPr>
          <w:rFonts w:cs="Arial"/>
          <w:bCs/>
        </w:rPr>
        <w:t>fit</w:t>
      </w:r>
      <w:r w:rsidR="00C97D03">
        <w:rPr>
          <w:rFonts w:cs="Arial"/>
          <w:bCs/>
        </w:rPr>
        <w:t xml:space="preserve"> for </w:t>
      </w:r>
      <w:r w:rsidR="00B56666">
        <w:rPr>
          <w:rFonts w:cs="Arial"/>
          <w:bCs/>
        </w:rPr>
        <w:t>purpose</w:t>
      </w:r>
      <w:r w:rsidR="00C97D03">
        <w:rPr>
          <w:rFonts w:cs="Arial"/>
          <w:bCs/>
        </w:rPr>
        <w:t xml:space="preserve"> ships has resulted in up to 3 stevedoring worker </w:t>
      </w:r>
      <w:r w:rsidR="00B56666">
        <w:rPr>
          <w:rFonts w:cs="Arial"/>
          <w:bCs/>
        </w:rPr>
        <w:t>fatalities</w:t>
      </w:r>
      <w:r w:rsidR="00C97D03">
        <w:rPr>
          <w:rFonts w:cs="Arial"/>
          <w:bCs/>
        </w:rPr>
        <w:t xml:space="preserve"> on the </w:t>
      </w:r>
      <w:r w:rsidR="00B56666">
        <w:rPr>
          <w:rFonts w:cs="Arial"/>
          <w:bCs/>
        </w:rPr>
        <w:t>Australian</w:t>
      </w:r>
      <w:r w:rsidR="00C97D03">
        <w:rPr>
          <w:rFonts w:cs="Arial"/>
          <w:bCs/>
        </w:rPr>
        <w:t xml:space="preserve"> waterfront in </w:t>
      </w:r>
      <w:r w:rsidR="00B56666">
        <w:rPr>
          <w:rFonts w:cs="Arial"/>
          <w:bCs/>
        </w:rPr>
        <w:t>recent years</w:t>
      </w:r>
      <w:r w:rsidR="00C97D03">
        <w:rPr>
          <w:rFonts w:cs="Arial"/>
          <w:bCs/>
        </w:rPr>
        <w:t>.</w:t>
      </w:r>
    </w:p>
    <w:p w:rsidR="00212234" w:rsidRDefault="00212234" w:rsidP="006E74F0">
      <w:pPr>
        <w:ind w:left="720" w:hanging="720"/>
        <w:rPr>
          <w:rFonts w:cs="Arial"/>
          <w:bCs/>
        </w:rPr>
      </w:pPr>
    </w:p>
    <w:p w:rsidR="00381E00" w:rsidRDefault="005A0FBF" w:rsidP="006E74F0">
      <w:pPr>
        <w:ind w:left="720" w:hanging="720"/>
        <w:rPr>
          <w:rFonts w:cs="Arial"/>
          <w:bCs/>
        </w:rPr>
      </w:pPr>
      <w:r>
        <w:rPr>
          <w:rFonts w:cs="Arial"/>
          <w:bCs/>
        </w:rPr>
        <w:t>3.21</w:t>
      </w:r>
      <w:r w:rsidR="006E74F0">
        <w:rPr>
          <w:rFonts w:cs="Arial"/>
          <w:bCs/>
        </w:rPr>
        <w:tab/>
      </w:r>
      <w:r w:rsidR="00FE6E10">
        <w:rPr>
          <w:rFonts w:cs="Arial"/>
          <w:bCs/>
        </w:rPr>
        <w:t>We note that the PC has reported that if there is to be a review of coastal shipping regulation, any consideration of so called anti-</w:t>
      </w:r>
      <w:r w:rsidR="00C14AA6">
        <w:rPr>
          <w:rFonts w:cs="Arial"/>
          <w:bCs/>
        </w:rPr>
        <w:t>competitive</w:t>
      </w:r>
      <w:r w:rsidR="00FE6E10">
        <w:rPr>
          <w:rFonts w:cs="Arial"/>
          <w:bCs/>
        </w:rPr>
        <w:t xml:space="preserve"> </w:t>
      </w:r>
      <w:r w:rsidR="00C14AA6">
        <w:rPr>
          <w:rFonts w:cs="Arial"/>
          <w:bCs/>
        </w:rPr>
        <w:t>provisions</w:t>
      </w:r>
      <w:r w:rsidR="00FE6E10">
        <w:rPr>
          <w:rFonts w:cs="Arial"/>
          <w:bCs/>
        </w:rPr>
        <w:t xml:space="preserve"> </w:t>
      </w:r>
      <w:r w:rsidR="00C14AA6">
        <w:rPr>
          <w:rFonts w:cs="Arial"/>
          <w:bCs/>
        </w:rPr>
        <w:t>should</w:t>
      </w:r>
      <w:r w:rsidR="00FE6E10">
        <w:rPr>
          <w:rFonts w:cs="Arial"/>
          <w:bCs/>
        </w:rPr>
        <w:t xml:space="preserve"> only be considered in the context of the overall net benefit to the community as a whole.</w:t>
      </w:r>
      <w:r w:rsidR="00381E00">
        <w:rPr>
          <w:rStyle w:val="FootnoteReference"/>
          <w:rFonts w:cs="Arial"/>
          <w:bCs/>
        </w:rPr>
        <w:footnoteReference w:id="14"/>
      </w:r>
      <w:r w:rsidR="00FE6E10">
        <w:rPr>
          <w:rFonts w:cs="Arial"/>
          <w:bCs/>
        </w:rPr>
        <w:t xml:space="preserve">  </w:t>
      </w:r>
    </w:p>
    <w:p w:rsidR="00381E00" w:rsidRDefault="00381E00" w:rsidP="006E74F0">
      <w:pPr>
        <w:ind w:left="720" w:hanging="720"/>
        <w:rPr>
          <w:rFonts w:cs="Arial"/>
          <w:bCs/>
        </w:rPr>
      </w:pPr>
    </w:p>
    <w:p w:rsidR="00000C02" w:rsidRDefault="005A0FBF" w:rsidP="006E74F0">
      <w:pPr>
        <w:ind w:left="720" w:hanging="720"/>
        <w:rPr>
          <w:rFonts w:cs="Arial"/>
          <w:bCs/>
        </w:rPr>
      </w:pPr>
      <w:r>
        <w:rPr>
          <w:rFonts w:cs="Arial"/>
          <w:bCs/>
        </w:rPr>
        <w:t>3.22</w:t>
      </w:r>
      <w:r w:rsidR="006E74F0">
        <w:rPr>
          <w:rFonts w:cs="Arial"/>
          <w:bCs/>
        </w:rPr>
        <w:tab/>
      </w:r>
      <w:r w:rsidR="00C97D03">
        <w:rPr>
          <w:rFonts w:cs="Arial"/>
          <w:bCs/>
        </w:rPr>
        <w:t xml:space="preserve">We are </w:t>
      </w:r>
      <w:r w:rsidR="00B56666">
        <w:rPr>
          <w:rFonts w:cs="Arial"/>
          <w:bCs/>
        </w:rPr>
        <w:t>concerned</w:t>
      </w:r>
      <w:r w:rsidR="00C97D03">
        <w:rPr>
          <w:rFonts w:cs="Arial"/>
          <w:bCs/>
        </w:rPr>
        <w:t xml:space="preserve"> that the PC has reached a conclusion about costal shipping in the absence of that level of rigour.  </w:t>
      </w:r>
      <w:r w:rsidR="00B56666">
        <w:rPr>
          <w:rFonts w:cs="Arial"/>
          <w:bCs/>
        </w:rPr>
        <w:t xml:space="preserve">Nevertheless, the MUA is confident that if a genuinely rigorous analysis were undertaken as part of a review of coastal shipping, the findings would confirm the desirability of maintaining a role for an Australian shipping fleet and domestic sea freight transport capability.  </w:t>
      </w:r>
      <w:r w:rsidR="002D5F7D">
        <w:rPr>
          <w:rFonts w:cs="Arial"/>
          <w:bCs/>
        </w:rPr>
        <w:t xml:space="preserve">The reasons are:  </w:t>
      </w:r>
    </w:p>
    <w:p w:rsidR="00000C02" w:rsidRDefault="00000C02" w:rsidP="006E74F0">
      <w:pPr>
        <w:ind w:left="720" w:hanging="720"/>
        <w:rPr>
          <w:rFonts w:cs="Arial"/>
          <w:bCs/>
        </w:rPr>
      </w:pPr>
    </w:p>
    <w:p w:rsidR="006E018C" w:rsidRDefault="00000C02" w:rsidP="006E018C">
      <w:pPr>
        <w:pStyle w:val="ListParagraph"/>
        <w:numPr>
          <w:ilvl w:val="0"/>
          <w:numId w:val="17"/>
        </w:numPr>
        <w:ind w:left="1080"/>
      </w:pPr>
      <w:r w:rsidRPr="001026FE">
        <w:lastRenderedPageBreak/>
        <w:t>T</w:t>
      </w:r>
      <w:r w:rsidR="00C14AA6" w:rsidRPr="001026FE">
        <w:t>o provide choice to shippers and del</w:t>
      </w:r>
      <w:r w:rsidR="006E018C">
        <w:t>i</w:t>
      </w:r>
      <w:r w:rsidRPr="001026FE">
        <w:t>ver the right ship for the task.</w:t>
      </w:r>
      <w:r w:rsidR="00C97D03">
        <w:t xml:space="preserve">  </w:t>
      </w:r>
      <w:r w:rsidR="00B56666">
        <w:t xml:space="preserve">We submit that it an illusion for those advocates of deregulation of shipping that Australian ships and international ships would compete in the same sea freight routes.  </w:t>
      </w:r>
      <w:r w:rsidR="00C97D03">
        <w:t xml:space="preserve">This happens nowhere in </w:t>
      </w:r>
      <w:r w:rsidR="00B56666">
        <w:t>Australian</w:t>
      </w:r>
      <w:r w:rsidR="00C97D03">
        <w:t xml:space="preserve"> now and will not happen in the </w:t>
      </w:r>
      <w:r w:rsidR="00B56666">
        <w:t>Tasmanian</w:t>
      </w:r>
      <w:r w:rsidR="00C97D03">
        <w:t xml:space="preserve"> trade were there </w:t>
      </w:r>
      <w:r w:rsidR="00B56666">
        <w:t>deregulation</w:t>
      </w:r>
      <w:r w:rsidR="00C97D03">
        <w:t xml:space="preserve"> as proposed by the PC.  Shippers </w:t>
      </w:r>
      <w:r w:rsidR="00B56666">
        <w:t>will</w:t>
      </w:r>
      <w:r w:rsidR="00C97D03">
        <w:t xml:space="preserve"> have less choice under a deregulated market.</w:t>
      </w:r>
    </w:p>
    <w:p w:rsidR="006E018C" w:rsidRDefault="006E018C" w:rsidP="006E018C"/>
    <w:p w:rsidR="006E018C" w:rsidRPr="001026FE" w:rsidRDefault="006E018C" w:rsidP="006E018C">
      <w:pPr>
        <w:pStyle w:val="ListParagraph"/>
        <w:numPr>
          <w:ilvl w:val="0"/>
          <w:numId w:val="17"/>
        </w:numPr>
        <w:ind w:left="1080"/>
      </w:pPr>
      <w:r w:rsidRPr="006E018C">
        <w:t>To provide an alternative to the spot market and deliver competition, not just on today’s freight rate, but on fre</w:t>
      </w:r>
      <w:r>
        <w:t>ight rates over time. This will deliver</w:t>
      </w:r>
      <w:r w:rsidRPr="006E018C">
        <w:t xml:space="preserve"> business certainty, as well as </w:t>
      </w:r>
      <w:r>
        <w:t xml:space="preserve">deliver </w:t>
      </w:r>
      <w:r w:rsidRPr="006E018C">
        <w:t>on all the other attributes of competition, such as just-in-time reliability, safety, compliance with domestic law and other risk minimisation factors.</w:t>
      </w:r>
    </w:p>
    <w:p w:rsidR="00000C02" w:rsidRPr="001026FE" w:rsidRDefault="00000C02" w:rsidP="001026FE">
      <w:pPr>
        <w:ind w:left="360"/>
      </w:pPr>
    </w:p>
    <w:p w:rsidR="00000C02" w:rsidRPr="001026FE" w:rsidRDefault="00000C02" w:rsidP="001026FE">
      <w:pPr>
        <w:pStyle w:val="ListParagraph"/>
        <w:numPr>
          <w:ilvl w:val="0"/>
          <w:numId w:val="17"/>
        </w:numPr>
        <w:ind w:left="1080"/>
      </w:pPr>
      <w:r w:rsidRPr="001026FE">
        <w:t>T</w:t>
      </w:r>
      <w:r w:rsidR="00C14AA6" w:rsidRPr="001026FE">
        <w:t>o underpin the maintenance of a dom</w:t>
      </w:r>
      <w:r w:rsidRPr="001026FE">
        <w:t>estic maritime skills base.</w:t>
      </w:r>
    </w:p>
    <w:p w:rsidR="00000C02" w:rsidRPr="001026FE" w:rsidRDefault="00000C02" w:rsidP="001026FE">
      <w:pPr>
        <w:ind w:left="360"/>
      </w:pPr>
    </w:p>
    <w:p w:rsidR="00000C02" w:rsidRPr="001026FE" w:rsidRDefault="00000C02" w:rsidP="001026FE">
      <w:pPr>
        <w:pStyle w:val="ListParagraph"/>
        <w:numPr>
          <w:ilvl w:val="0"/>
          <w:numId w:val="17"/>
        </w:numPr>
        <w:ind w:left="1080"/>
      </w:pPr>
      <w:r w:rsidRPr="001026FE">
        <w:t>T</w:t>
      </w:r>
      <w:r w:rsidR="00C14AA6" w:rsidRPr="001026FE">
        <w:t>he maintenance of a merchant fleet to support the national Defence</w:t>
      </w:r>
      <w:r w:rsidRPr="001026FE">
        <w:t xml:space="preserve"> and national security effort.</w:t>
      </w:r>
    </w:p>
    <w:p w:rsidR="00000C02" w:rsidRDefault="00000C02" w:rsidP="006E74F0">
      <w:pPr>
        <w:ind w:left="720" w:hanging="720"/>
        <w:rPr>
          <w:rFonts w:cs="Arial"/>
          <w:bCs/>
        </w:rPr>
      </w:pPr>
    </w:p>
    <w:p w:rsidR="00212234" w:rsidRDefault="005A0FBF" w:rsidP="006E74F0">
      <w:pPr>
        <w:ind w:left="720" w:hanging="720"/>
        <w:rPr>
          <w:rFonts w:cs="Arial"/>
          <w:bCs/>
        </w:rPr>
      </w:pPr>
      <w:r>
        <w:rPr>
          <w:rFonts w:cs="Arial"/>
          <w:bCs/>
        </w:rPr>
        <w:t>3.23</w:t>
      </w:r>
      <w:r w:rsidR="00000C02">
        <w:rPr>
          <w:rFonts w:cs="Arial"/>
          <w:bCs/>
        </w:rPr>
        <w:tab/>
        <w:t xml:space="preserve">All these features would combine to create </w:t>
      </w:r>
      <w:r w:rsidR="00C14AA6">
        <w:rPr>
          <w:rFonts w:cs="Arial"/>
          <w:bCs/>
        </w:rPr>
        <w:t>a net benefit to the Australian community.</w:t>
      </w:r>
    </w:p>
    <w:p w:rsidR="00381E00" w:rsidRDefault="00381E00" w:rsidP="006E74F0">
      <w:pPr>
        <w:ind w:left="720" w:hanging="720"/>
        <w:rPr>
          <w:rFonts w:cs="Arial"/>
          <w:bCs/>
        </w:rPr>
      </w:pPr>
    </w:p>
    <w:p w:rsidR="00381E00" w:rsidRPr="006E74F0" w:rsidRDefault="00381E00" w:rsidP="006E74F0">
      <w:pPr>
        <w:pStyle w:val="ListParagraph"/>
        <w:numPr>
          <w:ilvl w:val="0"/>
          <w:numId w:val="3"/>
        </w:numPr>
        <w:ind w:hanging="720"/>
        <w:rPr>
          <w:rFonts w:cs="Arial"/>
          <w:b/>
          <w:bCs/>
          <w:color w:val="0070C0"/>
        </w:rPr>
      </w:pPr>
      <w:r w:rsidRPr="006E74F0">
        <w:rPr>
          <w:rFonts w:cs="Arial"/>
          <w:b/>
          <w:bCs/>
          <w:color w:val="0070C0"/>
        </w:rPr>
        <w:t>Chapter 2 – Tasmania’s freight in context</w:t>
      </w:r>
    </w:p>
    <w:p w:rsidR="00381E00" w:rsidRDefault="00381E00" w:rsidP="006E74F0">
      <w:pPr>
        <w:ind w:left="720" w:hanging="720"/>
        <w:rPr>
          <w:rFonts w:cs="Arial"/>
          <w:bCs/>
        </w:rPr>
      </w:pPr>
    </w:p>
    <w:p w:rsidR="00381E00" w:rsidRDefault="006E74F0" w:rsidP="006E74F0">
      <w:pPr>
        <w:ind w:left="720" w:hanging="720"/>
        <w:rPr>
          <w:rFonts w:cs="Arial"/>
          <w:bCs/>
        </w:rPr>
      </w:pPr>
      <w:r>
        <w:rPr>
          <w:rFonts w:cs="Arial"/>
          <w:bCs/>
        </w:rPr>
        <w:t>4.1</w:t>
      </w:r>
      <w:r>
        <w:rPr>
          <w:rFonts w:cs="Arial"/>
          <w:bCs/>
        </w:rPr>
        <w:tab/>
      </w:r>
      <w:r w:rsidR="00D16252">
        <w:rPr>
          <w:rFonts w:cs="Arial"/>
          <w:bCs/>
        </w:rPr>
        <w:t xml:space="preserve">We note that in the PC’s analysis of estimating the sea </w:t>
      </w:r>
      <w:r w:rsidR="00C14AA6">
        <w:rPr>
          <w:rFonts w:cs="Arial"/>
          <w:bCs/>
        </w:rPr>
        <w:t>freight</w:t>
      </w:r>
      <w:r w:rsidR="00D16252">
        <w:rPr>
          <w:rFonts w:cs="Arial"/>
          <w:bCs/>
        </w:rPr>
        <w:t xml:space="preserve"> cost disadvantage, </w:t>
      </w:r>
      <w:r w:rsidR="001026FE">
        <w:rPr>
          <w:rFonts w:cs="Arial"/>
          <w:bCs/>
        </w:rPr>
        <w:t xml:space="preserve">it reports that </w:t>
      </w:r>
      <w:r w:rsidR="00D16252">
        <w:rPr>
          <w:rFonts w:cs="Arial"/>
          <w:bCs/>
        </w:rPr>
        <w:t xml:space="preserve">the wharf to wharf sea freight disadvantage (dry freight) has reduced from $671 in 1996/97 to $448 in 2011/12, and for refrigerated freight, from $671 to $415 over the same period.  This </w:t>
      </w:r>
      <w:r w:rsidR="00C14AA6">
        <w:rPr>
          <w:rFonts w:cs="Arial"/>
          <w:bCs/>
        </w:rPr>
        <w:t>indicates</w:t>
      </w:r>
      <w:r w:rsidR="00D16252">
        <w:rPr>
          <w:rFonts w:cs="Arial"/>
          <w:bCs/>
        </w:rPr>
        <w:t xml:space="preserve"> that shipping </w:t>
      </w:r>
      <w:r w:rsidR="00C14AA6">
        <w:rPr>
          <w:rFonts w:cs="Arial"/>
          <w:bCs/>
        </w:rPr>
        <w:t>competiveness</w:t>
      </w:r>
      <w:r w:rsidR="00D16252">
        <w:rPr>
          <w:rFonts w:cs="Arial"/>
          <w:bCs/>
        </w:rPr>
        <w:t xml:space="preserve"> is rising </w:t>
      </w:r>
      <w:r w:rsidR="00C14AA6">
        <w:rPr>
          <w:rFonts w:cs="Arial"/>
          <w:bCs/>
        </w:rPr>
        <w:t>dramatically</w:t>
      </w:r>
      <w:r w:rsidR="00D16252">
        <w:rPr>
          <w:rFonts w:cs="Arial"/>
          <w:bCs/>
        </w:rPr>
        <w:t xml:space="preserve">, </w:t>
      </w:r>
      <w:r w:rsidR="00FE104D">
        <w:rPr>
          <w:rFonts w:cs="Arial"/>
          <w:bCs/>
        </w:rPr>
        <w:t xml:space="preserve">(a 33% reduction in the cost disadvantage for dry freight and 38% reduction for </w:t>
      </w:r>
      <w:r w:rsidR="00C14AA6">
        <w:rPr>
          <w:rFonts w:cs="Arial"/>
          <w:bCs/>
        </w:rPr>
        <w:t>refrigerated</w:t>
      </w:r>
      <w:r w:rsidR="00FE104D">
        <w:rPr>
          <w:rFonts w:cs="Arial"/>
          <w:bCs/>
        </w:rPr>
        <w:t xml:space="preserve"> freight</w:t>
      </w:r>
      <w:r w:rsidR="001026FE">
        <w:rPr>
          <w:rFonts w:cs="Arial"/>
          <w:bCs/>
        </w:rPr>
        <w:t>,</w:t>
      </w:r>
      <w:r w:rsidR="00FE104D">
        <w:rPr>
          <w:rFonts w:cs="Arial"/>
          <w:bCs/>
        </w:rPr>
        <w:t xml:space="preserve"> over 15 years)</w:t>
      </w:r>
      <w:r w:rsidR="001026FE">
        <w:rPr>
          <w:rFonts w:cs="Arial"/>
          <w:bCs/>
        </w:rPr>
        <w:t>,</w:t>
      </w:r>
      <w:r w:rsidR="00FE104D">
        <w:rPr>
          <w:rFonts w:cs="Arial"/>
          <w:bCs/>
        </w:rPr>
        <w:t xml:space="preserve"> </w:t>
      </w:r>
      <w:r w:rsidR="00D16252">
        <w:rPr>
          <w:rFonts w:cs="Arial"/>
          <w:bCs/>
        </w:rPr>
        <w:t xml:space="preserve">with most of that improved competiveness occurring </w:t>
      </w:r>
      <w:r w:rsidR="00C14AA6">
        <w:rPr>
          <w:rFonts w:cs="Arial"/>
          <w:bCs/>
        </w:rPr>
        <w:t>since</w:t>
      </w:r>
      <w:r w:rsidR="00D16252">
        <w:rPr>
          <w:rFonts w:cs="Arial"/>
          <w:bCs/>
        </w:rPr>
        <w:t xml:space="preserve"> 2006/07</w:t>
      </w:r>
      <w:r w:rsidR="001026FE">
        <w:rPr>
          <w:rFonts w:cs="Arial"/>
          <w:bCs/>
        </w:rPr>
        <w:t xml:space="preserve"> </w:t>
      </w:r>
      <w:r w:rsidR="00577CEA">
        <w:rPr>
          <w:rFonts w:cs="Arial"/>
          <w:bCs/>
        </w:rPr>
        <w:t>i.e.</w:t>
      </w:r>
      <w:r w:rsidR="001026FE">
        <w:rPr>
          <w:rFonts w:cs="Arial"/>
          <w:bCs/>
        </w:rPr>
        <w:t xml:space="preserve"> over the last 5 years.</w:t>
      </w:r>
      <w:r w:rsidR="00846973">
        <w:rPr>
          <w:rFonts w:cs="Arial"/>
          <w:bCs/>
        </w:rPr>
        <w:t xml:space="preserve">  The bulk of that freight cost </w:t>
      </w:r>
      <w:r w:rsidR="00C8551F">
        <w:rPr>
          <w:rFonts w:cs="Arial"/>
          <w:bCs/>
        </w:rPr>
        <w:t>differential</w:t>
      </w:r>
      <w:r w:rsidR="00846973">
        <w:rPr>
          <w:rFonts w:cs="Arial"/>
          <w:bCs/>
        </w:rPr>
        <w:t xml:space="preserve"> </w:t>
      </w:r>
      <w:r w:rsidR="00C8551F">
        <w:rPr>
          <w:rFonts w:cs="Arial"/>
          <w:bCs/>
        </w:rPr>
        <w:t>could</w:t>
      </w:r>
      <w:r w:rsidR="00846973">
        <w:rPr>
          <w:rFonts w:cs="Arial"/>
          <w:bCs/>
        </w:rPr>
        <w:t xml:space="preserve"> be eliminated </w:t>
      </w:r>
      <w:r w:rsidR="00C8551F">
        <w:rPr>
          <w:rFonts w:cs="Arial"/>
          <w:bCs/>
        </w:rPr>
        <w:t>through</w:t>
      </w:r>
      <w:r w:rsidR="00846973">
        <w:rPr>
          <w:rFonts w:cs="Arial"/>
          <w:bCs/>
        </w:rPr>
        <w:t xml:space="preserve"> a more targeted port charging </w:t>
      </w:r>
      <w:r w:rsidR="00C8551F">
        <w:rPr>
          <w:rFonts w:cs="Arial"/>
          <w:bCs/>
        </w:rPr>
        <w:t>regime</w:t>
      </w:r>
      <w:r w:rsidR="00846973">
        <w:rPr>
          <w:rFonts w:cs="Arial"/>
          <w:bCs/>
        </w:rPr>
        <w:t xml:space="preserve"> by State </w:t>
      </w:r>
      <w:r w:rsidR="00C8551F">
        <w:rPr>
          <w:rFonts w:cs="Arial"/>
          <w:bCs/>
        </w:rPr>
        <w:t>Governments</w:t>
      </w:r>
      <w:r w:rsidR="00846973">
        <w:rPr>
          <w:rFonts w:cs="Arial"/>
          <w:bCs/>
        </w:rPr>
        <w:t>.</w:t>
      </w:r>
    </w:p>
    <w:p w:rsidR="00C7342D" w:rsidRDefault="00C7342D" w:rsidP="006E74F0">
      <w:pPr>
        <w:ind w:left="720" w:hanging="720"/>
        <w:rPr>
          <w:rFonts w:cs="Arial"/>
          <w:bCs/>
        </w:rPr>
      </w:pPr>
    </w:p>
    <w:p w:rsidR="00C97D03" w:rsidRDefault="008B3CDB" w:rsidP="006E74F0">
      <w:pPr>
        <w:ind w:left="720" w:hanging="720"/>
        <w:rPr>
          <w:rFonts w:cs="Arial"/>
          <w:bCs/>
        </w:rPr>
      </w:pPr>
      <w:r>
        <w:rPr>
          <w:rFonts w:cs="Arial"/>
          <w:bCs/>
        </w:rPr>
        <w:t>4.2</w:t>
      </w:r>
      <w:r>
        <w:rPr>
          <w:rFonts w:cs="Arial"/>
          <w:bCs/>
        </w:rPr>
        <w:tab/>
      </w:r>
      <w:r w:rsidR="00C97D03">
        <w:rPr>
          <w:rFonts w:cs="Arial"/>
          <w:bCs/>
        </w:rPr>
        <w:t xml:space="preserve">We note that Table 4.2 on P11 of the Draft report shows that crewing, wages, administration and on-costs </w:t>
      </w:r>
      <w:r w:rsidR="00B56666">
        <w:rPr>
          <w:rFonts w:cs="Arial"/>
          <w:bCs/>
        </w:rPr>
        <w:t>contributes</w:t>
      </w:r>
      <w:r w:rsidR="00C97D03">
        <w:rPr>
          <w:rFonts w:cs="Arial"/>
          <w:bCs/>
        </w:rPr>
        <w:t xml:space="preserve"> just 15% of </w:t>
      </w:r>
      <w:r>
        <w:rPr>
          <w:rFonts w:cs="Arial"/>
          <w:bCs/>
        </w:rPr>
        <w:t xml:space="preserve">a </w:t>
      </w:r>
      <w:r w:rsidR="00B56666">
        <w:rPr>
          <w:rFonts w:cs="Arial"/>
          <w:bCs/>
        </w:rPr>
        <w:t>Tasmanian</w:t>
      </w:r>
      <w:r>
        <w:rPr>
          <w:rFonts w:cs="Arial"/>
          <w:bCs/>
        </w:rPr>
        <w:t xml:space="preserve"> sea </w:t>
      </w:r>
      <w:r w:rsidR="00B56666">
        <w:rPr>
          <w:rFonts w:cs="Arial"/>
          <w:bCs/>
        </w:rPr>
        <w:t>voyage</w:t>
      </w:r>
      <w:r>
        <w:rPr>
          <w:rFonts w:cs="Arial"/>
          <w:bCs/>
        </w:rPr>
        <w:t xml:space="preserve"> cost, whereas capital costs (35-45% - and subject to exchange rate movements and monetary </w:t>
      </w:r>
      <w:r w:rsidR="00B56666">
        <w:rPr>
          <w:rFonts w:cs="Arial"/>
          <w:bCs/>
        </w:rPr>
        <w:t>policy</w:t>
      </w:r>
      <w:r>
        <w:rPr>
          <w:rFonts w:cs="Arial"/>
          <w:bCs/>
        </w:rPr>
        <w:t xml:space="preserve">) and fuel costs (30%) </w:t>
      </w:r>
      <w:r w:rsidR="00B56666">
        <w:rPr>
          <w:rFonts w:cs="Arial"/>
          <w:bCs/>
        </w:rPr>
        <w:t>contribute</w:t>
      </w:r>
      <w:r>
        <w:rPr>
          <w:rFonts w:cs="Arial"/>
          <w:bCs/>
        </w:rPr>
        <w:t xml:space="preserve"> some 65-75% of </w:t>
      </w:r>
      <w:r w:rsidRPr="008B3CDB">
        <w:rPr>
          <w:rFonts w:cs="Arial"/>
          <w:bCs/>
        </w:rPr>
        <w:t xml:space="preserve">sea </w:t>
      </w:r>
      <w:r w:rsidR="00B56666" w:rsidRPr="008B3CDB">
        <w:rPr>
          <w:rFonts w:cs="Arial"/>
          <w:bCs/>
        </w:rPr>
        <w:t>voyage</w:t>
      </w:r>
      <w:r w:rsidRPr="008B3CDB">
        <w:rPr>
          <w:rFonts w:cs="Arial"/>
          <w:bCs/>
        </w:rPr>
        <w:t xml:space="preserve"> cost</w:t>
      </w:r>
      <w:r>
        <w:rPr>
          <w:rFonts w:cs="Arial"/>
          <w:bCs/>
        </w:rPr>
        <w:t>s, yet the entire focus of the PC solution is on deregulation of the coastal shipping labour market.</w:t>
      </w:r>
    </w:p>
    <w:p w:rsidR="008B3CDB" w:rsidRDefault="008B3CDB" w:rsidP="006E74F0">
      <w:pPr>
        <w:ind w:left="720" w:hanging="720"/>
        <w:rPr>
          <w:rFonts w:cs="Arial"/>
          <w:bCs/>
        </w:rPr>
      </w:pPr>
    </w:p>
    <w:p w:rsidR="00C7342D" w:rsidRDefault="008B3CDB" w:rsidP="006E74F0">
      <w:pPr>
        <w:ind w:left="720" w:hanging="720"/>
        <w:rPr>
          <w:rFonts w:cs="Arial"/>
          <w:bCs/>
        </w:rPr>
      </w:pPr>
      <w:r>
        <w:rPr>
          <w:rFonts w:cs="Arial"/>
          <w:bCs/>
        </w:rPr>
        <w:t>4.3</w:t>
      </w:r>
      <w:r w:rsidR="006E74F0">
        <w:rPr>
          <w:rFonts w:cs="Arial"/>
          <w:bCs/>
        </w:rPr>
        <w:tab/>
      </w:r>
      <w:r w:rsidR="00FE104D">
        <w:rPr>
          <w:rFonts w:cs="Arial"/>
          <w:bCs/>
        </w:rPr>
        <w:t xml:space="preserve">We note also that the Tasmanian </w:t>
      </w:r>
      <w:r w:rsidR="00C14AA6">
        <w:rPr>
          <w:rFonts w:cs="Arial"/>
          <w:bCs/>
        </w:rPr>
        <w:t>Government</w:t>
      </w:r>
      <w:r w:rsidR="00FE104D">
        <w:rPr>
          <w:rFonts w:cs="Arial"/>
          <w:bCs/>
        </w:rPr>
        <w:t xml:space="preserve"> submission to the PC, which draws from the Aurecon study </w:t>
      </w:r>
      <w:r w:rsidR="00C14AA6">
        <w:rPr>
          <w:rFonts w:cs="Arial"/>
          <w:bCs/>
        </w:rPr>
        <w:t>prepared</w:t>
      </w:r>
      <w:r w:rsidR="00FE104D">
        <w:rPr>
          <w:rFonts w:cs="Arial"/>
          <w:bCs/>
        </w:rPr>
        <w:t xml:space="preserve"> </w:t>
      </w:r>
      <w:r w:rsidR="00C14AA6">
        <w:rPr>
          <w:rFonts w:cs="Arial"/>
          <w:bCs/>
        </w:rPr>
        <w:t>for</w:t>
      </w:r>
      <w:r w:rsidR="00FE104D">
        <w:rPr>
          <w:rFonts w:cs="Arial"/>
          <w:bCs/>
        </w:rPr>
        <w:t xml:space="preserve"> the TFLCT, refers to a fr</w:t>
      </w:r>
      <w:r w:rsidR="001026FE">
        <w:rPr>
          <w:rFonts w:cs="Arial"/>
          <w:bCs/>
        </w:rPr>
        <w:t>e</w:t>
      </w:r>
      <w:r w:rsidR="00FE104D">
        <w:rPr>
          <w:rFonts w:cs="Arial"/>
          <w:bCs/>
        </w:rPr>
        <w:t xml:space="preserve">ight cost differential of between </w:t>
      </w:r>
      <w:r w:rsidR="00893DE3">
        <w:rPr>
          <w:rFonts w:cs="Arial"/>
          <w:bCs/>
        </w:rPr>
        <w:t>$74 and $289 per TEU.</w:t>
      </w:r>
      <w:r w:rsidR="001026FE">
        <w:rPr>
          <w:rStyle w:val="FootnoteReference"/>
          <w:rFonts w:cs="Arial"/>
          <w:bCs/>
        </w:rPr>
        <w:footnoteReference w:id="15"/>
      </w:r>
      <w:r w:rsidR="00893DE3">
        <w:rPr>
          <w:rFonts w:cs="Arial"/>
          <w:bCs/>
        </w:rPr>
        <w:t xml:space="preserve">  T</w:t>
      </w:r>
      <w:r w:rsidR="001026FE">
        <w:rPr>
          <w:rFonts w:cs="Arial"/>
          <w:bCs/>
        </w:rPr>
        <w:t>his equates to approximately $3.</w:t>
      </w:r>
      <w:r w:rsidR="00893DE3">
        <w:rPr>
          <w:rFonts w:cs="Arial"/>
          <w:bCs/>
        </w:rPr>
        <w:t>70-$14.50 per tonne.</w:t>
      </w:r>
      <w:r w:rsidR="001026FE">
        <w:rPr>
          <w:rStyle w:val="FootnoteReference"/>
          <w:rFonts w:cs="Arial"/>
          <w:bCs/>
        </w:rPr>
        <w:footnoteReference w:id="16"/>
      </w:r>
      <w:r w:rsidR="00893DE3">
        <w:rPr>
          <w:rFonts w:cs="Arial"/>
          <w:bCs/>
        </w:rPr>
        <w:t xml:space="preserve">  </w:t>
      </w:r>
      <w:r w:rsidR="00C14AA6">
        <w:rPr>
          <w:rFonts w:cs="Arial"/>
          <w:bCs/>
        </w:rPr>
        <w:t>Given this small freight cost differential, the proposed</w:t>
      </w:r>
      <w:r w:rsidR="001026FE">
        <w:rPr>
          <w:rFonts w:cs="Arial"/>
          <w:bCs/>
        </w:rPr>
        <w:t xml:space="preserve"> PC</w:t>
      </w:r>
      <w:r w:rsidR="00C14AA6">
        <w:rPr>
          <w:rFonts w:cs="Arial"/>
          <w:bCs/>
        </w:rPr>
        <w:t xml:space="preserve"> solution, which points to the </w:t>
      </w:r>
      <w:r w:rsidR="001D0884">
        <w:rPr>
          <w:rFonts w:cs="Arial"/>
          <w:bCs/>
        </w:rPr>
        <w:t xml:space="preserve">total </w:t>
      </w:r>
      <w:r w:rsidR="00C14AA6">
        <w:rPr>
          <w:rFonts w:cs="Arial"/>
          <w:bCs/>
        </w:rPr>
        <w:t>deregulation of Australian coastal shipping</w:t>
      </w:r>
      <w:r w:rsidR="001026FE">
        <w:rPr>
          <w:rFonts w:cs="Arial"/>
          <w:bCs/>
        </w:rPr>
        <w:t>,</w:t>
      </w:r>
      <w:r w:rsidR="00C14AA6">
        <w:rPr>
          <w:rFonts w:cs="Arial"/>
          <w:bCs/>
        </w:rPr>
        <w:t xml:space="preserve"> appears an excessive response, particularly given its implications for the remainder of Australia’s coastal </w:t>
      </w:r>
      <w:r w:rsidR="001026FE">
        <w:rPr>
          <w:rFonts w:cs="Arial"/>
          <w:bCs/>
        </w:rPr>
        <w:t xml:space="preserve">shipping </w:t>
      </w:r>
      <w:r w:rsidR="00C14AA6">
        <w:rPr>
          <w:rFonts w:cs="Arial"/>
          <w:bCs/>
        </w:rPr>
        <w:t>trade</w:t>
      </w:r>
      <w:r w:rsidR="001D0884">
        <w:rPr>
          <w:rFonts w:cs="Arial"/>
          <w:bCs/>
        </w:rPr>
        <w:t xml:space="preserve"> and the likely net cost to the </w:t>
      </w:r>
      <w:r w:rsidR="00BC75BF">
        <w:rPr>
          <w:rFonts w:cs="Arial"/>
          <w:bCs/>
        </w:rPr>
        <w:t>Australian</w:t>
      </w:r>
      <w:r w:rsidR="001D0884">
        <w:rPr>
          <w:rFonts w:cs="Arial"/>
          <w:bCs/>
        </w:rPr>
        <w:t xml:space="preserve"> community</w:t>
      </w:r>
      <w:r w:rsidR="00C14AA6">
        <w:rPr>
          <w:rFonts w:cs="Arial"/>
          <w:bCs/>
        </w:rPr>
        <w:t>.</w:t>
      </w:r>
    </w:p>
    <w:p w:rsidR="00EF7F4B" w:rsidRDefault="00EF7F4B" w:rsidP="006E74F0">
      <w:pPr>
        <w:ind w:left="720" w:hanging="720"/>
        <w:rPr>
          <w:rFonts w:cs="Arial"/>
          <w:bCs/>
        </w:rPr>
      </w:pPr>
    </w:p>
    <w:p w:rsidR="004724E9" w:rsidRDefault="008B3CDB" w:rsidP="006E74F0">
      <w:pPr>
        <w:ind w:left="720" w:hanging="720"/>
        <w:rPr>
          <w:rFonts w:cs="Arial"/>
          <w:bCs/>
        </w:rPr>
      </w:pPr>
      <w:r>
        <w:rPr>
          <w:rFonts w:cs="Arial"/>
          <w:bCs/>
        </w:rPr>
        <w:t>4.4</w:t>
      </w:r>
      <w:r w:rsidR="004724E9">
        <w:rPr>
          <w:rFonts w:cs="Arial"/>
          <w:bCs/>
        </w:rPr>
        <w:tab/>
        <w:t xml:space="preserve">The deregulation of Australian coastal shipping in circumstances where that sector </w:t>
      </w:r>
      <w:r w:rsidR="004724E9" w:rsidRPr="004724E9">
        <w:rPr>
          <w:rFonts w:cs="Arial"/>
          <w:bCs/>
        </w:rPr>
        <w:t xml:space="preserve">provides training berths to more than 40% of Australia’s maritime cadets and trainee’s </w:t>
      </w:r>
      <w:r w:rsidR="004724E9">
        <w:rPr>
          <w:rFonts w:cs="Arial"/>
          <w:bCs/>
        </w:rPr>
        <w:t xml:space="preserve">raises </w:t>
      </w:r>
      <w:r w:rsidR="004724E9" w:rsidRPr="004724E9">
        <w:rPr>
          <w:rFonts w:cs="Arial"/>
          <w:bCs/>
        </w:rPr>
        <w:t>t</w:t>
      </w:r>
      <w:r w:rsidR="004724E9">
        <w:rPr>
          <w:rFonts w:cs="Arial"/>
          <w:bCs/>
        </w:rPr>
        <w:t>he question of who will provide the ships (seatime)</w:t>
      </w:r>
      <w:r w:rsidR="004724E9" w:rsidRPr="004724E9">
        <w:rPr>
          <w:rFonts w:cs="Arial"/>
          <w:bCs/>
        </w:rPr>
        <w:t xml:space="preserve"> for tomorrow’s maritime skill</w:t>
      </w:r>
      <w:r w:rsidR="004724E9">
        <w:rPr>
          <w:rFonts w:cs="Arial"/>
          <w:bCs/>
        </w:rPr>
        <w:t>s base, required across all facets of the Australian maritime industry.</w:t>
      </w:r>
    </w:p>
    <w:p w:rsidR="004724E9" w:rsidRDefault="004724E9" w:rsidP="006E74F0">
      <w:pPr>
        <w:ind w:left="720" w:hanging="720"/>
        <w:rPr>
          <w:rFonts w:cs="Arial"/>
          <w:bCs/>
        </w:rPr>
      </w:pPr>
    </w:p>
    <w:p w:rsidR="00EF7F4B" w:rsidRPr="006E74F0" w:rsidRDefault="00731CDC" w:rsidP="006E74F0">
      <w:pPr>
        <w:pStyle w:val="ListParagraph"/>
        <w:numPr>
          <w:ilvl w:val="0"/>
          <w:numId w:val="3"/>
        </w:numPr>
        <w:ind w:hanging="720"/>
        <w:rPr>
          <w:rFonts w:cs="Arial"/>
          <w:b/>
          <w:bCs/>
          <w:color w:val="0070C0"/>
        </w:rPr>
      </w:pPr>
      <w:r w:rsidRPr="006E74F0">
        <w:rPr>
          <w:rFonts w:cs="Arial"/>
          <w:b/>
          <w:bCs/>
          <w:color w:val="0070C0"/>
        </w:rPr>
        <w:t>Chapter 4 – Sea freight</w:t>
      </w:r>
    </w:p>
    <w:p w:rsidR="00731CDC" w:rsidRDefault="00731CDC" w:rsidP="006E74F0">
      <w:pPr>
        <w:ind w:left="720" w:hanging="720"/>
        <w:rPr>
          <w:rFonts w:cs="Arial"/>
          <w:bCs/>
        </w:rPr>
      </w:pPr>
    </w:p>
    <w:p w:rsidR="00731CDC" w:rsidRDefault="006E74F0" w:rsidP="006E74F0">
      <w:pPr>
        <w:ind w:left="720" w:hanging="720"/>
        <w:rPr>
          <w:rFonts w:cs="Arial"/>
          <w:bCs/>
        </w:rPr>
      </w:pPr>
      <w:r>
        <w:rPr>
          <w:rFonts w:cs="Arial"/>
          <w:bCs/>
        </w:rPr>
        <w:t>5.1</w:t>
      </w:r>
      <w:r>
        <w:rPr>
          <w:rFonts w:cs="Arial"/>
          <w:bCs/>
        </w:rPr>
        <w:tab/>
      </w:r>
      <w:r w:rsidR="00A31859">
        <w:rPr>
          <w:rFonts w:cs="Arial"/>
          <w:bCs/>
        </w:rPr>
        <w:t xml:space="preserve">We are </w:t>
      </w:r>
      <w:r w:rsidR="00C14AA6">
        <w:rPr>
          <w:rFonts w:cs="Arial"/>
          <w:bCs/>
        </w:rPr>
        <w:t>concerned</w:t>
      </w:r>
      <w:r w:rsidR="00A31859">
        <w:rPr>
          <w:rFonts w:cs="Arial"/>
          <w:bCs/>
        </w:rPr>
        <w:t xml:space="preserve"> that </w:t>
      </w:r>
      <w:r w:rsidR="00C14AA6">
        <w:rPr>
          <w:rFonts w:cs="Arial"/>
          <w:bCs/>
        </w:rPr>
        <w:t>the</w:t>
      </w:r>
      <w:r w:rsidR="00A31859">
        <w:rPr>
          <w:rFonts w:cs="Arial"/>
          <w:bCs/>
        </w:rPr>
        <w:t xml:space="preserve"> PC has continued to refer to the “high costs”</w:t>
      </w:r>
      <w:r w:rsidR="001026FE">
        <w:rPr>
          <w:rFonts w:cs="Arial"/>
          <w:bCs/>
        </w:rPr>
        <w:t xml:space="preserve"> of shipping across Bass Strai</w:t>
      </w:r>
      <w:r w:rsidR="00A31859">
        <w:rPr>
          <w:rFonts w:cs="Arial"/>
          <w:bCs/>
        </w:rPr>
        <w:t xml:space="preserve">t.  Cost is a relative </w:t>
      </w:r>
      <w:r w:rsidR="00C14AA6">
        <w:rPr>
          <w:rFonts w:cs="Arial"/>
          <w:bCs/>
        </w:rPr>
        <w:t>concept</w:t>
      </w:r>
      <w:r w:rsidR="00A31859">
        <w:rPr>
          <w:rFonts w:cs="Arial"/>
          <w:bCs/>
        </w:rPr>
        <w:t xml:space="preserve"> and the evidence contained in the PC </w:t>
      </w:r>
      <w:r w:rsidR="001026FE">
        <w:rPr>
          <w:rFonts w:cs="Arial"/>
          <w:bCs/>
        </w:rPr>
        <w:t xml:space="preserve">draft </w:t>
      </w:r>
      <w:r w:rsidR="00A31859">
        <w:rPr>
          <w:rFonts w:cs="Arial"/>
          <w:bCs/>
        </w:rPr>
        <w:t xml:space="preserve">report does not sustain the “high cost” label.  The Aurecon study of allegedly comparable </w:t>
      </w:r>
      <w:r w:rsidR="00C14AA6">
        <w:rPr>
          <w:rFonts w:cs="Arial"/>
          <w:bCs/>
        </w:rPr>
        <w:t>European</w:t>
      </w:r>
      <w:r w:rsidR="00A31859">
        <w:rPr>
          <w:rFonts w:cs="Arial"/>
          <w:bCs/>
        </w:rPr>
        <w:t xml:space="preserve"> routes found a cost differential</w:t>
      </w:r>
      <w:r w:rsidR="001026FE">
        <w:rPr>
          <w:rFonts w:cs="Arial"/>
          <w:bCs/>
        </w:rPr>
        <w:t xml:space="preserve"> (of 24%)</w:t>
      </w:r>
      <w:r w:rsidR="00A31859">
        <w:rPr>
          <w:rFonts w:cs="Arial"/>
          <w:bCs/>
        </w:rPr>
        <w:t xml:space="preserve">, but </w:t>
      </w:r>
      <w:r w:rsidR="00C14AA6">
        <w:rPr>
          <w:rFonts w:cs="Arial"/>
          <w:bCs/>
        </w:rPr>
        <w:t>qualified</w:t>
      </w:r>
      <w:r w:rsidR="00A31859">
        <w:rPr>
          <w:rFonts w:cs="Arial"/>
          <w:bCs/>
        </w:rPr>
        <w:t xml:space="preserve"> that by </w:t>
      </w:r>
      <w:r w:rsidR="00C14AA6">
        <w:rPr>
          <w:rFonts w:cs="Arial"/>
          <w:bCs/>
        </w:rPr>
        <w:t>referring</w:t>
      </w:r>
      <w:r w:rsidR="00A31859">
        <w:rPr>
          <w:rFonts w:cs="Arial"/>
          <w:bCs/>
        </w:rPr>
        <w:t xml:space="preserve"> to the higher </w:t>
      </w:r>
      <w:r w:rsidR="00C14AA6">
        <w:rPr>
          <w:rFonts w:cs="Arial"/>
          <w:bCs/>
        </w:rPr>
        <w:t>Australian</w:t>
      </w:r>
      <w:r w:rsidR="00A31859">
        <w:rPr>
          <w:rFonts w:cs="Arial"/>
          <w:bCs/>
        </w:rPr>
        <w:t xml:space="preserve"> domestic labour cost and </w:t>
      </w:r>
      <w:r w:rsidR="00C14AA6">
        <w:rPr>
          <w:rFonts w:cs="Arial"/>
          <w:bCs/>
        </w:rPr>
        <w:t>fuel</w:t>
      </w:r>
      <w:r w:rsidR="00A31859">
        <w:rPr>
          <w:rFonts w:cs="Arial"/>
          <w:bCs/>
        </w:rPr>
        <w:t xml:space="preserve"> cost structures</w:t>
      </w:r>
      <w:r w:rsidR="001026FE">
        <w:rPr>
          <w:rFonts w:cs="Arial"/>
          <w:bCs/>
        </w:rPr>
        <w:t xml:space="preserve"> (of 23%)</w:t>
      </w:r>
      <w:r w:rsidR="00A31859">
        <w:rPr>
          <w:rFonts w:cs="Arial"/>
          <w:bCs/>
        </w:rPr>
        <w:t xml:space="preserve">, resulting in effect, </w:t>
      </w:r>
      <w:r w:rsidR="001026FE">
        <w:rPr>
          <w:rFonts w:cs="Arial"/>
          <w:bCs/>
        </w:rPr>
        <w:t xml:space="preserve">in </w:t>
      </w:r>
      <w:r w:rsidR="00A31859">
        <w:rPr>
          <w:rFonts w:cs="Arial"/>
          <w:bCs/>
        </w:rPr>
        <w:t>an equivalency of shipping costs.</w:t>
      </w:r>
      <w:r w:rsidR="00A31859">
        <w:rPr>
          <w:rStyle w:val="FootnoteReference"/>
          <w:rFonts w:cs="Arial"/>
          <w:bCs/>
        </w:rPr>
        <w:footnoteReference w:id="17"/>
      </w:r>
    </w:p>
    <w:p w:rsidR="00EF7F4B" w:rsidRDefault="00EF7F4B" w:rsidP="006E74F0">
      <w:pPr>
        <w:ind w:left="720" w:hanging="720"/>
        <w:rPr>
          <w:rFonts w:cs="Arial"/>
          <w:bCs/>
        </w:rPr>
      </w:pPr>
    </w:p>
    <w:p w:rsidR="00EF7F4B" w:rsidRDefault="006E74F0" w:rsidP="006E74F0">
      <w:pPr>
        <w:ind w:left="720" w:hanging="720"/>
        <w:rPr>
          <w:rFonts w:cs="Arial"/>
          <w:bCs/>
        </w:rPr>
      </w:pPr>
      <w:r>
        <w:rPr>
          <w:rFonts w:cs="Arial"/>
          <w:bCs/>
        </w:rPr>
        <w:t>5.2</w:t>
      </w:r>
      <w:r>
        <w:rPr>
          <w:rFonts w:cs="Arial"/>
          <w:bCs/>
        </w:rPr>
        <w:tab/>
      </w:r>
      <w:r w:rsidR="00C14AA6">
        <w:rPr>
          <w:rFonts w:cs="Arial"/>
          <w:bCs/>
        </w:rPr>
        <w:t>Similarly</w:t>
      </w:r>
      <w:r w:rsidR="00A31859">
        <w:rPr>
          <w:rFonts w:cs="Arial"/>
          <w:bCs/>
        </w:rPr>
        <w:t xml:space="preserve">, Toll Shipping’s </w:t>
      </w:r>
      <w:r w:rsidR="00C14AA6">
        <w:rPr>
          <w:rFonts w:cs="Arial"/>
          <w:bCs/>
        </w:rPr>
        <w:t>submission</w:t>
      </w:r>
      <w:r w:rsidR="00A31859">
        <w:rPr>
          <w:rFonts w:cs="Arial"/>
          <w:bCs/>
        </w:rPr>
        <w:t xml:space="preserve"> quoted </w:t>
      </w:r>
      <w:r w:rsidR="00C14AA6">
        <w:rPr>
          <w:rFonts w:cs="Arial"/>
          <w:bCs/>
        </w:rPr>
        <w:t>in</w:t>
      </w:r>
      <w:r w:rsidR="00A31859">
        <w:rPr>
          <w:rFonts w:cs="Arial"/>
          <w:bCs/>
        </w:rPr>
        <w:t xml:space="preserve"> the PC report queries the Aurecon methodology, suggesting that if it had factored in all t</w:t>
      </w:r>
      <w:r w:rsidR="00846973">
        <w:rPr>
          <w:rFonts w:cs="Arial"/>
          <w:bCs/>
        </w:rPr>
        <w:t>he costs in the quoted TEU charges</w:t>
      </w:r>
      <w:r w:rsidR="00A31859">
        <w:rPr>
          <w:rFonts w:cs="Arial"/>
          <w:bCs/>
        </w:rPr>
        <w:t xml:space="preserve">, the European charges would </w:t>
      </w:r>
      <w:r w:rsidR="00C14AA6">
        <w:rPr>
          <w:rFonts w:cs="Arial"/>
          <w:bCs/>
        </w:rPr>
        <w:t>probably</w:t>
      </w:r>
      <w:r w:rsidR="001026FE">
        <w:rPr>
          <w:rFonts w:cs="Arial"/>
          <w:bCs/>
        </w:rPr>
        <w:t xml:space="preserve"> </w:t>
      </w:r>
      <w:proofErr w:type="gramStart"/>
      <w:r w:rsidR="001026FE">
        <w:rPr>
          <w:rFonts w:cs="Arial"/>
          <w:bCs/>
        </w:rPr>
        <w:t>be</w:t>
      </w:r>
      <w:proofErr w:type="gramEnd"/>
      <w:r w:rsidR="001026FE">
        <w:rPr>
          <w:rFonts w:cs="Arial"/>
          <w:bCs/>
        </w:rPr>
        <w:t xml:space="preserve"> higher than</w:t>
      </w:r>
      <w:r w:rsidR="00A31859">
        <w:rPr>
          <w:rFonts w:cs="Arial"/>
          <w:bCs/>
        </w:rPr>
        <w:t xml:space="preserve"> Bass Strait TEU charges.</w:t>
      </w:r>
    </w:p>
    <w:p w:rsidR="00A31859" w:rsidRDefault="00A31859" w:rsidP="006E74F0">
      <w:pPr>
        <w:ind w:left="720" w:hanging="720"/>
        <w:rPr>
          <w:rFonts w:cs="Arial"/>
          <w:bCs/>
        </w:rPr>
      </w:pPr>
    </w:p>
    <w:p w:rsidR="00A31859" w:rsidRPr="008B6183" w:rsidRDefault="008B6183" w:rsidP="006E74F0">
      <w:pPr>
        <w:ind w:left="720" w:hanging="720"/>
        <w:rPr>
          <w:rFonts w:cs="Arial"/>
          <w:bCs/>
          <w:i/>
        </w:rPr>
      </w:pPr>
      <w:r w:rsidRPr="008B6183">
        <w:rPr>
          <w:rFonts w:cs="Arial"/>
          <w:bCs/>
          <w:i/>
        </w:rPr>
        <w:t>Regulatory environment</w:t>
      </w:r>
    </w:p>
    <w:p w:rsidR="008B6183" w:rsidRDefault="008B6183" w:rsidP="006E74F0">
      <w:pPr>
        <w:ind w:left="720" w:hanging="720"/>
        <w:rPr>
          <w:rFonts w:cs="Arial"/>
          <w:bCs/>
        </w:rPr>
      </w:pPr>
    </w:p>
    <w:p w:rsidR="00F20F8B" w:rsidRDefault="006E74F0" w:rsidP="006E74F0">
      <w:pPr>
        <w:ind w:left="720" w:hanging="720"/>
        <w:rPr>
          <w:rFonts w:cs="Arial"/>
          <w:bCs/>
        </w:rPr>
      </w:pPr>
      <w:r>
        <w:rPr>
          <w:rFonts w:cs="Arial"/>
          <w:bCs/>
        </w:rPr>
        <w:t>5.3</w:t>
      </w:r>
      <w:r>
        <w:rPr>
          <w:rFonts w:cs="Arial"/>
          <w:bCs/>
        </w:rPr>
        <w:tab/>
      </w:r>
      <w:r w:rsidR="00F20F8B">
        <w:rPr>
          <w:rFonts w:cs="Arial"/>
          <w:bCs/>
        </w:rPr>
        <w:t xml:space="preserve">We wish to highlight an inaccuracy in the PC </w:t>
      </w:r>
      <w:r w:rsidR="00C14AA6">
        <w:rPr>
          <w:rFonts w:cs="Arial"/>
          <w:bCs/>
        </w:rPr>
        <w:t>report</w:t>
      </w:r>
      <w:r w:rsidR="00F20F8B">
        <w:rPr>
          <w:rFonts w:cs="Arial"/>
          <w:bCs/>
        </w:rPr>
        <w:t xml:space="preserve"> where it refers to the effect of the 2012 shipping </w:t>
      </w:r>
      <w:r w:rsidR="00C14AA6">
        <w:rPr>
          <w:rFonts w:cs="Arial"/>
          <w:bCs/>
        </w:rPr>
        <w:t>reforms</w:t>
      </w:r>
      <w:r w:rsidR="00F20F8B">
        <w:rPr>
          <w:rFonts w:cs="Arial"/>
          <w:bCs/>
        </w:rPr>
        <w:t xml:space="preserve">, in particular </w:t>
      </w:r>
      <w:r w:rsidR="000714EC">
        <w:rPr>
          <w:rFonts w:cs="Arial"/>
          <w:bCs/>
        </w:rPr>
        <w:t>where the report states</w:t>
      </w:r>
      <w:r w:rsidR="00F20F8B">
        <w:rPr>
          <w:rFonts w:cs="Arial"/>
          <w:bCs/>
        </w:rPr>
        <w:t xml:space="preserve"> that “</w:t>
      </w:r>
      <w:r w:rsidR="00F20F8B" w:rsidRPr="00F20F8B">
        <w:rPr>
          <w:rFonts w:cs="Arial"/>
          <w:bCs/>
          <w:i/>
        </w:rPr>
        <w:t>vessels transporting dry and liquid bulk freight under temporary licences must now hire Australian workers and pay Australian wages; increasing shipping costs and freight rates in the process</w:t>
      </w:r>
      <w:r w:rsidR="00F20F8B">
        <w:rPr>
          <w:rFonts w:cs="Arial"/>
          <w:bCs/>
        </w:rPr>
        <w:t>”</w:t>
      </w:r>
      <w:r w:rsidR="00F20F8B">
        <w:rPr>
          <w:rStyle w:val="FootnoteReference"/>
          <w:rFonts w:cs="Arial"/>
          <w:bCs/>
        </w:rPr>
        <w:footnoteReference w:id="18"/>
      </w:r>
    </w:p>
    <w:p w:rsidR="00F20F8B" w:rsidRDefault="00F20F8B" w:rsidP="006E74F0">
      <w:pPr>
        <w:ind w:left="720" w:hanging="720"/>
        <w:rPr>
          <w:rFonts w:cs="Arial"/>
          <w:bCs/>
        </w:rPr>
      </w:pPr>
    </w:p>
    <w:p w:rsidR="000714EC" w:rsidRDefault="006E74F0" w:rsidP="006E74F0">
      <w:pPr>
        <w:ind w:left="720" w:hanging="720"/>
        <w:rPr>
          <w:rFonts w:cs="Arial"/>
          <w:bCs/>
        </w:rPr>
      </w:pPr>
      <w:r>
        <w:rPr>
          <w:rFonts w:cs="Arial"/>
          <w:bCs/>
        </w:rPr>
        <w:t>5.4</w:t>
      </w:r>
      <w:r>
        <w:rPr>
          <w:rFonts w:cs="Arial"/>
          <w:bCs/>
        </w:rPr>
        <w:tab/>
      </w:r>
      <w:r w:rsidR="00F20F8B">
        <w:rPr>
          <w:rFonts w:cs="Arial"/>
          <w:bCs/>
        </w:rPr>
        <w:t xml:space="preserve">This is </w:t>
      </w:r>
      <w:r w:rsidR="00C14AA6">
        <w:rPr>
          <w:rFonts w:cs="Arial"/>
          <w:bCs/>
        </w:rPr>
        <w:t>incorrect</w:t>
      </w:r>
      <w:r w:rsidR="00F20F8B">
        <w:rPr>
          <w:rFonts w:cs="Arial"/>
          <w:bCs/>
        </w:rPr>
        <w:t xml:space="preserve"> in relation to the </w:t>
      </w:r>
      <w:r w:rsidR="00C14AA6">
        <w:rPr>
          <w:rFonts w:cs="Arial"/>
          <w:bCs/>
        </w:rPr>
        <w:t>reference</w:t>
      </w:r>
      <w:r w:rsidR="00F20F8B">
        <w:rPr>
          <w:rFonts w:cs="Arial"/>
          <w:bCs/>
        </w:rPr>
        <w:t xml:space="preserve"> to hiring </w:t>
      </w:r>
      <w:r w:rsidR="00C14AA6">
        <w:rPr>
          <w:rFonts w:cs="Arial"/>
          <w:bCs/>
        </w:rPr>
        <w:t>Australian</w:t>
      </w:r>
      <w:r w:rsidR="00F20F8B">
        <w:rPr>
          <w:rFonts w:cs="Arial"/>
          <w:bCs/>
        </w:rPr>
        <w:t xml:space="preserve"> workers.  A ship authorised to carry a cargo under a TL is not required by the CT Act to crew the vessel with </w:t>
      </w:r>
      <w:r w:rsidR="00C14AA6">
        <w:rPr>
          <w:rFonts w:cs="Arial"/>
          <w:bCs/>
        </w:rPr>
        <w:t>Australian</w:t>
      </w:r>
      <w:r w:rsidR="00F20F8B">
        <w:rPr>
          <w:rFonts w:cs="Arial"/>
          <w:bCs/>
        </w:rPr>
        <w:t xml:space="preserve"> nationals.  </w:t>
      </w:r>
      <w:r w:rsidR="00C8551F">
        <w:rPr>
          <w:rFonts w:cs="Arial"/>
          <w:bCs/>
        </w:rPr>
        <w:t xml:space="preserve">In fact no ship authorised to carry a cargo under a TL has been crewed by Australian nationals since the CT Act commenced in 2012, with the possible exception of Transitional General Licensed </w:t>
      </w:r>
      <w:r w:rsidR="006E018C">
        <w:rPr>
          <w:rFonts w:cs="Arial"/>
          <w:bCs/>
        </w:rPr>
        <w:t xml:space="preserve">(TGL) </w:t>
      </w:r>
      <w:r w:rsidR="00C8551F">
        <w:rPr>
          <w:rFonts w:cs="Arial"/>
          <w:bCs/>
        </w:rPr>
        <w:t xml:space="preserve">ships that may have been authorised under a TL to carry a cargo, noting that those ships were previously crewed by Australians when they were Licensed ships under the former Part VI provisions in the </w:t>
      </w:r>
      <w:r w:rsidR="00C8551F" w:rsidRPr="00846973">
        <w:rPr>
          <w:rFonts w:cs="Arial"/>
          <w:bCs/>
          <w:i/>
        </w:rPr>
        <w:t>Navigation Act 1912</w:t>
      </w:r>
      <w:r w:rsidR="00C8551F">
        <w:rPr>
          <w:rFonts w:cs="Arial"/>
          <w:bCs/>
        </w:rPr>
        <w:t>.</w:t>
      </w:r>
    </w:p>
    <w:p w:rsidR="000714EC" w:rsidRDefault="000714EC" w:rsidP="006E74F0">
      <w:pPr>
        <w:ind w:left="720" w:hanging="720"/>
        <w:rPr>
          <w:rFonts w:cs="Arial"/>
          <w:bCs/>
        </w:rPr>
      </w:pPr>
    </w:p>
    <w:p w:rsidR="00EF7F4B" w:rsidRDefault="006E74F0" w:rsidP="006E74F0">
      <w:pPr>
        <w:ind w:left="720" w:hanging="720"/>
        <w:rPr>
          <w:rFonts w:cs="Arial"/>
          <w:bCs/>
        </w:rPr>
      </w:pPr>
      <w:r>
        <w:rPr>
          <w:rFonts w:cs="Arial"/>
          <w:bCs/>
        </w:rPr>
        <w:t>5.5</w:t>
      </w:r>
      <w:r>
        <w:rPr>
          <w:rFonts w:cs="Arial"/>
          <w:bCs/>
        </w:rPr>
        <w:tab/>
      </w:r>
      <w:r w:rsidR="00C14AA6">
        <w:rPr>
          <w:rFonts w:cs="Arial"/>
          <w:bCs/>
        </w:rPr>
        <w:t>Furthermore</w:t>
      </w:r>
      <w:r w:rsidR="00F20F8B">
        <w:rPr>
          <w:rFonts w:cs="Arial"/>
          <w:bCs/>
        </w:rPr>
        <w:t xml:space="preserve">, it is </w:t>
      </w:r>
      <w:r w:rsidR="00C14AA6">
        <w:rPr>
          <w:rFonts w:cs="Arial"/>
          <w:bCs/>
        </w:rPr>
        <w:t>important</w:t>
      </w:r>
      <w:r w:rsidR="00F20F8B">
        <w:rPr>
          <w:rFonts w:cs="Arial"/>
          <w:bCs/>
        </w:rPr>
        <w:t xml:space="preserve"> to clarify </w:t>
      </w:r>
      <w:r w:rsidR="006A2292">
        <w:rPr>
          <w:rFonts w:cs="Arial"/>
          <w:bCs/>
        </w:rPr>
        <w:t xml:space="preserve">(as articulated in Appendix C) </w:t>
      </w:r>
      <w:r w:rsidR="00F20F8B">
        <w:rPr>
          <w:rFonts w:cs="Arial"/>
          <w:bCs/>
        </w:rPr>
        <w:t xml:space="preserve">that the </w:t>
      </w:r>
      <w:r w:rsidR="00C14AA6">
        <w:rPr>
          <w:rFonts w:cs="Arial"/>
          <w:bCs/>
        </w:rPr>
        <w:t>reference</w:t>
      </w:r>
      <w:r w:rsidR="00F20F8B">
        <w:rPr>
          <w:rFonts w:cs="Arial"/>
          <w:bCs/>
        </w:rPr>
        <w:t xml:space="preserve"> to payment of </w:t>
      </w:r>
      <w:r w:rsidR="00C14AA6">
        <w:rPr>
          <w:rFonts w:cs="Arial"/>
          <w:bCs/>
        </w:rPr>
        <w:t>Australian</w:t>
      </w:r>
      <w:r w:rsidR="00F20F8B">
        <w:rPr>
          <w:rFonts w:cs="Arial"/>
          <w:bCs/>
        </w:rPr>
        <w:t xml:space="preserve"> wages is a </w:t>
      </w:r>
      <w:r w:rsidR="00C14AA6">
        <w:rPr>
          <w:rFonts w:cs="Arial"/>
          <w:bCs/>
        </w:rPr>
        <w:t>reference</w:t>
      </w:r>
      <w:r w:rsidR="00F20F8B">
        <w:rPr>
          <w:rFonts w:cs="Arial"/>
          <w:bCs/>
        </w:rPr>
        <w:t xml:space="preserve"> to </w:t>
      </w:r>
      <w:r w:rsidR="00C14AA6">
        <w:rPr>
          <w:rFonts w:cs="Arial"/>
          <w:bCs/>
        </w:rPr>
        <w:t>Australian</w:t>
      </w:r>
      <w:r w:rsidR="00F20F8B">
        <w:rPr>
          <w:rFonts w:cs="Arial"/>
          <w:bCs/>
        </w:rPr>
        <w:t xml:space="preserve"> Award wages, not market rates (</w:t>
      </w:r>
      <w:r w:rsidR="00577CEA">
        <w:rPr>
          <w:rFonts w:cs="Arial"/>
          <w:bCs/>
        </w:rPr>
        <w:t>i.e.</w:t>
      </w:r>
      <w:r w:rsidR="001026FE">
        <w:rPr>
          <w:rFonts w:cs="Arial"/>
          <w:bCs/>
        </w:rPr>
        <w:t xml:space="preserve"> </w:t>
      </w:r>
      <w:r w:rsidR="00F20F8B">
        <w:rPr>
          <w:rFonts w:cs="Arial"/>
          <w:bCs/>
        </w:rPr>
        <w:t xml:space="preserve">rates contained in </w:t>
      </w:r>
      <w:r w:rsidR="001026FE">
        <w:rPr>
          <w:rFonts w:cs="Arial"/>
          <w:bCs/>
        </w:rPr>
        <w:t xml:space="preserve">Fair Work Commission (FWC) </w:t>
      </w:r>
      <w:r w:rsidR="00C14AA6">
        <w:rPr>
          <w:rFonts w:cs="Arial"/>
          <w:bCs/>
        </w:rPr>
        <w:t>approved</w:t>
      </w:r>
      <w:r w:rsidR="00F20F8B">
        <w:rPr>
          <w:rFonts w:cs="Arial"/>
          <w:bCs/>
        </w:rPr>
        <w:t xml:space="preserve"> </w:t>
      </w:r>
      <w:r w:rsidR="00C14AA6">
        <w:rPr>
          <w:rFonts w:cs="Arial"/>
          <w:bCs/>
        </w:rPr>
        <w:t>Enterprise</w:t>
      </w:r>
      <w:r w:rsidR="00F20F8B">
        <w:rPr>
          <w:rFonts w:cs="Arial"/>
          <w:bCs/>
        </w:rPr>
        <w:t xml:space="preserve"> </w:t>
      </w:r>
      <w:r w:rsidR="00C14AA6">
        <w:rPr>
          <w:rFonts w:cs="Arial"/>
          <w:bCs/>
        </w:rPr>
        <w:t>Agreements</w:t>
      </w:r>
      <w:r w:rsidR="00F20F8B">
        <w:rPr>
          <w:rFonts w:cs="Arial"/>
          <w:bCs/>
        </w:rPr>
        <w:t xml:space="preserve">).  Furthermore, the </w:t>
      </w:r>
      <w:r w:rsidR="00C14AA6">
        <w:rPr>
          <w:rFonts w:cs="Arial"/>
          <w:bCs/>
        </w:rPr>
        <w:t>relevant</w:t>
      </w:r>
      <w:r w:rsidR="00F20F8B">
        <w:rPr>
          <w:rFonts w:cs="Arial"/>
          <w:bCs/>
        </w:rPr>
        <w:t xml:space="preserve"> Award (the </w:t>
      </w:r>
      <w:r w:rsidR="00C14AA6">
        <w:rPr>
          <w:rFonts w:cs="Arial"/>
          <w:bCs/>
        </w:rPr>
        <w:t>Seagoing</w:t>
      </w:r>
      <w:r w:rsidR="00F20F8B">
        <w:rPr>
          <w:rFonts w:cs="Arial"/>
          <w:bCs/>
        </w:rPr>
        <w:t xml:space="preserve"> Industry Modernised Award 2010) contains </w:t>
      </w:r>
      <w:r w:rsidR="000714EC">
        <w:rPr>
          <w:rFonts w:cs="Arial"/>
          <w:bCs/>
        </w:rPr>
        <w:t>a Part B, which sets the wage rates</w:t>
      </w:r>
      <w:r w:rsidR="00F20F8B">
        <w:rPr>
          <w:rFonts w:cs="Arial"/>
          <w:bCs/>
        </w:rPr>
        <w:t xml:space="preserve"> and </w:t>
      </w:r>
      <w:r w:rsidR="00C14AA6">
        <w:rPr>
          <w:rFonts w:cs="Arial"/>
          <w:bCs/>
        </w:rPr>
        <w:t>employment</w:t>
      </w:r>
      <w:r w:rsidR="000714EC">
        <w:rPr>
          <w:rFonts w:cs="Arial"/>
          <w:bCs/>
        </w:rPr>
        <w:t xml:space="preserve"> </w:t>
      </w:r>
      <w:r w:rsidR="00F20F8B">
        <w:rPr>
          <w:rFonts w:cs="Arial"/>
          <w:bCs/>
        </w:rPr>
        <w:t xml:space="preserve">conditions that are applicable to ships operating under a TL.  </w:t>
      </w:r>
      <w:r w:rsidR="00C14AA6">
        <w:rPr>
          <w:rFonts w:cs="Arial"/>
          <w:bCs/>
        </w:rPr>
        <w:t>Those rates and conditions</w:t>
      </w:r>
      <w:r w:rsidR="001D0884">
        <w:rPr>
          <w:rFonts w:cs="Arial"/>
          <w:bCs/>
        </w:rPr>
        <w:t xml:space="preserve">, which are lower than </w:t>
      </w:r>
      <w:r w:rsidR="00BC75BF">
        <w:rPr>
          <w:rFonts w:cs="Arial"/>
          <w:bCs/>
        </w:rPr>
        <w:t>those</w:t>
      </w:r>
      <w:r w:rsidR="001D0884">
        <w:rPr>
          <w:rFonts w:cs="Arial"/>
          <w:bCs/>
        </w:rPr>
        <w:t xml:space="preserve"> applicable to seafarers on </w:t>
      </w:r>
      <w:r w:rsidR="00BC75BF">
        <w:rPr>
          <w:rFonts w:cs="Arial"/>
          <w:bCs/>
        </w:rPr>
        <w:t>Australian</w:t>
      </w:r>
      <w:r w:rsidR="001D0884">
        <w:rPr>
          <w:rFonts w:cs="Arial"/>
          <w:bCs/>
        </w:rPr>
        <w:t xml:space="preserve"> registered ships</w:t>
      </w:r>
      <w:r w:rsidR="00BC75BF">
        <w:rPr>
          <w:rFonts w:cs="Arial"/>
          <w:bCs/>
        </w:rPr>
        <w:t>, were</w:t>
      </w:r>
      <w:r w:rsidR="00C14AA6">
        <w:rPr>
          <w:rFonts w:cs="Arial"/>
          <w:bCs/>
        </w:rPr>
        <w:t xml:space="preserve"> der</w:t>
      </w:r>
      <w:r w:rsidR="001026FE">
        <w:rPr>
          <w:rFonts w:cs="Arial"/>
          <w:bCs/>
        </w:rPr>
        <w:t xml:space="preserve">ived by the </w:t>
      </w:r>
      <w:r w:rsidR="00577CEA">
        <w:rPr>
          <w:rFonts w:cs="Arial"/>
          <w:bCs/>
        </w:rPr>
        <w:t>FWC from</w:t>
      </w:r>
      <w:r w:rsidR="00C14AA6">
        <w:rPr>
          <w:rFonts w:cs="Arial"/>
          <w:bCs/>
        </w:rPr>
        <w:t xml:space="preserve"> agreements that apply in the international shipping labour market and encompassed in the International </w:t>
      </w:r>
      <w:r w:rsidR="00C14AA6">
        <w:rPr>
          <w:rFonts w:cs="Arial"/>
          <w:bCs/>
        </w:rPr>
        <w:lastRenderedPageBreak/>
        <w:t xml:space="preserve">Transport Workers Federation Total Crew Cost (TCC) </w:t>
      </w:r>
      <w:r w:rsidR="001026FE">
        <w:rPr>
          <w:rFonts w:cs="Arial"/>
          <w:bCs/>
        </w:rPr>
        <w:t xml:space="preserve">Standard </w:t>
      </w:r>
      <w:r w:rsidR="00C14AA6">
        <w:rPr>
          <w:rFonts w:cs="Arial"/>
          <w:bCs/>
        </w:rPr>
        <w:t>Agreement that is referenced in most shipping Charter Party agreements.</w:t>
      </w:r>
    </w:p>
    <w:p w:rsidR="00EF7F4B" w:rsidRDefault="00EF7F4B" w:rsidP="006E74F0">
      <w:pPr>
        <w:ind w:left="720" w:hanging="720"/>
        <w:rPr>
          <w:rFonts w:cs="Arial"/>
          <w:bCs/>
        </w:rPr>
      </w:pPr>
    </w:p>
    <w:p w:rsidR="00EF7F4B" w:rsidRDefault="006E74F0" w:rsidP="006E74F0">
      <w:pPr>
        <w:ind w:left="720" w:hanging="720"/>
        <w:rPr>
          <w:rFonts w:cs="Arial"/>
          <w:bCs/>
        </w:rPr>
      </w:pPr>
      <w:r>
        <w:rPr>
          <w:rFonts w:cs="Arial"/>
          <w:bCs/>
        </w:rPr>
        <w:t>5.6</w:t>
      </w:r>
      <w:r>
        <w:rPr>
          <w:rFonts w:cs="Arial"/>
          <w:bCs/>
        </w:rPr>
        <w:tab/>
      </w:r>
      <w:r w:rsidR="000714EC">
        <w:rPr>
          <w:rFonts w:cs="Arial"/>
          <w:bCs/>
        </w:rPr>
        <w:t xml:space="preserve">This is </w:t>
      </w:r>
      <w:r w:rsidR="00C14AA6">
        <w:rPr>
          <w:rFonts w:cs="Arial"/>
          <w:bCs/>
        </w:rPr>
        <w:t>clearly</w:t>
      </w:r>
      <w:r w:rsidR="001026FE">
        <w:rPr>
          <w:rFonts w:cs="Arial"/>
          <w:bCs/>
        </w:rPr>
        <w:t xml:space="preserve"> understood by </w:t>
      </w:r>
      <w:r w:rsidR="00577CEA">
        <w:rPr>
          <w:rFonts w:cs="Arial"/>
          <w:bCs/>
        </w:rPr>
        <w:t>DIRD which</w:t>
      </w:r>
      <w:r w:rsidR="000714EC">
        <w:rPr>
          <w:rFonts w:cs="Arial"/>
          <w:bCs/>
        </w:rPr>
        <w:t xml:space="preserve"> developed the 2012 shipping </w:t>
      </w:r>
      <w:r w:rsidR="00C14AA6">
        <w:rPr>
          <w:rFonts w:cs="Arial"/>
          <w:bCs/>
        </w:rPr>
        <w:t>reform</w:t>
      </w:r>
      <w:r w:rsidR="000714EC">
        <w:rPr>
          <w:rFonts w:cs="Arial"/>
          <w:bCs/>
        </w:rPr>
        <w:t xml:space="preserve"> legislation when it submitted that there is no evidence to demonstrate a link between any increases in </w:t>
      </w:r>
      <w:r w:rsidR="00C14AA6">
        <w:rPr>
          <w:rFonts w:cs="Arial"/>
          <w:bCs/>
        </w:rPr>
        <w:t>freight</w:t>
      </w:r>
      <w:r w:rsidR="000714EC">
        <w:rPr>
          <w:rFonts w:cs="Arial"/>
          <w:bCs/>
        </w:rPr>
        <w:t xml:space="preserve"> costs and introduction of the 2012 </w:t>
      </w:r>
      <w:r w:rsidR="00C14AA6">
        <w:rPr>
          <w:rFonts w:cs="Arial"/>
          <w:bCs/>
        </w:rPr>
        <w:t>reforms</w:t>
      </w:r>
      <w:r w:rsidR="000714EC">
        <w:rPr>
          <w:rFonts w:cs="Arial"/>
          <w:bCs/>
        </w:rPr>
        <w:t>.</w:t>
      </w:r>
    </w:p>
    <w:p w:rsidR="000714EC" w:rsidRDefault="000714EC" w:rsidP="006E74F0">
      <w:pPr>
        <w:ind w:left="720" w:hanging="720"/>
        <w:rPr>
          <w:rFonts w:cs="Arial"/>
          <w:bCs/>
        </w:rPr>
      </w:pPr>
    </w:p>
    <w:p w:rsidR="000714EC" w:rsidRDefault="006E74F0" w:rsidP="006E74F0">
      <w:pPr>
        <w:ind w:left="720" w:hanging="720"/>
        <w:rPr>
          <w:rFonts w:cs="Arial"/>
          <w:bCs/>
        </w:rPr>
      </w:pPr>
      <w:r>
        <w:rPr>
          <w:rFonts w:cs="Arial"/>
          <w:bCs/>
        </w:rPr>
        <w:t>5.7</w:t>
      </w:r>
      <w:r>
        <w:rPr>
          <w:rFonts w:cs="Arial"/>
          <w:bCs/>
        </w:rPr>
        <w:tab/>
      </w:r>
      <w:r w:rsidR="001D0884">
        <w:rPr>
          <w:rFonts w:cs="Arial"/>
          <w:bCs/>
        </w:rPr>
        <w:t>In the limited instances</w:t>
      </w:r>
      <w:r w:rsidR="00C14AA6">
        <w:rPr>
          <w:rFonts w:cs="Arial"/>
          <w:bCs/>
        </w:rPr>
        <w:t xml:space="preserve"> where an operator of an Australian registered (flagged) ship which has a General License </w:t>
      </w:r>
      <w:r w:rsidR="001D0884">
        <w:rPr>
          <w:rFonts w:cs="Arial"/>
          <w:bCs/>
        </w:rPr>
        <w:t xml:space="preserve">(GL) </w:t>
      </w:r>
      <w:r w:rsidR="00C14AA6">
        <w:rPr>
          <w:rFonts w:cs="Arial"/>
          <w:bCs/>
        </w:rPr>
        <w:t>has been able to successfully contest a cargo against the desire of the shipper to use a vessel authorised by a TL is evidence that the 2012 reforms have maintained the flexibility and balance between GLs and TLs (as the former Navigation Act provisions provided as between the then "Licensed” ships and ships issued with a Permit).</w:t>
      </w:r>
    </w:p>
    <w:p w:rsidR="000714EC" w:rsidRDefault="000714EC" w:rsidP="006E74F0">
      <w:pPr>
        <w:ind w:left="720" w:hanging="720"/>
        <w:rPr>
          <w:rFonts w:cs="Arial"/>
          <w:bCs/>
        </w:rPr>
      </w:pPr>
    </w:p>
    <w:p w:rsidR="00137344" w:rsidRDefault="009067DF" w:rsidP="00A86A66">
      <w:pPr>
        <w:ind w:left="720" w:hanging="720"/>
        <w:rPr>
          <w:rFonts w:cs="Arial"/>
          <w:bCs/>
        </w:rPr>
      </w:pPr>
      <w:r>
        <w:rPr>
          <w:rFonts w:cs="Arial"/>
          <w:bCs/>
        </w:rPr>
        <w:t>5.8</w:t>
      </w:r>
      <w:r>
        <w:rPr>
          <w:rFonts w:cs="Arial"/>
          <w:bCs/>
        </w:rPr>
        <w:tab/>
      </w:r>
      <w:r w:rsidR="000E495C">
        <w:rPr>
          <w:rFonts w:cs="Arial"/>
          <w:bCs/>
        </w:rPr>
        <w:t xml:space="preserve">An analysis of </w:t>
      </w:r>
      <w:r w:rsidR="00BC75BF">
        <w:rPr>
          <w:rFonts w:cs="Arial"/>
          <w:bCs/>
        </w:rPr>
        <w:t>voyage</w:t>
      </w:r>
      <w:r w:rsidR="000E495C">
        <w:rPr>
          <w:rFonts w:cs="Arial"/>
          <w:bCs/>
        </w:rPr>
        <w:t xml:space="preserve"> data shows that contrary </w:t>
      </w:r>
      <w:r w:rsidR="006A2292">
        <w:rPr>
          <w:rFonts w:cs="Arial"/>
          <w:bCs/>
        </w:rPr>
        <w:t xml:space="preserve">to the many </w:t>
      </w:r>
      <w:r w:rsidR="00C8551F">
        <w:rPr>
          <w:rFonts w:cs="Arial"/>
          <w:bCs/>
        </w:rPr>
        <w:t>assertions</w:t>
      </w:r>
      <w:r w:rsidR="006A2292">
        <w:rPr>
          <w:rFonts w:cs="Arial"/>
          <w:bCs/>
        </w:rPr>
        <w:t xml:space="preserve"> in submissions to the PC that </w:t>
      </w:r>
      <w:r w:rsidR="000E495C">
        <w:rPr>
          <w:rFonts w:cs="Arial"/>
          <w:bCs/>
        </w:rPr>
        <w:t xml:space="preserve">the 2012 </w:t>
      </w:r>
      <w:r w:rsidR="00BC75BF">
        <w:rPr>
          <w:rFonts w:cs="Arial"/>
          <w:bCs/>
        </w:rPr>
        <w:t>shipping</w:t>
      </w:r>
      <w:r w:rsidR="000E495C">
        <w:rPr>
          <w:rFonts w:cs="Arial"/>
          <w:bCs/>
        </w:rPr>
        <w:t xml:space="preserve"> </w:t>
      </w:r>
      <w:r w:rsidR="00BC75BF">
        <w:rPr>
          <w:rFonts w:cs="Arial"/>
          <w:bCs/>
        </w:rPr>
        <w:t>reforms</w:t>
      </w:r>
      <w:r w:rsidR="006A2292">
        <w:rPr>
          <w:rFonts w:cs="Arial"/>
          <w:bCs/>
        </w:rPr>
        <w:t xml:space="preserve"> reduced</w:t>
      </w:r>
      <w:r w:rsidR="000E495C">
        <w:rPr>
          <w:rFonts w:cs="Arial"/>
          <w:bCs/>
        </w:rPr>
        <w:t xml:space="preserve"> </w:t>
      </w:r>
      <w:r w:rsidR="00BC75BF">
        <w:rPr>
          <w:rFonts w:cs="Arial"/>
          <w:bCs/>
        </w:rPr>
        <w:t>flexibility</w:t>
      </w:r>
      <w:r w:rsidR="006A2292">
        <w:rPr>
          <w:rFonts w:cs="Arial"/>
          <w:bCs/>
        </w:rPr>
        <w:t xml:space="preserve"> and added</w:t>
      </w:r>
      <w:r w:rsidR="000E495C">
        <w:rPr>
          <w:rFonts w:cs="Arial"/>
          <w:bCs/>
        </w:rPr>
        <w:t xml:space="preserve"> cost, that </w:t>
      </w:r>
      <w:r w:rsidR="00BC75BF">
        <w:rPr>
          <w:rFonts w:cs="Arial"/>
          <w:bCs/>
        </w:rPr>
        <w:t>Tasmanian</w:t>
      </w:r>
      <w:r w:rsidR="000E495C">
        <w:rPr>
          <w:rFonts w:cs="Arial"/>
          <w:bCs/>
        </w:rPr>
        <w:t xml:space="preserve"> shippers have actually taken greater advantage of the new shipping legislation </w:t>
      </w:r>
      <w:r w:rsidR="006A2292">
        <w:rPr>
          <w:rFonts w:cs="Arial"/>
          <w:bCs/>
        </w:rPr>
        <w:t>and made greater use of TLs than under</w:t>
      </w:r>
      <w:r w:rsidR="000E495C">
        <w:rPr>
          <w:rFonts w:cs="Arial"/>
          <w:bCs/>
        </w:rPr>
        <w:t xml:space="preserve"> the </w:t>
      </w:r>
      <w:r w:rsidR="00BC75BF">
        <w:rPr>
          <w:rFonts w:cs="Arial"/>
          <w:bCs/>
        </w:rPr>
        <w:t>previous</w:t>
      </w:r>
      <w:r w:rsidR="006A2292">
        <w:rPr>
          <w:rFonts w:cs="Arial"/>
          <w:bCs/>
        </w:rPr>
        <w:t xml:space="preserve"> Permit system.</w:t>
      </w:r>
      <w:r w:rsidR="000E495C">
        <w:rPr>
          <w:rFonts w:cs="Arial"/>
          <w:bCs/>
        </w:rPr>
        <w:t xml:space="preserve">  </w:t>
      </w:r>
      <w:r w:rsidR="006E018C" w:rsidRPr="006E018C">
        <w:rPr>
          <w:rFonts w:cs="Arial"/>
          <w:bCs/>
        </w:rPr>
        <w:t>The analysis shows th</w:t>
      </w:r>
      <w:r w:rsidR="006E018C">
        <w:rPr>
          <w:rFonts w:cs="Arial"/>
          <w:bCs/>
        </w:rPr>
        <w:t>at in a 12-month period in 2010/11, shortly before</w:t>
      </w:r>
      <w:r w:rsidR="006E018C" w:rsidRPr="006E018C">
        <w:rPr>
          <w:rFonts w:cs="Arial"/>
          <w:bCs/>
        </w:rPr>
        <w:t xml:space="preserve"> the 12 months up to introduction of the shipping reforms, international ships carried out </w:t>
      </w:r>
      <w:r w:rsidR="006E018C">
        <w:rPr>
          <w:rFonts w:cs="Arial"/>
          <w:bCs/>
        </w:rPr>
        <w:t xml:space="preserve">146 </w:t>
      </w:r>
      <w:r w:rsidR="006E018C" w:rsidRPr="006E018C">
        <w:rPr>
          <w:rFonts w:cs="Arial"/>
          <w:bCs/>
        </w:rPr>
        <w:t>Permi</w:t>
      </w:r>
      <w:r w:rsidR="006E018C">
        <w:rPr>
          <w:rFonts w:cs="Arial"/>
          <w:bCs/>
        </w:rPr>
        <w:t>t voyages (i.e. during 2010/</w:t>
      </w:r>
      <w:r w:rsidR="006E018C" w:rsidRPr="006E018C">
        <w:rPr>
          <w:rFonts w:cs="Arial"/>
          <w:bCs/>
        </w:rPr>
        <w:t xml:space="preserve">11) loading or discharging in Tasmania. </w:t>
      </w:r>
      <w:r w:rsidR="008B3CDB">
        <w:rPr>
          <w:rFonts w:cs="Arial"/>
          <w:bCs/>
        </w:rPr>
        <w:t xml:space="preserve"> </w:t>
      </w:r>
      <w:r w:rsidR="006E018C" w:rsidRPr="006E018C">
        <w:rPr>
          <w:rFonts w:cs="Arial"/>
          <w:bCs/>
        </w:rPr>
        <w:t>The transition from Permits to TLs was complete by 31 October 2012.  In the subsequent 12 months, international ships carried out 214 Ta</w:t>
      </w:r>
      <w:r w:rsidR="00A86A66">
        <w:rPr>
          <w:rFonts w:cs="Arial"/>
          <w:bCs/>
        </w:rPr>
        <w:t>smanian voyages under a TL (2012/</w:t>
      </w:r>
      <w:r w:rsidR="006E018C" w:rsidRPr="006E018C">
        <w:rPr>
          <w:rFonts w:cs="Arial"/>
          <w:bCs/>
        </w:rPr>
        <w:t>13).  All these</w:t>
      </w:r>
      <w:r w:rsidR="00A86A66">
        <w:rPr>
          <w:rFonts w:cs="Arial"/>
          <w:bCs/>
        </w:rPr>
        <w:t xml:space="preserve"> voyages carried bulk cargos – zero</w:t>
      </w:r>
      <w:r w:rsidR="006E018C" w:rsidRPr="006E018C">
        <w:rPr>
          <w:rFonts w:cs="Arial"/>
          <w:bCs/>
        </w:rPr>
        <w:t xml:space="preserve"> TEU</w:t>
      </w:r>
      <w:r w:rsidR="008B3CDB">
        <w:rPr>
          <w:rFonts w:cs="Arial"/>
          <w:bCs/>
        </w:rPr>
        <w:t>s</w:t>
      </w:r>
      <w:r w:rsidR="006E018C" w:rsidRPr="006E018C">
        <w:rPr>
          <w:rFonts w:cs="Arial"/>
          <w:bCs/>
        </w:rPr>
        <w:t xml:space="preserve"> were carried by Permit or TL</w:t>
      </w:r>
      <w:r w:rsidR="000E495C" w:rsidRPr="000E495C">
        <w:rPr>
          <w:rFonts w:cs="Arial"/>
          <w:bCs/>
        </w:rPr>
        <w:t>.</w:t>
      </w:r>
      <w:r w:rsidR="00137344">
        <w:rPr>
          <w:rStyle w:val="FootnoteReference"/>
          <w:rFonts w:cs="Arial"/>
          <w:bCs/>
        </w:rPr>
        <w:footnoteReference w:id="19"/>
      </w:r>
      <w:r w:rsidR="000E495C" w:rsidRPr="000E495C">
        <w:rPr>
          <w:rFonts w:cs="Arial"/>
          <w:bCs/>
        </w:rPr>
        <w:t xml:space="preserve"> </w:t>
      </w:r>
    </w:p>
    <w:p w:rsidR="00137344" w:rsidRDefault="00137344" w:rsidP="006E74F0">
      <w:pPr>
        <w:ind w:left="720" w:hanging="720"/>
        <w:rPr>
          <w:rFonts w:cs="Arial"/>
          <w:bCs/>
        </w:rPr>
      </w:pPr>
    </w:p>
    <w:p w:rsidR="000714EC" w:rsidRDefault="009067DF" w:rsidP="006E74F0">
      <w:pPr>
        <w:ind w:left="720" w:hanging="720"/>
        <w:rPr>
          <w:rFonts w:cs="Arial"/>
          <w:bCs/>
        </w:rPr>
      </w:pPr>
      <w:r>
        <w:rPr>
          <w:rFonts w:cs="Arial"/>
          <w:bCs/>
        </w:rPr>
        <w:t>5.9</w:t>
      </w:r>
      <w:r w:rsidR="006E74F0">
        <w:rPr>
          <w:rFonts w:cs="Arial"/>
          <w:bCs/>
        </w:rPr>
        <w:tab/>
      </w:r>
      <w:r w:rsidR="008E08EF">
        <w:rPr>
          <w:rFonts w:cs="Arial"/>
          <w:bCs/>
        </w:rPr>
        <w:t xml:space="preserve">We are disappointed that the PC has not undertaken a more thorough analysis of the actual impacts of the 2012 </w:t>
      </w:r>
      <w:r w:rsidR="00C14AA6">
        <w:rPr>
          <w:rFonts w:cs="Arial"/>
          <w:bCs/>
        </w:rPr>
        <w:t>shipping</w:t>
      </w:r>
      <w:r w:rsidR="008E08EF">
        <w:rPr>
          <w:rFonts w:cs="Arial"/>
          <w:bCs/>
        </w:rPr>
        <w:t xml:space="preserve"> </w:t>
      </w:r>
      <w:r w:rsidR="00C14AA6">
        <w:rPr>
          <w:rFonts w:cs="Arial"/>
          <w:bCs/>
        </w:rPr>
        <w:t>reforms</w:t>
      </w:r>
      <w:r w:rsidR="008E08EF">
        <w:rPr>
          <w:rFonts w:cs="Arial"/>
          <w:bCs/>
        </w:rPr>
        <w:t xml:space="preserve"> on </w:t>
      </w:r>
      <w:r w:rsidR="00C14AA6">
        <w:rPr>
          <w:rFonts w:cs="Arial"/>
          <w:bCs/>
        </w:rPr>
        <w:t>Tasmanian</w:t>
      </w:r>
      <w:r w:rsidR="008E08EF">
        <w:rPr>
          <w:rFonts w:cs="Arial"/>
          <w:bCs/>
        </w:rPr>
        <w:t xml:space="preserve"> shipping.  Despite noting that “</w:t>
      </w:r>
      <w:r w:rsidR="008E08EF" w:rsidRPr="008E08EF">
        <w:rPr>
          <w:rFonts w:cs="Arial"/>
          <w:bCs/>
          <w:i/>
        </w:rPr>
        <w:t>the exact nature of their</w:t>
      </w:r>
      <w:r w:rsidR="008E08EF" w:rsidRPr="008E08EF">
        <w:rPr>
          <w:rFonts w:cs="Arial"/>
          <w:bCs/>
        </w:rPr>
        <w:t xml:space="preserve"> </w:t>
      </w:r>
      <w:r w:rsidR="008E08EF">
        <w:rPr>
          <w:rFonts w:cs="Arial"/>
          <w:bCs/>
        </w:rPr>
        <w:t xml:space="preserve">(the shipping </w:t>
      </w:r>
      <w:r w:rsidR="00C14AA6">
        <w:rPr>
          <w:rFonts w:cs="Arial"/>
          <w:bCs/>
        </w:rPr>
        <w:t>reforms</w:t>
      </w:r>
      <w:r w:rsidR="008E08EF">
        <w:rPr>
          <w:rFonts w:cs="Arial"/>
          <w:bCs/>
        </w:rPr>
        <w:t xml:space="preserve">) </w:t>
      </w:r>
      <w:r w:rsidR="008E08EF" w:rsidRPr="008E08EF">
        <w:rPr>
          <w:rFonts w:cs="Arial"/>
          <w:bCs/>
          <w:i/>
        </w:rPr>
        <w:t>impact is uncertain</w:t>
      </w:r>
      <w:r w:rsidR="008E08EF">
        <w:rPr>
          <w:rFonts w:cs="Arial"/>
          <w:bCs/>
        </w:rPr>
        <w:t>”</w:t>
      </w:r>
      <w:r w:rsidR="008E08EF">
        <w:rPr>
          <w:rStyle w:val="FootnoteReference"/>
          <w:rFonts w:cs="Arial"/>
          <w:bCs/>
        </w:rPr>
        <w:footnoteReference w:id="20"/>
      </w:r>
      <w:r w:rsidR="008E08EF">
        <w:rPr>
          <w:rFonts w:cs="Arial"/>
          <w:bCs/>
        </w:rPr>
        <w:t xml:space="preserve"> the PC has quoted several </w:t>
      </w:r>
      <w:r w:rsidR="00C14AA6">
        <w:rPr>
          <w:rFonts w:cs="Arial"/>
          <w:bCs/>
        </w:rPr>
        <w:t>submissions</w:t>
      </w:r>
      <w:r w:rsidR="008E08EF">
        <w:rPr>
          <w:rFonts w:cs="Arial"/>
          <w:bCs/>
        </w:rPr>
        <w:t xml:space="preserve"> </w:t>
      </w:r>
      <w:r w:rsidR="001026FE">
        <w:rPr>
          <w:rFonts w:cs="Arial"/>
          <w:bCs/>
        </w:rPr>
        <w:t xml:space="preserve">to apparently support its conclusion </w:t>
      </w:r>
      <w:r w:rsidR="008E08EF">
        <w:rPr>
          <w:rFonts w:cs="Arial"/>
          <w:bCs/>
        </w:rPr>
        <w:t>without substantiating the veracity of the submitters claims.</w:t>
      </w:r>
    </w:p>
    <w:p w:rsidR="00EF7F4B" w:rsidRDefault="00EF7F4B" w:rsidP="006E74F0">
      <w:pPr>
        <w:ind w:left="720" w:hanging="720"/>
        <w:rPr>
          <w:rFonts w:cs="Arial"/>
          <w:bCs/>
        </w:rPr>
      </w:pPr>
    </w:p>
    <w:p w:rsidR="00EF7F4B" w:rsidRDefault="009067DF" w:rsidP="006E74F0">
      <w:pPr>
        <w:ind w:left="720" w:hanging="720"/>
        <w:rPr>
          <w:rFonts w:cs="Arial"/>
          <w:bCs/>
        </w:rPr>
      </w:pPr>
      <w:r>
        <w:rPr>
          <w:rFonts w:cs="Arial"/>
          <w:bCs/>
        </w:rPr>
        <w:t>5.10</w:t>
      </w:r>
      <w:r w:rsidR="006E74F0">
        <w:rPr>
          <w:rFonts w:cs="Arial"/>
          <w:bCs/>
        </w:rPr>
        <w:tab/>
      </w:r>
      <w:r w:rsidR="002D3399">
        <w:rPr>
          <w:rFonts w:cs="Arial"/>
          <w:bCs/>
        </w:rPr>
        <w:t xml:space="preserve">For example, an extract from the Bell Bay Aluminium (BBA) submission is reported, where BBA </w:t>
      </w:r>
      <w:r w:rsidR="00C14AA6">
        <w:rPr>
          <w:rFonts w:cs="Arial"/>
          <w:bCs/>
        </w:rPr>
        <w:t>says</w:t>
      </w:r>
      <w:r w:rsidR="002D3399">
        <w:rPr>
          <w:rFonts w:cs="Arial"/>
          <w:bCs/>
        </w:rPr>
        <w:t xml:space="preserve"> that “</w:t>
      </w:r>
      <w:r w:rsidR="002D3399" w:rsidRPr="001026FE">
        <w:rPr>
          <w:rFonts w:cs="Arial"/>
          <w:bCs/>
          <w:i/>
        </w:rPr>
        <w:t>Following introduction of the Coastal Trading Act 2012, BBA faced increased costs from $18.20 a tonne in 2011 to $29.70 in 2012, or 63 per cent. This compared with $17.50 a tonne charged by international operators in 2012</w:t>
      </w:r>
      <w:r w:rsidR="002D3399">
        <w:rPr>
          <w:rFonts w:cs="Arial"/>
          <w:bCs/>
        </w:rPr>
        <w:t>.”</w:t>
      </w:r>
      <w:r w:rsidR="002D3399">
        <w:rPr>
          <w:rStyle w:val="FootnoteReference"/>
          <w:rFonts w:cs="Arial"/>
          <w:bCs/>
        </w:rPr>
        <w:footnoteReference w:id="21"/>
      </w:r>
    </w:p>
    <w:p w:rsidR="002D3399" w:rsidRDefault="002D3399" w:rsidP="006E74F0">
      <w:pPr>
        <w:ind w:left="720" w:hanging="720"/>
        <w:rPr>
          <w:rFonts w:cs="Arial"/>
          <w:bCs/>
        </w:rPr>
      </w:pPr>
    </w:p>
    <w:p w:rsidR="002D3399" w:rsidRDefault="009067DF" w:rsidP="006E74F0">
      <w:pPr>
        <w:ind w:left="720" w:hanging="720"/>
        <w:rPr>
          <w:rFonts w:cs="Arial"/>
          <w:bCs/>
        </w:rPr>
      </w:pPr>
      <w:r>
        <w:rPr>
          <w:rFonts w:cs="Arial"/>
          <w:bCs/>
        </w:rPr>
        <w:t>5.11</w:t>
      </w:r>
      <w:r>
        <w:rPr>
          <w:rFonts w:cs="Arial"/>
          <w:bCs/>
        </w:rPr>
        <w:tab/>
      </w:r>
      <w:r w:rsidR="002D3399">
        <w:rPr>
          <w:rFonts w:cs="Arial"/>
          <w:bCs/>
        </w:rPr>
        <w:t xml:space="preserve">The union has </w:t>
      </w:r>
      <w:r w:rsidR="00C14AA6">
        <w:rPr>
          <w:rFonts w:cs="Arial"/>
          <w:bCs/>
        </w:rPr>
        <w:t>analysed</w:t>
      </w:r>
      <w:r w:rsidR="002D3399">
        <w:rPr>
          <w:rFonts w:cs="Arial"/>
          <w:bCs/>
        </w:rPr>
        <w:t xml:space="preserve"> TL voyage data made available on the </w:t>
      </w:r>
      <w:r w:rsidR="00577CEA">
        <w:rPr>
          <w:rFonts w:cs="Arial"/>
          <w:bCs/>
        </w:rPr>
        <w:t xml:space="preserve">DIRD </w:t>
      </w:r>
      <w:r w:rsidR="002D3399">
        <w:rPr>
          <w:rFonts w:cs="Arial"/>
          <w:bCs/>
        </w:rPr>
        <w:t xml:space="preserve">website which suggests that the BBA claim does not stand up to scrutiny.  </w:t>
      </w:r>
      <w:r w:rsidR="00BC75BF">
        <w:rPr>
          <w:rFonts w:cs="Arial"/>
          <w:bCs/>
        </w:rPr>
        <w:t>That data shows that o</w:t>
      </w:r>
      <w:r w:rsidR="00BC75BF" w:rsidRPr="002D3399">
        <w:rPr>
          <w:rFonts w:cs="Arial"/>
          <w:bCs/>
        </w:rPr>
        <w:t xml:space="preserve">nly 1 of 14 voyages </w:t>
      </w:r>
      <w:r w:rsidR="00BC75BF">
        <w:rPr>
          <w:rFonts w:cs="Arial"/>
          <w:bCs/>
        </w:rPr>
        <w:t xml:space="preserve">for BBA alumina transportation </w:t>
      </w:r>
      <w:r w:rsidR="00BC75BF">
        <w:rPr>
          <w:rFonts w:cs="Arial"/>
          <w:bCs/>
        </w:rPr>
        <w:lastRenderedPageBreak/>
        <w:t>between 13 November 2012 and 31 October 2013 met the threshold</w:t>
      </w:r>
      <w:r w:rsidR="00BC75BF">
        <w:rPr>
          <w:rStyle w:val="FootnoteReference"/>
          <w:rFonts w:cs="Arial"/>
          <w:bCs/>
        </w:rPr>
        <w:footnoteReference w:id="22"/>
      </w:r>
      <w:r w:rsidR="00BC75BF">
        <w:rPr>
          <w:rFonts w:cs="Arial"/>
          <w:bCs/>
        </w:rPr>
        <w:t xml:space="preserve"> </w:t>
      </w:r>
      <w:r w:rsidR="00BC75BF" w:rsidRPr="002D3399">
        <w:rPr>
          <w:rFonts w:cs="Arial"/>
          <w:bCs/>
        </w:rPr>
        <w:t xml:space="preserve">for requiring </w:t>
      </w:r>
      <w:r w:rsidR="00BC75BF">
        <w:rPr>
          <w:rFonts w:cs="Arial"/>
          <w:bCs/>
        </w:rPr>
        <w:t xml:space="preserve">payment of </w:t>
      </w:r>
      <w:r w:rsidR="00BC75BF" w:rsidRPr="002D3399">
        <w:rPr>
          <w:rFonts w:cs="Arial"/>
          <w:bCs/>
        </w:rPr>
        <w:t>Award wages.</w:t>
      </w:r>
      <w:r w:rsidR="00BC75BF">
        <w:rPr>
          <w:rFonts w:cs="Arial"/>
          <w:bCs/>
        </w:rPr>
        <w:t xml:space="preserve">  </w:t>
      </w:r>
      <w:r w:rsidR="002D3399">
        <w:rPr>
          <w:rFonts w:cs="Arial"/>
          <w:bCs/>
        </w:rPr>
        <w:t xml:space="preserve">For the </w:t>
      </w:r>
      <w:r w:rsidR="00C14AA6">
        <w:rPr>
          <w:rFonts w:cs="Arial"/>
          <w:bCs/>
        </w:rPr>
        <w:t>remaining</w:t>
      </w:r>
      <w:r w:rsidR="002D3399">
        <w:rPr>
          <w:rFonts w:cs="Arial"/>
          <w:bCs/>
        </w:rPr>
        <w:t xml:space="preserve"> 13 voyages analysed, international wage rates would have applied.</w:t>
      </w:r>
    </w:p>
    <w:p w:rsidR="00EF7F4B" w:rsidRDefault="00EF7F4B" w:rsidP="006E74F0">
      <w:pPr>
        <w:ind w:left="720" w:hanging="720"/>
        <w:rPr>
          <w:rFonts w:cs="Arial"/>
          <w:bCs/>
        </w:rPr>
      </w:pPr>
    </w:p>
    <w:p w:rsidR="00EF7F4B" w:rsidRDefault="009067DF" w:rsidP="006E74F0">
      <w:pPr>
        <w:ind w:left="720" w:hanging="720"/>
        <w:rPr>
          <w:rFonts w:cs="Arial"/>
          <w:bCs/>
        </w:rPr>
      </w:pPr>
      <w:r>
        <w:rPr>
          <w:rFonts w:cs="Arial"/>
          <w:bCs/>
        </w:rPr>
        <w:t>5.12</w:t>
      </w:r>
      <w:r w:rsidR="006E74F0">
        <w:rPr>
          <w:rFonts w:cs="Arial"/>
          <w:bCs/>
        </w:rPr>
        <w:tab/>
      </w:r>
      <w:r w:rsidR="002D3399">
        <w:rPr>
          <w:rFonts w:cs="Arial"/>
          <w:bCs/>
        </w:rPr>
        <w:t xml:space="preserve">Accordingly, </w:t>
      </w:r>
      <w:r w:rsidR="002D3399" w:rsidRPr="002D3399">
        <w:rPr>
          <w:rFonts w:cs="Arial"/>
          <w:bCs/>
        </w:rPr>
        <w:t>If Bell Bay’s freight costs have increased</w:t>
      </w:r>
      <w:r w:rsidR="002D3399">
        <w:rPr>
          <w:rFonts w:cs="Arial"/>
          <w:bCs/>
        </w:rPr>
        <w:t xml:space="preserve"> as it submitted</w:t>
      </w:r>
      <w:r w:rsidR="002D3399" w:rsidRPr="002D3399">
        <w:rPr>
          <w:rFonts w:cs="Arial"/>
          <w:bCs/>
        </w:rPr>
        <w:t xml:space="preserve">, we cannot see how the requirement to pay Award wages </w:t>
      </w:r>
      <w:r w:rsidR="002D3399">
        <w:rPr>
          <w:rFonts w:cs="Arial"/>
          <w:bCs/>
        </w:rPr>
        <w:t xml:space="preserve">to crew on the </w:t>
      </w:r>
      <w:r w:rsidR="00C14AA6">
        <w:rPr>
          <w:rFonts w:cs="Arial"/>
          <w:bCs/>
        </w:rPr>
        <w:t>Australian</w:t>
      </w:r>
      <w:r w:rsidR="00577CEA">
        <w:rPr>
          <w:rFonts w:cs="Arial"/>
          <w:bCs/>
        </w:rPr>
        <w:t xml:space="preserve"> leg of a voyage </w:t>
      </w:r>
      <w:r w:rsidR="002D3399">
        <w:rPr>
          <w:rFonts w:cs="Arial"/>
          <w:bCs/>
        </w:rPr>
        <w:t>authorised under a TL</w:t>
      </w:r>
      <w:r w:rsidR="002D3399" w:rsidRPr="002D3399">
        <w:rPr>
          <w:rFonts w:cs="Arial"/>
          <w:bCs/>
        </w:rPr>
        <w:t xml:space="preserve"> is the cause.</w:t>
      </w:r>
    </w:p>
    <w:p w:rsidR="00EF7F4B" w:rsidRDefault="00EF7F4B" w:rsidP="006E74F0">
      <w:pPr>
        <w:ind w:left="720" w:hanging="720"/>
        <w:rPr>
          <w:rFonts w:cs="Arial"/>
          <w:bCs/>
        </w:rPr>
      </w:pPr>
    </w:p>
    <w:p w:rsidR="00A37845" w:rsidRPr="00A37845" w:rsidRDefault="009067DF" w:rsidP="00E7071C">
      <w:pPr>
        <w:ind w:left="720" w:hanging="720"/>
        <w:rPr>
          <w:rFonts w:cs="Arial"/>
          <w:bCs/>
        </w:rPr>
      </w:pPr>
      <w:r>
        <w:rPr>
          <w:rFonts w:cs="Arial"/>
          <w:bCs/>
        </w:rPr>
        <w:t>5.13</w:t>
      </w:r>
      <w:r w:rsidR="006E74F0">
        <w:rPr>
          <w:rFonts w:cs="Arial"/>
          <w:bCs/>
        </w:rPr>
        <w:tab/>
      </w:r>
      <w:r w:rsidR="002D3399">
        <w:rPr>
          <w:rFonts w:cs="Arial"/>
          <w:bCs/>
        </w:rPr>
        <w:t xml:space="preserve">Equally, the Business Council of </w:t>
      </w:r>
      <w:r w:rsidR="00C14AA6">
        <w:rPr>
          <w:rFonts w:cs="Arial"/>
          <w:bCs/>
        </w:rPr>
        <w:t>Australia</w:t>
      </w:r>
      <w:r w:rsidR="002D3399">
        <w:rPr>
          <w:rFonts w:cs="Arial"/>
          <w:bCs/>
        </w:rPr>
        <w:t xml:space="preserve"> (BCA) submission is </w:t>
      </w:r>
      <w:r w:rsidR="00C14AA6">
        <w:rPr>
          <w:rFonts w:cs="Arial"/>
          <w:bCs/>
        </w:rPr>
        <w:t>not</w:t>
      </w:r>
      <w:r w:rsidR="002D3399">
        <w:rPr>
          <w:rFonts w:cs="Arial"/>
          <w:bCs/>
        </w:rPr>
        <w:t xml:space="preserve"> only opaque,</w:t>
      </w:r>
      <w:r w:rsidR="00577CEA">
        <w:rPr>
          <w:rFonts w:cs="Arial"/>
          <w:bCs/>
        </w:rPr>
        <w:t xml:space="preserve"> but absurd, showing it has mis</w:t>
      </w:r>
      <w:r w:rsidR="002D3399">
        <w:rPr>
          <w:rFonts w:cs="Arial"/>
          <w:bCs/>
        </w:rPr>
        <w:t xml:space="preserve">understood the impact of the 2012 shipping reforms.  </w:t>
      </w:r>
      <w:r w:rsidR="00C14AA6">
        <w:rPr>
          <w:rFonts w:cs="Arial"/>
          <w:bCs/>
        </w:rPr>
        <w:t>The only way a shipper could have experienced an increase in shipping costs since 1 July 2012 is if the shipper</w:t>
      </w:r>
      <w:r w:rsidR="003F2D6D">
        <w:rPr>
          <w:rFonts w:cs="Arial"/>
          <w:bCs/>
        </w:rPr>
        <w:t>’</w:t>
      </w:r>
      <w:r w:rsidR="00C14AA6">
        <w:rPr>
          <w:rFonts w:cs="Arial"/>
          <w:bCs/>
        </w:rPr>
        <w:t xml:space="preserve">s application to carry the cargo in a ship authorised under a TL was successfully contested by a shipping operator of an Australian registered ship operating under a GL.  </w:t>
      </w:r>
      <w:r w:rsidR="00E7071C" w:rsidRPr="00E7071C">
        <w:rPr>
          <w:rFonts w:cs="Arial"/>
          <w:bCs/>
        </w:rPr>
        <w:t xml:space="preserve">The data shows that only one Tasmanian </w:t>
      </w:r>
      <w:r w:rsidR="00E7071C">
        <w:rPr>
          <w:rFonts w:cs="Arial"/>
          <w:bCs/>
        </w:rPr>
        <w:t xml:space="preserve">TL </w:t>
      </w:r>
      <w:r w:rsidR="00E7071C" w:rsidRPr="00E7071C">
        <w:rPr>
          <w:rFonts w:cs="Arial"/>
          <w:bCs/>
        </w:rPr>
        <w:t>cargo</w:t>
      </w:r>
      <w:r w:rsidR="00E7071C">
        <w:rPr>
          <w:rFonts w:cs="Arial"/>
          <w:bCs/>
        </w:rPr>
        <w:t xml:space="preserve"> </w:t>
      </w:r>
      <w:r w:rsidR="00E1160A">
        <w:rPr>
          <w:rFonts w:cs="Arial"/>
          <w:bCs/>
        </w:rPr>
        <w:t xml:space="preserve">application </w:t>
      </w:r>
      <w:r w:rsidR="00E1160A" w:rsidRPr="00E7071C">
        <w:rPr>
          <w:rFonts w:cs="Arial"/>
          <w:bCs/>
        </w:rPr>
        <w:t>was</w:t>
      </w:r>
      <w:r w:rsidR="00E7071C" w:rsidRPr="00E7071C">
        <w:rPr>
          <w:rFonts w:cs="Arial"/>
          <w:bCs/>
        </w:rPr>
        <w:t xml:space="preserve"> ‘refused’ over 18 mo</w:t>
      </w:r>
      <w:r w:rsidR="00E7071C">
        <w:rPr>
          <w:rFonts w:cs="Arial"/>
          <w:bCs/>
        </w:rPr>
        <w:t xml:space="preserve">nths, </w:t>
      </w:r>
      <w:r w:rsidR="00E7071C" w:rsidRPr="00E7071C">
        <w:rPr>
          <w:rFonts w:cs="Arial"/>
          <w:bCs/>
        </w:rPr>
        <w:t xml:space="preserve">compared with 215 Temporary Licence voyages carried out </w:t>
      </w:r>
      <w:r w:rsidR="00E7071C">
        <w:rPr>
          <w:rFonts w:cs="Arial"/>
          <w:bCs/>
        </w:rPr>
        <w:t xml:space="preserve">to or from Tasmania within </w:t>
      </w:r>
      <w:r w:rsidR="00E7071C" w:rsidRPr="00E7071C">
        <w:rPr>
          <w:rFonts w:cs="Arial"/>
          <w:bCs/>
        </w:rPr>
        <w:t xml:space="preserve">a 12-month period. </w:t>
      </w:r>
      <w:r w:rsidR="00E7071C">
        <w:rPr>
          <w:rFonts w:cs="Arial"/>
          <w:bCs/>
        </w:rPr>
        <w:t xml:space="preserve"> </w:t>
      </w:r>
      <w:r w:rsidR="00E7071C" w:rsidRPr="00E7071C">
        <w:rPr>
          <w:rFonts w:cs="Arial"/>
          <w:bCs/>
        </w:rPr>
        <w:t xml:space="preserve">It is unclear why the voyage was refused, but the </w:t>
      </w:r>
      <w:r w:rsidR="00E7071C">
        <w:rPr>
          <w:rFonts w:cs="Arial"/>
          <w:bCs/>
        </w:rPr>
        <w:t>DIRD Temporary Licence Voyage Report</w:t>
      </w:r>
      <w:r w:rsidR="00E7071C" w:rsidRPr="00E7071C">
        <w:rPr>
          <w:rFonts w:cs="Arial"/>
          <w:bCs/>
        </w:rPr>
        <w:t xml:space="preserve"> show the same cargo (50,000 tonnes of Manganese) was loaded one day later on an international flag vessel (</w:t>
      </w:r>
      <w:r w:rsidR="00E7071C" w:rsidRPr="00E7071C">
        <w:rPr>
          <w:rFonts w:cs="Arial"/>
          <w:bCs/>
          <w:i/>
        </w:rPr>
        <w:t>Doric Valour</w:t>
      </w:r>
      <w:r w:rsidR="00E7071C" w:rsidRPr="00E7071C">
        <w:rPr>
          <w:rFonts w:cs="Arial"/>
          <w:bCs/>
        </w:rPr>
        <w:t xml:space="preserve">). </w:t>
      </w:r>
      <w:r w:rsidR="00E7071C">
        <w:rPr>
          <w:rFonts w:cs="Arial"/>
          <w:bCs/>
        </w:rPr>
        <w:t xml:space="preserve"> </w:t>
      </w:r>
      <w:r w:rsidR="00E7071C" w:rsidRPr="00E7071C">
        <w:rPr>
          <w:rFonts w:cs="Arial"/>
          <w:bCs/>
        </w:rPr>
        <w:t>So it is not the case tha</w:t>
      </w:r>
      <w:r w:rsidR="00A86A66">
        <w:rPr>
          <w:rFonts w:cs="Arial"/>
          <w:bCs/>
        </w:rPr>
        <w:t>t the cargo was shifted onto a</w:t>
      </w:r>
      <w:r w:rsidR="00E7071C" w:rsidRPr="00E7071C">
        <w:rPr>
          <w:rFonts w:cs="Arial"/>
          <w:bCs/>
        </w:rPr>
        <w:t xml:space="preserve"> General Licence vessel.</w:t>
      </w:r>
      <w:r w:rsidR="00E7071C">
        <w:rPr>
          <w:rFonts w:cs="Arial"/>
          <w:bCs/>
        </w:rPr>
        <w:t xml:space="preserve">  </w:t>
      </w:r>
      <w:r w:rsidR="00A37845" w:rsidRPr="00A37845">
        <w:rPr>
          <w:rFonts w:cs="Arial"/>
          <w:bCs/>
        </w:rPr>
        <w:t>Ther</w:t>
      </w:r>
      <w:r w:rsidR="00A37845">
        <w:rPr>
          <w:rFonts w:cs="Arial"/>
          <w:bCs/>
        </w:rPr>
        <w:t xml:space="preserve">e are only 30 TL </w:t>
      </w:r>
      <w:r w:rsidR="00A37845" w:rsidRPr="00A37845">
        <w:rPr>
          <w:rFonts w:cs="Arial"/>
          <w:bCs/>
        </w:rPr>
        <w:t>voyages within 11 applications that are listed on the DIRD website as ‘Refused’.  This compares to 2,640 voyages authorised under a TL that are reported as being co</w:t>
      </w:r>
      <w:r w:rsidR="00A37845">
        <w:rPr>
          <w:rFonts w:cs="Arial"/>
          <w:bCs/>
        </w:rPr>
        <w:t>mpleted  – a refusal rate of 1%, or put another way, a successful</w:t>
      </w:r>
      <w:r w:rsidR="00E1160A">
        <w:rPr>
          <w:rFonts w:cs="Arial"/>
          <w:bCs/>
        </w:rPr>
        <w:t xml:space="preserve"> contested rate of 1%, which is extremely low.</w:t>
      </w:r>
    </w:p>
    <w:p w:rsidR="00E7071C" w:rsidRDefault="00E7071C" w:rsidP="00E1160A">
      <w:pPr>
        <w:rPr>
          <w:rFonts w:cs="Arial"/>
          <w:bCs/>
        </w:rPr>
      </w:pPr>
    </w:p>
    <w:p w:rsidR="004100C1" w:rsidRDefault="009067DF" w:rsidP="006E74F0">
      <w:pPr>
        <w:ind w:left="720" w:hanging="720"/>
        <w:rPr>
          <w:rFonts w:cs="Arial"/>
          <w:bCs/>
        </w:rPr>
      </w:pPr>
      <w:r>
        <w:rPr>
          <w:rFonts w:cs="Arial"/>
          <w:bCs/>
        </w:rPr>
        <w:t>5.14</w:t>
      </w:r>
      <w:r w:rsidR="006E74F0">
        <w:rPr>
          <w:rFonts w:cs="Arial"/>
          <w:bCs/>
        </w:rPr>
        <w:tab/>
      </w:r>
      <w:r w:rsidR="004100C1">
        <w:rPr>
          <w:rFonts w:cs="Arial"/>
          <w:bCs/>
        </w:rPr>
        <w:t>The BCA reference to an additional 1,000</w:t>
      </w:r>
      <w:r w:rsidR="00577CEA">
        <w:rPr>
          <w:rFonts w:cs="Arial"/>
          <w:bCs/>
        </w:rPr>
        <w:t xml:space="preserve"> </w:t>
      </w:r>
      <w:r w:rsidR="004100C1">
        <w:rPr>
          <w:rFonts w:cs="Arial"/>
          <w:bCs/>
        </w:rPr>
        <w:t xml:space="preserve">hours of administration is equally absurd and unbelievable.  In fact the DIRD has significantly streamlined and </w:t>
      </w:r>
      <w:r w:rsidR="00C14AA6">
        <w:rPr>
          <w:rFonts w:cs="Arial"/>
          <w:bCs/>
        </w:rPr>
        <w:t>computerised</w:t>
      </w:r>
      <w:r w:rsidR="004100C1">
        <w:rPr>
          <w:rFonts w:cs="Arial"/>
          <w:bCs/>
        </w:rPr>
        <w:t xml:space="preserve"> the </w:t>
      </w:r>
      <w:r w:rsidR="00C14AA6">
        <w:rPr>
          <w:rFonts w:cs="Arial"/>
          <w:bCs/>
        </w:rPr>
        <w:t>licensing</w:t>
      </w:r>
      <w:r w:rsidR="004100C1">
        <w:rPr>
          <w:rFonts w:cs="Arial"/>
          <w:bCs/>
        </w:rPr>
        <w:t xml:space="preserve"> administration procedures to reduce </w:t>
      </w:r>
      <w:r w:rsidR="00C14AA6">
        <w:rPr>
          <w:rFonts w:cs="Arial"/>
          <w:bCs/>
        </w:rPr>
        <w:t>human</w:t>
      </w:r>
      <w:r w:rsidR="004100C1">
        <w:rPr>
          <w:rFonts w:cs="Arial"/>
          <w:bCs/>
        </w:rPr>
        <w:t xml:space="preserve"> </w:t>
      </w:r>
      <w:r w:rsidR="00C14AA6">
        <w:rPr>
          <w:rFonts w:cs="Arial"/>
          <w:bCs/>
        </w:rPr>
        <w:t>resource</w:t>
      </w:r>
      <w:r w:rsidR="004100C1">
        <w:rPr>
          <w:rFonts w:cs="Arial"/>
          <w:bCs/>
        </w:rPr>
        <w:t xml:space="preserve"> time.  </w:t>
      </w:r>
      <w:r w:rsidR="00C14AA6">
        <w:rPr>
          <w:rFonts w:cs="Arial"/>
          <w:bCs/>
        </w:rPr>
        <w:t>Nevertheless</w:t>
      </w:r>
      <w:r w:rsidR="00577CEA">
        <w:rPr>
          <w:rFonts w:cs="Arial"/>
          <w:bCs/>
        </w:rPr>
        <w:t>, we believe that if</w:t>
      </w:r>
      <w:r w:rsidR="004100C1">
        <w:rPr>
          <w:rFonts w:cs="Arial"/>
          <w:bCs/>
        </w:rPr>
        <w:t xml:space="preserve"> </w:t>
      </w:r>
      <w:r w:rsidR="00C14AA6">
        <w:rPr>
          <w:rFonts w:cs="Arial"/>
          <w:bCs/>
        </w:rPr>
        <w:t>transactional</w:t>
      </w:r>
      <w:r w:rsidR="004100C1">
        <w:rPr>
          <w:rFonts w:cs="Arial"/>
          <w:bCs/>
        </w:rPr>
        <w:t xml:space="preserve"> costs for stakeholders in using the shipping reforms can be reduced, that should be a </w:t>
      </w:r>
      <w:r w:rsidR="00C14AA6">
        <w:rPr>
          <w:rFonts w:cs="Arial"/>
          <w:bCs/>
        </w:rPr>
        <w:t>priority</w:t>
      </w:r>
      <w:r w:rsidR="004100C1">
        <w:rPr>
          <w:rFonts w:cs="Arial"/>
          <w:bCs/>
        </w:rPr>
        <w:t xml:space="preserve"> in any review of the </w:t>
      </w:r>
      <w:r w:rsidR="00C14AA6">
        <w:rPr>
          <w:rFonts w:cs="Arial"/>
          <w:bCs/>
        </w:rPr>
        <w:t>legislation</w:t>
      </w:r>
      <w:r w:rsidR="004100C1">
        <w:rPr>
          <w:rFonts w:cs="Arial"/>
          <w:bCs/>
        </w:rPr>
        <w:t>.</w:t>
      </w:r>
    </w:p>
    <w:p w:rsidR="00E1160A" w:rsidRDefault="00E1160A" w:rsidP="001E05B7">
      <w:pPr>
        <w:rPr>
          <w:rFonts w:cs="Arial"/>
          <w:bCs/>
        </w:rPr>
      </w:pPr>
    </w:p>
    <w:p w:rsidR="00A86A66" w:rsidRDefault="009067DF" w:rsidP="00A86A66">
      <w:pPr>
        <w:ind w:left="720" w:hanging="720"/>
        <w:rPr>
          <w:rFonts w:cs="Arial"/>
          <w:bCs/>
        </w:rPr>
      </w:pPr>
      <w:r>
        <w:rPr>
          <w:rFonts w:cs="Arial"/>
          <w:bCs/>
        </w:rPr>
        <w:t>5.15</w:t>
      </w:r>
      <w:r>
        <w:rPr>
          <w:rFonts w:cs="Arial"/>
          <w:bCs/>
        </w:rPr>
        <w:tab/>
      </w:r>
      <w:r w:rsidR="000B4ADE">
        <w:rPr>
          <w:rFonts w:cs="Arial"/>
          <w:bCs/>
        </w:rPr>
        <w:t xml:space="preserve">In </w:t>
      </w:r>
      <w:r w:rsidR="00BC75BF">
        <w:rPr>
          <w:rFonts w:cs="Arial"/>
          <w:bCs/>
        </w:rPr>
        <w:t>relation</w:t>
      </w:r>
      <w:r w:rsidR="000B4ADE">
        <w:rPr>
          <w:rFonts w:cs="Arial"/>
          <w:bCs/>
        </w:rPr>
        <w:t xml:space="preserve"> to the Simplot </w:t>
      </w:r>
      <w:r w:rsidR="00BC75BF">
        <w:rPr>
          <w:rFonts w:cs="Arial"/>
          <w:bCs/>
        </w:rPr>
        <w:t>claim that</w:t>
      </w:r>
      <w:r w:rsidR="000B4ADE">
        <w:rPr>
          <w:rFonts w:cs="Arial"/>
          <w:bCs/>
        </w:rPr>
        <w:t xml:space="preserve"> </w:t>
      </w:r>
      <w:r w:rsidR="00BC75BF">
        <w:rPr>
          <w:rFonts w:cs="Arial"/>
          <w:bCs/>
        </w:rPr>
        <w:t>the</w:t>
      </w:r>
      <w:r w:rsidR="000B4ADE">
        <w:rPr>
          <w:rFonts w:cs="Arial"/>
          <w:bCs/>
        </w:rPr>
        <w:t xml:space="preserve"> FW Act added $150,000 to its Tasmania to Freemantle costs, it is not clear over what period this cost increase applied.  However, on the </w:t>
      </w:r>
      <w:r w:rsidR="00BC75BF">
        <w:rPr>
          <w:rFonts w:cs="Arial"/>
          <w:bCs/>
        </w:rPr>
        <w:t>basis</w:t>
      </w:r>
      <w:r w:rsidR="000B4ADE">
        <w:rPr>
          <w:rFonts w:cs="Arial"/>
          <w:bCs/>
        </w:rPr>
        <w:t xml:space="preserve"> that on a typical crewing </w:t>
      </w:r>
      <w:r w:rsidR="00BC75BF">
        <w:rPr>
          <w:rFonts w:cs="Arial"/>
          <w:bCs/>
        </w:rPr>
        <w:t>complement</w:t>
      </w:r>
      <w:r w:rsidR="000B4ADE">
        <w:rPr>
          <w:rFonts w:cs="Arial"/>
          <w:bCs/>
        </w:rPr>
        <w:t xml:space="preserve"> on an </w:t>
      </w:r>
      <w:r w:rsidR="00BC75BF">
        <w:rPr>
          <w:rFonts w:cs="Arial"/>
          <w:bCs/>
        </w:rPr>
        <w:t>international</w:t>
      </w:r>
      <w:r w:rsidR="000B4ADE">
        <w:rPr>
          <w:rFonts w:cs="Arial"/>
          <w:bCs/>
        </w:rPr>
        <w:t xml:space="preserve"> </w:t>
      </w:r>
      <w:r w:rsidR="00BC75BF">
        <w:rPr>
          <w:rFonts w:cs="Arial"/>
          <w:bCs/>
        </w:rPr>
        <w:t>container</w:t>
      </w:r>
      <w:r w:rsidR="000B4ADE">
        <w:rPr>
          <w:rFonts w:cs="Arial"/>
          <w:bCs/>
        </w:rPr>
        <w:t xml:space="preserve"> vessel of 26, the additional </w:t>
      </w:r>
      <w:r w:rsidR="00AE3FD0">
        <w:rPr>
          <w:rFonts w:cs="Arial"/>
          <w:bCs/>
        </w:rPr>
        <w:t>cost to</w:t>
      </w:r>
      <w:r w:rsidR="000B4ADE">
        <w:rPr>
          <w:rFonts w:cs="Arial"/>
          <w:bCs/>
        </w:rPr>
        <w:t xml:space="preserve"> the </w:t>
      </w:r>
      <w:r w:rsidR="00BC75BF">
        <w:rPr>
          <w:rFonts w:cs="Arial"/>
          <w:bCs/>
        </w:rPr>
        <w:t>operator</w:t>
      </w:r>
      <w:r w:rsidR="000B4ADE">
        <w:rPr>
          <w:rFonts w:cs="Arial"/>
          <w:bCs/>
        </w:rPr>
        <w:t xml:space="preserve"> by payment of the Part B </w:t>
      </w:r>
      <w:r w:rsidR="00A86A66">
        <w:rPr>
          <w:rFonts w:cs="Arial"/>
          <w:bCs/>
        </w:rPr>
        <w:t>rates to crew being paid less than Award rates over a journey of 4.5 days</w:t>
      </w:r>
      <w:r w:rsidR="00A86A66">
        <w:rPr>
          <w:rStyle w:val="FootnoteReference"/>
          <w:rFonts w:cs="Arial"/>
          <w:bCs/>
        </w:rPr>
        <w:footnoteReference w:id="23"/>
      </w:r>
      <w:r w:rsidR="00A86A66">
        <w:rPr>
          <w:rFonts w:cs="Arial"/>
          <w:bCs/>
        </w:rPr>
        <w:t xml:space="preserve"> is approximately </w:t>
      </w:r>
      <w:r w:rsidR="00A86A66" w:rsidRPr="000B4ADE">
        <w:rPr>
          <w:rFonts w:cs="Arial"/>
          <w:bCs/>
        </w:rPr>
        <w:t xml:space="preserve">$3,600 </w:t>
      </w:r>
      <w:r w:rsidR="00A86A66">
        <w:rPr>
          <w:rFonts w:cs="Arial"/>
          <w:bCs/>
        </w:rPr>
        <w:t>per voyage, for the whole ship’s cargo of up to 4,500 TEU.</w:t>
      </w:r>
      <w:r w:rsidR="00A86A66">
        <w:rPr>
          <w:rStyle w:val="FootnoteReference"/>
          <w:rFonts w:cs="Arial"/>
          <w:bCs/>
        </w:rPr>
        <w:footnoteReference w:id="24"/>
      </w:r>
      <w:r w:rsidR="00A86A66">
        <w:rPr>
          <w:rFonts w:cs="Arial"/>
          <w:bCs/>
        </w:rPr>
        <w:t xml:space="preserve">  To add up to an additional cost of $150,000, Simplot would have had to use a TL on 41 separate voyages ($150,000/$3,600) and be the only Australian cargo shipper on these voyages and therefore required to absorb the entire cost </w:t>
      </w:r>
      <w:r w:rsidR="00A86A66">
        <w:rPr>
          <w:rFonts w:cs="Arial"/>
          <w:bCs/>
        </w:rPr>
        <w:lastRenderedPageBreak/>
        <w:t xml:space="preserve">of the Award rates.  We query the veracity of the Simplot claim based on those facts, unless of course </w:t>
      </w:r>
      <w:r w:rsidR="00A86A66" w:rsidRPr="000B4ADE">
        <w:rPr>
          <w:rFonts w:cs="Arial"/>
          <w:bCs/>
        </w:rPr>
        <w:t xml:space="preserve">container lines are </w:t>
      </w:r>
      <w:r w:rsidR="00A86A66">
        <w:rPr>
          <w:rFonts w:cs="Arial"/>
          <w:bCs/>
        </w:rPr>
        <w:t xml:space="preserve">price </w:t>
      </w:r>
      <w:r w:rsidR="00A86A66" w:rsidRPr="000B4ADE">
        <w:rPr>
          <w:rFonts w:cs="Arial"/>
          <w:bCs/>
        </w:rPr>
        <w:t>gouging customer</w:t>
      </w:r>
      <w:r w:rsidR="00A86A66">
        <w:rPr>
          <w:rFonts w:cs="Arial"/>
          <w:bCs/>
        </w:rPr>
        <w:t>s and blaming the FW Act and Award provisions.</w:t>
      </w:r>
      <w:r w:rsidR="009149C4">
        <w:rPr>
          <w:rFonts w:cs="Arial"/>
          <w:bCs/>
        </w:rPr>
        <w:t xml:space="preserve">  If that is the case, we query why the ACCC has not addressed such price gouging.</w:t>
      </w:r>
    </w:p>
    <w:p w:rsidR="00A86A66" w:rsidRDefault="00A86A66" w:rsidP="00A86A66">
      <w:pPr>
        <w:ind w:left="720" w:hanging="720"/>
        <w:rPr>
          <w:rFonts w:cs="Arial"/>
          <w:bCs/>
        </w:rPr>
      </w:pPr>
    </w:p>
    <w:p w:rsidR="00E1160A" w:rsidRPr="00E1160A" w:rsidRDefault="00E1160A" w:rsidP="00E1160A">
      <w:pPr>
        <w:ind w:left="720" w:hanging="720"/>
        <w:rPr>
          <w:rFonts w:cs="Arial"/>
          <w:bCs/>
        </w:rPr>
      </w:pPr>
      <w:r>
        <w:rPr>
          <w:rFonts w:cs="Arial"/>
          <w:bCs/>
        </w:rPr>
        <w:t>5.16</w:t>
      </w:r>
      <w:r>
        <w:rPr>
          <w:rFonts w:cs="Arial"/>
          <w:bCs/>
        </w:rPr>
        <w:tab/>
      </w:r>
      <w:r w:rsidRPr="00E1160A">
        <w:rPr>
          <w:rFonts w:cs="Arial"/>
          <w:bCs/>
        </w:rPr>
        <w:t>In contrast to many of the claims made in the report and the submissions, it appears that competition has remained robust and trade to Tasmania h</w:t>
      </w:r>
      <w:r>
        <w:rPr>
          <w:rFonts w:cs="Arial"/>
          <w:bCs/>
        </w:rPr>
        <w:t xml:space="preserve">as actually increased since the CT Act </w:t>
      </w:r>
      <w:r w:rsidRPr="00E1160A">
        <w:rPr>
          <w:rFonts w:cs="Arial"/>
          <w:bCs/>
        </w:rPr>
        <w:t xml:space="preserve">was introduced. </w:t>
      </w:r>
      <w:r>
        <w:rPr>
          <w:rFonts w:cs="Arial"/>
          <w:bCs/>
        </w:rPr>
        <w:t xml:space="preserve"> </w:t>
      </w:r>
      <w:r w:rsidRPr="00E1160A">
        <w:rPr>
          <w:rFonts w:cs="Arial"/>
          <w:bCs/>
        </w:rPr>
        <w:t>A comparison of Statements of</w:t>
      </w:r>
      <w:r>
        <w:rPr>
          <w:rFonts w:cs="Arial"/>
          <w:bCs/>
        </w:rPr>
        <w:t xml:space="preserve"> Cargo Actually carried in 2010/</w:t>
      </w:r>
      <w:r w:rsidRPr="00E1160A">
        <w:rPr>
          <w:rFonts w:cs="Arial"/>
          <w:bCs/>
        </w:rPr>
        <w:t>11 and Temporary Licence Voyage Reports i</w:t>
      </w:r>
      <w:r>
        <w:rPr>
          <w:rFonts w:cs="Arial"/>
          <w:bCs/>
        </w:rPr>
        <w:t>n 2012/</w:t>
      </w:r>
      <w:r w:rsidRPr="00E1160A">
        <w:rPr>
          <w:rFonts w:cs="Arial"/>
          <w:bCs/>
        </w:rPr>
        <w:t xml:space="preserve">13 show that the number of domestic voyages by unlicensed international flag vessels increased by almost 50% in the two comparison periods. </w:t>
      </w:r>
      <w:r>
        <w:rPr>
          <w:rFonts w:cs="Arial"/>
          <w:bCs/>
        </w:rPr>
        <w:t xml:space="preserve"> </w:t>
      </w:r>
      <w:r w:rsidRPr="00E1160A">
        <w:rPr>
          <w:rFonts w:cs="Arial"/>
          <w:bCs/>
        </w:rPr>
        <w:t xml:space="preserve">In both time periods the voyages were carried out by over 60 different vessels, and in both time periods the majority of these vessels carried out only one or two voyages and were therefore not subject to the Fair Work Act (unless they carried out domestic voyages elsewhere in Australia). </w:t>
      </w:r>
      <w:r>
        <w:rPr>
          <w:rFonts w:cs="Arial"/>
          <w:bCs/>
        </w:rPr>
        <w:t xml:space="preserve"> </w:t>
      </w:r>
      <w:r w:rsidRPr="00E1160A">
        <w:rPr>
          <w:rFonts w:cs="Arial"/>
          <w:bCs/>
        </w:rPr>
        <w:t>This demonstrates a healthy level o</w:t>
      </w:r>
      <w:r w:rsidR="009149C4">
        <w:rPr>
          <w:rFonts w:cs="Arial"/>
          <w:bCs/>
        </w:rPr>
        <w:t xml:space="preserve">f competition and to the </w:t>
      </w:r>
      <w:r w:rsidRPr="00E1160A">
        <w:rPr>
          <w:rFonts w:cs="Arial"/>
          <w:bCs/>
        </w:rPr>
        <w:t>availa</w:t>
      </w:r>
      <w:r w:rsidR="009149C4">
        <w:rPr>
          <w:rFonts w:cs="Arial"/>
          <w:bCs/>
        </w:rPr>
        <w:t xml:space="preserve">bility of international vessels, contrary to the ACCCs </w:t>
      </w:r>
      <w:r w:rsidR="00B56666">
        <w:rPr>
          <w:rFonts w:cs="Arial"/>
          <w:bCs/>
        </w:rPr>
        <w:t>unsubstantiated</w:t>
      </w:r>
      <w:r w:rsidR="009149C4">
        <w:rPr>
          <w:rFonts w:cs="Arial"/>
          <w:bCs/>
        </w:rPr>
        <w:t xml:space="preserve"> assertions.</w:t>
      </w:r>
    </w:p>
    <w:p w:rsidR="00E1160A" w:rsidRPr="00E1160A" w:rsidRDefault="00E1160A" w:rsidP="00E1160A">
      <w:pPr>
        <w:ind w:left="720" w:hanging="720"/>
        <w:rPr>
          <w:rFonts w:cs="Arial"/>
          <w:bCs/>
        </w:rPr>
      </w:pPr>
    </w:p>
    <w:p w:rsidR="00E1160A" w:rsidRPr="00E1160A" w:rsidRDefault="00E1160A" w:rsidP="00E1160A">
      <w:pPr>
        <w:ind w:left="720" w:hanging="720"/>
        <w:rPr>
          <w:rFonts w:cs="Arial"/>
          <w:bCs/>
        </w:rPr>
      </w:pPr>
      <w:r>
        <w:rPr>
          <w:rFonts w:cs="Arial"/>
          <w:bCs/>
        </w:rPr>
        <w:t>5.17</w:t>
      </w:r>
      <w:r>
        <w:rPr>
          <w:rFonts w:cs="Arial"/>
          <w:bCs/>
        </w:rPr>
        <w:tab/>
      </w:r>
      <w:r w:rsidRPr="00E1160A">
        <w:rPr>
          <w:rFonts w:cs="Arial"/>
          <w:bCs/>
        </w:rPr>
        <w:t>It should be noted that Temporary Licence Voyage Reports refer entirely to bulk cargos (dry bulk, liquid bulk and LPG), as containers and ro-ro cargos are carried on the six Bass Strait vessels to Melbourne.</w:t>
      </w:r>
    </w:p>
    <w:p w:rsidR="000F5F38" w:rsidRPr="00E1160A" w:rsidRDefault="000F5F38" w:rsidP="009149C4">
      <w:pPr>
        <w:rPr>
          <w:rFonts w:cs="Arial"/>
          <w:bCs/>
        </w:rPr>
      </w:pPr>
    </w:p>
    <w:p w:rsidR="00E1160A" w:rsidRPr="00E1160A" w:rsidRDefault="00E1160A" w:rsidP="00E1160A">
      <w:pPr>
        <w:rPr>
          <w:rFonts w:cs="Arial"/>
          <w:b/>
          <w:bCs/>
        </w:rPr>
      </w:pPr>
      <w:r w:rsidRPr="00E1160A">
        <w:rPr>
          <w:rFonts w:cs="Arial"/>
          <w:b/>
          <w:bCs/>
        </w:rPr>
        <w:t xml:space="preserve">Figure 1: Comparison between the number of domestic voyages on international ships loading or </w:t>
      </w:r>
      <w:r>
        <w:rPr>
          <w:rFonts w:cs="Arial"/>
          <w:b/>
          <w:bCs/>
        </w:rPr>
        <w:t>discharging in Tasmania in 2010/11 and 2012/13</w:t>
      </w:r>
    </w:p>
    <w:tbl>
      <w:tblPr>
        <w:tblStyle w:val="TableGrid"/>
        <w:tblW w:w="0" w:type="auto"/>
        <w:tblLook w:val="04A0" w:firstRow="1" w:lastRow="0" w:firstColumn="1" w:lastColumn="0" w:noHBand="0" w:noVBand="1"/>
      </w:tblPr>
      <w:tblGrid>
        <w:gridCol w:w="1242"/>
        <w:gridCol w:w="2317"/>
        <w:gridCol w:w="1655"/>
        <w:gridCol w:w="1659"/>
        <w:gridCol w:w="2108"/>
      </w:tblGrid>
      <w:tr w:rsidR="00E1160A" w:rsidRPr="00E1160A" w:rsidTr="000F5F38">
        <w:tc>
          <w:tcPr>
            <w:tcW w:w="1242" w:type="dxa"/>
            <w:shd w:val="clear" w:color="auto" w:fill="C6D9F1" w:themeFill="text2" w:themeFillTint="33"/>
          </w:tcPr>
          <w:p w:rsidR="00E1160A" w:rsidRPr="00E1160A" w:rsidRDefault="00E1160A" w:rsidP="00E1160A">
            <w:pPr>
              <w:ind w:left="720" w:hanging="720"/>
              <w:rPr>
                <w:rFonts w:cs="Arial"/>
                <w:b/>
                <w:bCs/>
              </w:rPr>
            </w:pPr>
          </w:p>
        </w:tc>
        <w:tc>
          <w:tcPr>
            <w:tcW w:w="2317" w:type="dxa"/>
            <w:shd w:val="clear" w:color="auto" w:fill="C6D9F1" w:themeFill="text2" w:themeFillTint="33"/>
          </w:tcPr>
          <w:p w:rsidR="00E1160A" w:rsidRPr="00E1160A" w:rsidRDefault="00E1160A" w:rsidP="00E1160A">
            <w:pPr>
              <w:ind w:left="720" w:hanging="720"/>
              <w:rPr>
                <w:rFonts w:cs="Arial"/>
                <w:b/>
                <w:bCs/>
              </w:rPr>
            </w:pPr>
            <w:r w:rsidRPr="00E1160A">
              <w:rPr>
                <w:rFonts w:cs="Arial"/>
                <w:b/>
                <w:bCs/>
              </w:rPr>
              <w:t>Number of voyages loading or discharging in Tasmania on international vessels</w:t>
            </w:r>
          </w:p>
        </w:tc>
        <w:tc>
          <w:tcPr>
            <w:tcW w:w="1655" w:type="dxa"/>
            <w:shd w:val="clear" w:color="auto" w:fill="C6D9F1" w:themeFill="text2" w:themeFillTint="33"/>
          </w:tcPr>
          <w:p w:rsidR="00E1160A" w:rsidRPr="00E1160A" w:rsidRDefault="00E1160A" w:rsidP="00E1160A">
            <w:pPr>
              <w:ind w:left="720" w:hanging="720"/>
              <w:rPr>
                <w:rFonts w:cs="Arial"/>
                <w:b/>
                <w:bCs/>
              </w:rPr>
            </w:pPr>
            <w:r w:rsidRPr="00E1160A">
              <w:rPr>
                <w:rFonts w:cs="Arial"/>
                <w:b/>
                <w:bCs/>
              </w:rPr>
              <w:t>Number of ships</w:t>
            </w:r>
          </w:p>
        </w:tc>
        <w:tc>
          <w:tcPr>
            <w:tcW w:w="1659" w:type="dxa"/>
            <w:shd w:val="clear" w:color="auto" w:fill="C6D9F1" w:themeFill="text2" w:themeFillTint="33"/>
          </w:tcPr>
          <w:p w:rsidR="00E1160A" w:rsidRPr="00E1160A" w:rsidRDefault="00E1160A" w:rsidP="00E1160A">
            <w:pPr>
              <w:ind w:left="720" w:hanging="720"/>
              <w:rPr>
                <w:rFonts w:cs="Arial"/>
                <w:b/>
                <w:bCs/>
              </w:rPr>
            </w:pPr>
            <w:r w:rsidRPr="00E1160A">
              <w:rPr>
                <w:rFonts w:cs="Arial"/>
                <w:b/>
                <w:bCs/>
              </w:rPr>
              <w:t>Ships with 15+ voyages</w:t>
            </w:r>
          </w:p>
        </w:tc>
        <w:tc>
          <w:tcPr>
            <w:tcW w:w="2108" w:type="dxa"/>
            <w:shd w:val="clear" w:color="auto" w:fill="C6D9F1" w:themeFill="text2" w:themeFillTint="33"/>
          </w:tcPr>
          <w:p w:rsidR="00E1160A" w:rsidRPr="00E1160A" w:rsidRDefault="00E1160A" w:rsidP="00E1160A">
            <w:pPr>
              <w:ind w:left="720" w:hanging="720"/>
              <w:rPr>
                <w:rFonts w:cs="Arial"/>
                <w:b/>
                <w:bCs/>
              </w:rPr>
            </w:pPr>
            <w:r w:rsidRPr="00E1160A">
              <w:rPr>
                <w:rFonts w:cs="Arial"/>
                <w:b/>
                <w:bCs/>
              </w:rPr>
              <w:t>Ships with 1-2 voyages</w:t>
            </w:r>
          </w:p>
        </w:tc>
      </w:tr>
      <w:tr w:rsidR="00E1160A" w:rsidRPr="00E1160A" w:rsidTr="000F5F38">
        <w:tc>
          <w:tcPr>
            <w:tcW w:w="1242" w:type="dxa"/>
          </w:tcPr>
          <w:p w:rsidR="00E1160A" w:rsidRPr="00E1160A" w:rsidRDefault="00E1160A" w:rsidP="00E1160A">
            <w:pPr>
              <w:ind w:left="720" w:hanging="720"/>
              <w:rPr>
                <w:rFonts w:cs="Arial"/>
                <w:bCs/>
              </w:rPr>
            </w:pPr>
            <w:r w:rsidRPr="00E1160A">
              <w:rPr>
                <w:rFonts w:cs="Arial"/>
                <w:bCs/>
              </w:rPr>
              <w:t>2010-11</w:t>
            </w:r>
          </w:p>
        </w:tc>
        <w:tc>
          <w:tcPr>
            <w:tcW w:w="2317" w:type="dxa"/>
          </w:tcPr>
          <w:p w:rsidR="00E1160A" w:rsidRPr="00E1160A" w:rsidRDefault="00E1160A" w:rsidP="00E1160A">
            <w:pPr>
              <w:ind w:left="720" w:hanging="720"/>
              <w:rPr>
                <w:rFonts w:cs="Arial"/>
                <w:bCs/>
              </w:rPr>
            </w:pPr>
            <w:r w:rsidRPr="00E1160A">
              <w:rPr>
                <w:rFonts w:cs="Arial"/>
                <w:bCs/>
              </w:rPr>
              <w:t>146</w:t>
            </w:r>
          </w:p>
        </w:tc>
        <w:tc>
          <w:tcPr>
            <w:tcW w:w="1655" w:type="dxa"/>
          </w:tcPr>
          <w:p w:rsidR="00E1160A" w:rsidRPr="00E1160A" w:rsidRDefault="00E1160A" w:rsidP="00E1160A">
            <w:pPr>
              <w:ind w:left="720" w:hanging="720"/>
              <w:rPr>
                <w:rFonts w:cs="Arial"/>
                <w:bCs/>
              </w:rPr>
            </w:pPr>
            <w:r w:rsidRPr="00E1160A">
              <w:rPr>
                <w:rFonts w:cs="Arial"/>
                <w:bCs/>
              </w:rPr>
              <w:t>61</w:t>
            </w:r>
          </w:p>
        </w:tc>
        <w:tc>
          <w:tcPr>
            <w:tcW w:w="1659" w:type="dxa"/>
          </w:tcPr>
          <w:p w:rsidR="00E1160A" w:rsidRPr="00E1160A" w:rsidRDefault="00E1160A" w:rsidP="00E1160A">
            <w:pPr>
              <w:ind w:left="720" w:hanging="720"/>
              <w:rPr>
                <w:rFonts w:cs="Arial"/>
                <w:bCs/>
              </w:rPr>
            </w:pPr>
            <w:r w:rsidRPr="00E1160A">
              <w:rPr>
                <w:rFonts w:cs="Arial"/>
                <w:bCs/>
              </w:rPr>
              <w:t>2</w:t>
            </w:r>
          </w:p>
        </w:tc>
        <w:tc>
          <w:tcPr>
            <w:tcW w:w="2108" w:type="dxa"/>
          </w:tcPr>
          <w:p w:rsidR="00E1160A" w:rsidRPr="00E1160A" w:rsidRDefault="00E1160A" w:rsidP="00E1160A">
            <w:pPr>
              <w:ind w:left="720" w:hanging="720"/>
              <w:rPr>
                <w:rFonts w:cs="Arial"/>
                <w:bCs/>
              </w:rPr>
            </w:pPr>
            <w:r w:rsidRPr="00E1160A">
              <w:rPr>
                <w:rFonts w:cs="Arial"/>
                <w:bCs/>
              </w:rPr>
              <w:t>48</w:t>
            </w:r>
          </w:p>
        </w:tc>
      </w:tr>
      <w:tr w:rsidR="00E1160A" w:rsidRPr="00E1160A" w:rsidTr="000F5F38">
        <w:tc>
          <w:tcPr>
            <w:tcW w:w="1242" w:type="dxa"/>
          </w:tcPr>
          <w:p w:rsidR="00E1160A" w:rsidRPr="00E1160A" w:rsidRDefault="00E1160A" w:rsidP="00E1160A">
            <w:pPr>
              <w:ind w:left="720" w:hanging="720"/>
              <w:rPr>
                <w:rFonts w:cs="Arial"/>
                <w:bCs/>
              </w:rPr>
            </w:pPr>
            <w:r w:rsidRPr="00E1160A">
              <w:rPr>
                <w:rFonts w:cs="Arial"/>
                <w:bCs/>
              </w:rPr>
              <w:t>2012-13</w:t>
            </w:r>
          </w:p>
        </w:tc>
        <w:tc>
          <w:tcPr>
            <w:tcW w:w="2317" w:type="dxa"/>
          </w:tcPr>
          <w:p w:rsidR="00E1160A" w:rsidRPr="00E1160A" w:rsidRDefault="00E1160A" w:rsidP="00E1160A">
            <w:pPr>
              <w:ind w:left="720" w:hanging="720"/>
              <w:rPr>
                <w:rFonts w:cs="Arial"/>
                <w:bCs/>
              </w:rPr>
            </w:pPr>
            <w:r w:rsidRPr="00E1160A">
              <w:rPr>
                <w:rFonts w:cs="Arial"/>
                <w:bCs/>
              </w:rPr>
              <w:t>215</w:t>
            </w:r>
          </w:p>
        </w:tc>
        <w:tc>
          <w:tcPr>
            <w:tcW w:w="1655" w:type="dxa"/>
          </w:tcPr>
          <w:p w:rsidR="00E1160A" w:rsidRPr="00E1160A" w:rsidRDefault="00E1160A" w:rsidP="00E1160A">
            <w:pPr>
              <w:ind w:left="720" w:hanging="720"/>
              <w:rPr>
                <w:rFonts w:cs="Arial"/>
                <w:bCs/>
              </w:rPr>
            </w:pPr>
            <w:r w:rsidRPr="00E1160A">
              <w:rPr>
                <w:rFonts w:cs="Arial"/>
                <w:bCs/>
              </w:rPr>
              <w:t>64</w:t>
            </w:r>
          </w:p>
        </w:tc>
        <w:tc>
          <w:tcPr>
            <w:tcW w:w="1659" w:type="dxa"/>
          </w:tcPr>
          <w:p w:rsidR="00E1160A" w:rsidRPr="00E1160A" w:rsidRDefault="00E1160A" w:rsidP="00E1160A">
            <w:pPr>
              <w:ind w:left="720" w:hanging="720"/>
              <w:rPr>
                <w:rFonts w:cs="Arial"/>
                <w:bCs/>
              </w:rPr>
            </w:pPr>
            <w:r w:rsidRPr="00E1160A">
              <w:rPr>
                <w:rFonts w:cs="Arial"/>
                <w:bCs/>
              </w:rPr>
              <w:t>4</w:t>
            </w:r>
          </w:p>
        </w:tc>
        <w:tc>
          <w:tcPr>
            <w:tcW w:w="2108" w:type="dxa"/>
          </w:tcPr>
          <w:p w:rsidR="00E1160A" w:rsidRPr="00E1160A" w:rsidRDefault="00E1160A" w:rsidP="00E1160A">
            <w:pPr>
              <w:ind w:left="720" w:hanging="720"/>
              <w:rPr>
                <w:rFonts w:cs="Arial"/>
                <w:bCs/>
              </w:rPr>
            </w:pPr>
            <w:r w:rsidRPr="00E1160A">
              <w:rPr>
                <w:rFonts w:cs="Arial"/>
                <w:bCs/>
              </w:rPr>
              <w:t>41</w:t>
            </w:r>
          </w:p>
        </w:tc>
      </w:tr>
    </w:tbl>
    <w:p w:rsidR="00E1160A" w:rsidRDefault="00E1160A" w:rsidP="00E1160A">
      <w:pPr>
        <w:rPr>
          <w:rFonts w:cs="Arial"/>
          <w:bCs/>
        </w:rPr>
      </w:pPr>
      <w:r w:rsidRPr="00E1160A">
        <w:rPr>
          <w:rFonts w:cs="Arial"/>
          <w:b/>
          <w:bCs/>
        </w:rPr>
        <w:t>Source:</w:t>
      </w:r>
      <w:r>
        <w:rPr>
          <w:rFonts w:cs="Arial"/>
          <w:bCs/>
        </w:rPr>
        <w:t xml:space="preserve"> </w:t>
      </w:r>
      <w:r w:rsidRPr="00E1160A">
        <w:rPr>
          <w:rFonts w:cs="Arial"/>
          <w:bCs/>
        </w:rPr>
        <w:t>The data is taken from the Statements of Cargo Actually Carried provided by the Department (2010-11) and from Temporary Licence Voyage Reports (2012-13)</w:t>
      </w:r>
      <w:r w:rsidR="00A86A66">
        <w:rPr>
          <w:rFonts w:cs="Arial"/>
          <w:bCs/>
        </w:rPr>
        <w:t xml:space="preserve"> </w:t>
      </w:r>
      <w:r w:rsidR="00A86A66" w:rsidRPr="00A86A66">
        <w:rPr>
          <w:rFonts w:cs="Arial"/>
          <w:bCs/>
        </w:rPr>
        <w:t xml:space="preserve">and because the transition to TLs was not </w:t>
      </w:r>
      <w:r w:rsidR="00F136DA">
        <w:rPr>
          <w:rFonts w:cs="Arial"/>
          <w:bCs/>
        </w:rPr>
        <w:t>complete until 31 October 2012</w:t>
      </w:r>
      <w:r w:rsidRPr="00E1160A">
        <w:rPr>
          <w:rFonts w:cs="Arial"/>
          <w:bCs/>
        </w:rPr>
        <w:t>.</w:t>
      </w:r>
    </w:p>
    <w:p w:rsidR="00E1160A" w:rsidRDefault="00E1160A" w:rsidP="00E1160A">
      <w:pPr>
        <w:ind w:left="720" w:hanging="720"/>
        <w:rPr>
          <w:rFonts w:cs="Arial"/>
          <w:bCs/>
        </w:rPr>
      </w:pPr>
    </w:p>
    <w:p w:rsidR="00E1160A" w:rsidRPr="00E1160A" w:rsidRDefault="00E1160A" w:rsidP="00E1160A">
      <w:pPr>
        <w:rPr>
          <w:rFonts w:cs="Arial"/>
          <w:bCs/>
        </w:rPr>
      </w:pPr>
      <w:r w:rsidRPr="00E1160A">
        <w:rPr>
          <w:rFonts w:cs="Arial"/>
          <w:b/>
          <w:bCs/>
        </w:rPr>
        <w:t>Note:</w:t>
      </w:r>
      <w:r>
        <w:rPr>
          <w:rFonts w:cs="Arial"/>
          <w:bCs/>
        </w:rPr>
        <w:t xml:space="preserve"> </w:t>
      </w:r>
      <w:r w:rsidRPr="00E1160A">
        <w:rPr>
          <w:rFonts w:cs="Arial"/>
          <w:bCs/>
        </w:rPr>
        <w:t>*In each case the data is from 1 November to 31 October for the years specified. This is because of a gap in the data made available by the Department between November 2011 and June 2012.</w:t>
      </w:r>
    </w:p>
    <w:p w:rsidR="00E1160A" w:rsidRDefault="00E1160A" w:rsidP="009067DF">
      <w:pPr>
        <w:ind w:left="720" w:hanging="720"/>
        <w:rPr>
          <w:rFonts w:cs="Arial"/>
          <w:bCs/>
        </w:rPr>
      </w:pPr>
    </w:p>
    <w:p w:rsidR="00EF7F4B" w:rsidRPr="00165C62" w:rsidRDefault="00E76B2D" w:rsidP="00E76B2D">
      <w:pPr>
        <w:rPr>
          <w:rFonts w:cs="Arial"/>
          <w:bCs/>
          <w:i/>
        </w:rPr>
      </w:pPr>
      <w:r w:rsidRPr="00A37845">
        <w:rPr>
          <w:rFonts w:cs="Arial"/>
          <w:b/>
          <w:bCs/>
          <w:i/>
        </w:rPr>
        <w:t>Information request:</w:t>
      </w:r>
      <w:r>
        <w:rPr>
          <w:rFonts w:cs="Arial"/>
          <w:bCs/>
          <w:i/>
        </w:rPr>
        <w:t xml:space="preserve"> </w:t>
      </w:r>
      <w:r w:rsidR="00165C62" w:rsidRPr="00165C62">
        <w:rPr>
          <w:rFonts w:cs="Arial"/>
          <w:bCs/>
          <w:i/>
        </w:rPr>
        <w:t>What specific benefits would there be for Tasmanian shippers from removing restrictions on coastal shipping?</w:t>
      </w:r>
    </w:p>
    <w:p w:rsidR="00EF7F4B" w:rsidRDefault="00EF7F4B" w:rsidP="009067DF">
      <w:pPr>
        <w:ind w:left="720" w:hanging="720"/>
        <w:rPr>
          <w:rFonts w:cs="Arial"/>
          <w:bCs/>
        </w:rPr>
      </w:pPr>
    </w:p>
    <w:p w:rsidR="00EF7F4B" w:rsidRDefault="00E1160A" w:rsidP="009067DF">
      <w:pPr>
        <w:ind w:left="720" w:hanging="720"/>
        <w:rPr>
          <w:rFonts w:cs="Arial"/>
          <w:bCs/>
        </w:rPr>
      </w:pPr>
      <w:r>
        <w:rPr>
          <w:rFonts w:cs="Arial"/>
          <w:bCs/>
        </w:rPr>
        <w:t>5.18</w:t>
      </w:r>
      <w:r w:rsidR="00BC75BF">
        <w:rPr>
          <w:rFonts w:cs="Arial"/>
          <w:bCs/>
        </w:rPr>
        <w:tab/>
        <w:t xml:space="preserve">One matter we suggest the PC examine if it proceeds with its suggestion that restrictions on coastal shipping be removed (by </w:t>
      </w:r>
      <w:r w:rsidR="00BC75BF" w:rsidRPr="00165C62">
        <w:rPr>
          <w:rFonts w:cs="Arial"/>
          <w:bCs/>
        </w:rPr>
        <w:t>repeal of the CT Act</w:t>
      </w:r>
      <w:r w:rsidR="00BC75BF">
        <w:rPr>
          <w:rFonts w:cs="Arial"/>
          <w:bCs/>
        </w:rPr>
        <w:t xml:space="preserve">), </w:t>
      </w:r>
      <w:r w:rsidR="00F136DA">
        <w:rPr>
          <w:rFonts w:cs="Arial"/>
          <w:bCs/>
        </w:rPr>
        <w:t>(</w:t>
      </w:r>
      <w:r w:rsidR="00BC75BF">
        <w:rPr>
          <w:rFonts w:cs="Arial"/>
          <w:bCs/>
        </w:rPr>
        <w:t xml:space="preserve">which presumably is being suggested by the PC so that Tasmania to Melbourne </w:t>
      </w:r>
      <w:r w:rsidR="00DF0F50">
        <w:rPr>
          <w:rFonts w:cs="Arial"/>
          <w:bCs/>
        </w:rPr>
        <w:t>cargo</w:t>
      </w:r>
      <w:r w:rsidR="00BC75BF">
        <w:rPr>
          <w:rFonts w:cs="Arial"/>
          <w:bCs/>
        </w:rPr>
        <w:t xml:space="preserve"> be carried in international ships under circumstances </w:t>
      </w:r>
      <w:r w:rsidR="00BC75BF">
        <w:rPr>
          <w:rFonts w:cs="Arial"/>
          <w:bCs/>
        </w:rPr>
        <w:lastRenderedPageBreak/>
        <w:t>where the foreign crew on those ships would be paid international standards and not FW Act and Award standards</w:t>
      </w:r>
      <w:r w:rsidR="00F136DA">
        <w:rPr>
          <w:rFonts w:cs="Arial"/>
          <w:bCs/>
        </w:rPr>
        <w:t>)</w:t>
      </w:r>
      <w:r w:rsidR="00BC75BF">
        <w:rPr>
          <w:rFonts w:cs="Arial"/>
          <w:bCs/>
        </w:rPr>
        <w:t xml:space="preserve"> is the Customs requirements for those ships and associated visa requirements for the foreign crew on imported ships.  </w:t>
      </w:r>
    </w:p>
    <w:p w:rsidR="00EF7F4B" w:rsidRDefault="00EF7F4B" w:rsidP="009067DF">
      <w:pPr>
        <w:ind w:left="720" w:hanging="720"/>
        <w:rPr>
          <w:rFonts w:cs="Arial"/>
          <w:bCs/>
        </w:rPr>
      </w:pPr>
    </w:p>
    <w:p w:rsidR="00123E8E" w:rsidRDefault="00E1160A" w:rsidP="009067DF">
      <w:pPr>
        <w:ind w:left="720" w:hanging="720"/>
        <w:rPr>
          <w:rFonts w:cs="Arial"/>
          <w:bCs/>
        </w:rPr>
      </w:pPr>
      <w:r>
        <w:rPr>
          <w:rFonts w:cs="Arial"/>
          <w:bCs/>
        </w:rPr>
        <w:t>5.19</w:t>
      </w:r>
      <w:r w:rsidR="00BC75BF">
        <w:rPr>
          <w:rFonts w:cs="Arial"/>
          <w:bCs/>
        </w:rPr>
        <w:tab/>
        <w:t>As the PC would be aware, repeal of the CT Act would remove the protection of s</w:t>
      </w:r>
      <w:r w:rsidR="00BC75BF" w:rsidRPr="00123E8E">
        <w:rPr>
          <w:rFonts w:cs="Arial"/>
          <w:bCs/>
        </w:rPr>
        <w:t xml:space="preserve">112 </w:t>
      </w:r>
      <w:r w:rsidR="00BC75BF">
        <w:rPr>
          <w:rFonts w:cs="Arial"/>
          <w:bCs/>
        </w:rPr>
        <w:t>(</w:t>
      </w:r>
      <w:r w:rsidR="00BC75BF" w:rsidRPr="00123E8E">
        <w:rPr>
          <w:rFonts w:cs="Arial"/>
          <w:bCs/>
        </w:rPr>
        <w:t>Customs treatment of certain vessels</w:t>
      </w:r>
      <w:r w:rsidR="00BC75BF">
        <w:rPr>
          <w:rFonts w:cs="Arial"/>
          <w:bCs/>
        </w:rPr>
        <w:t xml:space="preserve">) such that those ships, if regularly trading the Tasmania to mainland route, would presumably be determined by Customs to be imported and as a consequence the </w:t>
      </w:r>
      <w:r w:rsidR="00BC75BF" w:rsidRPr="00123E8E">
        <w:rPr>
          <w:rFonts w:cs="Arial"/>
          <w:bCs/>
        </w:rPr>
        <w:t xml:space="preserve">Maritime Crew Visa </w:t>
      </w:r>
      <w:r w:rsidR="009149C4">
        <w:rPr>
          <w:rFonts w:cs="Arial"/>
          <w:bCs/>
        </w:rPr>
        <w:t xml:space="preserve">(MCV) </w:t>
      </w:r>
      <w:r w:rsidR="00BC75BF">
        <w:rPr>
          <w:rFonts w:cs="Arial"/>
          <w:bCs/>
        </w:rPr>
        <w:t>5 day rule would apply, resulting in those seafarers requiring another form of visa that provides work rights.</w:t>
      </w:r>
    </w:p>
    <w:p w:rsidR="00123E8E" w:rsidRDefault="00123E8E" w:rsidP="009067DF">
      <w:pPr>
        <w:ind w:left="720" w:hanging="720"/>
        <w:rPr>
          <w:rFonts w:cs="Arial"/>
          <w:bCs/>
        </w:rPr>
      </w:pPr>
    </w:p>
    <w:p w:rsidR="00123E8E" w:rsidRDefault="00E1160A" w:rsidP="009067DF">
      <w:pPr>
        <w:ind w:left="720" w:hanging="720"/>
        <w:rPr>
          <w:rFonts w:cs="Arial"/>
          <w:bCs/>
        </w:rPr>
      </w:pPr>
      <w:r>
        <w:rPr>
          <w:rFonts w:cs="Arial"/>
          <w:bCs/>
        </w:rPr>
        <w:t>5.20</w:t>
      </w:r>
      <w:r w:rsidR="009067DF">
        <w:rPr>
          <w:rFonts w:cs="Arial"/>
          <w:bCs/>
        </w:rPr>
        <w:tab/>
      </w:r>
      <w:r w:rsidR="00123E8E">
        <w:rPr>
          <w:rFonts w:cs="Arial"/>
          <w:bCs/>
        </w:rPr>
        <w:t xml:space="preserve">Such a visa, like the 457 Visa, requires </w:t>
      </w:r>
      <w:r w:rsidR="00BC75BF">
        <w:rPr>
          <w:rFonts w:cs="Arial"/>
          <w:bCs/>
        </w:rPr>
        <w:t>payment</w:t>
      </w:r>
      <w:r w:rsidR="00123E8E">
        <w:rPr>
          <w:rFonts w:cs="Arial"/>
          <w:bCs/>
        </w:rPr>
        <w:t xml:space="preserve"> of market rates.  </w:t>
      </w:r>
      <w:r w:rsidR="00BC75BF">
        <w:rPr>
          <w:rFonts w:cs="Arial"/>
          <w:bCs/>
        </w:rPr>
        <w:t>In those circumstances, payment of Part B Award rates may well be a more attractive proposition.</w:t>
      </w:r>
    </w:p>
    <w:p w:rsidR="00123E8E" w:rsidRDefault="00123E8E" w:rsidP="009067DF">
      <w:pPr>
        <w:ind w:left="720" w:hanging="720"/>
        <w:rPr>
          <w:rFonts w:cs="Arial"/>
          <w:bCs/>
        </w:rPr>
      </w:pPr>
    </w:p>
    <w:p w:rsidR="00DF0F50" w:rsidRDefault="00E1160A" w:rsidP="009067DF">
      <w:pPr>
        <w:ind w:left="720" w:hanging="720"/>
        <w:rPr>
          <w:rFonts w:cs="Arial"/>
          <w:bCs/>
        </w:rPr>
      </w:pPr>
      <w:r>
        <w:rPr>
          <w:rFonts w:cs="Arial"/>
          <w:bCs/>
        </w:rPr>
        <w:t>5.21</w:t>
      </w:r>
      <w:r w:rsidR="008B7422">
        <w:rPr>
          <w:rFonts w:cs="Arial"/>
          <w:bCs/>
        </w:rPr>
        <w:tab/>
      </w:r>
      <w:r w:rsidR="00DF0F50">
        <w:rPr>
          <w:rFonts w:cs="Arial"/>
          <w:bCs/>
        </w:rPr>
        <w:t xml:space="preserve">We note that the PC has not outlined how it believes the High Court judgement of 2003 </w:t>
      </w:r>
      <w:r w:rsidR="00DF0F50" w:rsidRPr="00DF0F50">
        <w:rPr>
          <w:rFonts w:cs="Arial"/>
          <w:bCs/>
        </w:rPr>
        <w:t xml:space="preserve">(in </w:t>
      </w:r>
      <w:r w:rsidR="00DF0F50" w:rsidRPr="008B7422">
        <w:rPr>
          <w:rFonts w:cs="Arial"/>
          <w:bCs/>
          <w:i/>
        </w:rPr>
        <w:t>Re The Maritime Union of Australia &amp; Ors; Ex parte CSL Pacific Shipping Inc [2003] HCA 43 - Gleeson CJ, McHugh, Gummow, Kirby, Hayne, Callinan and Heydon JJ - 7 August 2003</w:t>
      </w:r>
      <w:r w:rsidR="00DF0F50" w:rsidRPr="00DF0F50">
        <w:rPr>
          <w:rFonts w:cs="Arial"/>
          <w:bCs/>
        </w:rPr>
        <w:t xml:space="preserve">) </w:t>
      </w:r>
      <w:r w:rsidR="008B7422">
        <w:rPr>
          <w:rFonts w:cs="Arial"/>
          <w:bCs/>
        </w:rPr>
        <w:t xml:space="preserve">where </w:t>
      </w:r>
      <w:r w:rsidR="00DF0F50" w:rsidRPr="00DF0F50">
        <w:rPr>
          <w:rFonts w:cs="Arial"/>
          <w:bCs/>
        </w:rPr>
        <w:t xml:space="preserve"> the High Court held that the Australian industrial regulator (currently the Fair Work Commission) has jurisdiction to apply Australian Award conditions to a foreign flagged vessel with foreign crew whilst engaged in the Australian coastal trade</w:t>
      </w:r>
      <w:r w:rsidR="009149C4">
        <w:rPr>
          <w:rFonts w:cs="Arial"/>
          <w:bCs/>
        </w:rPr>
        <w:t>, might be addressed</w:t>
      </w:r>
      <w:r w:rsidR="00DF0F50" w:rsidRPr="00DF0F50">
        <w:rPr>
          <w:rFonts w:cs="Arial"/>
          <w:bCs/>
        </w:rPr>
        <w:t>.</w:t>
      </w:r>
      <w:r w:rsidR="009149C4">
        <w:rPr>
          <w:rFonts w:cs="Arial"/>
          <w:bCs/>
        </w:rPr>
        <w:t xml:space="preserve"> The PC</w:t>
      </w:r>
      <w:r w:rsidR="008B7422">
        <w:rPr>
          <w:rFonts w:cs="Arial"/>
          <w:bCs/>
        </w:rPr>
        <w:t xml:space="preserve"> proposition that removing the provisions of the CT Act will have some </w:t>
      </w:r>
      <w:r w:rsidR="00C8551F">
        <w:rPr>
          <w:rFonts w:cs="Arial"/>
          <w:bCs/>
        </w:rPr>
        <w:t>dramatic</w:t>
      </w:r>
      <w:r w:rsidR="008B7422">
        <w:rPr>
          <w:rFonts w:cs="Arial"/>
          <w:bCs/>
        </w:rPr>
        <w:t xml:space="preserve"> labour cost impact may be unduly raising </w:t>
      </w:r>
      <w:r w:rsidR="009149C4">
        <w:rPr>
          <w:rFonts w:cs="Arial"/>
          <w:bCs/>
        </w:rPr>
        <w:t xml:space="preserve">undeliverable </w:t>
      </w:r>
      <w:r w:rsidR="008B7422">
        <w:rPr>
          <w:rFonts w:cs="Arial"/>
          <w:bCs/>
        </w:rPr>
        <w:t>expectations.</w:t>
      </w:r>
    </w:p>
    <w:p w:rsidR="008B7422" w:rsidRDefault="008B7422" w:rsidP="009067DF">
      <w:pPr>
        <w:ind w:left="720" w:hanging="720"/>
        <w:rPr>
          <w:rFonts w:cs="Arial"/>
          <w:bCs/>
        </w:rPr>
      </w:pPr>
    </w:p>
    <w:p w:rsidR="00123E8E" w:rsidRDefault="008B7422" w:rsidP="009067DF">
      <w:pPr>
        <w:ind w:left="720" w:hanging="720"/>
        <w:rPr>
          <w:rFonts w:cs="Arial"/>
          <w:bCs/>
        </w:rPr>
      </w:pPr>
      <w:r>
        <w:rPr>
          <w:rFonts w:cs="Arial"/>
          <w:bCs/>
        </w:rPr>
        <w:t>5.</w:t>
      </w:r>
      <w:r w:rsidR="00E1160A">
        <w:rPr>
          <w:rFonts w:cs="Arial"/>
          <w:bCs/>
        </w:rPr>
        <w:t>22</w:t>
      </w:r>
      <w:r w:rsidR="00BC75BF">
        <w:rPr>
          <w:rFonts w:cs="Arial"/>
          <w:bCs/>
        </w:rPr>
        <w:tab/>
        <w:t>We note that the PC has asserted that there is little evidence that the productivity compact between the Australian Shipowners Association and the maritime unions has delivered benefits, and as a result has sought to discredit the fundamentals of the Regulation Impact Statement</w:t>
      </w:r>
      <w:r>
        <w:rPr>
          <w:rFonts w:cs="Arial"/>
          <w:bCs/>
        </w:rPr>
        <w:t xml:space="preserve"> (RIS)</w:t>
      </w:r>
      <w:r w:rsidR="00BC75BF">
        <w:rPr>
          <w:rFonts w:cs="Arial"/>
          <w:bCs/>
        </w:rPr>
        <w:t xml:space="preserve"> that accompanied the exposure draft </w:t>
      </w:r>
      <w:r>
        <w:rPr>
          <w:rFonts w:cs="Arial"/>
          <w:bCs/>
        </w:rPr>
        <w:t xml:space="preserve">shipping reform </w:t>
      </w:r>
      <w:r w:rsidR="00BC75BF">
        <w:rPr>
          <w:rFonts w:cs="Arial"/>
          <w:bCs/>
        </w:rPr>
        <w:t xml:space="preserve">Bills in 2011/12.  </w:t>
      </w:r>
    </w:p>
    <w:p w:rsidR="00165C62" w:rsidRDefault="00165C62" w:rsidP="009067DF">
      <w:pPr>
        <w:ind w:left="720" w:hanging="720"/>
        <w:rPr>
          <w:rFonts w:cs="Arial"/>
          <w:bCs/>
        </w:rPr>
      </w:pPr>
    </w:p>
    <w:p w:rsidR="00165C62" w:rsidRDefault="00E1160A" w:rsidP="009067DF">
      <w:pPr>
        <w:ind w:left="720" w:hanging="720"/>
        <w:rPr>
          <w:rFonts w:cs="Arial"/>
          <w:bCs/>
        </w:rPr>
      </w:pPr>
      <w:r>
        <w:rPr>
          <w:rFonts w:cs="Arial"/>
          <w:bCs/>
        </w:rPr>
        <w:t>5.23</w:t>
      </w:r>
      <w:r w:rsidR="009067DF">
        <w:rPr>
          <w:rFonts w:cs="Arial"/>
          <w:bCs/>
        </w:rPr>
        <w:tab/>
      </w:r>
      <w:r w:rsidR="00324628">
        <w:rPr>
          <w:rFonts w:cs="Arial"/>
          <w:bCs/>
        </w:rPr>
        <w:t xml:space="preserve">The Draft </w:t>
      </w:r>
      <w:r w:rsidR="00BC75BF">
        <w:rPr>
          <w:rFonts w:cs="Arial"/>
          <w:bCs/>
        </w:rPr>
        <w:t>report</w:t>
      </w:r>
      <w:r w:rsidR="00324628">
        <w:rPr>
          <w:rFonts w:cs="Arial"/>
          <w:bCs/>
        </w:rPr>
        <w:t xml:space="preserve"> cites an example of manning level</w:t>
      </w:r>
      <w:r w:rsidR="008B7422">
        <w:rPr>
          <w:rFonts w:cs="Arial"/>
          <w:bCs/>
        </w:rPr>
        <w:t>s</w:t>
      </w:r>
      <w:r w:rsidR="00324628">
        <w:rPr>
          <w:rFonts w:cs="Arial"/>
          <w:bCs/>
        </w:rPr>
        <w:t xml:space="preserve">, which it says were expected to fall from an average of 18-20, and that this does not appear to have eventuated.  The first point to make is that the average crewing level on </w:t>
      </w:r>
      <w:r w:rsidR="00BC75BF">
        <w:rPr>
          <w:rFonts w:cs="Arial"/>
          <w:bCs/>
        </w:rPr>
        <w:t>Australian</w:t>
      </w:r>
      <w:r w:rsidR="00324628">
        <w:rPr>
          <w:rFonts w:cs="Arial"/>
          <w:bCs/>
        </w:rPr>
        <w:t xml:space="preserve"> </w:t>
      </w:r>
      <w:r w:rsidR="00BC75BF">
        <w:rPr>
          <w:rFonts w:cs="Arial"/>
          <w:bCs/>
        </w:rPr>
        <w:t>coastal</w:t>
      </w:r>
      <w:r w:rsidR="00324628">
        <w:rPr>
          <w:rFonts w:cs="Arial"/>
          <w:bCs/>
        </w:rPr>
        <w:t xml:space="preserve"> trading vessels is already 17, not 18-20, and on some </w:t>
      </w:r>
      <w:r w:rsidR="00BC75BF">
        <w:rPr>
          <w:rFonts w:cs="Arial"/>
          <w:bCs/>
        </w:rPr>
        <w:t>vessels</w:t>
      </w:r>
      <w:r w:rsidR="00324628">
        <w:rPr>
          <w:rFonts w:cs="Arial"/>
          <w:bCs/>
        </w:rPr>
        <w:t xml:space="preserve"> down to 16.  This is </w:t>
      </w:r>
      <w:r w:rsidR="00BC75BF">
        <w:rPr>
          <w:rFonts w:cs="Arial"/>
          <w:bCs/>
        </w:rPr>
        <w:t>world’s</w:t>
      </w:r>
      <w:r w:rsidR="00324628">
        <w:rPr>
          <w:rFonts w:cs="Arial"/>
          <w:bCs/>
        </w:rPr>
        <w:t xml:space="preserve"> best practice </w:t>
      </w:r>
      <w:r w:rsidR="009149C4">
        <w:rPr>
          <w:rFonts w:cs="Arial"/>
          <w:bCs/>
        </w:rPr>
        <w:t xml:space="preserve">crewing </w:t>
      </w:r>
      <w:r w:rsidR="00324628">
        <w:rPr>
          <w:rFonts w:cs="Arial"/>
          <w:bCs/>
        </w:rPr>
        <w:t>for the vessel classes.</w:t>
      </w:r>
    </w:p>
    <w:p w:rsidR="00165C62" w:rsidRDefault="00165C62" w:rsidP="009067DF">
      <w:pPr>
        <w:ind w:left="720" w:hanging="720"/>
        <w:rPr>
          <w:rFonts w:cs="Arial"/>
          <w:bCs/>
        </w:rPr>
      </w:pPr>
    </w:p>
    <w:p w:rsidR="00324628" w:rsidRDefault="00A37845" w:rsidP="009067DF">
      <w:pPr>
        <w:ind w:left="720" w:hanging="720"/>
        <w:rPr>
          <w:rFonts w:cs="Arial"/>
          <w:bCs/>
        </w:rPr>
      </w:pPr>
      <w:r>
        <w:rPr>
          <w:rFonts w:cs="Arial"/>
          <w:bCs/>
        </w:rPr>
        <w:t>5.2</w:t>
      </w:r>
      <w:r w:rsidR="00E1160A">
        <w:rPr>
          <w:rFonts w:cs="Arial"/>
          <w:bCs/>
        </w:rPr>
        <w:t>4</w:t>
      </w:r>
      <w:r w:rsidR="009067DF">
        <w:rPr>
          <w:rFonts w:cs="Arial"/>
          <w:bCs/>
        </w:rPr>
        <w:tab/>
      </w:r>
      <w:r w:rsidR="00BC75BF">
        <w:rPr>
          <w:rFonts w:cs="Arial"/>
          <w:bCs/>
        </w:rPr>
        <w:t>Furthermore</w:t>
      </w:r>
      <w:r w:rsidR="00324628">
        <w:rPr>
          <w:rFonts w:cs="Arial"/>
          <w:bCs/>
        </w:rPr>
        <w:t xml:space="preserve"> on crewing levels the </w:t>
      </w:r>
      <w:r w:rsidR="00BC75BF">
        <w:rPr>
          <w:rFonts w:cs="Arial"/>
          <w:bCs/>
        </w:rPr>
        <w:t>Compact</w:t>
      </w:r>
      <w:r w:rsidR="00324628">
        <w:rPr>
          <w:rFonts w:cs="Arial"/>
          <w:bCs/>
        </w:rPr>
        <w:t xml:space="preserve"> committed the parties </w:t>
      </w:r>
      <w:r w:rsidR="00324628" w:rsidRPr="00324628">
        <w:rPr>
          <w:rFonts w:cs="Arial"/>
          <w:bCs/>
        </w:rPr>
        <w:t xml:space="preserve"> </w:t>
      </w:r>
      <w:r w:rsidR="00324628">
        <w:rPr>
          <w:rFonts w:cs="Arial"/>
          <w:bCs/>
        </w:rPr>
        <w:t>“</w:t>
      </w:r>
      <w:r w:rsidR="00324628" w:rsidRPr="008B7422">
        <w:rPr>
          <w:rFonts w:cs="Arial"/>
          <w:bCs/>
          <w:i/>
        </w:rPr>
        <w:t>to consider, on a case by case basis, the crewing requirements of each ship in an operator’s fleet to determine what scope there is to revise or restructure current operational manning</w:t>
      </w:r>
      <w:r w:rsidR="00324628" w:rsidRPr="00324628">
        <w:rPr>
          <w:rFonts w:cs="Arial"/>
          <w:bCs/>
        </w:rPr>
        <w:t>.</w:t>
      </w:r>
      <w:r w:rsidR="00324628">
        <w:rPr>
          <w:rFonts w:cs="Arial"/>
          <w:bCs/>
        </w:rPr>
        <w:t>”</w:t>
      </w:r>
      <w:r w:rsidR="00324628">
        <w:rPr>
          <w:rStyle w:val="FootnoteReference"/>
          <w:rFonts w:cs="Arial"/>
          <w:bCs/>
        </w:rPr>
        <w:footnoteReference w:id="25"/>
      </w:r>
      <w:r w:rsidR="001C0B76">
        <w:rPr>
          <w:rFonts w:cs="Arial"/>
          <w:bCs/>
        </w:rPr>
        <w:t xml:space="preserve">  This is occurring.  For example, the MUA is deep in </w:t>
      </w:r>
      <w:r w:rsidR="00BC75BF">
        <w:rPr>
          <w:rFonts w:cs="Arial"/>
          <w:bCs/>
        </w:rPr>
        <w:t>negotiations</w:t>
      </w:r>
      <w:r w:rsidR="001C0B76">
        <w:rPr>
          <w:rFonts w:cs="Arial"/>
          <w:bCs/>
        </w:rPr>
        <w:t xml:space="preserve"> </w:t>
      </w:r>
      <w:r w:rsidR="00BC75BF">
        <w:rPr>
          <w:rFonts w:cs="Arial"/>
          <w:bCs/>
        </w:rPr>
        <w:t>with</w:t>
      </w:r>
      <w:r w:rsidR="001C0B76">
        <w:rPr>
          <w:rFonts w:cs="Arial"/>
          <w:bCs/>
        </w:rPr>
        <w:t xml:space="preserve"> Rio </w:t>
      </w:r>
      <w:r w:rsidR="00BC75BF">
        <w:rPr>
          <w:rFonts w:cs="Arial"/>
          <w:bCs/>
        </w:rPr>
        <w:t>Tinto</w:t>
      </w:r>
      <w:r w:rsidR="001C0B76">
        <w:rPr>
          <w:rFonts w:cs="Arial"/>
          <w:bCs/>
        </w:rPr>
        <w:t xml:space="preserve"> and </w:t>
      </w:r>
      <w:r w:rsidR="00BC75BF">
        <w:rPr>
          <w:rFonts w:cs="Arial"/>
          <w:bCs/>
        </w:rPr>
        <w:t>its</w:t>
      </w:r>
      <w:r w:rsidR="001C0B76">
        <w:rPr>
          <w:rFonts w:cs="Arial"/>
          <w:bCs/>
        </w:rPr>
        <w:t xml:space="preserve"> crewing agents for a </w:t>
      </w:r>
      <w:r w:rsidR="00BC75BF">
        <w:rPr>
          <w:rFonts w:cs="Arial"/>
          <w:bCs/>
        </w:rPr>
        <w:t>restructure</w:t>
      </w:r>
      <w:r w:rsidR="001C0B76">
        <w:rPr>
          <w:rFonts w:cs="Arial"/>
          <w:bCs/>
        </w:rPr>
        <w:t xml:space="preserve"> of the </w:t>
      </w:r>
      <w:r w:rsidR="00BC75BF">
        <w:rPr>
          <w:rFonts w:cs="Arial"/>
          <w:bCs/>
        </w:rPr>
        <w:t>crewing</w:t>
      </w:r>
      <w:r w:rsidR="001C0B76">
        <w:rPr>
          <w:rFonts w:cs="Arial"/>
          <w:bCs/>
        </w:rPr>
        <w:t xml:space="preserve"> </w:t>
      </w:r>
      <w:r w:rsidR="00BC75BF">
        <w:rPr>
          <w:rFonts w:cs="Arial"/>
          <w:bCs/>
        </w:rPr>
        <w:t>complement</w:t>
      </w:r>
      <w:r w:rsidR="001C0B76">
        <w:rPr>
          <w:rFonts w:cs="Arial"/>
          <w:bCs/>
        </w:rPr>
        <w:t xml:space="preserve"> on the Rio Tinto </w:t>
      </w:r>
      <w:r w:rsidR="00BC75BF">
        <w:rPr>
          <w:rFonts w:cs="Arial"/>
          <w:bCs/>
        </w:rPr>
        <w:t>bauxite</w:t>
      </w:r>
      <w:r w:rsidR="001C0B76">
        <w:rPr>
          <w:rFonts w:cs="Arial"/>
          <w:bCs/>
        </w:rPr>
        <w:t xml:space="preserve"> </w:t>
      </w:r>
      <w:r w:rsidR="00BC75BF">
        <w:rPr>
          <w:rFonts w:cs="Arial"/>
          <w:bCs/>
        </w:rPr>
        <w:t>vessels</w:t>
      </w:r>
      <w:r w:rsidR="001C0B76">
        <w:rPr>
          <w:rFonts w:cs="Arial"/>
          <w:bCs/>
        </w:rPr>
        <w:t xml:space="preserve"> </w:t>
      </w:r>
      <w:r w:rsidR="00BC75BF">
        <w:rPr>
          <w:rFonts w:cs="Arial"/>
          <w:bCs/>
        </w:rPr>
        <w:t>servicing</w:t>
      </w:r>
      <w:r w:rsidR="001C0B76">
        <w:rPr>
          <w:rFonts w:cs="Arial"/>
          <w:bCs/>
        </w:rPr>
        <w:t xml:space="preserve"> the </w:t>
      </w:r>
      <w:r w:rsidR="00BC75BF">
        <w:rPr>
          <w:rFonts w:cs="Arial"/>
          <w:bCs/>
        </w:rPr>
        <w:t>aluminium</w:t>
      </w:r>
      <w:r w:rsidR="001C0B76">
        <w:rPr>
          <w:rFonts w:cs="Arial"/>
          <w:bCs/>
        </w:rPr>
        <w:t xml:space="preserve"> industry.  Once concluded, the new standard is </w:t>
      </w:r>
      <w:r w:rsidR="00BC75BF">
        <w:rPr>
          <w:rFonts w:cs="Arial"/>
          <w:bCs/>
        </w:rPr>
        <w:t>expected</w:t>
      </w:r>
      <w:r w:rsidR="001C0B76">
        <w:rPr>
          <w:rFonts w:cs="Arial"/>
          <w:bCs/>
        </w:rPr>
        <w:t xml:space="preserve"> to be trialled and introduced on a range of other like </w:t>
      </w:r>
      <w:r w:rsidR="00BC75BF">
        <w:rPr>
          <w:rFonts w:cs="Arial"/>
          <w:bCs/>
        </w:rPr>
        <w:t>vessels</w:t>
      </w:r>
      <w:r w:rsidR="001C0B76">
        <w:rPr>
          <w:rFonts w:cs="Arial"/>
          <w:bCs/>
        </w:rPr>
        <w:t>.</w:t>
      </w:r>
    </w:p>
    <w:p w:rsidR="00324628" w:rsidRDefault="00324628" w:rsidP="009067DF">
      <w:pPr>
        <w:ind w:left="720" w:hanging="720"/>
        <w:rPr>
          <w:rFonts w:cs="Arial"/>
          <w:bCs/>
        </w:rPr>
      </w:pPr>
    </w:p>
    <w:p w:rsidR="009149C4" w:rsidRDefault="009149C4" w:rsidP="009067DF">
      <w:pPr>
        <w:ind w:left="720" w:hanging="720"/>
        <w:rPr>
          <w:rFonts w:cs="Arial"/>
          <w:bCs/>
        </w:rPr>
      </w:pPr>
    </w:p>
    <w:p w:rsidR="00712233" w:rsidRDefault="00A37845" w:rsidP="009067DF">
      <w:pPr>
        <w:ind w:left="720" w:hanging="720"/>
        <w:rPr>
          <w:rFonts w:cs="Arial"/>
          <w:bCs/>
        </w:rPr>
      </w:pPr>
      <w:r>
        <w:rPr>
          <w:rFonts w:cs="Arial"/>
          <w:bCs/>
        </w:rPr>
        <w:t>5.2</w:t>
      </w:r>
      <w:r w:rsidR="00E1160A">
        <w:rPr>
          <w:rFonts w:cs="Arial"/>
          <w:bCs/>
        </w:rPr>
        <w:t>5</w:t>
      </w:r>
      <w:r w:rsidR="00BC75BF">
        <w:rPr>
          <w:rFonts w:cs="Arial"/>
          <w:bCs/>
        </w:rPr>
        <w:tab/>
        <w:t>It is important that the PC be aware that minimum crewing levels are determined by International Maritime Organisation (IMO) standards given effect though decisions of the Australian Maritime Safety Authority</w:t>
      </w:r>
      <w:r w:rsidR="008B7422">
        <w:rPr>
          <w:rFonts w:cs="Arial"/>
          <w:bCs/>
        </w:rPr>
        <w:t xml:space="preserve"> (AMSA) acting under the </w:t>
      </w:r>
      <w:r w:rsidR="00C8551F">
        <w:rPr>
          <w:rFonts w:cs="Arial"/>
          <w:bCs/>
        </w:rPr>
        <w:t>powers</w:t>
      </w:r>
      <w:r w:rsidR="008B7422">
        <w:rPr>
          <w:rFonts w:cs="Arial"/>
          <w:bCs/>
        </w:rPr>
        <w:t xml:space="preserve"> of the Navigation Act which gives effect to international </w:t>
      </w:r>
      <w:r w:rsidR="00C8551F">
        <w:rPr>
          <w:rFonts w:cs="Arial"/>
          <w:bCs/>
        </w:rPr>
        <w:t>maritime</w:t>
      </w:r>
      <w:r w:rsidR="008B7422">
        <w:rPr>
          <w:rFonts w:cs="Arial"/>
          <w:bCs/>
        </w:rPr>
        <w:t xml:space="preserve"> </w:t>
      </w:r>
      <w:r w:rsidR="00C8551F">
        <w:rPr>
          <w:rFonts w:cs="Arial"/>
          <w:bCs/>
        </w:rPr>
        <w:t>treaties</w:t>
      </w:r>
      <w:r w:rsidR="008B7422">
        <w:rPr>
          <w:rFonts w:cs="Arial"/>
          <w:bCs/>
        </w:rPr>
        <w:t xml:space="preserve"> to which </w:t>
      </w:r>
      <w:r w:rsidR="00C8551F">
        <w:rPr>
          <w:rFonts w:cs="Arial"/>
          <w:bCs/>
        </w:rPr>
        <w:t>Australia</w:t>
      </w:r>
      <w:r w:rsidR="008B7422">
        <w:rPr>
          <w:rFonts w:cs="Arial"/>
          <w:bCs/>
        </w:rPr>
        <w:t xml:space="preserve"> is a signatory, such as the</w:t>
      </w:r>
      <w:r w:rsidR="008B7422" w:rsidRPr="008B7422">
        <w:t xml:space="preserve"> </w:t>
      </w:r>
      <w:r w:rsidR="008B7422" w:rsidRPr="008B7422">
        <w:rPr>
          <w:rFonts w:cs="Arial"/>
          <w:bCs/>
        </w:rPr>
        <w:t>International Convention on Standards of Training, Certification and Watchkeeping for Seafarers</w:t>
      </w:r>
      <w:r w:rsidR="008B7422">
        <w:rPr>
          <w:rFonts w:cs="Arial"/>
          <w:bCs/>
        </w:rPr>
        <w:t xml:space="preserve"> (STCW)</w:t>
      </w:r>
      <w:r w:rsidR="00BC75BF">
        <w:rPr>
          <w:rFonts w:cs="Arial"/>
          <w:bCs/>
        </w:rPr>
        <w:t xml:space="preserve">.  </w:t>
      </w:r>
      <w:r w:rsidR="00712233">
        <w:rPr>
          <w:rFonts w:cs="Arial"/>
          <w:bCs/>
        </w:rPr>
        <w:t xml:space="preserve">In many cases in </w:t>
      </w:r>
      <w:r w:rsidR="00BC75BF">
        <w:rPr>
          <w:rFonts w:cs="Arial"/>
          <w:bCs/>
        </w:rPr>
        <w:t>Australia</w:t>
      </w:r>
      <w:r w:rsidR="00712233">
        <w:rPr>
          <w:rFonts w:cs="Arial"/>
          <w:bCs/>
        </w:rPr>
        <w:t xml:space="preserve">, operational crewing </w:t>
      </w:r>
      <w:r w:rsidR="00BC75BF">
        <w:rPr>
          <w:rFonts w:cs="Arial"/>
          <w:bCs/>
        </w:rPr>
        <w:t>equates</w:t>
      </w:r>
      <w:r w:rsidR="00712233">
        <w:rPr>
          <w:rFonts w:cs="Arial"/>
          <w:bCs/>
        </w:rPr>
        <w:t xml:space="preserve"> to Minimum Safe </w:t>
      </w:r>
      <w:r w:rsidR="00BC75BF">
        <w:rPr>
          <w:rFonts w:cs="Arial"/>
          <w:bCs/>
        </w:rPr>
        <w:t>Manning</w:t>
      </w:r>
      <w:r w:rsidR="00712233">
        <w:rPr>
          <w:rFonts w:cs="Arial"/>
          <w:bCs/>
        </w:rPr>
        <w:t xml:space="preserve"> as specified by AMSA as the </w:t>
      </w:r>
      <w:r w:rsidR="00BC75BF">
        <w:rPr>
          <w:rFonts w:cs="Arial"/>
          <w:bCs/>
        </w:rPr>
        <w:t>regulator</w:t>
      </w:r>
      <w:r w:rsidR="00712233">
        <w:rPr>
          <w:rFonts w:cs="Arial"/>
          <w:bCs/>
        </w:rPr>
        <w:t xml:space="preserve">.  It </w:t>
      </w:r>
      <w:r w:rsidR="00BC75BF">
        <w:rPr>
          <w:rFonts w:cs="Arial"/>
          <w:bCs/>
        </w:rPr>
        <w:t>would</w:t>
      </w:r>
      <w:r w:rsidR="00712233">
        <w:rPr>
          <w:rFonts w:cs="Arial"/>
          <w:bCs/>
        </w:rPr>
        <w:t xml:space="preserve"> be illegal for the parties to reduce crewing below the </w:t>
      </w:r>
      <w:r w:rsidR="00BC75BF">
        <w:rPr>
          <w:rFonts w:cs="Arial"/>
          <w:bCs/>
        </w:rPr>
        <w:t>minimum</w:t>
      </w:r>
      <w:r w:rsidR="00712233">
        <w:rPr>
          <w:rFonts w:cs="Arial"/>
          <w:bCs/>
        </w:rPr>
        <w:t xml:space="preserve"> safe </w:t>
      </w:r>
      <w:r w:rsidR="00BC75BF">
        <w:rPr>
          <w:rFonts w:cs="Arial"/>
          <w:bCs/>
        </w:rPr>
        <w:t>level</w:t>
      </w:r>
      <w:r w:rsidR="00712233">
        <w:rPr>
          <w:rFonts w:cs="Arial"/>
          <w:bCs/>
        </w:rPr>
        <w:t xml:space="preserve"> as determined by the </w:t>
      </w:r>
      <w:r w:rsidR="00BC75BF">
        <w:rPr>
          <w:rFonts w:cs="Arial"/>
          <w:bCs/>
        </w:rPr>
        <w:t>regulator</w:t>
      </w:r>
      <w:r w:rsidR="00712233">
        <w:rPr>
          <w:rFonts w:cs="Arial"/>
          <w:bCs/>
        </w:rPr>
        <w:t>.</w:t>
      </w:r>
    </w:p>
    <w:p w:rsidR="00712233" w:rsidRDefault="00712233" w:rsidP="009067DF">
      <w:pPr>
        <w:ind w:left="720" w:hanging="720"/>
        <w:rPr>
          <w:rFonts w:cs="Arial"/>
          <w:bCs/>
        </w:rPr>
      </w:pPr>
    </w:p>
    <w:p w:rsidR="001A1AD8" w:rsidRDefault="001A1AD8" w:rsidP="009067DF">
      <w:pPr>
        <w:ind w:left="720" w:hanging="720"/>
        <w:rPr>
          <w:rFonts w:cs="Arial"/>
          <w:bCs/>
        </w:rPr>
      </w:pPr>
      <w:r>
        <w:rPr>
          <w:rFonts w:cs="Arial"/>
          <w:bCs/>
        </w:rPr>
        <w:t>5.26</w:t>
      </w:r>
      <w:r>
        <w:rPr>
          <w:rFonts w:cs="Arial"/>
          <w:bCs/>
        </w:rPr>
        <w:tab/>
        <w:t xml:space="preserve">The PC asked the MUA to quantify the impact of efficiencies refereed to in the MUA submission that are under </w:t>
      </w:r>
      <w:r w:rsidR="00B56666">
        <w:rPr>
          <w:rFonts w:cs="Arial"/>
          <w:bCs/>
        </w:rPr>
        <w:t>negotiation</w:t>
      </w:r>
      <w:r>
        <w:rPr>
          <w:rFonts w:cs="Arial"/>
          <w:bCs/>
        </w:rPr>
        <w:t xml:space="preserve"> arising from the Compact.  In relation to a </w:t>
      </w:r>
      <w:r w:rsidR="00B56666">
        <w:rPr>
          <w:rFonts w:cs="Arial"/>
          <w:bCs/>
        </w:rPr>
        <w:t>current</w:t>
      </w:r>
      <w:r>
        <w:rPr>
          <w:rFonts w:cs="Arial"/>
          <w:bCs/>
        </w:rPr>
        <w:t xml:space="preserve"> set of </w:t>
      </w:r>
      <w:r w:rsidR="00B56666">
        <w:rPr>
          <w:rFonts w:cs="Arial"/>
          <w:bCs/>
        </w:rPr>
        <w:t>negotiations</w:t>
      </w:r>
      <w:r>
        <w:rPr>
          <w:rFonts w:cs="Arial"/>
          <w:bCs/>
        </w:rPr>
        <w:t xml:space="preserve"> the employer has quantified a cost reduction target pa per ship as its objective in a confidential agreement with the MUA and AMOU, and that the </w:t>
      </w:r>
      <w:r w:rsidR="00B56666">
        <w:rPr>
          <w:rFonts w:cs="Arial"/>
          <w:bCs/>
        </w:rPr>
        <w:t>restructure</w:t>
      </w:r>
      <w:r>
        <w:rPr>
          <w:rFonts w:cs="Arial"/>
          <w:bCs/>
        </w:rPr>
        <w:t xml:space="preserve"> of the crew complement, along with improved </w:t>
      </w:r>
      <w:r w:rsidR="00B56666">
        <w:rPr>
          <w:rFonts w:cs="Arial"/>
          <w:bCs/>
        </w:rPr>
        <w:t>skilling</w:t>
      </w:r>
      <w:r>
        <w:rPr>
          <w:rFonts w:cs="Arial"/>
          <w:bCs/>
        </w:rPr>
        <w:t xml:space="preserve"> and better labour utilisation of crewing will deliver an annual cost reduction per ship pa of $675,000.</w:t>
      </w:r>
      <w:r w:rsidR="00EC7CC6">
        <w:rPr>
          <w:rFonts w:cs="Arial"/>
          <w:bCs/>
        </w:rPr>
        <w:t xml:space="preserve">  If this was replicated </w:t>
      </w:r>
      <w:r w:rsidR="00B56666">
        <w:rPr>
          <w:rFonts w:cs="Arial"/>
          <w:bCs/>
        </w:rPr>
        <w:t>across</w:t>
      </w:r>
      <w:r w:rsidR="00EC7CC6">
        <w:rPr>
          <w:rFonts w:cs="Arial"/>
          <w:bCs/>
        </w:rPr>
        <w:t xml:space="preserve"> the entire </w:t>
      </w:r>
      <w:r w:rsidR="00B56666">
        <w:rPr>
          <w:rFonts w:cs="Arial"/>
          <w:bCs/>
        </w:rPr>
        <w:t>Australian</w:t>
      </w:r>
      <w:r w:rsidR="00EC7CC6">
        <w:rPr>
          <w:rFonts w:cs="Arial"/>
          <w:bCs/>
        </w:rPr>
        <w:t xml:space="preserve"> </w:t>
      </w:r>
      <w:r w:rsidR="00B56666">
        <w:rPr>
          <w:rFonts w:cs="Arial"/>
          <w:bCs/>
        </w:rPr>
        <w:t>coastal</w:t>
      </w:r>
      <w:r w:rsidR="00EC7CC6">
        <w:rPr>
          <w:rFonts w:cs="Arial"/>
          <w:bCs/>
        </w:rPr>
        <w:t xml:space="preserve"> fleet of say 20 ships, the annual gain for </w:t>
      </w:r>
      <w:r w:rsidR="00B56666">
        <w:rPr>
          <w:rFonts w:cs="Arial"/>
          <w:bCs/>
        </w:rPr>
        <w:t>employers</w:t>
      </w:r>
      <w:r w:rsidR="00EC7CC6">
        <w:rPr>
          <w:rFonts w:cs="Arial"/>
          <w:bCs/>
        </w:rPr>
        <w:t xml:space="preserve">, which is presumed to pass on to shippers in freight </w:t>
      </w:r>
      <w:r w:rsidR="00B56666">
        <w:rPr>
          <w:rFonts w:cs="Arial"/>
          <w:bCs/>
        </w:rPr>
        <w:t>rate</w:t>
      </w:r>
      <w:r w:rsidR="00EC7CC6">
        <w:rPr>
          <w:rFonts w:cs="Arial"/>
          <w:bCs/>
        </w:rPr>
        <w:t xml:space="preserve"> </w:t>
      </w:r>
      <w:r w:rsidR="00B56666">
        <w:rPr>
          <w:rFonts w:cs="Arial"/>
          <w:bCs/>
        </w:rPr>
        <w:t>improvements</w:t>
      </w:r>
      <w:r w:rsidR="00EC7CC6">
        <w:rPr>
          <w:rFonts w:cs="Arial"/>
          <w:bCs/>
        </w:rPr>
        <w:t xml:space="preserve">, is $13.5 M pa.  </w:t>
      </w:r>
      <w:r w:rsidR="00B56666">
        <w:rPr>
          <w:rFonts w:cs="Arial"/>
          <w:bCs/>
        </w:rPr>
        <w:t>We now look forward to the PC quantifying (both costs and benefits) its proposition that deregulation of coastal shipping will deliver a net benefit to the Australian community, and that the fundamentals in the RIS were incorrect.</w:t>
      </w:r>
    </w:p>
    <w:p w:rsidR="001A1AD8" w:rsidRDefault="001A1AD8" w:rsidP="009067DF">
      <w:pPr>
        <w:ind w:left="720" w:hanging="720"/>
        <w:rPr>
          <w:rFonts w:cs="Arial"/>
          <w:bCs/>
        </w:rPr>
      </w:pPr>
    </w:p>
    <w:p w:rsidR="001C0B76" w:rsidRDefault="00A37845" w:rsidP="009067DF">
      <w:pPr>
        <w:ind w:left="720" w:hanging="720"/>
        <w:rPr>
          <w:rFonts w:cs="Arial"/>
          <w:bCs/>
        </w:rPr>
      </w:pPr>
      <w:r>
        <w:rPr>
          <w:rFonts w:cs="Arial"/>
          <w:bCs/>
        </w:rPr>
        <w:t>5.2</w:t>
      </w:r>
      <w:r w:rsidR="001A1AD8">
        <w:rPr>
          <w:rFonts w:cs="Arial"/>
          <w:bCs/>
        </w:rPr>
        <w:t>7</w:t>
      </w:r>
      <w:r w:rsidR="009067DF">
        <w:rPr>
          <w:rFonts w:cs="Arial"/>
          <w:bCs/>
        </w:rPr>
        <w:tab/>
      </w:r>
      <w:r w:rsidR="001C0B76">
        <w:rPr>
          <w:rFonts w:cs="Arial"/>
          <w:bCs/>
        </w:rPr>
        <w:t xml:space="preserve">Other </w:t>
      </w:r>
      <w:r w:rsidR="00BC75BF">
        <w:rPr>
          <w:rFonts w:cs="Arial"/>
          <w:bCs/>
        </w:rPr>
        <w:t>elements</w:t>
      </w:r>
      <w:r w:rsidR="001C0B76">
        <w:rPr>
          <w:rFonts w:cs="Arial"/>
          <w:bCs/>
        </w:rPr>
        <w:t xml:space="preserve"> of the Compact are </w:t>
      </w:r>
      <w:r w:rsidR="00BC75BF">
        <w:rPr>
          <w:rFonts w:cs="Arial"/>
          <w:bCs/>
        </w:rPr>
        <w:t>being</w:t>
      </w:r>
      <w:r w:rsidR="001C0B76">
        <w:rPr>
          <w:rFonts w:cs="Arial"/>
          <w:bCs/>
        </w:rPr>
        <w:t xml:space="preserve"> </w:t>
      </w:r>
      <w:r w:rsidR="00BC75BF">
        <w:rPr>
          <w:rFonts w:cs="Arial"/>
          <w:bCs/>
        </w:rPr>
        <w:t>implemented</w:t>
      </w:r>
      <w:r w:rsidR="001C0B76">
        <w:rPr>
          <w:rFonts w:cs="Arial"/>
          <w:bCs/>
        </w:rPr>
        <w:t xml:space="preserve"> </w:t>
      </w:r>
      <w:r w:rsidR="00BC75BF">
        <w:rPr>
          <w:rFonts w:cs="Arial"/>
          <w:bCs/>
        </w:rPr>
        <w:t>through</w:t>
      </w:r>
      <w:r w:rsidR="001C0B76">
        <w:rPr>
          <w:rFonts w:cs="Arial"/>
          <w:bCs/>
        </w:rPr>
        <w:t xml:space="preserve"> Enterprise Bargaining, such as the improved teamwork provisions and improved </w:t>
      </w:r>
      <w:r w:rsidR="00BC75BF">
        <w:rPr>
          <w:rFonts w:cs="Arial"/>
          <w:bCs/>
        </w:rPr>
        <w:t>dispute</w:t>
      </w:r>
      <w:r w:rsidR="001C0B76">
        <w:rPr>
          <w:rFonts w:cs="Arial"/>
          <w:bCs/>
        </w:rPr>
        <w:t xml:space="preserve"> resolution, aimed at maximising labour utilisation and labour </w:t>
      </w:r>
      <w:r w:rsidR="00BC75BF">
        <w:rPr>
          <w:rFonts w:cs="Arial"/>
          <w:bCs/>
        </w:rPr>
        <w:t>productivity</w:t>
      </w:r>
      <w:r w:rsidR="001C0B76">
        <w:rPr>
          <w:rFonts w:cs="Arial"/>
          <w:bCs/>
        </w:rPr>
        <w:t xml:space="preserve">.  </w:t>
      </w:r>
      <w:r w:rsidR="00BC75BF">
        <w:rPr>
          <w:rFonts w:cs="Arial"/>
          <w:bCs/>
        </w:rPr>
        <w:t>The Government’s 2012 review of the workers' compensation arrangements for seafarers, which are yet to be actioned by the Government, will deliver reduced workers</w:t>
      </w:r>
      <w:r w:rsidR="008B7422">
        <w:rPr>
          <w:rFonts w:cs="Arial"/>
          <w:bCs/>
        </w:rPr>
        <w:t>’</w:t>
      </w:r>
      <w:r w:rsidR="00BC75BF">
        <w:rPr>
          <w:rFonts w:cs="Arial"/>
          <w:bCs/>
        </w:rPr>
        <w:t xml:space="preserve"> compensation costs</w:t>
      </w:r>
      <w:r w:rsidR="001A1AD8">
        <w:rPr>
          <w:rFonts w:cs="Arial"/>
          <w:bCs/>
        </w:rPr>
        <w:t xml:space="preserve"> if all the k</w:t>
      </w:r>
      <w:r w:rsidR="008B7422">
        <w:rPr>
          <w:rFonts w:cs="Arial"/>
          <w:bCs/>
        </w:rPr>
        <w:t xml:space="preserve">ey </w:t>
      </w:r>
      <w:r w:rsidR="00C8551F">
        <w:rPr>
          <w:rFonts w:cs="Arial"/>
          <w:bCs/>
        </w:rPr>
        <w:t>recommendations</w:t>
      </w:r>
      <w:r w:rsidR="008B7422">
        <w:rPr>
          <w:rFonts w:cs="Arial"/>
          <w:bCs/>
        </w:rPr>
        <w:t xml:space="preserve"> of that review are sensibly adopted</w:t>
      </w:r>
      <w:r w:rsidR="00BC75BF">
        <w:rPr>
          <w:rFonts w:cs="Arial"/>
          <w:bCs/>
        </w:rPr>
        <w:t>.</w:t>
      </w:r>
    </w:p>
    <w:p w:rsidR="001C0B76" w:rsidRDefault="001C0B76" w:rsidP="009067DF">
      <w:pPr>
        <w:ind w:left="720" w:hanging="720"/>
        <w:rPr>
          <w:rFonts w:cs="Arial"/>
          <w:bCs/>
        </w:rPr>
      </w:pPr>
    </w:p>
    <w:p w:rsidR="001C0B76" w:rsidRDefault="00A37845" w:rsidP="009067DF">
      <w:pPr>
        <w:ind w:left="720" w:hanging="720"/>
        <w:rPr>
          <w:rFonts w:cs="Arial"/>
          <w:bCs/>
        </w:rPr>
      </w:pPr>
      <w:r>
        <w:rPr>
          <w:rFonts w:cs="Arial"/>
          <w:bCs/>
        </w:rPr>
        <w:t>5.2</w:t>
      </w:r>
      <w:r w:rsidR="001A1AD8">
        <w:rPr>
          <w:rFonts w:cs="Arial"/>
          <w:bCs/>
        </w:rPr>
        <w:t>8</w:t>
      </w:r>
      <w:r w:rsidR="009067DF">
        <w:rPr>
          <w:rFonts w:cs="Arial"/>
          <w:bCs/>
        </w:rPr>
        <w:tab/>
      </w:r>
      <w:r w:rsidR="001C0B76">
        <w:rPr>
          <w:rFonts w:cs="Arial"/>
          <w:bCs/>
        </w:rPr>
        <w:t xml:space="preserve">It is a </w:t>
      </w:r>
      <w:r w:rsidR="00BC75BF">
        <w:rPr>
          <w:rFonts w:cs="Arial"/>
          <w:bCs/>
        </w:rPr>
        <w:t>misunderstanding</w:t>
      </w:r>
      <w:r w:rsidR="001C0B76">
        <w:rPr>
          <w:rFonts w:cs="Arial"/>
          <w:bCs/>
        </w:rPr>
        <w:t xml:space="preserve"> to assert that </w:t>
      </w:r>
      <w:r w:rsidR="00BC75BF">
        <w:rPr>
          <w:rFonts w:cs="Arial"/>
          <w:bCs/>
        </w:rPr>
        <w:t>the</w:t>
      </w:r>
      <w:r w:rsidR="001C0B76">
        <w:rPr>
          <w:rFonts w:cs="Arial"/>
          <w:bCs/>
        </w:rPr>
        <w:t xml:space="preserve"> Compact will not </w:t>
      </w:r>
      <w:r w:rsidR="00BC75BF">
        <w:rPr>
          <w:rFonts w:cs="Arial"/>
          <w:bCs/>
        </w:rPr>
        <w:t>deliver</w:t>
      </w:r>
      <w:r w:rsidR="001C0B76">
        <w:rPr>
          <w:rFonts w:cs="Arial"/>
          <w:bCs/>
        </w:rPr>
        <w:t xml:space="preserve"> efficiency benefits to the industry.</w:t>
      </w:r>
      <w:r w:rsidR="00712233">
        <w:rPr>
          <w:rFonts w:cs="Arial"/>
          <w:bCs/>
        </w:rPr>
        <w:t xml:space="preserve">  </w:t>
      </w:r>
      <w:r w:rsidR="00BC75BF">
        <w:rPr>
          <w:rFonts w:cs="Arial"/>
          <w:bCs/>
        </w:rPr>
        <w:t>If that is the only basis on which the PC believes the RIS lacks integrity, it is incumbent on the PC to provide more than assertion about the Labour Relations Compact.</w:t>
      </w:r>
    </w:p>
    <w:p w:rsidR="001C0B76" w:rsidRDefault="001C0B76" w:rsidP="001E05B7">
      <w:pPr>
        <w:rPr>
          <w:rFonts w:cs="Arial"/>
          <w:bCs/>
        </w:rPr>
      </w:pPr>
    </w:p>
    <w:p w:rsidR="00324628" w:rsidRPr="00BA3C81" w:rsidRDefault="00BA3C81" w:rsidP="00BA3C81">
      <w:pPr>
        <w:pStyle w:val="ListParagraph"/>
        <w:numPr>
          <w:ilvl w:val="0"/>
          <w:numId w:val="3"/>
        </w:numPr>
        <w:rPr>
          <w:rFonts w:cs="Arial"/>
          <w:b/>
          <w:bCs/>
          <w:color w:val="0070C0"/>
        </w:rPr>
      </w:pPr>
      <w:r w:rsidRPr="00BA3C81">
        <w:rPr>
          <w:rFonts w:cs="Arial"/>
          <w:b/>
          <w:bCs/>
          <w:color w:val="0070C0"/>
        </w:rPr>
        <w:t>Appendix C: Coastal Trading Regulation</w:t>
      </w:r>
    </w:p>
    <w:p w:rsidR="00BA3C81" w:rsidRDefault="00BA3C81" w:rsidP="001E05B7">
      <w:pPr>
        <w:rPr>
          <w:rFonts w:cs="Arial"/>
          <w:bCs/>
        </w:rPr>
      </w:pPr>
    </w:p>
    <w:p w:rsidR="008B7422" w:rsidRDefault="009067DF" w:rsidP="009067DF">
      <w:pPr>
        <w:ind w:left="720" w:hanging="720"/>
        <w:rPr>
          <w:rFonts w:cs="Arial"/>
          <w:bCs/>
        </w:rPr>
      </w:pPr>
      <w:r>
        <w:rPr>
          <w:rFonts w:cs="Arial"/>
          <w:bCs/>
        </w:rPr>
        <w:t>6.1</w:t>
      </w:r>
      <w:r>
        <w:rPr>
          <w:rFonts w:cs="Arial"/>
          <w:bCs/>
        </w:rPr>
        <w:tab/>
      </w:r>
      <w:r w:rsidR="00BA3C81">
        <w:rPr>
          <w:rFonts w:cs="Arial"/>
          <w:bCs/>
        </w:rPr>
        <w:t xml:space="preserve">The PC has referred to a Deloitte study (Deloitte 2012) </w:t>
      </w:r>
      <w:r w:rsidR="00BC75BF">
        <w:rPr>
          <w:rFonts w:cs="Arial"/>
          <w:bCs/>
        </w:rPr>
        <w:t>that</w:t>
      </w:r>
      <w:r w:rsidR="00BA3C81">
        <w:rPr>
          <w:rFonts w:cs="Arial"/>
          <w:bCs/>
        </w:rPr>
        <w:t xml:space="preserve"> claims that the </w:t>
      </w:r>
      <w:r w:rsidR="00BC75BF">
        <w:rPr>
          <w:rFonts w:cs="Arial"/>
          <w:bCs/>
        </w:rPr>
        <w:t>Seagoing</w:t>
      </w:r>
      <w:r w:rsidR="00BA3C81">
        <w:rPr>
          <w:rFonts w:cs="Arial"/>
          <w:bCs/>
        </w:rPr>
        <w:t xml:space="preserve"> Industry Modernised Award Part B rates are twice the market rate (ITF rate) that </w:t>
      </w:r>
      <w:r w:rsidR="00BC75BF">
        <w:rPr>
          <w:rFonts w:cs="Arial"/>
          <w:bCs/>
        </w:rPr>
        <w:t>prevailed</w:t>
      </w:r>
      <w:r w:rsidR="00BA3C81">
        <w:rPr>
          <w:rFonts w:cs="Arial"/>
          <w:bCs/>
        </w:rPr>
        <w:t xml:space="preserve"> </w:t>
      </w:r>
      <w:r w:rsidR="00BC75BF">
        <w:rPr>
          <w:rFonts w:cs="Arial"/>
          <w:bCs/>
        </w:rPr>
        <w:t>previously</w:t>
      </w:r>
      <w:r w:rsidR="00BA3C81">
        <w:rPr>
          <w:rFonts w:cs="Arial"/>
          <w:bCs/>
        </w:rPr>
        <w:t xml:space="preserve">.  </w:t>
      </w:r>
      <w:r w:rsidR="00BC75BF">
        <w:rPr>
          <w:rFonts w:cs="Arial"/>
          <w:bCs/>
        </w:rPr>
        <w:t xml:space="preserve">However, this overstates the difference because the </w:t>
      </w:r>
      <w:r w:rsidR="008B7422">
        <w:rPr>
          <w:rFonts w:cs="Arial"/>
          <w:bCs/>
        </w:rPr>
        <w:t>leave factor is dramatically diff</w:t>
      </w:r>
      <w:r w:rsidR="00BC75BF">
        <w:rPr>
          <w:rFonts w:cs="Arial"/>
          <w:bCs/>
        </w:rPr>
        <w:t xml:space="preserve">erent in Part B compared to Part A of the Award. </w:t>
      </w:r>
      <w:r w:rsidR="008B7422">
        <w:rPr>
          <w:rFonts w:cs="Arial"/>
          <w:bCs/>
        </w:rPr>
        <w:t xml:space="preserve"> </w:t>
      </w:r>
      <w:r w:rsidR="00FD1085">
        <w:rPr>
          <w:rFonts w:cs="Arial"/>
          <w:bCs/>
        </w:rPr>
        <w:t>Part B provides for</w:t>
      </w:r>
      <w:r w:rsidR="00BA3C81">
        <w:rPr>
          <w:rFonts w:cs="Arial"/>
          <w:bCs/>
        </w:rPr>
        <w:t xml:space="preserve"> 8 </w:t>
      </w:r>
      <w:r w:rsidR="00BC75BF">
        <w:rPr>
          <w:rFonts w:cs="Arial"/>
          <w:bCs/>
        </w:rPr>
        <w:t>days</w:t>
      </w:r>
      <w:r w:rsidR="00BA3C81">
        <w:rPr>
          <w:rFonts w:cs="Arial"/>
          <w:bCs/>
        </w:rPr>
        <w:t xml:space="preserve"> leave </w:t>
      </w:r>
      <w:r w:rsidR="00FD1085">
        <w:rPr>
          <w:rFonts w:cs="Arial"/>
          <w:bCs/>
        </w:rPr>
        <w:t xml:space="preserve">per month compared to Part A which provides that for </w:t>
      </w:r>
      <w:r w:rsidR="00FD1085" w:rsidRPr="00FD1085">
        <w:rPr>
          <w:rFonts w:cs="Arial"/>
          <w:bCs/>
        </w:rPr>
        <w:t xml:space="preserve">each day of duty </w:t>
      </w:r>
      <w:r w:rsidR="00FD1085">
        <w:rPr>
          <w:rFonts w:cs="Arial"/>
          <w:bCs/>
        </w:rPr>
        <w:t xml:space="preserve">the </w:t>
      </w:r>
      <w:r w:rsidR="00FD1085" w:rsidRPr="00FD1085">
        <w:rPr>
          <w:rFonts w:cs="Arial"/>
          <w:bCs/>
        </w:rPr>
        <w:t>employee will accrue an entitlement to 0.926 of a day’s leave</w:t>
      </w:r>
      <w:r w:rsidR="00FD1085">
        <w:rPr>
          <w:rFonts w:cs="Arial"/>
          <w:bCs/>
        </w:rPr>
        <w:t xml:space="preserve">.  </w:t>
      </w:r>
    </w:p>
    <w:p w:rsidR="008B7422" w:rsidRPr="008B7422" w:rsidRDefault="008B7422" w:rsidP="008B7422"/>
    <w:p w:rsidR="00324628" w:rsidRPr="008B7422" w:rsidRDefault="008B7422" w:rsidP="008B7422">
      <w:pPr>
        <w:ind w:left="720" w:hanging="720"/>
      </w:pPr>
      <w:r>
        <w:t>6.2</w:t>
      </w:r>
      <w:r>
        <w:tab/>
      </w:r>
      <w:r w:rsidR="00493B05" w:rsidRPr="008B7422">
        <w:t xml:space="preserve">We note that the PC has </w:t>
      </w:r>
      <w:r w:rsidR="00BC75BF" w:rsidRPr="008B7422">
        <w:t>concluded</w:t>
      </w:r>
      <w:r w:rsidR="00493B05" w:rsidRPr="008B7422">
        <w:t xml:space="preserve"> that Part B labour costs are </w:t>
      </w:r>
      <w:r w:rsidR="00BC75BF" w:rsidRPr="008B7422">
        <w:t>approximately</w:t>
      </w:r>
      <w:r w:rsidR="00493B05" w:rsidRPr="008B7422">
        <w:t xml:space="preserve"> 50% of Part A labour costs, </w:t>
      </w:r>
      <w:r w:rsidR="00BC75BF" w:rsidRPr="008B7422">
        <w:t>indicating</w:t>
      </w:r>
      <w:r w:rsidR="00493B05" w:rsidRPr="008B7422">
        <w:t xml:space="preserve"> that </w:t>
      </w:r>
      <w:r w:rsidR="00BC75BF" w:rsidRPr="008B7422">
        <w:t>foreign</w:t>
      </w:r>
      <w:r w:rsidR="00493B05" w:rsidRPr="008B7422">
        <w:t xml:space="preserve"> ship </w:t>
      </w:r>
      <w:r w:rsidR="00BC75BF" w:rsidRPr="008B7422">
        <w:lastRenderedPageBreak/>
        <w:t>operators</w:t>
      </w:r>
      <w:r w:rsidR="00493B05" w:rsidRPr="008B7422">
        <w:t xml:space="preserve"> seeking to </w:t>
      </w:r>
      <w:r w:rsidR="00BC75BF" w:rsidRPr="008B7422">
        <w:t>access</w:t>
      </w:r>
      <w:r w:rsidR="00493B05" w:rsidRPr="008B7422">
        <w:t xml:space="preserve"> the </w:t>
      </w:r>
      <w:r w:rsidR="00BC75BF" w:rsidRPr="008B7422">
        <w:t>coastal</w:t>
      </w:r>
      <w:r w:rsidR="00493B05" w:rsidRPr="008B7422">
        <w:t xml:space="preserve"> trade have a </w:t>
      </w:r>
      <w:r w:rsidR="00BC75BF" w:rsidRPr="008B7422">
        <w:t>substantial</w:t>
      </w:r>
      <w:r w:rsidR="00493B05" w:rsidRPr="008B7422">
        <w:t xml:space="preserve"> </w:t>
      </w:r>
      <w:r w:rsidR="00BC75BF" w:rsidRPr="008B7422">
        <w:t>competitive</w:t>
      </w:r>
      <w:r w:rsidR="00493B05" w:rsidRPr="008B7422">
        <w:t xml:space="preserve"> edge on an </w:t>
      </w:r>
      <w:r w:rsidR="00BC75BF" w:rsidRPr="008B7422">
        <w:t>Australian</w:t>
      </w:r>
      <w:r w:rsidR="00493B05" w:rsidRPr="008B7422">
        <w:t xml:space="preserve"> </w:t>
      </w:r>
      <w:r w:rsidR="00BC75BF" w:rsidRPr="008B7422">
        <w:t>ship</w:t>
      </w:r>
      <w:r w:rsidR="00493B05" w:rsidRPr="008B7422">
        <w:t xml:space="preserve"> operator.</w:t>
      </w:r>
    </w:p>
    <w:p w:rsidR="00324628" w:rsidRPr="008B7422" w:rsidRDefault="00324628" w:rsidP="008B7422"/>
    <w:p w:rsidR="00324628" w:rsidRDefault="008B7422" w:rsidP="009067DF">
      <w:pPr>
        <w:ind w:left="720" w:hanging="720"/>
        <w:rPr>
          <w:rFonts w:cs="Arial"/>
          <w:bCs/>
        </w:rPr>
      </w:pPr>
      <w:r>
        <w:rPr>
          <w:rFonts w:cs="Arial"/>
          <w:bCs/>
        </w:rPr>
        <w:t>6.3</w:t>
      </w:r>
      <w:r w:rsidR="00BC75BF">
        <w:rPr>
          <w:rFonts w:cs="Arial"/>
          <w:bCs/>
        </w:rPr>
        <w:tab/>
        <w:t xml:space="preserve">The PC has also misunderstood the seafaring labour market by indicating that there was some dramatic increase in labour costs on foreign vessels with majority Australian crew operating in the coastal trade prior to 1 July 2012, </w:t>
      </w:r>
      <w:r>
        <w:rPr>
          <w:rFonts w:cs="Arial"/>
          <w:bCs/>
        </w:rPr>
        <w:t>that continued to be licensed after 1 July 2012 (</w:t>
      </w:r>
      <w:r w:rsidR="00BC75BF">
        <w:rPr>
          <w:rFonts w:cs="Arial"/>
          <w:bCs/>
        </w:rPr>
        <w:t xml:space="preserve">Licensed ships, and since, Transitional General Licensed </w:t>
      </w:r>
      <w:r>
        <w:rPr>
          <w:rFonts w:cs="Arial"/>
          <w:bCs/>
        </w:rPr>
        <w:t>(TGL) ships).  We think the PC may have overlooked the fact that t</w:t>
      </w:r>
      <w:r w:rsidR="00BC75BF">
        <w:rPr>
          <w:rFonts w:cs="Arial"/>
          <w:bCs/>
        </w:rPr>
        <w:t xml:space="preserve">hese vessels were covered by FWA approved Enterprise Agreements and remain covered by Enterprise Agreements, so there has in fact been no change as a result of changes to the FW Act and Regulations.  </w:t>
      </w:r>
      <w:r w:rsidR="009067DF">
        <w:rPr>
          <w:rFonts w:cs="Arial"/>
          <w:bCs/>
        </w:rPr>
        <w:t xml:space="preserve">This fact </w:t>
      </w:r>
      <w:r w:rsidR="00BC75BF">
        <w:rPr>
          <w:rFonts w:cs="Arial"/>
          <w:bCs/>
        </w:rPr>
        <w:t>significantly</w:t>
      </w:r>
      <w:r w:rsidR="009067DF">
        <w:rPr>
          <w:rFonts w:cs="Arial"/>
          <w:bCs/>
        </w:rPr>
        <w:t xml:space="preserve"> changes the</w:t>
      </w:r>
      <w:r w:rsidR="00C8551F">
        <w:rPr>
          <w:rFonts w:cs="Arial"/>
          <w:bCs/>
        </w:rPr>
        <w:t xml:space="preserve"> basis for the PC assertion at </w:t>
      </w:r>
      <w:r w:rsidR="009067DF">
        <w:rPr>
          <w:rFonts w:cs="Arial"/>
          <w:bCs/>
        </w:rPr>
        <w:t>C20 that labour costs could have increased by 200%.</w:t>
      </w:r>
    </w:p>
    <w:p w:rsidR="00324628" w:rsidRDefault="00324628" w:rsidP="009067DF">
      <w:pPr>
        <w:ind w:left="720" w:hanging="720"/>
        <w:rPr>
          <w:rFonts w:cs="Arial"/>
          <w:bCs/>
        </w:rPr>
      </w:pPr>
    </w:p>
    <w:p w:rsidR="00697ABD" w:rsidRDefault="00BC75BF" w:rsidP="00F136DA">
      <w:pPr>
        <w:ind w:left="720" w:hanging="720"/>
        <w:rPr>
          <w:rFonts w:cs="Arial"/>
          <w:bCs/>
        </w:rPr>
      </w:pPr>
      <w:r>
        <w:rPr>
          <w:rFonts w:cs="Arial"/>
          <w:bCs/>
        </w:rPr>
        <w:t>6.3</w:t>
      </w:r>
      <w:r>
        <w:rPr>
          <w:rFonts w:cs="Arial"/>
          <w:bCs/>
        </w:rPr>
        <w:tab/>
        <w:t xml:space="preserve">The PC (and other analysts) may have misunderstood the requirements of the </w:t>
      </w:r>
      <w:r w:rsidRPr="00C8551F">
        <w:rPr>
          <w:rFonts w:cs="Arial"/>
          <w:bCs/>
          <w:i/>
        </w:rPr>
        <w:t>Coastal Trading (Revitalising Australian Shipping) (Consequential Amendments and Transitional Provisions) Act 2012</w:t>
      </w:r>
      <w:r>
        <w:rPr>
          <w:rFonts w:cs="Arial"/>
          <w:bCs/>
        </w:rPr>
        <w:t xml:space="preserve"> relating to the crewing of foreign vessels which have transitioned as foreign vessels under License, to foreign vessels under a Transitional General License.   </w:t>
      </w:r>
      <w:r w:rsidR="00AB196E">
        <w:rPr>
          <w:rFonts w:cs="Arial"/>
          <w:bCs/>
        </w:rPr>
        <w:t xml:space="preserve">While it is </w:t>
      </w:r>
      <w:r>
        <w:rPr>
          <w:rFonts w:cs="Arial"/>
          <w:bCs/>
        </w:rPr>
        <w:t>open</w:t>
      </w:r>
      <w:r w:rsidR="00AB196E">
        <w:rPr>
          <w:rFonts w:cs="Arial"/>
          <w:bCs/>
        </w:rPr>
        <w:t xml:space="preserve"> for the operator to employ </w:t>
      </w:r>
      <w:r>
        <w:rPr>
          <w:rFonts w:cs="Arial"/>
          <w:bCs/>
        </w:rPr>
        <w:t>Australian</w:t>
      </w:r>
      <w:r w:rsidR="00AB196E">
        <w:rPr>
          <w:rFonts w:cs="Arial"/>
          <w:bCs/>
        </w:rPr>
        <w:t xml:space="preserve"> nationals on </w:t>
      </w:r>
      <w:r>
        <w:rPr>
          <w:rFonts w:cs="Arial"/>
          <w:bCs/>
        </w:rPr>
        <w:t>such</w:t>
      </w:r>
      <w:r w:rsidR="00AB196E">
        <w:rPr>
          <w:rFonts w:cs="Arial"/>
          <w:bCs/>
        </w:rPr>
        <w:t xml:space="preserve"> TGL vessels, it is not </w:t>
      </w:r>
      <w:r>
        <w:rPr>
          <w:rFonts w:cs="Arial"/>
          <w:bCs/>
        </w:rPr>
        <w:t>necessary</w:t>
      </w:r>
      <w:r w:rsidR="00F136DA">
        <w:rPr>
          <w:rFonts w:cs="Arial"/>
          <w:bCs/>
        </w:rPr>
        <w:t>, as could be implied fro</w:t>
      </w:r>
      <w:r w:rsidR="00AB196E">
        <w:rPr>
          <w:rFonts w:cs="Arial"/>
          <w:bCs/>
        </w:rPr>
        <w:t>m Table C4.</w:t>
      </w:r>
      <w:r w:rsidR="00697ABD">
        <w:rPr>
          <w:rFonts w:cs="Arial"/>
          <w:bCs/>
        </w:rPr>
        <w:br w:type="page"/>
      </w:r>
    </w:p>
    <w:p w:rsidR="00BC75BF" w:rsidRPr="00697ABD" w:rsidRDefault="00AE3FD0" w:rsidP="00697ABD">
      <w:pPr>
        <w:jc w:val="right"/>
        <w:rPr>
          <w:rFonts w:cs="Arial"/>
          <w:b/>
          <w:bCs/>
          <w:color w:val="0070C0"/>
        </w:rPr>
      </w:pPr>
      <w:r w:rsidRPr="00697ABD">
        <w:rPr>
          <w:rFonts w:cs="Arial"/>
          <w:b/>
          <w:bCs/>
          <w:color w:val="0070C0"/>
        </w:rPr>
        <w:lastRenderedPageBreak/>
        <w:t>Attachment</w:t>
      </w:r>
      <w:r w:rsidR="00697ABD" w:rsidRPr="00697ABD">
        <w:rPr>
          <w:rFonts w:cs="Arial"/>
          <w:b/>
          <w:bCs/>
          <w:color w:val="0070C0"/>
        </w:rPr>
        <w:t xml:space="preserve"> A</w:t>
      </w:r>
    </w:p>
    <w:p w:rsidR="00697ABD" w:rsidRPr="00697ABD" w:rsidRDefault="00697ABD" w:rsidP="001E05B7">
      <w:pPr>
        <w:rPr>
          <w:rFonts w:cs="Arial"/>
          <w:b/>
          <w:bCs/>
          <w:color w:val="0070C0"/>
        </w:rPr>
      </w:pPr>
    </w:p>
    <w:p w:rsidR="00697ABD" w:rsidRPr="00697ABD" w:rsidRDefault="00697ABD" w:rsidP="001E05B7">
      <w:pPr>
        <w:rPr>
          <w:rFonts w:cs="Arial"/>
          <w:b/>
          <w:bCs/>
          <w:color w:val="0070C0"/>
        </w:rPr>
      </w:pPr>
      <w:r w:rsidRPr="00697ABD">
        <w:rPr>
          <w:rFonts w:cs="Arial"/>
          <w:b/>
          <w:bCs/>
          <w:color w:val="0070C0"/>
        </w:rPr>
        <w:t xml:space="preserve">Recommendations from the </w:t>
      </w:r>
      <w:r>
        <w:rPr>
          <w:rFonts w:cs="Arial"/>
          <w:b/>
          <w:bCs/>
          <w:color w:val="0070C0"/>
        </w:rPr>
        <w:t xml:space="preserve">Final Report of the </w:t>
      </w:r>
      <w:r w:rsidR="00AE3FD0">
        <w:rPr>
          <w:rFonts w:cs="Arial"/>
          <w:b/>
          <w:bCs/>
          <w:color w:val="0070C0"/>
        </w:rPr>
        <w:t>Tasmanian</w:t>
      </w:r>
      <w:r>
        <w:rPr>
          <w:rFonts w:cs="Arial"/>
          <w:b/>
          <w:bCs/>
          <w:color w:val="0070C0"/>
        </w:rPr>
        <w:t xml:space="preserve"> Freight </w:t>
      </w:r>
      <w:r w:rsidR="00AE3FD0">
        <w:rPr>
          <w:rFonts w:cs="Arial"/>
          <w:b/>
          <w:bCs/>
          <w:color w:val="0070C0"/>
        </w:rPr>
        <w:t>Logistics</w:t>
      </w:r>
      <w:r>
        <w:rPr>
          <w:rFonts w:cs="Arial"/>
          <w:b/>
          <w:bCs/>
          <w:color w:val="0070C0"/>
        </w:rPr>
        <w:t xml:space="preserve"> </w:t>
      </w:r>
      <w:r w:rsidR="00AE3FD0">
        <w:rPr>
          <w:rFonts w:cs="Arial"/>
          <w:b/>
          <w:bCs/>
          <w:color w:val="0070C0"/>
        </w:rPr>
        <w:t>Coordination</w:t>
      </w:r>
      <w:r>
        <w:rPr>
          <w:rFonts w:cs="Arial"/>
          <w:b/>
          <w:bCs/>
          <w:color w:val="0070C0"/>
        </w:rPr>
        <w:t xml:space="preserve"> Team that if </w:t>
      </w:r>
      <w:r w:rsidR="00AE3FD0">
        <w:rPr>
          <w:rFonts w:cs="Arial"/>
          <w:b/>
          <w:bCs/>
          <w:color w:val="0070C0"/>
        </w:rPr>
        <w:t>addressed</w:t>
      </w:r>
      <w:r>
        <w:rPr>
          <w:rFonts w:cs="Arial"/>
          <w:b/>
          <w:bCs/>
          <w:color w:val="0070C0"/>
        </w:rPr>
        <w:t xml:space="preserve">, could impact on </w:t>
      </w:r>
      <w:r w:rsidR="00AE3FD0">
        <w:rPr>
          <w:rFonts w:cs="Arial"/>
          <w:b/>
          <w:bCs/>
          <w:color w:val="0070C0"/>
        </w:rPr>
        <w:t>Tasmanian</w:t>
      </w:r>
      <w:r>
        <w:rPr>
          <w:rFonts w:cs="Arial"/>
          <w:b/>
          <w:bCs/>
          <w:color w:val="0070C0"/>
        </w:rPr>
        <w:t xml:space="preserve"> supply </w:t>
      </w:r>
      <w:r w:rsidR="00AE3FD0">
        <w:rPr>
          <w:rFonts w:cs="Arial"/>
          <w:b/>
          <w:bCs/>
          <w:color w:val="0070C0"/>
        </w:rPr>
        <w:t>chain</w:t>
      </w:r>
      <w:r>
        <w:rPr>
          <w:rFonts w:cs="Arial"/>
          <w:b/>
          <w:bCs/>
          <w:color w:val="0070C0"/>
        </w:rPr>
        <w:t xml:space="preserve"> costs and efficiency</w:t>
      </w:r>
    </w:p>
    <w:p w:rsidR="00697ABD" w:rsidRDefault="00697ABD" w:rsidP="001E05B7">
      <w:pPr>
        <w:rPr>
          <w:rFonts w:cs="Arial"/>
          <w:bCs/>
        </w:rPr>
      </w:pPr>
    </w:p>
    <w:p w:rsidR="00697ABD" w:rsidRPr="00697ABD" w:rsidRDefault="00697ABD" w:rsidP="00697ABD">
      <w:pPr>
        <w:rPr>
          <w:rFonts w:cs="Arial"/>
          <w:bCs/>
        </w:rPr>
      </w:pPr>
      <w:r w:rsidRPr="00697ABD">
        <w:rPr>
          <w:rFonts w:cs="Arial"/>
          <w:bCs/>
        </w:rPr>
        <w:t>6.</w:t>
      </w:r>
      <w:r>
        <w:rPr>
          <w:rFonts w:cs="Arial"/>
          <w:bCs/>
        </w:rPr>
        <w:tab/>
      </w:r>
      <w:r w:rsidRPr="00697ABD">
        <w:rPr>
          <w:rFonts w:cs="Arial"/>
          <w:bCs/>
        </w:rPr>
        <w:t xml:space="preserve"> Port development is critical for Tasmania and should be progressed on the following basis –</w:t>
      </w:r>
    </w:p>
    <w:p w:rsidR="00697ABD" w:rsidRPr="00697ABD" w:rsidRDefault="00697ABD" w:rsidP="00697ABD">
      <w:pPr>
        <w:ind w:left="720" w:hanging="720"/>
        <w:rPr>
          <w:rFonts w:cs="Arial"/>
          <w:bCs/>
        </w:rPr>
      </w:pPr>
      <w:r w:rsidRPr="00697ABD">
        <w:rPr>
          <w:rFonts w:cs="Arial"/>
          <w:bCs/>
        </w:rPr>
        <w:t>a.</w:t>
      </w:r>
      <w:r w:rsidRPr="00697ABD">
        <w:rPr>
          <w:rFonts w:cs="Arial"/>
          <w:bCs/>
        </w:rPr>
        <w:tab/>
        <w:t>Formalise a long-term port strategy that recognises Burnie Port as Tasmania’s principal domestic container port in the medium to long term, based on potential for deep water expansion, closest sea travel time to Melbourne, the ability to develop at comparatively lower cost and alignment with land transport networks.</w:t>
      </w:r>
    </w:p>
    <w:p w:rsidR="00697ABD" w:rsidRPr="00697ABD" w:rsidRDefault="00697ABD" w:rsidP="00697ABD">
      <w:pPr>
        <w:ind w:left="720" w:hanging="720"/>
        <w:rPr>
          <w:rFonts w:cs="Arial"/>
          <w:bCs/>
        </w:rPr>
      </w:pPr>
      <w:r w:rsidRPr="00697ABD">
        <w:rPr>
          <w:rFonts w:cs="Arial"/>
          <w:bCs/>
        </w:rPr>
        <w:t>b.</w:t>
      </w:r>
      <w:r w:rsidRPr="00697ABD">
        <w:rPr>
          <w:rFonts w:cs="Arial"/>
          <w:bCs/>
        </w:rPr>
        <w:tab/>
        <w:t>Ensure investment in other ports is targeted to meet specific freight needs, with no investment in duplicated functions.</w:t>
      </w:r>
    </w:p>
    <w:p w:rsidR="00697ABD" w:rsidRDefault="00697ABD" w:rsidP="00697ABD">
      <w:pPr>
        <w:rPr>
          <w:rFonts w:cs="Arial"/>
          <w:bCs/>
        </w:rPr>
      </w:pPr>
    </w:p>
    <w:p w:rsidR="00697ABD" w:rsidRPr="00697ABD" w:rsidRDefault="00697ABD" w:rsidP="00697ABD">
      <w:pPr>
        <w:rPr>
          <w:rFonts w:cs="Arial"/>
          <w:bCs/>
        </w:rPr>
      </w:pPr>
      <w:r w:rsidRPr="00697ABD">
        <w:rPr>
          <w:rFonts w:cs="Arial"/>
          <w:bCs/>
        </w:rPr>
        <w:t>13.</w:t>
      </w:r>
      <w:r w:rsidRPr="00697ABD">
        <w:rPr>
          <w:rFonts w:cs="Arial"/>
          <w:bCs/>
        </w:rPr>
        <w:tab/>
        <w:t>The demand for different Bass Strait shipping service models, including a lower frequency option, should be investigated. This will require the collection of better data on service needs.</w:t>
      </w:r>
    </w:p>
    <w:p w:rsidR="00697ABD" w:rsidRDefault="00697ABD" w:rsidP="00697ABD">
      <w:pPr>
        <w:rPr>
          <w:rFonts w:cs="Arial"/>
          <w:bCs/>
        </w:rPr>
      </w:pPr>
    </w:p>
    <w:p w:rsidR="00697ABD" w:rsidRPr="00697ABD" w:rsidRDefault="00697ABD" w:rsidP="00697ABD">
      <w:pPr>
        <w:rPr>
          <w:rFonts w:cs="Arial"/>
          <w:bCs/>
        </w:rPr>
      </w:pPr>
      <w:r w:rsidRPr="00697ABD">
        <w:rPr>
          <w:rFonts w:cs="Arial"/>
          <w:bCs/>
        </w:rPr>
        <w:t>14.</w:t>
      </w:r>
      <w:r w:rsidRPr="00697ABD">
        <w:rPr>
          <w:rFonts w:cs="Arial"/>
          <w:bCs/>
        </w:rPr>
        <w:tab/>
        <w:t>Bass Strait seasonal capacity issues should be examined in the context of forecast growth, user needs, alternative lower cost solutions and their relationship to broader port planning.</w:t>
      </w:r>
    </w:p>
    <w:p w:rsidR="00697ABD" w:rsidRDefault="00697ABD" w:rsidP="00697ABD">
      <w:pPr>
        <w:rPr>
          <w:rFonts w:cs="Arial"/>
          <w:bCs/>
        </w:rPr>
      </w:pPr>
    </w:p>
    <w:p w:rsidR="00697ABD" w:rsidRPr="00697ABD" w:rsidRDefault="00697ABD" w:rsidP="00697ABD">
      <w:pPr>
        <w:rPr>
          <w:rFonts w:cs="Arial"/>
          <w:bCs/>
        </w:rPr>
      </w:pPr>
      <w:r w:rsidRPr="00697ABD">
        <w:rPr>
          <w:rFonts w:cs="Arial"/>
          <w:bCs/>
        </w:rPr>
        <w:t>15.</w:t>
      </w:r>
      <w:r w:rsidRPr="00697ABD">
        <w:rPr>
          <w:rFonts w:cs="Arial"/>
          <w:bCs/>
        </w:rPr>
        <w:tab/>
        <w:t>The Tasmanian Government, with customer support, should continue to market-test the commercial interest of international shipping providers to supplying direct bulk and container services to and from Asia and should continue to negotiate with shortlisted providers.</w:t>
      </w:r>
    </w:p>
    <w:p w:rsidR="00697ABD" w:rsidRPr="00697ABD" w:rsidRDefault="00697ABD" w:rsidP="00697ABD">
      <w:pPr>
        <w:rPr>
          <w:rFonts w:cs="Arial"/>
          <w:bCs/>
        </w:rPr>
      </w:pPr>
    </w:p>
    <w:p w:rsidR="00697ABD" w:rsidRPr="00697ABD" w:rsidRDefault="00697ABD" w:rsidP="00697ABD">
      <w:pPr>
        <w:rPr>
          <w:rFonts w:cs="Arial"/>
          <w:bCs/>
        </w:rPr>
      </w:pPr>
      <w:r w:rsidRPr="00697ABD">
        <w:rPr>
          <w:rFonts w:cs="Arial"/>
          <w:bCs/>
        </w:rPr>
        <w:t>21.</w:t>
      </w:r>
      <w:r w:rsidRPr="00697ABD">
        <w:rPr>
          <w:rFonts w:cs="Arial"/>
          <w:bCs/>
        </w:rPr>
        <w:tab/>
        <w:t>As part of the development of the Tasmanian Freight Strategy, the Tasmanian Government should investigate opportunities to promote industry collaboration, enhanced skills training and employment opportunities in the freight, transport and logistics sectors.</w:t>
      </w:r>
    </w:p>
    <w:p w:rsidR="00697ABD" w:rsidRDefault="00697ABD" w:rsidP="001E05B7">
      <w:pPr>
        <w:rPr>
          <w:rFonts w:cs="Arial"/>
          <w:bCs/>
        </w:rPr>
      </w:pPr>
    </w:p>
    <w:p w:rsidR="00697ABD" w:rsidRDefault="00697ABD" w:rsidP="001E05B7">
      <w:pPr>
        <w:rPr>
          <w:rFonts w:cs="Arial"/>
          <w:bCs/>
        </w:rPr>
      </w:pPr>
    </w:p>
    <w:sectPr w:rsidR="00697ABD" w:rsidSect="00AE3FD0">
      <w:footerReference w:type="default" r:id="rId10"/>
      <w:pgSz w:w="11907" w:h="16840" w:code="9"/>
      <w:pgMar w:top="953" w:right="1537" w:bottom="1310" w:left="1605"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5BF" w:rsidRDefault="00BC75BF" w:rsidP="000559C4">
      <w:r>
        <w:separator/>
      </w:r>
    </w:p>
  </w:endnote>
  <w:endnote w:type="continuationSeparator" w:id="0">
    <w:p w:rsidR="00BC75BF" w:rsidRDefault="00BC75BF" w:rsidP="00055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0921119"/>
      <w:docPartObj>
        <w:docPartGallery w:val="Page Numbers (Bottom of Page)"/>
        <w:docPartUnique/>
      </w:docPartObj>
    </w:sdtPr>
    <w:sdtEndPr>
      <w:rPr>
        <w:noProof/>
      </w:rPr>
    </w:sdtEndPr>
    <w:sdtContent>
      <w:p w:rsidR="00AE3FD0" w:rsidRDefault="00AE3FD0">
        <w:pPr>
          <w:pStyle w:val="Footer"/>
          <w:jc w:val="center"/>
        </w:pPr>
        <w:r>
          <w:fldChar w:fldCharType="begin"/>
        </w:r>
        <w:r>
          <w:instrText xml:space="preserve"> PAGE   \* MERGEFORMAT </w:instrText>
        </w:r>
        <w:r>
          <w:fldChar w:fldCharType="separate"/>
        </w:r>
        <w:r w:rsidR="002509C3">
          <w:rPr>
            <w:noProof/>
          </w:rPr>
          <w:t>19</w:t>
        </w:r>
        <w:r>
          <w:rPr>
            <w:noProof/>
          </w:rPr>
          <w:fldChar w:fldCharType="end"/>
        </w:r>
      </w:p>
    </w:sdtContent>
  </w:sdt>
  <w:p w:rsidR="00AE3FD0" w:rsidRDefault="00AE3F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5BF" w:rsidRDefault="00BC75BF" w:rsidP="000559C4">
      <w:r>
        <w:separator/>
      </w:r>
    </w:p>
  </w:footnote>
  <w:footnote w:type="continuationSeparator" w:id="0">
    <w:p w:rsidR="00BC75BF" w:rsidRDefault="00BC75BF" w:rsidP="000559C4">
      <w:r>
        <w:continuationSeparator/>
      </w:r>
    </w:p>
  </w:footnote>
  <w:footnote w:id="1">
    <w:p w:rsidR="00964DD3" w:rsidRDefault="00964DD3">
      <w:pPr>
        <w:pStyle w:val="FootnoteText"/>
      </w:pPr>
      <w:r>
        <w:rPr>
          <w:rStyle w:val="FootnoteReference"/>
        </w:rPr>
        <w:footnoteRef/>
      </w:r>
      <w:r>
        <w:t xml:space="preserve"> </w:t>
      </w:r>
      <w:r w:rsidRPr="00964DD3">
        <w:t xml:space="preserve">Productivity Commission, </w:t>
      </w:r>
      <w:r w:rsidRPr="00964DD3">
        <w:rPr>
          <w:i/>
        </w:rPr>
        <w:t>Inquiry into Tasmanian Shipping and Freight, Draft Report</w:t>
      </w:r>
      <w:r>
        <w:t>, 24 January 2014 P141</w:t>
      </w:r>
    </w:p>
  </w:footnote>
  <w:footnote w:id="2">
    <w:p w:rsidR="00BC75BF" w:rsidRDefault="00BC75BF">
      <w:pPr>
        <w:pStyle w:val="FootnoteText"/>
      </w:pPr>
      <w:r>
        <w:rPr>
          <w:rStyle w:val="FootnoteReference"/>
        </w:rPr>
        <w:footnoteRef/>
      </w:r>
      <w:r>
        <w:t xml:space="preserve"> </w:t>
      </w:r>
      <w:r w:rsidR="00964DD3">
        <w:t xml:space="preserve">Ibid </w:t>
      </w:r>
      <w:r>
        <w:t>P19</w:t>
      </w:r>
    </w:p>
  </w:footnote>
  <w:footnote w:id="3">
    <w:p w:rsidR="00BC75BF" w:rsidRDefault="00BC75BF">
      <w:pPr>
        <w:pStyle w:val="FootnoteText"/>
      </w:pPr>
      <w:r>
        <w:rPr>
          <w:rStyle w:val="FootnoteReference"/>
        </w:rPr>
        <w:footnoteRef/>
      </w:r>
      <w:r>
        <w:t xml:space="preserve"> Ibid P7</w:t>
      </w:r>
    </w:p>
  </w:footnote>
  <w:footnote w:id="4">
    <w:p w:rsidR="00BC75BF" w:rsidRDefault="00BC75BF">
      <w:pPr>
        <w:pStyle w:val="FootnoteText"/>
      </w:pPr>
      <w:r>
        <w:rPr>
          <w:rStyle w:val="FootnoteReference"/>
        </w:rPr>
        <w:footnoteRef/>
      </w:r>
      <w:r>
        <w:t xml:space="preserve"> Ibid, </w:t>
      </w:r>
      <w:r w:rsidR="00964DD3">
        <w:t xml:space="preserve">Draft </w:t>
      </w:r>
      <w:r w:rsidR="00623C6A">
        <w:t>Recommendation 1</w:t>
      </w:r>
      <w:r>
        <w:t>, P</w:t>
      </w:r>
      <w:r w:rsidR="00623C6A">
        <w:t>28</w:t>
      </w:r>
    </w:p>
  </w:footnote>
  <w:footnote w:id="5">
    <w:p w:rsidR="00BC75BF" w:rsidRDefault="00BC75BF">
      <w:pPr>
        <w:pStyle w:val="FootnoteText"/>
      </w:pPr>
      <w:r>
        <w:rPr>
          <w:rStyle w:val="FootnoteReference"/>
        </w:rPr>
        <w:footnoteRef/>
      </w:r>
      <w:r>
        <w:t xml:space="preserve"> Ibid P10</w:t>
      </w:r>
    </w:p>
  </w:footnote>
  <w:footnote w:id="6">
    <w:p w:rsidR="00BC75BF" w:rsidRDefault="00BC75BF">
      <w:pPr>
        <w:pStyle w:val="FootnoteText"/>
      </w:pPr>
      <w:r>
        <w:rPr>
          <w:rStyle w:val="FootnoteReference"/>
        </w:rPr>
        <w:footnoteRef/>
      </w:r>
      <w:r>
        <w:t xml:space="preserve"> Ibid </w:t>
      </w:r>
    </w:p>
  </w:footnote>
  <w:footnote w:id="7">
    <w:p w:rsidR="00BC75BF" w:rsidRDefault="00BC75BF">
      <w:pPr>
        <w:pStyle w:val="FootnoteText"/>
      </w:pPr>
      <w:r>
        <w:rPr>
          <w:rStyle w:val="FootnoteReference"/>
        </w:rPr>
        <w:footnoteRef/>
      </w:r>
      <w:r>
        <w:t xml:space="preserve"> Ibid P16</w:t>
      </w:r>
    </w:p>
  </w:footnote>
  <w:footnote w:id="8">
    <w:p w:rsidR="005F603C" w:rsidRDefault="005F603C">
      <w:pPr>
        <w:pStyle w:val="FootnoteText"/>
      </w:pPr>
      <w:r>
        <w:rPr>
          <w:rStyle w:val="FootnoteReference"/>
        </w:rPr>
        <w:footnoteRef/>
      </w:r>
      <w:r>
        <w:t xml:space="preserve"> Brooks et al, Institute of Transport and Logistics St</w:t>
      </w:r>
      <w:r w:rsidR="00B56666">
        <w:t>udies, University of Sydney, Wo</w:t>
      </w:r>
      <w:r>
        <w:t xml:space="preserve">rking </w:t>
      </w:r>
      <w:r w:rsidR="00B56666">
        <w:t>Paper</w:t>
      </w:r>
      <w:r>
        <w:t xml:space="preserve"> ITLS-WP-11-20, </w:t>
      </w:r>
      <w:r w:rsidR="00B56666" w:rsidRPr="005F603C">
        <w:rPr>
          <w:i/>
        </w:rPr>
        <w:t>Understanding</w:t>
      </w:r>
      <w:r w:rsidRPr="005F603C">
        <w:rPr>
          <w:i/>
        </w:rPr>
        <w:t xml:space="preserve"> Mode Choice decisions: A study of </w:t>
      </w:r>
      <w:r w:rsidR="00B56666" w:rsidRPr="005F603C">
        <w:rPr>
          <w:i/>
        </w:rPr>
        <w:t>Australian</w:t>
      </w:r>
      <w:r w:rsidRPr="005F603C">
        <w:rPr>
          <w:i/>
        </w:rPr>
        <w:t xml:space="preserve"> Freight Shipping</w:t>
      </w:r>
      <w:r>
        <w:t>, October 2011</w:t>
      </w:r>
    </w:p>
  </w:footnote>
  <w:footnote w:id="9">
    <w:p w:rsidR="00BC75BF" w:rsidRDefault="00BC75BF">
      <w:pPr>
        <w:pStyle w:val="FootnoteText"/>
      </w:pPr>
      <w:r>
        <w:rPr>
          <w:rStyle w:val="FootnoteReference"/>
        </w:rPr>
        <w:footnoteRef/>
      </w:r>
      <w:r w:rsidR="005F603C">
        <w:t xml:space="preserve"> </w:t>
      </w:r>
      <w:r>
        <w:t xml:space="preserve"> </w:t>
      </w:r>
      <w:r w:rsidR="005F603C" w:rsidRPr="005F603C">
        <w:t xml:space="preserve">Productivity Commission, </w:t>
      </w:r>
      <w:r w:rsidR="005F603C" w:rsidRPr="005F603C">
        <w:rPr>
          <w:i/>
        </w:rPr>
        <w:t>Inquiry into Tasmanian Shipping and Freight, Draft Report</w:t>
      </w:r>
      <w:r w:rsidR="005F603C">
        <w:t xml:space="preserve">, 24 January 2014 </w:t>
      </w:r>
      <w:r>
        <w:t>P17</w:t>
      </w:r>
    </w:p>
  </w:footnote>
  <w:footnote w:id="10">
    <w:p w:rsidR="00BC75BF" w:rsidRDefault="00BC75BF">
      <w:pPr>
        <w:pStyle w:val="FootnoteText"/>
      </w:pPr>
      <w:r>
        <w:rPr>
          <w:rStyle w:val="FootnoteReference"/>
        </w:rPr>
        <w:footnoteRef/>
      </w:r>
      <w:r>
        <w:t xml:space="preserve"> Ibid P20</w:t>
      </w:r>
    </w:p>
  </w:footnote>
  <w:footnote w:id="11">
    <w:p w:rsidR="00BC75BF" w:rsidRDefault="00BC75BF">
      <w:pPr>
        <w:pStyle w:val="FootnoteText"/>
      </w:pPr>
      <w:r>
        <w:rPr>
          <w:rStyle w:val="FootnoteReference"/>
        </w:rPr>
        <w:footnoteRef/>
      </w:r>
      <w:r>
        <w:t xml:space="preserve"> Ibid</w:t>
      </w:r>
    </w:p>
  </w:footnote>
  <w:footnote w:id="12">
    <w:p w:rsidR="00BC75BF" w:rsidRDefault="00BC75BF">
      <w:pPr>
        <w:pStyle w:val="FootnoteText"/>
      </w:pPr>
      <w:r>
        <w:rPr>
          <w:rStyle w:val="FootnoteReference"/>
        </w:rPr>
        <w:footnoteRef/>
      </w:r>
      <w:r>
        <w:t xml:space="preserve"> Ibid P57</w:t>
      </w:r>
    </w:p>
  </w:footnote>
  <w:footnote w:id="13">
    <w:p w:rsidR="00BC75BF" w:rsidRDefault="00BC75BF">
      <w:pPr>
        <w:pStyle w:val="FootnoteText"/>
      </w:pPr>
      <w:r>
        <w:rPr>
          <w:rStyle w:val="FootnoteReference"/>
        </w:rPr>
        <w:footnoteRef/>
      </w:r>
      <w:r>
        <w:t xml:space="preserve"> Ibid P48</w:t>
      </w:r>
    </w:p>
  </w:footnote>
  <w:footnote w:id="14">
    <w:p w:rsidR="00BC75BF" w:rsidRDefault="00BC75BF">
      <w:pPr>
        <w:pStyle w:val="FootnoteText"/>
      </w:pPr>
      <w:r>
        <w:rPr>
          <w:rStyle w:val="FootnoteReference"/>
        </w:rPr>
        <w:footnoteRef/>
      </w:r>
      <w:r>
        <w:t xml:space="preserve"> Ibid</w:t>
      </w:r>
      <w:r w:rsidR="003F2D6D">
        <w:t xml:space="preserve"> P127</w:t>
      </w:r>
    </w:p>
  </w:footnote>
  <w:footnote w:id="15">
    <w:p w:rsidR="00BC75BF" w:rsidRDefault="00BC75BF">
      <w:pPr>
        <w:pStyle w:val="FootnoteText"/>
      </w:pPr>
      <w:r>
        <w:rPr>
          <w:rStyle w:val="FootnoteReference"/>
        </w:rPr>
        <w:footnoteRef/>
      </w:r>
      <w:r>
        <w:t xml:space="preserve"> </w:t>
      </w:r>
      <w:r w:rsidR="003F2D6D">
        <w:t>Ibid P61</w:t>
      </w:r>
    </w:p>
  </w:footnote>
  <w:footnote w:id="16">
    <w:p w:rsidR="00BC75BF" w:rsidRDefault="00BC75BF">
      <w:pPr>
        <w:pStyle w:val="FootnoteText"/>
      </w:pPr>
      <w:r>
        <w:rPr>
          <w:rStyle w:val="FootnoteReference"/>
        </w:rPr>
        <w:footnoteRef/>
      </w:r>
      <w:r>
        <w:t xml:space="preserve"> </w:t>
      </w:r>
      <w:r w:rsidR="003F2D6D">
        <w:t>MUA calculation – based on a TEU containing 20 tonnes of freight</w:t>
      </w:r>
    </w:p>
  </w:footnote>
  <w:footnote w:id="17">
    <w:p w:rsidR="00BC75BF" w:rsidRDefault="00BC75BF">
      <w:pPr>
        <w:pStyle w:val="FootnoteText"/>
      </w:pPr>
      <w:r>
        <w:rPr>
          <w:rStyle w:val="FootnoteReference"/>
        </w:rPr>
        <w:footnoteRef/>
      </w:r>
      <w:r>
        <w:t xml:space="preserve"> Ibid See Box 4.2 on P113</w:t>
      </w:r>
    </w:p>
  </w:footnote>
  <w:footnote w:id="18">
    <w:p w:rsidR="00BC75BF" w:rsidRDefault="00BC75BF">
      <w:pPr>
        <w:pStyle w:val="FootnoteText"/>
      </w:pPr>
      <w:r>
        <w:rPr>
          <w:rStyle w:val="FootnoteReference"/>
        </w:rPr>
        <w:footnoteRef/>
      </w:r>
      <w:r>
        <w:t xml:space="preserve"> Ibid P124</w:t>
      </w:r>
    </w:p>
  </w:footnote>
  <w:footnote w:id="19">
    <w:p w:rsidR="00BC75BF" w:rsidRDefault="00BC75BF">
      <w:pPr>
        <w:pStyle w:val="FootnoteText"/>
      </w:pPr>
      <w:r>
        <w:rPr>
          <w:rStyle w:val="FootnoteReference"/>
        </w:rPr>
        <w:footnoteRef/>
      </w:r>
      <w:r>
        <w:t xml:space="preserve"> </w:t>
      </w:r>
      <w:proofErr w:type="gramStart"/>
      <w:r>
        <w:t>MUA analysis of Permi</w:t>
      </w:r>
      <w:r w:rsidR="00623C6A">
        <w:t>t</w:t>
      </w:r>
      <w:r>
        <w:t xml:space="preserve"> and TL data for period 1 November 2010 to 31 October 2011 (Permits) and 1 November 201</w:t>
      </w:r>
      <w:r w:rsidR="00623C6A">
        <w:t>2</w:t>
      </w:r>
      <w:r w:rsidR="006A2292">
        <w:t xml:space="preserve"> to 31 October 2013 (TLs).</w:t>
      </w:r>
      <w:proofErr w:type="gramEnd"/>
      <w:r w:rsidR="006A2292">
        <w:t xml:space="preserve">  These</w:t>
      </w:r>
      <w:r>
        <w:t xml:space="preserve"> 12 </w:t>
      </w:r>
      <w:r w:rsidR="00AE3FD0">
        <w:t>month</w:t>
      </w:r>
      <w:r>
        <w:t xml:space="preserve"> </w:t>
      </w:r>
      <w:r w:rsidR="00AE3FD0">
        <w:t>period</w:t>
      </w:r>
      <w:r w:rsidR="006A2292">
        <w:t>s</w:t>
      </w:r>
      <w:r w:rsidR="00AE3FD0">
        <w:t xml:space="preserve"> </w:t>
      </w:r>
      <w:r w:rsidR="006A2292">
        <w:t xml:space="preserve">due to lack of </w:t>
      </w:r>
      <w:r w:rsidR="00C8551F">
        <w:t>Permit</w:t>
      </w:r>
      <w:r w:rsidR="006A2292">
        <w:t xml:space="preserve"> data in 2011/12 and to ensure</w:t>
      </w:r>
      <w:r w:rsidR="00623C6A">
        <w:t xml:space="preserve"> data is</w:t>
      </w:r>
      <w:r>
        <w:t xml:space="preserve"> comparable</w:t>
      </w:r>
      <w:r w:rsidR="00697ABD">
        <w:t xml:space="preserve">.  Data </w:t>
      </w:r>
      <w:r w:rsidR="006A2292">
        <w:t xml:space="preserve">is </w:t>
      </w:r>
      <w:r w:rsidR="00697ABD">
        <w:t xml:space="preserve">available from </w:t>
      </w:r>
      <w:hyperlink r:id="rId1" w:history="1">
        <w:r w:rsidR="00697ABD" w:rsidRPr="00D548F0">
          <w:rPr>
            <w:rStyle w:val="Hyperlink"/>
          </w:rPr>
          <w:t>http://www.shipping.infrastructure.gov.au/coastal_trading/voyage_reports/index.aspx</w:t>
        </w:r>
      </w:hyperlink>
      <w:r w:rsidR="00697ABD">
        <w:t xml:space="preserve">  </w:t>
      </w:r>
    </w:p>
  </w:footnote>
  <w:footnote w:id="20">
    <w:p w:rsidR="00BC75BF" w:rsidRDefault="00BC75BF">
      <w:pPr>
        <w:pStyle w:val="FootnoteText"/>
      </w:pPr>
      <w:r>
        <w:rPr>
          <w:rStyle w:val="FootnoteReference"/>
        </w:rPr>
        <w:footnoteRef/>
      </w:r>
      <w:r w:rsidR="00623C6A">
        <w:t xml:space="preserve"> </w:t>
      </w:r>
      <w:r w:rsidR="00623C6A" w:rsidRPr="00623C6A">
        <w:t xml:space="preserve">Productivity Commission, </w:t>
      </w:r>
      <w:r w:rsidR="00623C6A" w:rsidRPr="00623C6A">
        <w:rPr>
          <w:i/>
        </w:rPr>
        <w:t>Inquiry into Tasmanian Shipping and Freight, Draft Report</w:t>
      </w:r>
      <w:r w:rsidR="00623C6A" w:rsidRPr="00623C6A">
        <w:t xml:space="preserve">, 24 January 2014 </w:t>
      </w:r>
      <w:r>
        <w:t>P125</w:t>
      </w:r>
    </w:p>
  </w:footnote>
  <w:footnote w:id="21">
    <w:p w:rsidR="00BC75BF" w:rsidRDefault="00BC75BF">
      <w:pPr>
        <w:pStyle w:val="FootnoteText"/>
      </w:pPr>
      <w:r>
        <w:rPr>
          <w:rStyle w:val="FootnoteReference"/>
        </w:rPr>
        <w:footnoteRef/>
      </w:r>
      <w:r>
        <w:t xml:space="preserve"> Ibid </w:t>
      </w:r>
    </w:p>
  </w:footnote>
  <w:footnote w:id="22">
    <w:p w:rsidR="00BC75BF" w:rsidRDefault="00BC75BF">
      <w:pPr>
        <w:pStyle w:val="FootnoteText"/>
      </w:pPr>
      <w:r>
        <w:rPr>
          <w:rStyle w:val="FootnoteReference"/>
        </w:rPr>
        <w:footnoteRef/>
      </w:r>
      <w:r w:rsidR="006A2292">
        <w:t xml:space="preserve"> </w:t>
      </w:r>
      <w:r w:rsidR="006A2292" w:rsidRPr="006A2292">
        <w:t xml:space="preserve">Part B wages </w:t>
      </w:r>
      <w:r w:rsidR="00DF0F50">
        <w:t xml:space="preserve">and </w:t>
      </w:r>
      <w:r w:rsidR="00C8551F">
        <w:t>conditions</w:t>
      </w:r>
      <w:r w:rsidR="00DF0F50">
        <w:t xml:space="preserve"> are only applicable </w:t>
      </w:r>
      <w:r w:rsidR="006A2292" w:rsidRPr="006A2292">
        <w:t>for the third and subsequent voyages in a 12 month period</w:t>
      </w:r>
      <w:r w:rsidR="00DF0F50">
        <w:t xml:space="preserve"> under a TL.  If a shipper uses a </w:t>
      </w:r>
      <w:r w:rsidR="00C8551F">
        <w:t>different</w:t>
      </w:r>
      <w:r w:rsidR="00DF0F50">
        <w:t xml:space="preserve"> vessel for each </w:t>
      </w:r>
      <w:r w:rsidR="00C8551F">
        <w:t>voyage</w:t>
      </w:r>
      <w:r w:rsidR="00DF0F50">
        <w:t xml:space="preserve"> then the Part B provisions do not apply.</w:t>
      </w:r>
    </w:p>
  </w:footnote>
  <w:footnote w:id="23">
    <w:p w:rsidR="00A86A66" w:rsidRDefault="00A86A66" w:rsidP="00A86A66">
      <w:pPr>
        <w:pStyle w:val="FootnoteText"/>
      </w:pPr>
      <w:r>
        <w:rPr>
          <w:rStyle w:val="FootnoteReference"/>
        </w:rPr>
        <w:footnoteRef/>
      </w:r>
      <w:r>
        <w:t xml:space="preserve"> 4.5 days is the length of a voyage between Melbourne and Fremantle. There are no TLs listed for cargos from Tasmania to Fremantle, so it appears that Simplot used the GL Bass Strait services from Tasmania to Melbourne and the trans-shipped to an international ship for the voyage to Fremantle.</w:t>
      </w:r>
    </w:p>
  </w:footnote>
  <w:footnote w:id="24">
    <w:p w:rsidR="00A86A66" w:rsidRDefault="00A86A66" w:rsidP="00A86A66">
      <w:pPr>
        <w:pStyle w:val="FootnoteText"/>
      </w:pPr>
      <w:r>
        <w:rPr>
          <w:rStyle w:val="FootnoteReference"/>
        </w:rPr>
        <w:footnoteRef/>
      </w:r>
      <w:r>
        <w:t xml:space="preserve"> This is the size of the most common ships that used TLs on the Melbourne to Fremantle route, according to the TL Voyage Reports and cross-referenced with IHS Fairplay’s commercial ship database.</w:t>
      </w:r>
    </w:p>
  </w:footnote>
  <w:footnote w:id="25">
    <w:p w:rsidR="00BC75BF" w:rsidRDefault="00BC75BF">
      <w:pPr>
        <w:pStyle w:val="FootnoteText"/>
      </w:pPr>
      <w:r>
        <w:rPr>
          <w:rStyle w:val="FootnoteReference"/>
        </w:rPr>
        <w:footnoteRef/>
      </w:r>
      <w:r>
        <w:t xml:space="preserve"> ASA and MUA/AMOU, </w:t>
      </w:r>
      <w:r w:rsidR="00AE3FD0" w:rsidRPr="001C0B76">
        <w:rPr>
          <w:i/>
        </w:rPr>
        <w:t>Bluewater</w:t>
      </w:r>
      <w:r w:rsidRPr="001C0B76">
        <w:rPr>
          <w:i/>
        </w:rPr>
        <w:t xml:space="preserve"> Labour Relations </w:t>
      </w:r>
      <w:r w:rsidR="00AE3FD0" w:rsidRPr="001C0B76">
        <w:rPr>
          <w:i/>
        </w:rPr>
        <w:t>Compact</w:t>
      </w:r>
      <w:r w:rsidRPr="001C0B76">
        <w:rPr>
          <w:i/>
        </w:rPr>
        <w:t>, May 2012</w:t>
      </w:r>
      <w:r>
        <w:t xml:space="preserve"> </w:t>
      </w:r>
      <w:r w:rsidR="00AE3FD0">
        <w:t>Clause</w:t>
      </w:r>
      <w:r>
        <w:t xml:space="preserve"> 6.2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0756DFF0"/>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00A445BE"/>
    <w:multiLevelType w:val="hybridMultilevel"/>
    <w:tmpl w:val="BEF2E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AFB7341"/>
    <w:multiLevelType w:val="hybridMultilevel"/>
    <w:tmpl w:val="A12CB7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B7008EE"/>
    <w:multiLevelType w:val="hybridMultilevel"/>
    <w:tmpl w:val="1FFC8132"/>
    <w:lvl w:ilvl="0" w:tplc="56C8BD2E">
      <w:start w:val="31"/>
      <w:numFmt w:val="decimal"/>
      <w:lvlText w:val="%1"/>
      <w:lvlJc w:val="left"/>
      <w:pPr>
        <w:ind w:left="810"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DD30579"/>
    <w:multiLevelType w:val="hybridMultilevel"/>
    <w:tmpl w:val="1354DBC4"/>
    <w:lvl w:ilvl="0" w:tplc="0C09000F">
      <w:start w:val="9"/>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5">
    <w:nsid w:val="17320DD8"/>
    <w:multiLevelType w:val="hybridMultilevel"/>
    <w:tmpl w:val="88102F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BD1512D"/>
    <w:multiLevelType w:val="hybridMultilevel"/>
    <w:tmpl w:val="07D48F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0227CA6"/>
    <w:multiLevelType w:val="hybridMultilevel"/>
    <w:tmpl w:val="0A42DBB4"/>
    <w:lvl w:ilvl="0" w:tplc="4BD6D20E">
      <w:start w:val="7"/>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2D042875"/>
    <w:multiLevelType w:val="hybridMultilevel"/>
    <w:tmpl w:val="93ACC41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D612F24"/>
    <w:multiLevelType w:val="hybridMultilevel"/>
    <w:tmpl w:val="C598151A"/>
    <w:lvl w:ilvl="0" w:tplc="39E6A85E">
      <w:start w:val="21"/>
      <w:numFmt w:val="decimal"/>
      <w:lvlText w:val="%1."/>
      <w:lvlJc w:val="left"/>
      <w:pPr>
        <w:ind w:left="108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0">
    <w:nsid w:val="31374877"/>
    <w:multiLevelType w:val="hybridMultilevel"/>
    <w:tmpl w:val="12AEECF6"/>
    <w:lvl w:ilvl="0" w:tplc="4D54FC62">
      <w:start w:val="1"/>
      <w:numFmt w:val="decimal"/>
      <w:lvlText w:val="%1."/>
      <w:lvlJc w:val="left"/>
      <w:pPr>
        <w:ind w:left="360" w:hanging="360"/>
      </w:pPr>
      <w:rPr>
        <w:sz w:val="24"/>
        <w:szCs w:val="24"/>
      </w:rPr>
    </w:lvl>
    <w:lvl w:ilvl="1" w:tplc="0C090019">
      <w:start w:val="1"/>
      <w:numFmt w:val="lowerLetter"/>
      <w:lvlText w:val="%2."/>
      <w:lvlJc w:val="left"/>
      <w:pPr>
        <w:ind w:left="108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1">
    <w:nsid w:val="358574F3"/>
    <w:multiLevelType w:val="hybridMultilevel"/>
    <w:tmpl w:val="A0C2CA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5B06F27"/>
    <w:multiLevelType w:val="hybridMultilevel"/>
    <w:tmpl w:val="F5CE650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3">
    <w:nsid w:val="451A4332"/>
    <w:multiLevelType w:val="hybridMultilevel"/>
    <w:tmpl w:val="46BAB1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870358F"/>
    <w:multiLevelType w:val="hybridMultilevel"/>
    <w:tmpl w:val="2FE60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C3B2C52"/>
    <w:multiLevelType w:val="hybridMultilevel"/>
    <w:tmpl w:val="E8AE0A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1893AE2"/>
    <w:multiLevelType w:val="hybridMultilevel"/>
    <w:tmpl w:val="B6708DE0"/>
    <w:lvl w:ilvl="0" w:tplc="F96AE618">
      <w:start w:val="12"/>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7">
    <w:nsid w:val="5B8E16AA"/>
    <w:multiLevelType w:val="hybridMultilevel"/>
    <w:tmpl w:val="8E16610A"/>
    <w:lvl w:ilvl="0" w:tplc="D5E8D6F8">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6F8230FE"/>
    <w:multiLevelType w:val="multilevel"/>
    <w:tmpl w:val="48EE61E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7BD5709C"/>
    <w:multiLevelType w:val="hybridMultilevel"/>
    <w:tmpl w:val="A7AA9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8"/>
  </w:num>
  <w:num w:numId="4">
    <w:abstractNumId w:val="12"/>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5"/>
  </w:num>
  <w:num w:numId="11">
    <w:abstractNumId w:val="13"/>
  </w:num>
  <w:num w:numId="12">
    <w:abstractNumId w:val="5"/>
  </w:num>
  <w:num w:numId="13">
    <w:abstractNumId w:val="6"/>
  </w:num>
  <w:num w:numId="14">
    <w:abstractNumId w:val="11"/>
  </w:num>
  <w:num w:numId="15">
    <w:abstractNumId w:val="19"/>
  </w:num>
  <w:num w:numId="16">
    <w:abstractNumId w:val="2"/>
  </w:num>
  <w:num w:numId="17">
    <w:abstractNumId w:val="14"/>
  </w:num>
  <w:num w:numId="18">
    <w:abstractNumId w:val="8"/>
  </w:num>
  <w:num w:numId="19">
    <w:abstractNumId w:val="17"/>
  </w:num>
  <w:num w:numId="2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A2D"/>
    <w:rsid w:val="00000C02"/>
    <w:rsid w:val="000113F7"/>
    <w:rsid w:val="00017529"/>
    <w:rsid w:val="000179D0"/>
    <w:rsid w:val="00020748"/>
    <w:rsid w:val="00034D04"/>
    <w:rsid w:val="000351C5"/>
    <w:rsid w:val="000539E0"/>
    <w:rsid w:val="000559C4"/>
    <w:rsid w:val="00055A76"/>
    <w:rsid w:val="000714EC"/>
    <w:rsid w:val="00076048"/>
    <w:rsid w:val="00093735"/>
    <w:rsid w:val="000B3C07"/>
    <w:rsid w:val="000B4ADE"/>
    <w:rsid w:val="000B75B2"/>
    <w:rsid w:val="000C1578"/>
    <w:rsid w:val="000C300A"/>
    <w:rsid w:val="000D7887"/>
    <w:rsid w:val="000E495C"/>
    <w:rsid w:val="000F0D7F"/>
    <w:rsid w:val="000F5F38"/>
    <w:rsid w:val="000F6FEF"/>
    <w:rsid w:val="001026FE"/>
    <w:rsid w:val="0010459C"/>
    <w:rsid w:val="00106594"/>
    <w:rsid w:val="001113ED"/>
    <w:rsid w:val="00123E8E"/>
    <w:rsid w:val="00137344"/>
    <w:rsid w:val="00150496"/>
    <w:rsid w:val="00165C62"/>
    <w:rsid w:val="00166FF5"/>
    <w:rsid w:val="001909E2"/>
    <w:rsid w:val="001A1AD8"/>
    <w:rsid w:val="001A2C10"/>
    <w:rsid w:val="001B5D72"/>
    <w:rsid w:val="001C0B76"/>
    <w:rsid w:val="001D0884"/>
    <w:rsid w:val="001E05B7"/>
    <w:rsid w:val="001E0C7C"/>
    <w:rsid w:val="001E3FDE"/>
    <w:rsid w:val="00202F5C"/>
    <w:rsid w:val="00204539"/>
    <w:rsid w:val="00212234"/>
    <w:rsid w:val="00223F98"/>
    <w:rsid w:val="00231A54"/>
    <w:rsid w:val="00232398"/>
    <w:rsid w:val="002509C3"/>
    <w:rsid w:val="0026172D"/>
    <w:rsid w:val="00261B2E"/>
    <w:rsid w:val="00275801"/>
    <w:rsid w:val="0029651A"/>
    <w:rsid w:val="00297747"/>
    <w:rsid w:val="002C6A17"/>
    <w:rsid w:val="002D2139"/>
    <w:rsid w:val="002D3399"/>
    <w:rsid w:val="002D5F7D"/>
    <w:rsid w:val="00322E30"/>
    <w:rsid w:val="00324628"/>
    <w:rsid w:val="00327E7B"/>
    <w:rsid w:val="0033053C"/>
    <w:rsid w:val="0033267C"/>
    <w:rsid w:val="00343957"/>
    <w:rsid w:val="003666D0"/>
    <w:rsid w:val="00381E00"/>
    <w:rsid w:val="003A3B77"/>
    <w:rsid w:val="003C3989"/>
    <w:rsid w:val="003C4226"/>
    <w:rsid w:val="003F2D6D"/>
    <w:rsid w:val="00405A7E"/>
    <w:rsid w:val="00405BC0"/>
    <w:rsid w:val="004100C1"/>
    <w:rsid w:val="00413876"/>
    <w:rsid w:val="004235D3"/>
    <w:rsid w:val="00425780"/>
    <w:rsid w:val="004262C4"/>
    <w:rsid w:val="00453283"/>
    <w:rsid w:val="00456075"/>
    <w:rsid w:val="00470ADB"/>
    <w:rsid w:val="004724E9"/>
    <w:rsid w:val="0048723C"/>
    <w:rsid w:val="00493B05"/>
    <w:rsid w:val="004A15E4"/>
    <w:rsid w:val="004A3844"/>
    <w:rsid w:val="004B2E8D"/>
    <w:rsid w:val="004B43A9"/>
    <w:rsid w:val="004C1892"/>
    <w:rsid w:val="004F53BC"/>
    <w:rsid w:val="004F7E9D"/>
    <w:rsid w:val="00514156"/>
    <w:rsid w:val="005271F9"/>
    <w:rsid w:val="00560803"/>
    <w:rsid w:val="00575221"/>
    <w:rsid w:val="00577CEA"/>
    <w:rsid w:val="0058240D"/>
    <w:rsid w:val="00585960"/>
    <w:rsid w:val="00591A2D"/>
    <w:rsid w:val="005922A1"/>
    <w:rsid w:val="005A0FBF"/>
    <w:rsid w:val="005A62E7"/>
    <w:rsid w:val="005F20E6"/>
    <w:rsid w:val="005F603C"/>
    <w:rsid w:val="00621B93"/>
    <w:rsid w:val="00623C6A"/>
    <w:rsid w:val="00640682"/>
    <w:rsid w:val="006441D6"/>
    <w:rsid w:val="00662434"/>
    <w:rsid w:val="00665401"/>
    <w:rsid w:val="00665869"/>
    <w:rsid w:val="00686C9D"/>
    <w:rsid w:val="00690CE7"/>
    <w:rsid w:val="0069162F"/>
    <w:rsid w:val="00697ABD"/>
    <w:rsid w:val="006A1084"/>
    <w:rsid w:val="006A2292"/>
    <w:rsid w:val="006A4A19"/>
    <w:rsid w:val="006B03D5"/>
    <w:rsid w:val="006D2737"/>
    <w:rsid w:val="006D3EAA"/>
    <w:rsid w:val="006E018C"/>
    <w:rsid w:val="006E74F0"/>
    <w:rsid w:val="006F0A8C"/>
    <w:rsid w:val="00712233"/>
    <w:rsid w:val="0071737C"/>
    <w:rsid w:val="00721E18"/>
    <w:rsid w:val="00731CDC"/>
    <w:rsid w:val="00736DA9"/>
    <w:rsid w:val="007601B8"/>
    <w:rsid w:val="007666B7"/>
    <w:rsid w:val="00773D6C"/>
    <w:rsid w:val="00791AEF"/>
    <w:rsid w:val="00792F83"/>
    <w:rsid w:val="007943D2"/>
    <w:rsid w:val="007B6B3A"/>
    <w:rsid w:val="007C3E8B"/>
    <w:rsid w:val="007C5744"/>
    <w:rsid w:val="0084360E"/>
    <w:rsid w:val="00846973"/>
    <w:rsid w:val="00893DE3"/>
    <w:rsid w:val="008A4112"/>
    <w:rsid w:val="008B0E1C"/>
    <w:rsid w:val="008B3CDB"/>
    <w:rsid w:val="008B6183"/>
    <w:rsid w:val="008B7422"/>
    <w:rsid w:val="008D316E"/>
    <w:rsid w:val="008E08EF"/>
    <w:rsid w:val="0090231D"/>
    <w:rsid w:val="009067DF"/>
    <w:rsid w:val="00913A8F"/>
    <w:rsid w:val="009149C4"/>
    <w:rsid w:val="0096313E"/>
    <w:rsid w:val="00964DD3"/>
    <w:rsid w:val="009675A1"/>
    <w:rsid w:val="009A13C4"/>
    <w:rsid w:val="009A5CB9"/>
    <w:rsid w:val="009B5E70"/>
    <w:rsid w:val="009C221E"/>
    <w:rsid w:val="009D2DAC"/>
    <w:rsid w:val="009D3D88"/>
    <w:rsid w:val="009D4BBB"/>
    <w:rsid w:val="009D578B"/>
    <w:rsid w:val="009D601C"/>
    <w:rsid w:val="009D685C"/>
    <w:rsid w:val="009D7341"/>
    <w:rsid w:val="009E45BD"/>
    <w:rsid w:val="009F3155"/>
    <w:rsid w:val="00A13940"/>
    <w:rsid w:val="00A31859"/>
    <w:rsid w:val="00A37845"/>
    <w:rsid w:val="00A5550D"/>
    <w:rsid w:val="00A56FAA"/>
    <w:rsid w:val="00A72E02"/>
    <w:rsid w:val="00A85E4D"/>
    <w:rsid w:val="00A86A66"/>
    <w:rsid w:val="00A9363F"/>
    <w:rsid w:val="00AA160B"/>
    <w:rsid w:val="00AA3DE3"/>
    <w:rsid w:val="00AA5580"/>
    <w:rsid w:val="00AB1558"/>
    <w:rsid w:val="00AB196E"/>
    <w:rsid w:val="00AB2F40"/>
    <w:rsid w:val="00AE3FD0"/>
    <w:rsid w:val="00B22301"/>
    <w:rsid w:val="00B52300"/>
    <w:rsid w:val="00B56666"/>
    <w:rsid w:val="00B575FD"/>
    <w:rsid w:val="00B70F29"/>
    <w:rsid w:val="00B82747"/>
    <w:rsid w:val="00B84FC7"/>
    <w:rsid w:val="00B87B68"/>
    <w:rsid w:val="00B909C4"/>
    <w:rsid w:val="00B93196"/>
    <w:rsid w:val="00B975D8"/>
    <w:rsid w:val="00BA3C81"/>
    <w:rsid w:val="00BB16F1"/>
    <w:rsid w:val="00BB2C96"/>
    <w:rsid w:val="00BC75BF"/>
    <w:rsid w:val="00BD7596"/>
    <w:rsid w:val="00BE6D0F"/>
    <w:rsid w:val="00C04750"/>
    <w:rsid w:val="00C14AA6"/>
    <w:rsid w:val="00C17251"/>
    <w:rsid w:val="00C55967"/>
    <w:rsid w:val="00C60688"/>
    <w:rsid w:val="00C64474"/>
    <w:rsid w:val="00C64CB2"/>
    <w:rsid w:val="00C668B2"/>
    <w:rsid w:val="00C66921"/>
    <w:rsid w:val="00C671AD"/>
    <w:rsid w:val="00C7342D"/>
    <w:rsid w:val="00C83099"/>
    <w:rsid w:val="00C8551F"/>
    <w:rsid w:val="00C92EA4"/>
    <w:rsid w:val="00C97D03"/>
    <w:rsid w:val="00CA51DA"/>
    <w:rsid w:val="00CB1092"/>
    <w:rsid w:val="00CD1A1E"/>
    <w:rsid w:val="00CD431F"/>
    <w:rsid w:val="00CD70E6"/>
    <w:rsid w:val="00CE328B"/>
    <w:rsid w:val="00CF4499"/>
    <w:rsid w:val="00D011FC"/>
    <w:rsid w:val="00D1598F"/>
    <w:rsid w:val="00D16252"/>
    <w:rsid w:val="00D54208"/>
    <w:rsid w:val="00D57406"/>
    <w:rsid w:val="00D900E1"/>
    <w:rsid w:val="00DA6E62"/>
    <w:rsid w:val="00DA7518"/>
    <w:rsid w:val="00DC5701"/>
    <w:rsid w:val="00DF0F50"/>
    <w:rsid w:val="00DF5938"/>
    <w:rsid w:val="00E1160A"/>
    <w:rsid w:val="00E11E11"/>
    <w:rsid w:val="00E13257"/>
    <w:rsid w:val="00E33A44"/>
    <w:rsid w:val="00E42F7D"/>
    <w:rsid w:val="00E57C4F"/>
    <w:rsid w:val="00E7071C"/>
    <w:rsid w:val="00E76B2D"/>
    <w:rsid w:val="00E83A7F"/>
    <w:rsid w:val="00EC7CC6"/>
    <w:rsid w:val="00ED40E6"/>
    <w:rsid w:val="00ED488A"/>
    <w:rsid w:val="00EF7F4B"/>
    <w:rsid w:val="00F136DA"/>
    <w:rsid w:val="00F15D1C"/>
    <w:rsid w:val="00F20F8B"/>
    <w:rsid w:val="00F35798"/>
    <w:rsid w:val="00F4196E"/>
    <w:rsid w:val="00F72560"/>
    <w:rsid w:val="00FD1085"/>
    <w:rsid w:val="00FE104D"/>
    <w:rsid w:val="00FE6E10"/>
    <w:rsid w:val="00FF1B0C"/>
    <w:rsid w:val="00FF67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paragraph" w:styleId="Heading1">
    <w:name w:val="heading 1"/>
    <w:basedOn w:val="Normal"/>
    <w:qFormat/>
    <w:rsid w:val="00322E30"/>
    <w:pPr>
      <w:spacing w:before="100" w:beforeAutospacing="1" w:after="100" w:afterAutospacing="1"/>
      <w:outlineLvl w:val="0"/>
    </w:pPr>
    <w:rPr>
      <w:rFonts w:ascii="Times New Roman" w:hAnsi="Times New Roman"/>
      <w:b/>
      <w:bCs/>
      <w:kern w:val="36"/>
      <w:sz w:val="48"/>
      <w:szCs w:val="48"/>
      <w:lang w:val="en-US" w:eastAsia="en-US"/>
    </w:rPr>
  </w:style>
  <w:style w:type="paragraph" w:styleId="Heading4">
    <w:name w:val="heading 4"/>
    <w:basedOn w:val="Normal"/>
    <w:next w:val="Normal"/>
    <w:qFormat/>
    <w:rsid w:val="00BE6D0F"/>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07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3">
    <w:name w:val="List Bullet 3"/>
    <w:basedOn w:val="Normal"/>
    <w:rsid w:val="004C1892"/>
    <w:pPr>
      <w:numPr>
        <w:numId w:val="1"/>
      </w:numPr>
      <w:spacing w:after="200" w:line="276" w:lineRule="auto"/>
    </w:pPr>
    <w:rPr>
      <w:rFonts w:ascii="Calibri" w:eastAsia="Calibri" w:hAnsi="Calibri"/>
      <w:sz w:val="22"/>
      <w:szCs w:val="22"/>
      <w:lang w:val="en-US" w:eastAsia="en-US"/>
    </w:rPr>
  </w:style>
  <w:style w:type="paragraph" w:styleId="NormalWeb">
    <w:name w:val="Normal (Web)"/>
    <w:basedOn w:val="Normal"/>
    <w:rsid w:val="00322E30"/>
    <w:pPr>
      <w:spacing w:before="100" w:beforeAutospacing="1" w:after="100" w:afterAutospacing="1"/>
    </w:pPr>
    <w:rPr>
      <w:rFonts w:ascii="Times New Roman" w:hAnsi="Times New Roman"/>
      <w:lang w:val="en-US" w:eastAsia="en-US"/>
    </w:rPr>
  </w:style>
  <w:style w:type="paragraph" w:styleId="BodyText">
    <w:name w:val="Body Text"/>
    <w:basedOn w:val="Normal"/>
    <w:rsid w:val="00322E30"/>
    <w:rPr>
      <w:rFonts w:ascii="Book Antiqua" w:hAnsi="Book Antiqua"/>
      <w:color w:val="FF0000"/>
      <w:lang w:val="en-GB" w:eastAsia="en-GB"/>
    </w:rPr>
  </w:style>
  <w:style w:type="paragraph" w:styleId="BalloonText">
    <w:name w:val="Balloon Text"/>
    <w:basedOn w:val="Normal"/>
    <w:semiHidden/>
    <w:rsid w:val="000B75B2"/>
    <w:rPr>
      <w:rFonts w:ascii="Tahoma" w:hAnsi="Tahoma" w:cs="Tahoma"/>
      <w:sz w:val="16"/>
      <w:szCs w:val="16"/>
    </w:rPr>
  </w:style>
  <w:style w:type="paragraph" w:styleId="PlainText">
    <w:name w:val="Plain Text"/>
    <w:basedOn w:val="Normal"/>
    <w:rsid w:val="006D2737"/>
    <w:rPr>
      <w:rFonts w:ascii="Courier New" w:hAnsi="Courier New" w:cs="Courier New"/>
      <w:sz w:val="20"/>
      <w:szCs w:val="20"/>
    </w:rPr>
  </w:style>
  <w:style w:type="character" w:styleId="Hyperlink">
    <w:name w:val="Hyperlink"/>
    <w:basedOn w:val="DefaultParagraphFont"/>
    <w:rsid w:val="000D7887"/>
    <w:rPr>
      <w:color w:val="0000FF"/>
      <w:u w:val="single"/>
    </w:rPr>
  </w:style>
  <w:style w:type="paragraph" w:customStyle="1" w:styleId="Default">
    <w:name w:val="Default"/>
    <w:rsid w:val="009675A1"/>
    <w:pPr>
      <w:autoSpaceDE w:val="0"/>
      <w:autoSpaceDN w:val="0"/>
      <w:adjustRightInd w:val="0"/>
    </w:pPr>
    <w:rPr>
      <w:rFonts w:ascii="Calibri" w:hAnsi="Calibri" w:cs="Calibri"/>
      <w:color w:val="000000"/>
      <w:sz w:val="24"/>
      <w:szCs w:val="24"/>
    </w:rPr>
  </w:style>
  <w:style w:type="character" w:styleId="Strong">
    <w:name w:val="Strong"/>
    <w:basedOn w:val="DefaultParagraphFont"/>
    <w:qFormat/>
    <w:rsid w:val="006F0A8C"/>
    <w:rPr>
      <w:b/>
      <w:bCs/>
    </w:rPr>
  </w:style>
  <w:style w:type="character" w:customStyle="1" w:styleId="st1">
    <w:name w:val="st1"/>
    <w:basedOn w:val="DefaultParagraphFont"/>
    <w:rsid w:val="009B5E70"/>
  </w:style>
  <w:style w:type="paragraph" w:customStyle="1" w:styleId="Style1">
    <w:name w:val="Style 1"/>
    <w:basedOn w:val="Normal"/>
    <w:rsid w:val="001113ED"/>
    <w:pPr>
      <w:widowControl w:val="0"/>
      <w:autoSpaceDE w:val="0"/>
      <w:autoSpaceDN w:val="0"/>
      <w:adjustRightInd w:val="0"/>
    </w:pPr>
    <w:rPr>
      <w:rFonts w:ascii="Times New Roman" w:hAnsi="Times New Roman"/>
      <w:sz w:val="20"/>
      <w:szCs w:val="20"/>
      <w:lang w:val="en-US"/>
    </w:rPr>
  </w:style>
  <w:style w:type="paragraph" w:customStyle="1" w:styleId="Style2">
    <w:name w:val="Style 2"/>
    <w:basedOn w:val="Normal"/>
    <w:rsid w:val="001113ED"/>
    <w:pPr>
      <w:widowControl w:val="0"/>
      <w:autoSpaceDE w:val="0"/>
      <w:autoSpaceDN w:val="0"/>
      <w:spacing w:before="468"/>
      <w:jc w:val="center"/>
    </w:pPr>
    <w:rPr>
      <w:rFonts w:cs="Arial"/>
      <w:b/>
      <w:bCs/>
      <w:sz w:val="40"/>
      <w:szCs w:val="40"/>
      <w:lang w:val="en-US"/>
    </w:rPr>
  </w:style>
  <w:style w:type="paragraph" w:customStyle="1" w:styleId="Style3">
    <w:name w:val="Style 3"/>
    <w:basedOn w:val="Normal"/>
    <w:rsid w:val="001113ED"/>
    <w:pPr>
      <w:widowControl w:val="0"/>
      <w:autoSpaceDE w:val="0"/>
      <w:autoSpaceDN w:val="0"/>
      <w:spacing w:before="216"/>
      <w:ind w:left="792" w:right="216" w:hanging="432"/>
    </w:pPr>
    <w:rPr>
      <w:rFonts w:cs="Arial"/>
      <w:lang w:val="en-US"/>
    </w:rPr>
  </w:style>
  <w:style w:type="paragraph" w:customStyle="1" w:styleId="Style4">
    <w:name w:val="Style 4"/>
    <w:basedOn w:val="Normal"/>
    <w:rsid w:val="001113ED"/>
    <w:pPr>
      <w:widowControl w:val="0"/>
      <w:autoSpaceDE w:val="0"/>
      <w:autoSpaceDN w:val="0"/>
      <w:spacing w:before="252"/>
    </w:pPr>
    <w:rPr>
      <w:rFonts w:ascii="Tahoma" w:hAnsi="Tahoma" w:cs="Tahoma"/>
      <w:b/>
      <w:bCs/>
      <w:sz w:val="23"/>
      <w:szCs w:val="23"/>
      <w:lang w:val="en-US"/>
    </w:rPr>
  </w:style>
  <w:style w:type="character" w:customStyle="1" w:styleId="CharacterStyle1">
    <w:name w:val="Character Style 1"/>
    <w:rsid w:val="001113ED"/>
    <w:rPr>
      <w:rFonts w:ascii="Arial" w:hAnsi="Arial"/>
      <w:b/>
      <w:sz w:val="40"/>
    </w:rPr>
  </w:style>
  <w:style w:type="character" w:customStyle="1" w:styleId="CharacterStyle2">
    <w:name w:val="Character Style 2"/>
    <w:rsid w:val="001113ED"/>
    <w:rPr>
      <w:sz w:val="20"/>
    </w:rPr>
  </w:style>
  <w:style w:type="character" w:customStyle="1" w:styleId="CharacterStyle3">
    <w:name w:val="Character Style 3"/>
    <w:rsid w:val="001113ED"/>
    <w:rPr>
      <w:rFonts w:ascii="Arial" w:hAnsi="Arial"/>
      <w:sz w:val="24"/>
    </w:rPr>
  </w:style>
  <w:style w:type="character" w:customStyle="1" w:styleId="CharacterStyle4">
    <w:name w:val="Character Style 4"/>
    <w:rsid w:val="001113ED"/>
    <w:rPr>
      <w:rFonts w:ascii="Tahoma" w:hAnsi="Tahoma"/>
      <w:b/>
      <w:sz w:val="23"/>
    </w:rPr>
  </w:style>
  <w:style w:type="paragraph" w:styleId="ListParagraph">
    <w:name w:val="List Paragraph"/>
    <w:basedOn w:val="Normal"/>
    <w:uiPriority w:val="34"/>
    <w:qFormat/>
    <w:rsid w:val="00A9363F"/>
    <w:pPr>
      <w:ind w:left="720"/>
      <w:contextualSpacing/>
    </w:pPr>
  </w:style>
  <w:style w:type="paragraph" w:styleId="FootnoteText">
    <w:name w:val="footnote text"/>
    <w:basedOn w:val="Normal"/>
    <w:link w:val="FootnoteTextChar"/>
    <w:rsid w:val="000559C4"/>
    <w:rPr>
      <w:sz w:val="20"/>
      <w:szCs w:val="20"/>
    </w:rPr>
  </w:style>
  <w:style w:type="character" w:customStyle="1" w:styleId="FootnoteTextChar">
    <w:name w:val="Footnote Text Char"/>
    <w:basedOn w:val="DefaultParagraphFont"/>
    <w:link w:val="FootnoteText"/>
    <w:rsid w:val="000559C4"/>
    <w:rPr>
      <w:rFonts w:ascii="Arial" w:hAnsi="Arial"/>
    </w:rPr>
  </w:style>
  <w:style w:type="character" w:styleId="FootnoteReference">
    <w:name w:val="footnote reference"/>
    <w:basedOn w:val="DefaultParagraphFont"/>
    <w:rsid w:val="000559C4"/>
    <w:rPr>
      <w:vertAlign w:val="superscript"/>
    </w:rPr>
  </w:style>
  <w:style w:type="paragraph" w:styleId="Header">
    <w:name w:val="header"/>
    <w:basedOn w:val="Normal"/>
    <w:link w:val="HeaderChar"/>
    <w:rsid w:val="00AE3FD0"/>
    <w:pPr>
      <w:tabs>
        <w:tab w:val="center" w:pos="4513"/>
        <w:tab w:val="right" w:pos="9026"/>
      </w:tabs>
    </w:pPr>
  </w:style>
  <w:style w:type="character" w:customStyle="1" w:styleId="HeaderChar">
    <w:name w:val="Header Char"/>
    <w:basedOn w:val="DefaultParagraphFont"/>
    <w:link w:val="Header"/>
    <w:rsid w:val="00AE3FD0"/>
    <w:rPr>
      <w:rFonts w:ascii="Arial" w:hAnsi="Arial"/>
      <w:sz w:val="24"/>
      <w:szCs w:val="24"/>
    </w:rPr>
  </w:style>
  <w:style w:type="paragraph" w:styleId="Footer">
    <w:name w:val="footer"/>
    <w:basedOn w:val="Normal"/>
    <w:link w:val="FooterChar"/>
    <w:uiPriority w:val="99"/>
    <w:rsid w:val="00AE3FD0"/>
    <w:pPr>
      <w:tabs>
        <w:tab w:val="center" w:pos="4513"/>
        <w:tab w:val="right" w:pos="9026"/>
      </w:tabs>
    </w:pPr>
  </w:style>
  <w:style w:type="character" w:customStyle="1" w:styleId="FooterChar">
    <w:name w:val="Footer Char"/>
    <w:basedOn w:val="DefaultParagraphFont"/>
    <w:link w:val="Footer"/>
    <w:uiPriority w:val="99"/>
    <w:rsid w:val="00AE3FD0"/>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paragraph" w:styleId="Heading1">
    <w:name w:val="heading 1"/>
    <w:basedOn w:val="Normal"/>
    <w:qFormat/>
    <w:rsid w:val="00322E30"/>
    <w:pPr>
      <w:spacing w:before="100" w:beforeAutospacing="1" w:after="100" w:afterAutospacing="1"/>
      <w:outlineLvl w:val="0"/>
    </w:pPr>
    <w:rPr>
      <w:rFonts w:ascii="Times New Roman" w:hAnsi="Times New Roman"/>
      <w:b/>
      <w:bCs/>
      <w:kern w:val="36"/>
      <w:sz w:val="48"/>
      <w:szCs w:val="48"/>
      <w:lang w:val="en-US" w:eastAsia="en-US"/>
    </w:rPr>
  </w:style>
  <w:style w:type="paragraph" w:styleId="Heading4">
    <w:name w:val="heading 4"/>
    <w:basedOn w:val="Normal"/>
    <w:next w:val="Normal"/>
    <w:qFormat/>
    <w:rsid w:val="00BE6D0F"/>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07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3">
    <w:name w:val="List Bullet 3"/>
    <w:basedOn w:val="Normal"/>
    <w:rsid w:val="004C1892"/>
    <w:pPr>
      <w:numPr>
        <w:numId w:val="1"/>
      </w:numPr>
      <w:spacing w:after="200" w:line="276" w:lineRule="auto"/>
    </w:pPr>
    <w:rPr>
      <w:rFonts w:ascii="Calibri" w:eastAsia="Calibri" w:hAnsi="Calibri"/>
      <w:sz w:val="22"/>
      <w:szCs w:val="22"/>
      <w:lang w:val="en-US" w:eastAsia="en-US"/>
    </w:rPr>
  </w:style>
  <w:style w:type="paragraph" w:styleId="NormalWeb">
    <w:name w:val="Normal (Web)"/>
    <w:basedOn w:val="Normal"/>
    <w:rsid w:val="00322E30"/>
    <w:pPr>
      <w:spacing w:before="100" w:beforeAutospacing="1" w:after="100" w:afterAutospacing="1"/>
    </w:pPr>
    <w:rPr>
      <w:rFonts w:ascii="Times New Roman" w:hAnsi="Times New Roman"/>
      <w:lang w:val="en-US" w:eastAsia="en-US"/>
    </w:rPr>
  </w:style>
  <w:style w:type="paragraph" w:styleId="BodyText">
    <w:name w:val="Body Text"/>
    <w:basedOn w:val="Normal"/>
    <w:rsid w:val="00322E30"/>
    <w:rPr>
      <w:rFonts w:ascii="Book Antiqua" w:hAnsi="Book Antiqua"/>
      <w:color w:val="FF0000"/>
      <w:lang w:val="en-GB" w:eastAsia="en-GB"/>
    </w:rPr>
  </w:style>
  <w:style w:type="paragraph" w:styleId="BalloonText">
    <w:name w:val="Balloon Text"/>
    <w:basedOn w:val="Normal"/>
    <w:semiHidden/>
    <w:rsid w:val="000B75B2"/>
    <w:rPr>
      <w:rFonts w:ascii="Tahoma" w:hAnsi="Tahoma" w:cs="Tahoma"/>
      <w:sz w:val="16"/>
      <w:szCs w:val="16"/>
    </w:rPr>
  </w:style>
  <w:style w:type="paragraph" w:styleId="PlainText">
    <w:name w:val="Plain Text"/>
    <w:basedOn w:val="Normal"/>
    <w:rsid w:val="006D2737"/>
    <w:rPr>
      <w:rFonts w:ascii="Courier New" w:hAnsi="Courier New" w:cs="Courier New"/>
      <w:sz w:val="20"/>
      <w:szCs w:val="20"/>
    </w:rPr>
  </w:style>
  <w:style w:type="character" w:styleId="Hyperlink">
    <w:name w:val="Hyperlink"/>
    <w:basedOn w:val="DefaultParagraphFont"/>
    <w:rsid w:val="000D7887"/>
    <w:rPr>
      <w:color w:val="0000FF"/>
      <w:u w:val="single"/>
    </w:rPr>
  </w:style>
  <w:style w:type="paragraph" w:customStyle="1" w:styleId="Default">
    <w:name w:val="Default"/>
    <w:rsid w:val="009675A1"/>
    <w:pPr>
      <w:autoSpaceDE w:val="0"/>
      <w:autoSpaceDN w:val="0"/>
      <w:adjustRightInd w:val="0"/>
    </w:pPr>
    <w:rPr>
      <w:rFonts w:ascii="Calibri" w:hAnsi="Calibri" w:cs="Calibri"/>
      <w:color w:val="000000"/>
      <w:sz w:val="24"/>
      <w:szCs w:val="24"/>
    </w:rPr>
  </w:style>
  <w:style w:type="character" w:styleId="Strong">
    <w:name w:val="Strong"/>
    <w:basedOn w:val="DefaultParagraphFont"/>
    <w:qFormat/>
    <w:rsid w:val="006F0A8C"/>
    <w:rPr>
      <w:b/>
      <w:bCs/>
    </w:rPr>
  </w:style>
  <w:style w:type="character" w:customStyle="1" w:styleId="st1">
    <w:name w:val="st1"/>
    <w:basedOn w:val="DefaultParagraphFont"/>
    <w:rsid w:val="009B5E70"/>
  </w:style>
  <w:style w:type="paragraph" w:customStyle="1" w:styleId="Style1">
    <w:name w:val="Style 1"/>
    <w:basedOn w:val="Normal"/>
    <w:rsid w:val="001113ED"/>
    <w:pPr>
      <w:widowControl w:val="0"/>
      <w:autoSpaceDE w:val="0"/>
      <w:autoSpaceDN w:val="0"/>
      <w:adjustRightInd w:val="0"/>
    </w:pPr>
    <w:rPr>
      <w:rFonts w:ascii="Times New Roman" w:hAnsi="Times New Roman"/>
      <w:sz w:val="20"/>
      <w:szCs w:val="20"/>
      <w:lang w:val="en-US"/>
    </w:rPr>
  </w:style>
  <w:style w:type="paragraph" w:customStyle="1" w:styleId="Style2">
    <w:name w:val="Style 2"/>
    <w:basedOn w:val="Normal"/>
    <w:rsid w:val="001113ED"/>
    <w:pPr>
      <w:widowControl w:val="0"/>
      <w:autoSpaceDE w:val="0"/>
      <w:autoSpaceDN w:val="0"/>
      <w:spacing w:before="468"/>
      <w:jc w:val="center"/>
    </w:pPr>
    <w:rPr>
      <w:rFonts w:cs="Arial"/>
      <w:b/>
      <w:bCs/>
      <w:sz w:val="40"/>
      <w:szCs w:val="40"/>
      <w:lang w:val="en-US"/>
    </w:rPr>
  </w:style>
  <w:style w:type="paragraph" w:customStyle="1" w:styleId="Style3">
    <w:name w:val="Style 3"/>
    <w:basedOn w:val="Normal"/>
    <w:rsid w:val="001113ED"/>
    <w:pPr>
      <w:widowControl w:val="0"/>
      <w:autoSpaceDE w:val="0"/>
      <w:autoSpaceDN w:val="0"/>
      <w:spacing w:before="216"/>
      <w:ind w:left="792" w:right="216" w:hanging="432"/>
    </w:pPr>
    <w:rPr>
      <w:rFonts w:cs="Arial"/>
      <w:lang w:val="en-US"/>
    </w:rPr>
  </w:style>
  <w:style w:type="paragraph" w:customStyle="1" w:styleId="Style4">
    <w:name w:val="Style 4"/>
    <w:basedOn w:val="Normal"/>
    <w:rsid w:val="001113ED"/>
    <w:pPr>
      <w:widowControl w:val="0"/>
      <w:autoSpaceDE w:val="0"/>
      <w:autoSpaceDN w:val="0"/>
      <w:spacing w:before="252"/>
    </w:pPr>
    <w:rPr>
      <w:rFonts w:ascii="Tahoma" w:hAnsi="Tahoma" w:cs="Tahoma"/>
      <w:b/>
      <w:bCs/>
      <w:sz w:val="23"/>
      <w:szCs w:val="23"/>
      <w:lang w:val="en-US"/>
    </w:rPr>
  </w:style>
  <w:style w:type="character" w:customStyle="1" w:styleId="CharacterStyle1">
    <w:name w:val="Character Style 1"/>
    <w:rsid w:val="001113ED"/>
    <w:rPr>
      <w:rFonts w:ascii="Arial" w:hAnsi="Arial"/>
      <w:b/>
      <w:sz w:val="40"/>
    </w:rPr>
  </w:style>
  <w:style w:type="character" w:customStyle="1" w:styleId="CharacterStyle2">
    <w:name w:val="Character Style 2"/>
    <w:rsid w:val="001113ED"/>
    <w:rPr>
      <w:sz w:val="20"/>
    </w:rPr>
  </w:style>
  <w:style w:type="character" w:customStyle="1" w:styleId="CharacterStyle3">
    <w:name w:val="Character Style 3"/>
    <w:rsid w:val="001113ED"/>
    <w:rPr>
      <w:rFonts w:ascii="Arial" w:hAnsi="Arial"/>
      <w:sz w:val="24"/>
    </w:rPr>
  </w:style>
  <w:style w:type="character" w:customStyle="1" w:styleId="CharacterStyle4">
    <w:name w:val="Character Style 4"/>
    <w:rsid w:val="001113ED"/>
    <w:rPr>
      <w:rFonts w:ascii="Tahoma" w:hAnsi="Tahoma"/>
      <w:b/>
      <w:sz w:val="23"/>
    </w:rPr>
  </w:style>
  <w:style w:type="paragraph" w:styleId="ListParagraph">
    <w:name w:val="List Paragraph"/>
    <w:basedOn w:val="Normal"/>
    <w:uiPriority w:val="34"/>
    <w:qFormat/>
    <w:rsid w:val="00A9363F"/>
    <w:pPr>
      <w:ind w:left="720"/>
      <w:contextualSpacing/>
    </w:pPr>
  </w:style>
  <w:style w:type="paragraph" w:styleId="FootnoteText">
    <w:name w:val="footnote text"/>
    <w:basedOn w:val="Normal"/>
    <w:link w:val="FootnoteTextChar"/>
    <w:rsid w:val="000559C4"/>
    <w:rPr>
      <w:sz w:val="20"/>
      <w:szCs w:val="20"/>
    </w:rPr>
  </w:style>
  <w:style w:type="character" w:customStyle="1" w:styleId="FootnoteTextChar">
    <w:name w:val="Footnote Text Char"/>
    <w:basedOn w:val="DefaultParagraphFont"/>
    <w:link w:val="FootnoteText"/>
    <w:rsid w:val="000559C4"/>
    <w:rPr>
      <w:rFonts w:ascii="Arial" w:hAnsi="Arial"/>
    </w:rPr>
  </w:style>
  <w:style w:type="character" w:styleId="FootnoteReference">
    <w:name w:val="footnote reference"/>
    <w:basedOn w:val="DefaultParagraphFont"/>
    <w:rsid w:val="000559C4"/>
    <w:rPr>
      <w:vertAlign w:val="superscript"/>
    </w:rPr>
  </w:style>
  <w:style w:type="paragraph" w:styleId="Header">
    <w:name w:val="header"/>
    <w:basedOn w:val="Normal"/>
    <w:link w:val="HeaderChar"/>
    <w:rsid w:val="00AE3FD0"/>
    <w:pPr>
      <w:tabs>
        <w:tab w:val="center" w:pos="4513"/>
        <w:tab w:val="right" w:pos="9026"/>
      </w:tabs>
    </w:pPr>
  </w:style>
  <w:style w:type="character" w:customStyle="1" w:styleId="HeaderChar">
    <w:name w:val="Header Char"/>
    <w:basedOn w:val="DefaultParagraphFont"/>
    <w:link w:val="Header"/>
    <w:rsid w:val="00AE3FD0"/>
    <w:rPr>
      <w:rFonts w:ascii="Arial" w:hAnsi="Arial"/>
      <w:sz w:val="24"/>
      <w:szCs w:val="24"/>
    </w:rPr>
  </w:style>
  <w:style w:type="paragraph" w:styleId="Footer">
    <w:name w:val="footer"/>
    <w:basedOn w:val="Normal"/>
    <w:link w:val="FooterChar"/>
    <w:uiPriority w:val="99"/>
    <w:rsid w:val="00AE3FD0"/>
    <w:pPr>
      <w:tabs>
        <w:tab w:val="center" w:pos="4513"/>
        <w:tab w:val="right" w:pos="9026"/>
      </w:tabs>
    </w:pPr>
  </w:style>
  <w:style w:type="character" w:customStyle="1" w:styleId="FooterChar">
    <w:name w:val="Footer Char"/>
    <w:basedOn w:val="DefaultParagraphFont"/>
    <w:link w:val="Footer"/>
    <w:uiPriority w:val="99"/>
    <w:rsid w:val="00AE3FD0"/>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4855">
      <w:bodyDiv w:val="1"/>
      <w:marLeft w:val="0"/>
      <w:marRight w:val="0"/>
      <w:marTop w:val="0"/>
      <w:marBottom w:val="0"/>
      <w:divBdr>
        <w:top w:val="none" w:sz="0" w:space="0" w:color="auto"/>
        <w:left w:val="none" w:sz="0" w:space="0" w:color="auto"/>
        <w:bottom w:val="none" w:sz="0" w:space="0" w:color="auto"/>
        <w:right w:val="none" w:sz="0" w:space="0" w:color="auto"/>
      </w:divBdr>
    </w:div>
    <w:div w:id="376129189">
      <w:bodyDiv w:val="1"/>
      <w:marLeft w:val="0"/>
      <w:marRight w:val="0"/>
      <w:marTop w:val="0"/>
      <w:marBottom w:val="0"/>
      <w:divBdr>
        <w:top w:val="none" w:sz="0" w:space="0" w:color="auto"/>
        <w:left w:val="none" w:sz="0" w:space="0" w:color="auto"/>
        <w:bottom w:val="none" w:sz="0" w:space="0" w:color="auto"/>
        <w:right w:val="none" w:sz="0" w:space="0" w:color="auto"/>
      </w:divBdr>
      <w:divsChild>
        <w:div w:id="1506283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4139783">
              <w:marLeft w:val="0"/>
              <w:marRight w:val="0"/>
              <w:marTop w:val="0"/>
              <w:marBottom w:val="0"/>
              <w:divBdr>
                <w:top w:val="none" w:sz="0" w:space="0" w:color="auto"/>
                <w:left w:val="none" w:sz="0" w:space="0" w:color="auto"/>
                <w:bottom w:val="none" w:sz="0" w:space="0" w:color="auto"/>
                <w:right w:val="none" w:sz="0" w:space="0" w:color="auto"/>
              </w:divBdr>
              <w:divsChild>
                <w:div w:id="119230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869311">
      <w:bodyDiv w:val="1"/>
      <w:marLeft w:val="0"/>
      <w:marRight w:val="0"/>
      <w:marTop w:val="0"/>
      <w:marBottom w:val="0"/>
      <w:divBdr>
        <w:top w:val="none" w:sz="0" w:space="0" w:color="auto"/>
        <w:left w:val="none" w:sz="0" w:space="0" w:color="auto"/>
        <w:bottom w:val="none" w:sz="0" w:space="0" w:color="auto"/>
        <w:right w:val="none" w:sz="0" w:space="0" w:color="auto"/>
      </w:divBdr>
    </w:div>
    <w:div w:id="597636815">
      <w:bodyDiv w:val="1"/>
      <w:marLeft w:val="0"/>
      <w:marRight w:val="0"/>
      <w:marTop w:val="0"/>
      <w:marBottom w:val="0"/>
      <w:divBdr>
        <w:top w:val="none" w:sz="0" w:space="0" w:color="auto"/>
        <w:left w:val="none" w:sz="0" w:space="0" w:color="auto"/>
        <w:bottom w:val="none" w:sz="0" w:space="0" w:color="auto"/>
        <w:right w:val="none" w:sz="0" w:space="0" w:color="auto"/>
      </w:divBdr>
      <w:divsChild>
        <w:div w:id="9643505">
          <w:marLeft w:val="0"/>
          <w:marRight w:val="0"/>
          <w:marTop w:val="0"/>
          <w:marBottom w:val="0"/>
          <w:divBdr>
            <w:top w:val="none" w:sz="0" w:space="0" w:color="auto"/>
            <w:left w:val="none" w:sz="0" w:space="0" w:color="auto"/>
            <w:bottom w:val="none" w:sz="0" w:space="0" w:color="auto"/>
            <w:right w:val="none" w:sz="0" w:space="0" w:color="auto"/>
          </w:divBdr>
        </w:div>
      </w:divsChild>
    </w:div>
    <w:div w:id="628973366">
      <w:bodyDiv w:val="1"/>
      <w:marLeft w:val="0"/>
      <w:marRight w:val="0"/>
      <w:marTop w:val="0"/>
      <w:marBottom w:val="0"/>
      <w:divBdr>
        <w:top w:val="none" w:sz="0" w:space="0" w:color="auto"/>
        <w:left w:val="none" w:sz="0" w:space="0" w:color="auto"/>
        <w:bottom w:val="none" w:sz="0" w:space="0" w:color="auto"/>
        <w:right w:val="none" w:sz="0" w:space="0" w:color="auto"/>
      </w:divBdr>
    </w:div>
    <w:div w:id="779839879">
      <w:bodyDiv w:val="1"/>
      <w:marLeft w:val="0"/>
      <w:marRight w:val="0"/>
      <w:marTop w:val="0"/>
      <w:marBottom w:val="0"/>
      <w:divBdr>
        <w:top w:val="none" w:sz="0" w:space="0" w:color="auto"/>
        <w:left w:val="none" w:sz="0" w:space="0" w:color="auto"/>
        <w:bottom w:val="none" w:sz="0" w:space="0" w:color="auto"/>
        <w:right w:val="none" w:sz="0" w:space="0" w:color="auto"/>
      </w:divBdr>
    </w:div>
    <w:div w:id="862520679">
      <w:bodyDiv w:val="1"/>
      <w:marLeft w:val="0"/>
      <w:marRight w:val="0"/>
      <w:marTop w:val="0"/>
      <w:marBottom w:val="0"/>
      <w:divBdr>
        <w:top w:val="none" w:sz="0" w:space="0" w:color="auto"/>
        <w:left w:val="none" w:sz="0" w:space="0" w:color="auto"/>
        <w:bottom w:val="none" w:sz="0" w:space="0" w:color="auto"/>
        <w:right w:val="none" w:sz="0" w:space="0" w:color="auto"/>
      </w:divBdr>
    </w:div>
    <w:div w:id="878513062">
      <w:bodyDiv w:val="1"/>
      <w:marLeft w:val="0"/>
      <w:marRight w:val="0"/>
      <w:marTop w:val="0"/>
      <w:marBottom w:val="0"/>
      <w:divBdr>
        <w:top w:val="none" w:sz="0" w:space="0" w:color="auto"/>
        <w:left w:val="none" w:sz="0" w:space="0" w:color="auto"/>
        <w:bottom w:val="none" w:sz="0" w:space="0" w:color="auto"/>
        <w:right w:val="none" w:sz="0" w:space="0" w:color="auto"/>
      </w:divBdr>
      <w:divsChild>
        <w:div w:id="1739355839">
          <w:marLeft w:val="0"/>
          <w:marRight w:val="0"/>
          <w:marTop w:val="0"/>
          <w:marBottom w:val="0"/>
          <w:divBdr>
            <w:top w:val="single" w:sz="2" w:space="0" w:color="333333"/>
            <w:left w:val="single" w:sz="6" w:space="0" w:color="CCCCCC"/>
            <w:bottom w:val="single" w:sz="2" w:space="0" w:color="696969"/>
            <w:right w:val="single" w:sz="6" w:space="0" w:color="CCCCCC"/>
          </w:divBdr>
          <w:divsChild>
            <w:div w:id="553540947">
              <w:marLeft w:val="0"/>
              <w:marRight w:val="0"/>
              <w:marTop w:val="60"/>
              <w:marBottom w:val="0"/>
              <w:divBdr>
                <w:top w:val="none" w:sz="0" w:space="0" w:color="auto"/>
                <w:left w:val="none" w:sz="0" w:space="0" w:color="auto"/>
                <w:bottom w:val="none" w:sz="0" w:space="0" w:color="auto"/>
                <w:right w:val="none" w:sz="0" w:space="0" w:color="auto"/>
              </w:divBdr>
              <w:divsChild>
                <w:div w:id="66925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81986">
      <w:bodyDiv w:val="1"/>
      <w:marLeft w:val="0"/>
      <w:marRight w:val="0"/>
      <w:marTop w:val="0"/>
      <w:marBottom w:val="0"/>
      <w:divBdr>
        <w:top w:val="none" w:sz="0" w:space="0" w:color="auto"/>
        <w:left w:val="none" w:sz="0" w:space="0" w:color="auto"/>
        <w:bottom w:val="none" w:sz="0" w:space="0" w:color="auto"/>
        <w:right w:val="none" w:sz="0" w:space="0" w:color="auto"/>
      </w:divBdr>
    </w:div>
    <w:div w:id="1304195281">
      <w:bodyDiv w:val="1"/>
      <w:marLeft w:val="0"/>
      <w:marRight w:val="0"/>
      <w:marTop w:val="0"/>
      <w:marBottom w:val="0"/>
      <w:divBdr>
        <w:top w:val="none" w:sz="0" w:space="0" w:color="auto"/>
        <w:left w:val="none" w:sz="0" w:space="0" w:color="auto"/>
        <w:bottom w:val="none" w:sz="0" w:space="0" w:color="auto"/>
        <w:right w:val="none" w:sz="0" w:space="0" w:color="auto"/>
      </w:divBdr>
    </w:div>
    <w:div w:id="1486167544">
      <w:bodyDiv w:val="1"/>
      <w:marLeft w:val="0"/>
      <w:marRight w:val="0"/>
      <w:marTop w:val="0"/>
      <w:marBottom w:val="0"/>
      <w:divBdr>
        <w:top w:val="none" w:sz="0" w:space="0" w:color="auto"/>
        <w:left w:val="none" w:sz="0" w:space="0" w:color="auto"/>
        <w:bottom w:val="none" w:sz="0" w:space="0" w:color="auto"/>
        <w:right w:val="none" w:sz="0" w:space="0" w:color="auto"/>
      </w:divBdr>
    </w:div>
    <w:div w:id="1497375404">
      <w:bodyDiv w:val="1"/>
      <w:marLeft w:val="0"/>
      <w:marRight w:val="0"/>
      <w:marTop w:val="0"/>
      <w:marBottom w:val="0"/>
      <w:divBdr>
        <w:top w:val="none" w:sz="0" w:space="0" w:color="auto"/>
        <w:left w:val="none" w:sz="0" w:space="0" w:color="auto"/>
        <w:bottom w:val="none" w:sz="0" w:space="0" w:color="auto"/>
        <w:right w:val="none" w:sz="0" w:space="0" w:color="auto"/>
      </w:divBdr>
    </w:div>
    <w:div w:id="1563633770">
      <w:bodyDiv w:val="1"/>
      <w:marLeft w:val="0"/>
      <w:marRight w:val="0"/>
      <w:marTop w:val="0"/>
      <w:marBottom w:val="0"/>
      <w:divBdr>
        <w:top w:val="none" w:sz="0" w:space="0" w:color="auto"/>
        <w:left w:val="none" w:sz="0" w:space="0" w:color="auto"/>
        <w:bottom w:val="none" w:sz="0" w:space="0" w:color="auto"/>
        <w:right w:val="none" w:sz="0" w:space="0" w:color="auto"/>
      </w:divBdr>
    </w:div>
    <w:div w:id="1815180450">
      <w:bodyDiv w:val="1"/>
      <w:marLeft w:val="0"/>
      <w:marRight w:val="0"/>
      <w:marTop w:val="0"/>
      <w:marBottom w:val="0"/>
      <w:divBdr>
        <w:top w:val="none" w:sz="0" w:space="0" w:color="auto"/>
        <w:left w:val="none" w:sz="0" w:space="0" w:color="auto"/>
        <w:bottom w:val="none" w:sz="0" w:space="0" w:color="auto"/>
        <w:right w:val="none" w:sz="0" w:space="0" w:color="auto"/>
      </w:divBdr>
    </w:div>
    <w:div w:id="1858276640">
      <w:bodyDiv w:val="1"/>
      <w:marLeft w:val="0"/>
      <w:marRight w:val="0"/>
      <w:marTop w:val="0"/>
      <w:marBottom w:val="0"/>
      <w:divBdr>
        <w:top w:val="none" w:sz="0" w:space="0" w:color="auto"/>
        <w:left w:val="none" w:sz="0" w:space="0" w:color="auto"/>
        <w:bottom w:val="none" w:sz="0" w:space="0" w:color="auto"/>
        <w:right w:val="none" w:sz="0" w:space="0" w:color="auto"/>
      </w:divBdr>
    </w:div>
    <w:div w:id="1860047697">
      <w:bodyDiv w:val="1"/>
      <w:marLeft w:val="0"/>
      <w:marRight w:val="0"/>
      <w:marTop w:val="0"/>
      <w:marBottom w:val="0"/>
      <w:divBdr>
        <w:top w:val="none" w:sz="0" w:space="0" w:color="auto"/>
        <w:left w:val="none" w:sz="0" w:space="0" w:color="auto"/>
        <w:bottom w:val="none" w:sz="0" w:space="0" w:color="auto"/>
        <w:right w:val="none" w:sz="0" w:space="0" w:color="auto"/>
      </w:divBdr>
    </w:div>
    <w:div w:id="186910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2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54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325182">
      <w:bodyDiv w:val="1"/>
      <w:marLeft w:val="0"/>
      <w:marRight w:val="0"/>
      <w:marTop w:val="0"/>
      <w:marBottom w:val="0"/>
      <w:divBdr>
        <w:top w:val="none" w:sz="0" w:space="0" w:color="auto"/>
        <w:left w:val="none" w:sz="0" w:space="0" w:color="auto"/>
        <w:bottom w:val="none" w:sz="0" w:space="0" w:color="auto"/>
        <w:right w:val="none" w:sz="0" w:space="0" w:color="auto"/>
      </w:divBdr>
    </w:div>
    <w:div w:id="2025133354">
      <w:bodyDiv w:val="1"/>
      <w:marLeft w:val="0"/>
      <w:marRight w:val="0"/>
      <w:marTop w:val="0"/>
      <w:marBottom w:val="0"/>
      <w:divBdr>
        <w:top w:val="none" w:sz="0" w:space="0" w:color="auto"/>
        <w:left w:val="none" w:sz="0" w:space="0" w:color="auto"/>
        <w:bottom w:val="none" w:sz="0" w:space="0" w:color="auto"/>
        <w:right w:val="none" w:sz="0" w:space="0" w:color="auto"/>
      </w:divBdr>
    </w:div>
    <w:div w:id="2083408833">
      <w:bodyDiv w:val="1"/>
      <w:marLeft w:val="0"/>
      <w:marRight w:val="0"/>
      <w:marTop w:val="0"/>
      <w:marBottom w:val="0"/>
      <w:divBdr>
        <w:top w:val="none" w:sz="0" w:space="0" w:color="auto"/>
        <w:left w:val="none" w:sz="0" w:space="0" w:color="auto"/>
        <w:bottom w:val="none" w:sz="0" w:space="0" w:color="auto"/>
        <w:right w:val="none" w:sz="0" w:space="0" w:color="auto"/>
      </w:divBdr>
    </w:div>
    <w:div w:id="208386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shipping.infrastructure.gov.au/coastal_trading/voyage_reports/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9E381-AA97-4F25-AF78-7C8597472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7715</Words>
  <Characters>40475</Characters>
  <Application>Microsoft Office Word</Application>
  <DocSecurity>4</DocSecurity>
  <Lines>337</Lines>
  <Paragraphs>96</Paragraphs>
  <ScaleCrop>false</ScaleCrop>
  <HeadingPairs>
    <vt:vector size="2" baseType="variant">
      <vt:variant>
        <vt:lpstr>Title</vt:lpstr>
      </vt:variant>
      <vt:variant>
        <vt:i4>1</vt:i4>
      </vt:variant>
    </vt:vector>
  </HeadingPairs>
  <TitlesOfParts>
    <vt:vector size="1" baseType="lpstr">
      <vt:lpstr/>
    </vt:vector>
  </TitlesOfParts>
  <Company>MUA</Company>
  <LinksUpToDate>false</LinksUpToDate>
  <CharactersWithSpaces>48094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DR89 - Maritime Union of Australia - Tasmanian Shipping and Freight - Public inquiry</dc:title>
  <dc:creator>Maritime Union of Australia</dc:creator>
  <cp:lastModifiedBy>Productivity Commission</cp:lastModifiedBy>
  <cp:revision>2</cp:revision>
  <cp:lastPrinted>2014-02-07T01:25:00Z</cp:lastPrinted>
  <dcterms:created xsi:type="dcterms:W3CDTF">2014-02-12T05:10:00Z</dcterms:created>
  <dcterms:modified xsi:type="dcterms:W3CDTF">2014-02-12T05:10:00Z</dcterms:modified>
</cp:coreProperties>
</file>