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4C19" w:rsidRDefault="00D74C19">
      <w:pPr>
        <w:rPr>
          <w:rFonts w:ascii="Goudy Old Style" w:hAnsi="Goudy Old Style"/>
          <w:sz w:val="24"/>
        </w:rPr>
      </w:pPr>
      <w:bookmarkStart w:id="0" w:name="_GoBack"/>
      <w:bookmarkEnd w:id="0"/>
      <w:r>
        <w:rPr>
          <w:rFonts w:ascii="Goudy Old Style" w:hAnsi="Goudy Old Style"/>
          <w:sz w:val="24"/>
        </w:rPr>
        <w:t>Dear Sir/Madam,</w:t>
      </w:r>
    </w:p>
    <w:p w:rsidR="00D74C19" w:rsidRDefault="00D74C19">
      <w:pPr>
        <w:rPr>
          <w:rFonts w:ascii="Goudy Old Style" w:hAnsi="Goudy Old Style"/>
          <w:sz w:val="24"/>
        </w:rPr>
      </w:pPr>
    </w:p>
    <w:p w:rsidR="00D74C19" w:rsidRDefault="00D74C19">
      <w:pPr>
        <w:rPr>
          <w:rFonts w:ascii="Goudy Old Style" w:hAnsi="Goudy Old Style"/>
          <w:sz w:val="24"/>
        </w:rPr>
      </w:pPr>
      <w:r>
        <w:rPr>
          <w:rFonts w:ascii="Goudy Old Style" w:hAnsi="Goudy Old Style"/>
          <w:sz w:val="24"/>
        </w:rPr>
        <w:t>I make the following submission in relation to the draft report in relation to Tasmanian Shipping and Freight.</w:t>
      </w:r>
    </w:p>
    <w:p w:rsidR="00D74C19" w:rsidRDefault="00D74C19">
      <w:pPr>
        <w:rPr>
          <w:rFonts w:ascii="Goudy Old Style" w:hAnsi="Goudy Old Style"/>
          <w:sz w:val="24"/>
        </w:rPr>
      </w:pPr>
    </w:p>
    <w:p w:rsidR="00D74C19" w:rsidRDefault="00D74C19">
      <w:pPr>
        <w:rPr>
          <w:rFonts w:ascii="Goudy Old Style" w:hAnsi="Goudy Old Style"/>
          <w:sz w:val="24"/>
        </w:rPr>
      </w:pPr>
      <w:r>
        <w:rPr>
          <w:rFonts w:ascii="Goudy Old Style" w:hAnsi="Goudy Old Style"/>
          <w:sz w:val="24"/>
        </w:rPr>
        <w:t>Cripps is the largest bakery in Tasmania hence the largest user of flour and thus a direct influencer on the volume of wheat brought into the state and milled by Tasmanian Flour mills.</w:t>
      </w:r>
    </w:p>
    <w:p w:rsidR="00D74C19" w:rsidRDefault="00D74C19">
      <w:pPr>
        <w:rPr>
          <w:rFonts w:ascii="Goudy Old Style" w:hAnsi="Goudy Old Style"/>
          <w:sz w:val="24"/>
        </w:rPr>
      </w:pPr>
    </w:p>
    <w:p w:rsidR="00D74C19" w:rsidRDefault="00D74C19">
      <w:pPr>
        <w:rPr>
          <w:rFonts w:ascii="Goudy Old Style" w:hAnsi="Goudy Old Style"/>
          <w:sz w:val="24"/>
        </w:rPr>
      </w:pPr>
      <w:r>
        <w:rPr>
          <w:rFonts w:ascii="Goudy Old Style" w:hAnsi="Goudy Old Style"/>
          <w:sz w:val="24"/>
        </w:rPr>
        <w:t>I have read with interest the Draft report specifically focusing on the Tasmanian Freight Equalisation Scheme (</w:t>
      </w:r>
      <w:proofErr w:type="spellStart"/>
      <w:r>
        <w:rPr>
          <w:rFonts w:ascii="Goudy Old Style" w:hAnsi="Goudy Old Style"/>
          <w:sz w:val="24"/>
        </w:rPr>
        <w:t>TF</w:t>
      </w:r>
      <w:r w:rsidR="00B556C0">
        <w:rPr>
          <w:rFonts w:ascii="Goudy Old Style" w:hAnsi="Goudy Old Style"/>
          <w:sz w:val="24"/>
        </w:rPr>
        <w:t>E</w:t>
      </w:r>
      <w:r>
        <w:rPr>
          <w:rFonts w:ascii="Goudy Old Style" w:hAnsi="Goudy Old Style"/>
          <w:sz w:val="24"/>
        </w:rPr>
        <w:t>S</w:t>
      </w:r>
      <w:proofErr w:type="spellEnd"/>
      <w:r>
        <w:rPr>
          <w:rFonts w:ascii="Goudy Old Style" w:hAnsi="Goudy Old Style"/>
          <w:sz w:val="24"/>
        </w:rPr>
        <w:t>)</w:t>
      </w:r>
      <w:r w:rsidR="00B556C0">
        <w:rPr>
          <w:rFonts w:ascii="Goudy Old Style" w:hAnsi="Goudy Old Style"/>
          <w:sz w:val="24"/>
        </w:rPr>
        <w:t xml:space="preserve"> and the Tasmanian Wheat Freight Subsidy (</w:t>
      </w:r>
      <w:proofErr w:type="spellStart"/>
      <w:r w:rsidR="00B556C0">
        <w:rPr>
          <w:rFonts w:ascii="Goudy Old Style" w:hAnsi="Goudy Old Style"/>
          <w:sz w:val="24"/>
        </w:rPr>
        <w:t>TWFS</w:t>
      </w:r>
      <w:proofErr w:type="spellEnd"/>
      <w:r w:rsidR="00B556C0">
        <w:rPr>
          <w:rFonts w:ascii="Goudy Old Style" w:hAnsi="Goudy Old Style"/>
          <w:sz w:val="24"/>
        </w:rPr>
        <w:t>) and I would now like to focus on three of the recommendations from the report namely:</w:t>
      </w:r>
    </w:p>
    <w:p w:rsidR="00B556C0" w:rsidRDefault="00B556C0">
      <w:pPr>
        <w:rPr>
          <w:rFonts w:ascii="Goudy Old Style" w:hAnsi="Goudy Old Style"/>
          <w:sz w:val="24"/>
        </w:rPr>
      </w:pPr>
    </w:p>
    <w:p w:rsidR="00B556C0" w:rsidRDefault="00B556C0" w:rsidP="00B556C0">
      <w:pPr>
        <w:pStyle w:val="ListParagraph"/>
        <w:numPr>
          <w:ilvl w:val="0"/>
          <w:numId w:val="24"/>
        </w:numPr>
        <w:rPr>
          <w:rFonts w:ascii="Goudy Old Style" w:hAnsi="Goudy Old Style"/>
          <w:sz w:val="24"/>
        </w:rPr>
      </w:pPr>
      <w:r w:rsidRPr="00B556C0">
        <w:rPr>
          <w:rFonts w:ascii="Goudy Old Style" w:hAnsi="Goudy Old Style"/>
          <w:sz w:val="24"/>
        </w:rPr>
        <w:t xml:space="preserve">The removal of the </w:t>
      </w:r>
      <w:proofErr w:type="spellStart"/>
      <w:r w:rsidRPr="00B556C0">
        <w:rPr>
          <w:rFonts w:ascii="Goudy Old Style" w:hAnsi="Goudy Old Style"/>
          <w:sz w:val="24"/>
        </w:rPr>
        <w:t>TWFS</w:t>
      </w:r>
      <w:proofErr w:type="spellEnd"/>
      <w:r>
        <w:rPr>
          <w:rFonts w:ascii="Goudy Old Style" w:hAnsi="Goudy Old Style"/>
          <w:sz w:val="24"/>
        </w:rPr>
        <w:t>.</w:t>
      </w:r>
    </w:p>
    <w:p w:rsidR="00B556C0" w:rsidRDefault="00B556C0" w:rsidP="00B556C0">
      <w:pPr>
        <w:pStyle w:val="ListParagraph"/>
        <w:numPr>
          <w:ilvl w:val="0"/>
          <w:numId w:val="24"/>
        </w:numPr>
        <w:rPr>
          <w:rFonts w:ascii="Goudy Old Style" w:hAnsi="Goudy Old Style"/>
          <w:sz w:val="24"/>
        </w:rPr>
      </w:pPr>
      <w:r>
        <w:rPr>
          <w:rFonts w:ascii="Goudy Old Style" w:hAnsi="Goudy Old Style"/>
          <w:sz w:val="24"/>
        </w:rPr>
        <w:t xml:space="preserve">Changes to the existing </w:t>
      </w:r>
      <w:proofErr w:type="spellStart"/>
      <w:r>
        <w:rPr>
          <w:rFonts w:ascii="Goudy Old Style" w:hAnsi="Goudy Old Style"/>
          <w:sz w:val="24"/>
        </w:rPr>
        <w:t>T</w:t>
      </w:r>
      <w:r w:rsidRPr="00B556C0">
        <w:rPr>
          <w:rFonts w:ascii="Goudy Old Style" w:hAnsi="Goudy Old Style"/>
          <w:sz w:val="24"/>
        </w:rPr>
        <w:t>FES</w:t>
      </w:r>
      <w:proofErr w:type="spellEnd"/>
      <w:r w:rsidRPr="00B556C0">
        <w:rPr>
          <w:rFonts w:ascii="Goudy Old Style" w:hAnsi="Goudy Old Style"/>
          <w:sz w:val="24"/>
        </w:rPr>
        <w:t>, specifically focusing on the removal of the south bound component and or capping the subsidy</w:t>
      </w:r>
      <w:r>
        <w:rPr>
          <w:rFonts w:ascii="Goudy Old Style" w:hAnsi="Goudy Old Style"/>
          <w:sz w:val="24"/>
        </w:rPr>
        <w:t xml:space="preserve"> per container</w:t>
      </w:r>
      <w:r w:rsidRPr="00B556C0">
        <w:rPr>
          <w:rFonts w:ascii="Goudy Old Style" w:hAnsi="Goudy Old Style"/>
          <w:sz w:val="24"/>
        </w:rPr>
        <w:t xml:space="preserve"> to factor only wharf to wharf freight.</w:t>
      </w:r>
    </w:p>
    <w:p w:rsidR="00B556C0" w:rsidRDefault="00B556C0" w:rsidP="00B556C0">
      <w:pPr>
        <w:pStyle w:val="ListParagraph"/>
        <w:numPr>
          <w:ilvl w:val="0"/>
          <w:numId w:val="24"/>
        </w:numPr>
        <w:rPr>
          <w:rFonts w:ascii="Goudy Old Style" w:hAnsi="Goudy Old Style"/>
          <w:sz w:val="24"/>
        </w:rPr>
      </w:pPr>
      <w:r>
        <w:rPr>
          <w:rFonts w:ascii="Goudy Old Style" w:hAnsi="Goudy Old Style"/>
          <w:sz w:val="24"/>
        </w:rPr>
        <w:t xml:space="preserve">Removal of the </w:t>
      </w:r>
      <w:proofErr w:type="spellStart"/>
      <w:r>
        <w:rPr>
          <w:rFonts w:ascii="Goudy Old Style" w:hAnsi="Goudy Old Style"/>
          <w:sz w:val="24"/>
        </w:rPr>
        <w:t>TWFS</w:t>
      </w:r>
      <w:proofErr w:type="spellEnd"/>
      <w:r>
        <w:rPr>
          <w:rFonts w:ascii="Goudy Old Style" w:hAnsi="Goudy Old Style"/>
          <w:sz w:val="24"/>
        </w:rPr>
        <w:t xml:space="preserve"> and capping the subsidy per container </w:t>
      </w:r>
      <w:r w:rsidR="0063682B">
        <w:rPr>
          <w:rFonts w:ascii="Goudy Old Style" w:hAnsi="Goudy Old Style"/>
          <w:sz w:val="24"/>
        </w:rPr>
        <w:t xml:space="preserve">under the </w:t>
      </w:r>
      <w:proofErr w:type="spellStart"/>
      <w:r w:rsidR="0063682B">
        <w:rPr>
          <w:rFonts w:ascii="Goudy Old Style" w:hAnsi="Goudy Old Style"/>
          <w:sz w:val="24"/>
        </w:rPr>
        <w:t>TFES</w:t>
      </w:r>
      <w:proofErr w:type="spellEnd"/>
      <w:r w:rsidR="0063682B">
        <w:rPr>
          <w:rFonts w:ascii="Goudy Old Style" w:hAnsi="Goudy Old Style"/>
          <w:sz w:val="24"/>
        </w:rPr>
        <w:t xml:space="preserve"> </w:t>
      </w:r>
      <w:r>
        <w:rPr>
          <w:rFonts w:ascii="Goudy Old Style" w:hAnsi="Goudy Old Style"/>
          <w:sz w:val="24"/>
        </w:rPr>
        <w:t>to put pressure on stakeholders to utilise more productive means of transporting to the island.</w:t>
      </w:r>
    </w:p>
    <w:p w:rsidR="00B556C0" w:rsidRDefault="00B556C0" w:rsidP="00B556C0">
      <w:pPr>
        <w:rPr>
          <w:rFonts w:ascii="Goudy Old Style" w:hAnsi="Goudy Old Style"/>
          <w:sz w:val="24"/>
        </w:rPr>
      </w:pPr>
    </w:p>
    <w:p w:rsidR="00B556C0" w:rsidRDefault="00B556C0" w:rsidP="00B556C0">
      <w:pPr>
        <w:rPr>
          <w:rFonts w:ascii="Goudy Old Style" w:hAnsi="Goudy Old Style"/>
          <w:b/>
          <w:sz w:val="24"/>
          <w:u w:val="single"/>
        </w:rPr>
      </w:pPr>
      <w:r w:rsidRPr="00B556C0">
        <w:rPr>
          <w:rFonts w:ascii="Goudy Old Style" w:hAnsi="Goudy Old Style"/>
          <w:b/>
          <w:sz w:val="24"/>
          <w:u w:val="single"/>
        </w:rPr>
        <w:t xml:space="preserve">Removal of the </w:t>
      </w:r>
      <w:proofErr w:type="spellStart"/>
      <w:r w:rsidRPr="00B556C0">
        <w:rPr>
          <w:rFonts w:ascii="Goudy Old Style" w:hAnsi="Goudy Old Style"/>
          <w:b/>
          <w:sz w:val="24"/>
          <w:u w:val="single"/>
        </w:rPr>
        <w:t>TWFS</w:t>
      </w:r>
      <w:proofErr w:type="spellEnd"/>
      <w:r w:rsidRPr="00B556C0">
        <w:rPr>
          <w:rFonts w:ascii="Goudy Old Style" w:hAnsi="Goudy Old Style"/>
          <w:b/>
          <w:sz w:val="24"/>
          <w:u w:val="single"/>
        </w:rPr>
        <w:t xml:space="preserve"> </w:t>
      </w:r>
    </w:p>
    <w:p w:rsidR="00B556C0" w:rsidRDefault="00B556C0" w:rsidP="00B556C0">
      <w:pPr>
        <w:rPr>
          <w:rFonts w:ascii="Goudy Old Style" w:hAnsi="Goudy Old Style"/>
          <w:b/>
          <w:sz w:val="24"/>
          <w:u w:val="single"/>
        </w:rPr>
      </w:pPr>
    </w:p>
    <w:p w:rsidR="00C56370" w:rsidRDefault="00B556C0" w:rsidP="00B556C0">
      <w:pPr>
        <w:rPr>
          <w:rFonts w:ascii="Goudy Old Style" w:hAnsi="Goudy Old Style"/>
          <w:sz w:val="24"/>
        </w:rPr>
      </w:pPr>
      <w:r>
        <w:rPr>
          <w:rFonts w:ascii="Goudy Old Style" w:hAnsi="Goudy Old Style"/>
          <w:sz w:val="24"/>
        </w:rPr>
        <w:t xml:space="preserve">I and my counterparts understand the commissions reasoning behind recommending removal of the </w:t>
      </w:r>
      <w:proofErr w:type="spellStart"/>
      <w:r>
        <w:rPr>
          <w:rFonts w:ascii="Goudy Old Style" w:hAnsi="Goudy Old Style"/>
          <w:sz w:val="24"/>
        </w:rPr>
        <w:t>TWFS</w:t>
      </w:r>
      <w:proofErr w:type="spellEnd"/>
      <w:r>
        <w:rPr>
          <w:rFonts w:ascii="Goudy Old Style" w:hAnsi="Goudy Old Style"/>
          <w:sz w:val="24"/>
        </w:rPr>
        <w:t xml:space="preserve"> on the basis that it is a redundant scheme which hasn’t been claimed upon since 2009.  However there will be substantial consequences for Tasmanian bakers if the replacement scheme namely the </w:t>
      </w:r>
      <w:proofErr w:type="spellStart"/>
      <w:r>
        <w:rPr>
          <w:rFonts w:ascii="Goudy Old Style" w:hAnsi="Goudy Old Style"/>
          <w:sz w:val="24"/>
        </w:rPr>
        <w:t>TFES</w:t>
      </w:r>
      <w:proofErr w:type="spellEnd"/>
      <w:r>
        <w:rPr>
          <w:rFonts w:ascii="Goudy Old Style" w:hAnsi="Goudy Old Style"/>
          <w:sz w:val="24"/>
        </w:rPr>
        <w:t xml:space="preserve"> as outlined in the report reduces the level of claim afforded per unit of containerised wheat.  Our supplier of flour (Tasmanian Flour Mills) </w:t>
      </w:r>
      <w:r w:rsidR="00767100">
        <w:rPr>
          <w:rFonts w:ascii="Goudy Old Style" w:hAnsi="Goudy Old Style"/>
          <w:sz w:val="24"/>
        </w:rPr>
        <w:t>has advised that any reduction in subsidy they receive for wheat transportation will result in increased flour cost and ultimately increased bread prices</w:t>
      </w:r>
      <w:r w:rsidR="00D753BC">
        <w:rPr>
          <w:rFonts w:ascii="Goudy Old Style" w:hAnsi="Goudy Old Style"/>
          <w:sz w:val="24"/>
        </w:rPr>
        <w:t>.</w:t>
      </w:r>
      <w:r w:rsidR="00767100">
        <w:rPr>
          <w:rFonts w:ascii="Goudy Old Style" w:hAnsi="Goudy Old Style"/>
          <w:sz w:val="24"/>
        </w:rPr>
        <w:t xml:space="preserve"> </w:t>
      </w:r>
    </w:p>
    <w:p w:rsidR="00C56370" w:rsidRDefault="00C56370" w:rsidP="00B556C0">
      <w:pPr>
        <w:rPr>
          <w:rFonts w:ascii="Goudy Old Style" w:hAnsi="Goudy Old Style"/>
          <w:sz w:val="24"/>
        </w:rPr>
      </w:pPr>
    </w:p>
    <w:p w:rsidR="00D753BC" w:rsidRDefault="00D753BC" w:rsidP="00B556C0">
      <w:pPr>
        <w:rPr>
          <w:rFonts w:ascii="Goudy Old Style" w:hAnsi="Goudy Old Style"/>
          <w:sz w:val="24"/>
        </w:rPr>
      </w:pPr>
      <w:r>
        <w:rPr>
          <w:rFonts w:ascii="Goudy Old Style" w:hAnsi="Goudy Old Style"/>
          <w:sz w:val="24"/>
        </w:rPr>
        <w:t>This would be</w:t>
      </w:r>
      <w:r w:rsidR="00767100">
        <w:rPr>
          <w:rFonts w:ascii="Goudy Old Style" w:hAnsi="Goudy Old Style"/>
          <w:sz w:val="24"/>
        </w:rPr>
        <w:t xml:space="preserve"> a double edged sword</w:t>
      </w:r>
      <w:r>
        <w:rPr>
          <w:rFonts w:ascii="Goudy Old Style" w:hAnsi="Goudy Old Style"/>
          <w:sz w:val="24"/>
        </w:rPr>
        <w:t xml:space="preserve"> for the Tasmanian baking Industry as the market pricing for bread is heavily influenced by </w:t>
      </w:r>
      <w:r w:rsidR="002C2187">
        <w:rPr>
          <w:rFonts w:ascii="Goudy Old Style" w:hAnsi="Goudy Old Style"/>
          <w:sz w:val="24"/>
        </w:rPr>
        <w:t>retail pricing of bread offered for sale</w:t>
      </w:r>
      <w:r>
        <w:rPr>
          <w:rFonts w:ascii="Goudy Old Style" w:hAnsi="Goudy Old Style"/>
          <w:sz w:val="24"/>
        </w:rPr>
        <w:t xml:space="preserve"> by national chains Woolworths and Coles </w:t>
      </w:r>
      <w:r w:rsidR="002C2187">
        <w:rPr>
          <w:rFonts w:ascii="Goudy Old Style" w:hAnsi="Goudy Old Style"/>
          <w:sz w:val="24"/>
        </w:rPr>
        <w:t>under their respective</w:t>
      </w:r>
      <w:r>
        <w:rPr>
          <w:rFonts w:ascii="Goudy Old Style" w:hAnsi="Goudy Old Style"/>
          <w:sz w:val="24"/>
        </w:rPr>
        <w:t xml:space="preserve"> house</w:t>
      </w:r>
      <w:r w:rsidR="002C2187">
        <w:rPr>
          <w:rFonts w:ascii="Goudy Old Style" w:hAnsi="Goudy Old Style"/>
          <w:sz w:val="24"/>
        </w:rPr>
        <w:t xml:space="preserve"> </w:t>
      </w:r>
      <w:r>
        <w:rPr>
          <w:rFonts w:ascii="Goudy Old Style" w:hAnsi="Goudy Old Style"/>
          <w:sz w:val="24"/>
        </w:rPr>
        <w:t>brand</w:t>
      </w:r>
      <w:r w:rsidR="002C2187">
        <w:rPr>
          <w:rFonts w:ascii="Goudy Old Style" w:hAnsi="Goudy Old Style"/>
          <w:sz w:val="24"/>
        </w:rPr>
        <w:t>s.</w:t>
      </w:r>
      <w:r>
        <w:rPr>
          <w:rFonts w:ascii="Goudy Old Style" w:hAnsi="Goudy Old Style"/>
          <w:sz w:val="24"/>
        </w:rPr>
        <w:t xml:space="preserve">  Because of this Tasmanian bakers will </w:t>
      </w:r>
      <w:r w:rsidR="002C2187">
        <w:rPr>
          <w:rFonts w:ascii="Goudy Old Style" w:hAnsi="Goudy Old Style"/>
          <w:sz w:val="24"/>
        </w:rPr>
        <w:t>find it difficult</w:t>
      </w:r>
      <w:r>
        <w:rPr>
          <w:rFonts w:ascii="Goudy Old Style" w:hAnsi="Goudy Old Style"/>
          <w:sz w:val="24"/>
        </w:rPr>
        <w:t xml:space="preserve"> to pass on the full impact of flour price increases as their products will become un-competitive against the chains </w:t>
      </w:r>
      <w:proofErr w:type="spellStart"/>
      <w:r>
        <w:rPr>
          <w:rFonts w:ascii="Goudy Old Style" w:hAnsi="Goudy Old Style"/>
          <w:sz w:val="24"/>
        </w:rPr>
        <w:t>housebrands</w:t>
      </w:r>
      <w:proofErr w:type="spellEnd"/>
      <w:r>
        <w:rPr>
          <w:rFonts w:ascii="Goudy Old Style" w:hAnsi="Goudy Old Style"/>
          <w:sz w:val="24"/>
        </w:rPr>
        <w:t>.</w:t>
      </w:r>
      <w:r w:rsidR="00D222B6">
        <w:rPr>
          <w:rFonts w:ascii="Goudy Old Style" w:hAnsi="Goudy Old Style"/>
          <w:sz w:val="24"/>
        </w:rPr>
        <w:t xml:space="preserve">  This will mean that Tasmanian bakers will have to absorb the flour price increases or risk loss of volume if price increases cause</w:t>
      </w:r>
      <w:r w:rsidR="00C56370">
        <w:rPr>
          <w:rFonts w:ascii="Goudy Old Style" w:hAnsi="Goudy Old Style"/>
          <w:sz w:val="24"/>
        </w:rPr>
        <w:t xml:space="preserve"> a</w:t>
      </w:r>
      <w:r w:rsidR="00D222B6">
        <w:rPr>
          <w:rFonts w:ascii="Goudy Old Style" w:hAnsi="Goudy Old Style"/>
          <w:sz w:val="24"/>
        </w:rPr>
        <w:t xml:space="preserve"> market share shift to the cheaper </w:t>
      </w:r>
      <w:proofErr w:type="spellStart"/>
      <w:r w:rsidR="00D222B6">
        <w:rPr>
          <w:rFonts w:ascii="Goudy Old Style" w:hAnsi="Goudy Old Style"/>
          <w:sz w:val="24"/>
        </w:rPr>
        <w:t>housebrands</w:t>
      </w:r>
      <w:proofErr w:type="spellEnd"/>
      <w:r w:rsidR="00D222B6">
        <w:rPr>
          <w:rFonts w:ascii="Goudy Old Style" w:hAnsi="Goudy Old Style"/>
          <w:sz w:val="24"/>
        </w:rPr>
        <w:t xml:space="preserve">.  </w:t>
      </w:r>
      <w:r w:rsidR="002C2187">
        <w:rPr>
          <w:rFonts w:ascii="Goudy Old Style" w:hAnsi="Goudy Old Style"/>
          <w:sz w:val="24"/>
        </w:rPr>
        <w:t xml:space="preserve">Tasmanian bakers are already margin poor and absorption of any cost increases as a result of changes to the </w:t>
      </w:r>
      <w:proofErr w:type="spellStart"/>
      <w:r w:rsidR="002C2187">
        <w:rPr>
          <w:rFonts w:ascii="Goudy Old Style" w:hAnsi="Goudy Old Style"/>
          <w:sz w:val="24"/>
        </w:rPr>
        <w:t>TFES</w:t>
      </w:r>
      <w:proofErr w:type="spellEnd"/>
      <w:r w:rsidR="002C2187">
        <w:rPr>
          <w:rFonts w:ascii="Goudy Old Style" w:hAnsi="Goudy Old Style"/>
          <w:sz w:val="24"/>
        </w:rPr>
        <w:t xml:space="preserve"> </w:t>
      </w:r>
      <w:r w:rsidR="00D222B6">
        <w:rPr>
          <w:rFonts w:ascii="Goudy Old Style" w:hAnsi="Goudy Old Style"/>
          <w:sz w:val="24"/>
        </w:rPr>
        <w:t xml:space="preserve">will ultimately lead to loss of employment in the </w:t>
      </w:r>
      <w:proofErr w:type="spellStart"/>
      <w:r w:rsidR="00D222B6">
        <w:rPr>
          <w:rFonts w:ascii="Goudy Old Style" w:hAnsi="Goudy Old Style"/>
          <w:sz w:val="24"/>
        </w:rPr>
        <w:t>baking</w:t>
      </w:r>
      <w:proofErr w:type="spellEnd"/>
      <w:r w:rsidR="00D222B6">
        <w:rPr>
          <w:rFonts w:ascii="Goudy Old Style" w:hAnsi="Goudy Old Style"/>
          <w:sz w:val="24"/>
        </w:rPr>
        <w:t xml:space="preserve"> sector and or closure of smaller independent bakeries as they struggle to compete.</w:t>
      </w:r>
    </w:p>
    <w:p w:rsidR="00D753BC" w:rsidRDefault="00D753BC" w:rsidP="00B556C0">
      <w:pPr>
        <w:rPr>
          <w:rFonts w:ascii="Goudy Old Style" w:hAnsi="Goudy Old Style"/>
          <w:sz w:val="24"/>
        </w:rPr>
      </w:pPr>
    </w:p>
    <w:p w:rsidR="00767100" w:rsidRDefault="00D753BC" w:rsidP="00B556C0">
      <w:pPr>
        <w:rPr>
          <w:rFonts w:ascii="Goudy Old Style" w:hAnsi="Goudy Old Style"/>
          <w:sz w:val="24"/>
        </w:rPr>
      </w:pPr>
      <w:r>
        <w:rPr>
          <w:rFonts w:ascii="Goudy Old Style" w:hAnsi="Goudy Old Style"/>
          <w:sz w:val="24"/>
        </w:rPr>
        <w:t xml:space="preserve"> </w:t>
      </w:r>
    </w:p>
    <w:p w:rsidR="00767100" w:rsidRPr="00767100" w:rsidRDefault="00767100" w:rsidP="00B556C0">
      <w:pPr>
        <w:rPr>
          <w:rFonts w:ascii="Goudy Old Style" w:hAnsi="Goudy Old Style"/>
          <w:b/>
          <w:sz w:val="24"/>
          <w:u w:val="single"/>
        </w:rPr>
      </w:pPr>
      <w:r w:rsidRPr="00767100">
        <w:rPr>
          <w:rFonts w:ascii="Goudy Old Style" w:hAnsi="Goudy Old Style"/>
          <w:b/>
          <w:sz w:val="24"/>
          <w:u w:val="single"/>
        </w:rPr>
        <w:t xml:space="preserve">Changes to the existing </w:t>
      </w:r>
      <w:proofErr w:type="spellStart"/>
      <w:r w:rsidRPr="00767100">
        <w:rPr>
          <w:rFonts w:ascii="Goudy Old Style" w:hAnsi="Goudy Old Style"/>
          <w:b/>
          <w:sz w:val="24"/>
          <w:u w:val="single"/>
        </w:rPr>
        <w:t>TFES</w:t>
      </w:r>
      <w:proofErr w:type="spellEnd"/>
      <w:r w:rsidRPr="00767100">
        <w:rPr>
          <w:rFonts w:ascii="Goudy Old Style" w:hAnsi="Goudy Old Style"/>
          <w:b/>
          <w:sz w:val="24"/>
          <w:u w:val="single"/>
        </w:rPr>
        <w:t xml:space="preserve"> in relation to southbound freight</w:t>
      </w:r>
    </w:p>
    <w:p w:rsidR="00D74C19" w:rsidRDefault="00D74C19">
      <w:pPr>
        <w:rPr>
          <w:rFonts w:ascii="Goudy Old Style" w:hAnsi="Goudy Old Style"/>
          <w:sz w:val="24"/>
        </w:rPr>
      </w:pPr>
    </w:p>
    <w:p w:rsidR="00D222B6" w:rsidRDefault="00D222B6">
      <w:pPr>
        <w:rPr>
          <w:rFonts w:ascii="Goudy Old Style" w:hAnsi="Goudy Old Style"/>
          <w:sz w:val="24"/>
        </w:rPr>
      </w:pPr>
    </w:p>
    <w:p w:rsidR="00D222B6" w:rsidRDefault="00767100">
      <w:pPr>
        <w:rPr>
          <w:rFonts w:ascii="Goudy Old Style" w:hAnsi="Goudy Old Style"/>
          <w:sz w:val="24"/>
        </w:rPr>
      </w:pPr>
      <w:r>
        <w:rPr>
          <w:rFonts w:ascii="Goudy Old Style" w:hAnsi="Goudy Old Style"/>
          <w:sz w:val="24"/>
        </w:rPr>
        <w:t xml:space="preserve">I have read this with some surprise as not all commodities are brought into Tasmania as inputs in a manufacturing process for goods then to be shipped to the mainland or exported overseas.  Removal of the south bound component substantially discriminates against Tasmanian manufacturers who only sell their products within Tasmania as we cannot claim northbound </w:t>
      </w:r>
      <w:proofErr w:type="spellStart"/>
      <w:r>
        <w:rPr>
          <w:rFonts w:ascii="Goudy Old Style" w:hAnsi="Goudy Old Style"/>
          <w:sz w:val="24"/>
        </w:rPr>
        <w:t>TFES</w:t>
      </w:r>
      <w:proofErr w:type="spellEnd"/>
      <w:r>
        <w:rPr>
          <w:rFonts w:ascii="Goudy Old Style" w:hAnsi="Goudy Old Style"/>
          <w:sz w:val="24"/>
        </w:rPr>
        <w:t xml:space="preserve"> on finished goods.  I reinforce the point made above </w:t>
      </w:r>
      <w:r w:rsidR="0063682B">
        <w:rPr>
          <w:rFonts w:ascii="Goudy Old Style" w:hAnsi="Goudy Old Style"/>
          <w:sz w:val="24"/>
        </w:rPr>
        <w:t>that any reduction in the subsidy given to Tasmanian flour mills for wheat transportation will increase the price of flour and thus</w:t>
      </w:r>
      <w:r w:rsidR="00D222B6">
        <w:rPr>
          <w:rFonts w:ascii="Goudy Old Style" w:hAnsi="Goudy Old Style"/>
          <w:sz w:val="24"/>
        </w:rPr>
        <w:t xml:space="preserve"> the price of bread in Tasmania. But more importantly there are many other ingredients that bakers use that have to come from the mainland and any cost increases incurred on these because of freight will need to be passed onto the consumer.</w:t>
      </w:r>
      <w:r w:rsidR="0063682B">
        <w:rPr>
          <w:rFonts w:ascii="Goudy Old Style" w:hAnsi="Goudy Old Style"/>
          <w:sz w:val="24"/>
        </w:rPr>
        <w:t xml:space="preserve">  This has far reaching effects as currently Tasmanians pay comparative prices to mainland residents for bread which was one of the underlying principles of the </w:t>
      </w:r>
      <w:proofErr w:type="spellStart"/>
      <w:r w:rsidR="0063682B">
        <w:rPr>
          <w:rFonts w:ascii="Goudy Old Style" w:hAnsi="Goudy Old Style"/>
          <w:sz w:val="24"/>
        </w:rPr>
        <w:t>TWFS</w:t>
      </w:r>
      <w:proofErr w:type="spellEnd"/>
      <w:r w:rsidR="0063682B">
        <w:rPr>
          <w:rFonts w:ascii="Goudy Old Style" w:hAnsi="Goudy Old Style"/>
          <w:sz w:val="24"/>
        </w:rPr>
        <w:t xml:space="preserve">.  Tasmania has the highest un-employment rate in the country and the highest number per capita of households in which the main income comes </w:t>
      </w:r>
      <w:r w:rsidR="0063682B">
        <w:rPr>
          <w:rFonts w:ascii="Goudy Old Style" w:hAnsi="Goudy Old Style"/>
          <w:sz w:val="24"/>
        </w:rPr>
        <w:lastRenderedPageBreak/>
        <w:t>from government benefits, Tasmanians can ill afford increases in their staple foods as a result of changes in government policy.</w:t>
      </w:r>
      <w:r w:rsidR="00D222B6">
        <w:rPr>
          <w:rFonts w:ascii="Goudy Old Style" w:hAnsi="Goudy Old Style"/>
          <w:sz w:val="24"/>
        </w:rPr>
        <w:t xml:space="preserve">  But for reasons stated above, Tasmanian bakers will find it difficult to pass cost increases onto the market</w:t>
      </w:r>
      <w:r w:rsidR="002C2187">
        <w:rPr>
          <w:rFonts w:ascii="Goudy Old Style" w:hAnsi="Goudy Old Style"/>
          <w:sz w:val="24"/>
        </w:rPr>
        <w:t>.</w:t>
      </w:r>
      <w:r w:rsidR="00D222B6">
        <w:rPr>
          <w:rFonts w:ascii="Goudy Old Style" w:hAnsi="Goudy Old Style"/>
          <w:sz w:val="24"/>
        </w:rPr>
        <w:t xml:space="preserve"> The commission should consider allowing Tasmanian manufacturers to claim on one leg only rather than abolishing the south bound component this then would create parity with the subsidy assisting those manufacturers who sell their products only in Tasmania as well as those who send them out of the state.</w:t>
      </w:r>
    </w:p>
    <w:p w:rsidR="00D74C19" w:rsidRDefault="00D74C19">
      <w:pPr>
        <w:rPr>
          <w:rFonts w:ascii="Goudy Old Style" w:hAnsi="Goudy Old Style"/>
          <w:sz w:val="24"/>
        </w:rPr>
      </w:pPr>
    </w:p>
    <w:p w:rsidR="0063682B" w:rsidRDefault="0063682B">
      <w:pPr>
        <w:rPr>
          <w:rFonts w:ascii="Goudy Old Style" w:hAnsi="Goudy Old Style"/>
          <w:b/>
          <w:sz w:val="24"/>
          <w:u w:val="single"/>
        </w:rPr>
      </w:pPr>
    </w:p>
    <w:p w:rsidR="0063682B" w:rsidRDefault="0063682B">
      <w:pPr>
        <w:rPr>
          <w:rFonts w:ascii="Goudy Old Style" w:hAnsi="Goudy Old Style"/>
          <w:b/>
          <w:sz w:val="24"/>
          <w:u w:val="single"/>
        </w:rPr>
      </w:pPr>
      <w:r w:rsidRPr="0063682B">
        <w:rPr>
          <w:rFonts w:ascii="Goudy Old Style" w:hAnsi="Goudy Old Style"/>
          <w:b/>
          <w:sz w:val="24"/>
          <w:u w:val="single"/>
        </w:rPr>
        <w:t xml:space="preserve">Capping the subsidy afforded containers of wheat under the </w:t>
      </w:r>
      <w:proofErr w:type="spellStart"/>
      <w:r w:rsidRPr="0063682B">
        <w:rPr>
          <w:rFonts w:ascii="Goudy Old Style" w:hAnsi="Goudy Old Style"/>
          <w:b/>
          <w:sz w:val="24"/>
          <w:u w:val="single"/>
        </w:rPr>
        <w:t>TFES</w:t>
      </w:r>
      <w:proofErr w:type="spellEnd"/>
      <w:r w:rsidRPr="0063682B">
        <w:rPr>
          <w:rFonts w:ascii="Goudy Old Style" w:hAnsi="Goudy Old Style"/>
          <w:b/>
          <w:sz w:val="24"/>
          <w:u w:val="single"/>
        </w:rPr>
        <w:t xml:space="preserve"> and or basing it on the lowest cost option of freighting wheat to Tasmania.</w:t>
      </w:r>
    </w:p>
    <w:p w:rsidR="0063682B" w:rsidRDefault="0063682B">
      <w:pPr>
        <w:rPr>
          <w:rFonts w:ascii="Goudy Old Style" w:hAnsi="Goudy Old Style"/>
          <w:b/>
          <w:sz w:val="24"/>
          <w:u w:val="single"/>
        </w:rPr>
      </w:pPr>
    </w:p>
    <w:p w:rsidR="0063682B" w:rsidRDefault="0063682B">
      <w:pPr>
        <w:rPr>
          <w:rFonts w:ascii="Goudy Old Style" w:hAnsi="Goudy Old Style"/>
          <w:sz w:val="24"/>
        </w:rPr>
      </w:pPr>
      <w:r>
        <w:rPr>
          <w:rFonts w:ascii="Goudy Old Style" w:hAnsi="Goudy Old Style"/>
          <w:sz w:val="24"/>
        </w:rPr>
        <w:t>Unfortunately Tasmanian m</w:t>
      </w:r>
      <w:r w:rsidR="0057608E">
        <w:rPr>
          <w:rFonts w:ascii="Goudy Old Style" w:hAnsi="Goudy Old Style"/>
          <w:sz w:val="24"/>
        </w:rPr>
        <w:t>illers</w:t>
      </w:r>
      <w:r>
        <w:rPr>
          <w:rFonts w:ascii="Goudy Old Style" w:hAnsi="Goudy Old Style"/>
          <w:sz w:val="24"/>
        </w:rPr>
        <w:t xml:space="preserve"> have no influence over </w:t>
      </w:r>
      <w:r w:rsidR="0057608E">
        <w:rPr>
          <w:rFonts w:ascii="Goudy Old Style" w:hAnsi="Goudy Old Style"/>
          <w:sz w:val="24"/>
        </w:rPr>
        <w:t xml:space="preserve">the shippers in relation to how wheat is transported to Tasmania hence this recommendation is passing the cost burden onto the party who is not responsible for the transport model to the island which is totally unfair and ultimately passes the cost forward to Tasmanian consumers which is equally unfair.  I reinforce the point that any changes to the </w:t>
      </w:r>
      <w:proofErr w:type="spellStart"/>
      <w:r w:rsidR="0057608E">
        <w:rPr>
          <w:rFonts w:ascii="Goudy Old Style" w:hAnsi="Goudy Old Style"/>
          <w:sz w:val="24"/>
        </w:rPr>
        <w:t>TFES</w:t>
      </w:r>
      <w:proofErr w:type="spellEnd"/>
      <w:r w:rsidR="0057608E">
        <w:rPr>
          <w:rFonts w:ascii="Goudy Old Style" w:hAnsi="Goudy Old Style"/>
          <w:sz w:val="24"/>
        </w:rPr>
        <w:t xml:space="preserve"> in relation to wheat freight needs to afford the same level of subsidy it currently does otherwise, Tasmanian consumers will pay more for flour and bread and it will cost jobs in the milling and baking industries within this state.</w:t>
      </w:r>
    </w:p>
    <w:p w:rsidR="00D72D7A" w:rsidRDefault="00D72D7A">
      <w:pPr>
        <w:rPr>
          <w:rFonts w:ascii="Goudy Old Style" w:hAnsi="Goudy Old Style"/>
          <w:sz w:val="24"/>
        </w:rPr>
      </w:pPr>
    </w:p>
    <w:p w:rsidR="00C56370" w:rsidRDefault="00C56370">
      <w:pPr>
        <w:rPr>
          <w:rFonts w:ascii="Goudy Old Style" w:hAnsi="Goudy Old Style"/>
          <w:sz w:val="24"/>
        </w:rPr>
      </w:pPr>
      <w:r>
        <w:rPr>
          <w:rFonts w:ascii="Goudy Old Style" w:hAnsi="Goudy Old Style"/>
          <w:sz w:val="24"/>
        </w:rPr>
        <w:t>Reducing the amount of subsidy will increase the cost of inputs and ultimately effect market pricing and or business viability.</w:t>
      </w:r>
    </w:p>
    <w:p w:rsidR="00D72D7A" w:rsidRDefault="00D72D7A">
      <w:pPr>
        <w:rPr>
          <w:rFonts w:ascii="Goudy Old Style" w:hAnsi="Goudy Old Style"/>
          <w:sz w:val="24"/>
        </w:rPr>
      </w:pPr>
    </w:p>
    <w:p w:rsidR="00D72D7A" w:rsidRDefault="00D72D7A">
      <w:pPr>
        <w:rPr>
          <w:rFonts w:ascii="Goudy Old Style" w:hAnsi="Goudy Old Style"/>
          <w:sz w:val="24"/>
        </w:rPr>
      </w:pPr>
    </w:p>
    <w:p w:rsidR="00D72D7A" w:rsidRPr="0063682B" w:rsidRDefault="00D72D7A">
      <w:pPr>
        <w:rPr>
          <w:rFonts w:ascii="Goudy Old Style" w:hAnsi="Goudy Old Style"/>
          <w:sz w:val="24"/>
        </w:rPr>
      </w:pPr>
    </w:p>
    <w:sectPr w:rsidR="00D72D7A" w:rsidRPr="0063682B">
      <w:pgSz w:w="11907" w:h="16840" w:code="9"/>
      <w:pgMar w:top="1352"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DBB" w:rsidRDefault="002D7DBB">
      <w:r>
        <w:separator/>
      </w:r>
    </w:p>
  </w:endnote>
  <w:endnote w:type="continuationSeparator" w:id="0">
    <w:p w:rsidR="002D7DBB" w:rsidRDefault="002D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DBB" w:rsidRDefault="002D7DBB">
      <w:r>
        <w:separator/>
      </w:r>
    </w:p>
  </w:footnote>
  <w:footnote w:type="continuationSeparator" w:id="0">
    <w:p w:rsidR="002D7DBB" w:rsidRDefault="002D7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5505700"/>
    <w:multiLevelType w:val="hybridMultilevel"/>
    <w:tmpl w:val="849E31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B25CDE"/>
    <w:multiLevelType w:val="singleLevel"/>
    <w:tmpl w:val="3086CA22"/>
    <w:lvl w:ilvl="0">
      <w:start w:val="1"/>
      <w:numFmt w:val="decimal"/>
      <w:lvlText w:val="%1."/>
      <w:legacy w:legacy="1" w:legacySpace="0" w:legacyIndent="340"/>
      <w:lvlJc w:val="left"/>
      <w:pPr>
        <w:ind w:left="340" w:hanging="340"/>
      </w:pPr>
    </w:lvl>
  </w:abstractNum>
  <w:abstractNum w:abstractNumId="7">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C9D4892"/>
    <w:multiLevelType w:val="hybridMultilevel"/>
    <w:tmpl w:val="1102BC6C"/>
    <w:lvl w:ilvl="0" w:tplc="8CDEA6D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15B6F1A"/>
    <w:multiLevelType w:val="hybridMultilevel"/>
    <w:tmpl w:val="AF06234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5"/>
  </w:num>
  <w:num w:numId="2">
    <w:abstractNumId w:val="22"/>
  </w:num>
  <w:num w:numId="3">
    <w:abstractNumId w:val="7"/>
  </w:num>
  <w:num w:numId="4">
    <w:abstractNumId w:val="12"/>
  </w:num>
  <w:num w:numId="5">
    <w:abstractNumId w:val="13"/>
  </w:num>
  <w:num w:numId="6">
    <w:abstractNumId w:val="3"/>
  </w:num>
  <w:num w:numId="7">
    <w:abstractNumId w:val="21"/>
  </w:num>
  <w:num w:numId="8">
    <w:abstractNumId w:val="1"/>
  </w:num>
  <w:num w:numId="9">
    <w:abstractNumId w:val="17"/>
  </w:num>
  <w:num w:numId="10">
    <w:abstractNumId w:val="2"/>
  </w:num>
  <w:num w:numId="11">
    <w:abstractNumId w:val="8"/>
  </w:num>
  <w:num w:numId="12">
    <w:abstractNumId w:val="20"/>
  </w:num>
  <w:num w:numId="13">
    <w:abstractNumId w:val="10"/>
  </w:num>
  <w:num w:numId="14">
    <w:abstractNumId w:val="19"/>
  </w:num>
  <w:num w:numId="15">
    <w:abstractNumId w:val="0"/>
  </w:num>
  <w:num w:numId="16">
    <w:abstractNumId w:val="16"/>
  </w:num>
  <w:num w:numId="17">
    <w:abstractNumId w:val="24"/>
  </w:num>
  <w:num w:numId="18">
    <w:abstractNumId w:val="9"/>
  </w:num>
  <w:num w:numId="19">
    <w:abstractNumId w:val="18"/>
  </w:num>
  <w:num w:numId="20">
    <w:abstractNumId w:val="6"/>
  </w:num>
  <w:num w:numId="21">
    <w:abstractNumId w:val="5"/>
  </w:num>
  <w:num w:numId="22">
    <w:abstractNumId w:val="23"/>
  </w:num>
  <w:num w:numId="23">
    <w:abstractNumId w:val="15"/>
  </w:num>
  <w:num w:numId="24">
    <w:abstractNumId w:val="14"/>
  </w:num>
  <w:num w:numId="25">
    <w:abstractNumId w:val="4"/>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5D4"/>
    <w:rsid w:val="00005F03"/>
    <w:rsid w:val="00056210"/>
    <w:rsid w:val="000908B0"/>
    <w:rsid w:val="00156E3D"/>
    <w:rsid w:val="0019530F"/>
    <w:rsid w:val="001C5C7C"/>
    <w:rsid w:val="001D7613"/>
    <w:rsid w:val="00221C86"/>
    <w:rsid w:val="002C2187"/>
    <w:rsid w:val="002D6079"/>
    <w:rsid w:val="002D7DBB"/>
    <w:rsid w:val="002E2B8A"/>
    <w:rsid w:val="003252BD"/>
    <w:rsid w:val="00383B87"/>
    <w:rsid w:val="003A2CCD"/>
    <w:rsid w:val="003A5A6A"/>
    <w:rsid w:val="003C5524"/>
    <w:rsid w:val="00423861"/>
    <w:rsid w:val="00423BFB"/>
    <w:rsid w:val="00480079"/>
    <w:rsid w:val="0048038E"/>
    <w:rsid w:val="00484E48"/>
    <w:rsid w:val="004B21E0"/>
    <w:rsid w:val="004B6E74"/>
    <w:rsid w:val="00534A5B"/>
    <w:rsid w:val="005674AF"/>
    <w:rsid w:val="0057608E"/>
    <w:rsid w:val="005A5D34"/>
    <w:rsid w:val="00613013"/>
    <w:rsid w:val="00626C39"/>
    <w:rsid w:val="006349CF"/>
    <w:rsid w:val="0063682B"/>
    <w:rsid w:val="00676790"/>
    <w:rsid w:val="007265D4"/>
    <w:rsid w:val="00767100"/>
    <w:rsid w:val="007C3E81"/>
    <w:rsid w:val="00820633"/>
    <w:rsid w:val="00843256"/>
    <w:rsid w:val="009022F8"/>
    <w:rsid w:val="009A77E8"/>
    <w:rsid w:val="00A17B13"/>
    <w:rsid w:val="00B2649B"/>
    <w:rsid w:val="00B264CC"/>
    <w:rsid w:val="00B556C0"/>
    <w:rsid w:val="00BE6678"/>
    <w:rsid w:val="00BE7978"/>
    <w:rsid w:val="00BF471E"/>
    <w:rsid w:val="00C56370"/>
    <w:rsid w:val="00C969D3"/>
    <w:rsid w:val="00D222B6"/>
    <w:rsid w:val="00D274A1"/>
    <w:rsid w:val="00D528F3"/>
    <w:rsid w:val="00D72D7A"/>
    <w:rsid w:val="00D74C19"/>
    <w:rsid w:val="00D753BC"/>
    <w:rsid w:val="00DC03C7"/>
    <w:rsid w:val="00E0213B"/>
    <w:rsid w:val="00E156B0"/>
    <w:rsid w:val="00E33CD7"/>
    <w:rsid w:val="00E7598B"/>
    <w:rsid w:val="00EC4447"/>
    <w:rsid w:val="00EC75E2"/>
    <w:rsid w:val="00F47ECC"/>
    <w:rsid w:val="00F51E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B556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C86"/>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B556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submission-cover-shee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submission-cover-sheet.dotm</Template>
  <TotalTime>0</TotalTime>
  <Pages>2</Pages>
  <Words>824</Words>
  <Characters>4201</Characters>
  <Application>Microsoft Office Word</Application>
  <DocSecurity>0</DocSecurity>
  <Lines>75</Lines>
  <Paragraphs>15</Paragraphs>
  <ScaleCrop>false</ScaleCrop>
  <HeadingPairs>
    <vt:vector size="2" baseType="variant">
      <vt:variant>
        <vt:lpstr>Title</vt:lpstr>
      </vt:variant>
      <vt:variant>
        <vt:i4>1</vt:i4>
      </vt:variant>
    </vt:vector>
  </HeadingPairs>
  <TitlesOfParts>
    <vt:vector size="1" baseType="lpstr">
      <vt:lpstr>Submission DR99 - Cripps Nubake Pty Ltd - Tasmanian Shipping and Freight - Public inquiry</vt:lpstr>
    </vt:vector>
  </TitlesOfParts>
  <Company>Cripps Nubake Pty Ltd</Company>
  <LinksUpToDate>false</LinksUpToDate>
  <CharactersWithSpaces>5024</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DR99 - Cripps Nubake Pty Ltd - Tasmanian Shipping and Freight - Public inquiry</dc:title>
  <dc:creator>Cripps Nubake Pty Ltd</dc:creator>
  <cp:lastModifiedBy>Productivity Commission</cp:lastModifiedBy>
  <cp:revision>2</cp:revision>
  <cp:lastPrinted>2004-07-01T12:55:00Z</cp:lastPrinted>
  <dcterms:created xsi:type="dcterms:W3CDTF">2014-02-14T04:02:00Z</dcterms:created>
  <dcterms:modified xsi:type="dcterms:W3CDTF">2014-02-14T04:02:00Z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