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67227" w14:textId="7DD5D813" w:rsidR="00A5241D" w:rsidRPr="00CD360D" w:rsidRDefault="00CD360D" w:rsidP="00A5241D">
      <w:pPr>
        <w:pStyle w:val="Heading1"/>
        <w:rPr>
          <w:color w:val="FFFFFF" w:themeColor="background1"/>
          <w:sz w:val="12"/>
          <w:szCs w:val="12"/>
        </w:rPr>
      </w:pPr>
      <w:r w:rsidRPr="00CD360D">
        <w:rPr>
          <w:noProof/>
          <w:color w:val="FFFFFF" w:themeColor="background1"/>
          <w:sz w:val="12"/>
          <w:szCs w:val="12"/>
        </w:rPr>
        <w:drawing>
          <wp:anchor distT="0" distB="0" distL="114300" distR="114300" simplePos="0" relativeHeight="251658240" behindDoc="0" locked="0" layoutInCell="1" allowOverlap="1" wp14:anchorId="6C5E8157" wp14:editId="7BCF9283">
            <wp:simplePos x="828675" y="828675"/>
            <wp:positionH relativeFrom="page">
              <wp:align>center</wp:align>
            </wp:positionH>
            <wp:positionV relativeFrom="page">
              <wp:align>center</wp:align>
            </wp:positionV>
            <wp:extent cx="7594600" cy="10745470"/>
            <wp:effectExtent l="0" t="0" r="6350" b="0"/>
            <wp:wrapNone/>
            <wp:docPr id="1" name="Picture 1" descr="Cover for: Telecommunications Universal Service Obligation, Productivity Commission Draft Report, Overview, November 2016. 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TUSO-dr.png"/>
                    <pic:cNvPicPr/>
                  </pic:nvPicPr>
                  <pic:blipFill>
                    <a:blip r:embed="rId9">
                      <a:extLst>
                        <a:ext uri="{28A0092B-C50C-407E-A947-70E740481C1C}">
                          <a14:useLocalDpi xmlns:a14="http://schemas.microsoft.com/office/drawing/2010/main" val="0"/>
                        </a:ext>
                      </a:extLst>
                    </a:blip>
                    <a:stretch>
                      <a:fillRect/>
                    </a:stretch>
                  </pic:blipFill>
                  <pic:spPr>
                    <a:xfrm>
                      <a:off x="0" y="0"/>
                      <a:ext cx="7595147" cy="10746000"/>
                    </a:xfrm>
                    <a:prstGeom prst="rect">
                      <a:avLst/>
                    </a:prstGeom>
                  </pic:spPr>
                </pic:pic>
              </a:graphicData>
            </a:graphic>
            <wp14:sizeRelH relativeFrom="margin">
              <wp14:pctWidth>0</wp14:pctWidth>
            </wp14:sizeRelH>
            <wp14:sizeRelV relativeFrom="margin">
              <wp14:pctHeight>0</wp14:pctHeight>
            </wp14:sizeRelV>
          </wp:anchor>
        </w:drawing>
      </w:r>
      <w:r w:rsidR="00A5241D" w:rsidRPr="00CD360D">
        <w:rPr>
          <w:color w:val="FFFFFF" w:themeColor="background1"/>
          <w:sz w:val="12"/>
          <w:szCs w:val="12"/>
        </w:rPr>
        <w:t>Telecommunications Universal Service Obligation</w:t>
      </w:r>
    </w:p>
    <w:p w14:paraId="65349B02" w14:textId="2E2B7977" w:rsidR="00CD360D" w:rsidRPr="00CD360D" w:rsidRDefault="00CD360D" w:rsidP="00CD360D">
      <w:pPr>
        <w:pStyle w:val="BodyText"/>
        <w:rPr>
          <w:color w:val="FFFFFF" w:themeColor="background1"/>
          <w:sz w:val="12"/>
          <w:szCs w:val="12"/>
          <w:lang w:eastAsia="en-US"/>
        </w:rPr>
      </w:pPr>
      <w:r w:rsidRPr="00CD360D">
        <w:rPr>
          <w:color w:val="FFFFFF" w:themeColor="background1"/>
          <w:sz w:val="12"/>
          <w:szCs w:val="12"/>
          <w:lang w:eastAsia="en-US"/>
        </w:rPr>
        <w:t>Draft Report Overview</w:t>
      </w:r>
    </w:p>
    <w:p w14:paraId="6BF8DB1D" w14:textId="4306FAF1" w:rsidR="00B04D19" w:rsidRPr="00A5241D" w:rsidRDefault="00A5241D" w:rsidP="00A5241D">
      <w:pPr>
        <w:pStyle w:val="BodyText"/>
      </w:pPr>
      <w:r w:rsidRPr="00A5241D">
        <w:rPr>
          <w:color w:val="FFFFFF" w:themeColor="background1"/>
          <w:sz w:val="16"/>
          <w:szCs w:val="16"/>
        </w:rPr>
        <w:t xml:space="preserve">Productivity Commission Draft Report </w:t>
      </w:r>
      <w:r w:rsidR="00B04D19" w:rsidRPr="00A5241D">
        <w:br w:type="page"/>
      </w:r>
    </w:p>
    <w:p w14:paraId="6BF8DB1E"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6BF8DB1F"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6BF8DB73" wp14:editId="6BF8DB7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6BF8DB20" w14:textId="09FB8F4C"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6BF8DB21" w14:textId="77777777" w:rsidR="008A3857" w:rsidRPr="008A3857" w:rsidRDefault="008A3857" w:rsidP="008A3857">
      <w:pPr>
        <w:pStyle w:val="Copyrightsubtitle"/>
      </w:pPr>
      <w:r w:rsidRPr="008A3857">
        <w:t>Use of the Commonwealth Coat of Arms</w:t>
      </w:r>
    </w:p>
    <w:p w14:paraId="6BF8DB22"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6BF8DB23" w14:textId="77777777" w:rsidR="008A3857" w:rsidRPr="008A3857" w:rsidRDefault="008A3857" w:rsidP="008A3857">
      <w:pPr>
        <w:pStyle w:val="Copyrightsubtitle"/>
      </w:pPr>
      <w:r w:rsidRPr="008A3857">
        <w:t>Third party copyright</w:t>
      </w:r>
    </w:p>
    <w:p w14:paraId="6BF8DB24"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6BF8DB25" w14:textId="77777777" w:rsidR="008A3857" w:rsidRPr="008A3857" w:rsidRDefault="008A3857" w:rsidP="008A3857">
      <w:pPr>
        <w:pStyle w:val="Copyrightsubtitle"/>
      </w:pPr>
      <w:r w:rsidRPr="008A3857">
        <w:t>Attribution</w:t>
      </w:r>
    </w:p>
    <w:p w14:paraId="6BF8DB26"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BB04DB">
        <w:rPr>
          <w:i/>
        </w:rPr>
        <w:t>Telecommunications Universal Service Obligation, Draft Report</w:t>
      </w:r>
    </w:p>
    <w:p w14:paraId="6BF8DB27"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BB04DB">
        <w:rPr>
          <w:i/>
        </w:rPr>
        <w:t>Telecommunications Universal Service Obligation, Draft Report.</w:t>
      </w:r>
    </w:p>
    <w:p w14:paraId="6BF8DB28"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BF8DB29" w14:textId="77777777" w:rsidR="008A3857" w:rsidRPr="008A3857" w:rsidRDefault="00BB04DB" w:rsidP="008A3857">
      <w:pPr>
        <w:pStyle w:val="Copyrightbodytext"/>
      </w:pPr>
      <w:r>
        <w:t xml:space="preserve">Productivity Commission 2016, </w:t>
      </w:r>
      <w:r>
        <w:rPr>
          <w:i/>
        </w:rPr>
        <w:t xml:space="preserve">Telecommunications Universal Service Obligation, </w:t>
      </w:r>
      <w:r w:rsidRPr="00BB04DB">
        <w:t>Draft Report</w:t>
      </w:r>
      <w:r>
        <w:t>, Canberra.</w:t>
      </w:r>
      <w:r w:rsidRPr="008A3857">
        <w:t xml:space="preserve"> </w:t>
      </w:r>
    </w:p>
    <w:p w14:paraId="6BF8DB2A" w14:textId="77777777" w:rsidR="008A3857" w:rsidRPr="008A3857" w:rsidRDefault="008A3857" w:rsidP="008A3857">
      <w:pPr>
        <w:pStyle w:val="Copyrightsubtitle"/>
      </w:pPr>
      <w:bookmarkStart w:id="1" w:name="JEL"/>
      <w:bookmarkEnd w:id="1"/>
      <w:r w:rsidRPr="008A3857">
        <w:t>Publications enquiries</w:t>
      </w:r>
    </w:p>
    <w:p w14:paraId="6BF8DB2B"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6BF8DB2C"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6BF8DB2E" w14:textId="77777777" w:rsidTr="00C670DE">
        <w:tc>
          <w:tcPr>
            <w:tcW w:w="8771" w:type="dxa"/>
            <w:tcBorders>
              <w:top w:val="single" w:sz="6" w:space="0" w:color="78A22F"/>
              <w:left w:val="nil"/>
              <w:bottom w:val="nil"/>
              <w:right w:val="nil"/>
            </w:tcBorders>
            <w:shd w:val="clear" w:color="auto" w:fill="F2F2F2" w:themeFill="background1" w:themeFillShade="F2"/>
          </w:tcPr>
          <w:p w14:paraId="6BF8DB2D" w14:textId="77777777" w:rsidR="008A3857" w:rsidRPr="008A3857" w:rsidRDefault="008A3857" w:rsidP="00123A53">
            <w:pPr>
              <w:pStyle w:val="BoxTitle"/>
              <w:rPr>
                <w:sz w:val="22"/>
                <w:szCs w:val="22"/>
              </w:rPr>
            </w:pPr>
            <w:r w:rsidRPr="008A3857">
              <w:rPr>
                <w:sz w:val="22"/>
                <w:szCs w:val="22"/>
              </w:rPr>
              <w:t>The Productivity Commission</w:t>
            </w:r>
          </w:p>
        </w:tc>
      </w:tr>
      <w:tr w:rsidR="008A3857" w14:paraId="6BF8DB32" w14:textId="77777777" w:rsidTr="00C670DE">
        <w:tc>
          <w:tcPr>
            <w:tcW w:w="8771" w:type="dxa"/>
            <w:tcBorders>
              <w:top w:val="nil"/>
              <w:left w:val="nil"/>
              <w:bottom w:val="nil"/>
              <w:right w:val="nil"/>
            </w:tcBorders>
            <w:shd w:val="clear" w:color="auto" w:fill="F2F2F2" w:themeFill="background1" w:themeFillShade="F2"/>
          </w:tcPr>
          <w:p w14:paraId="6BF8DB2F" w14:textId="77777777" w:rsidR="008A3857" w:rsidRDefault="008A3857" w:rsidP="00123A53">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BF8DB30" w14:textId="77777777" w:rsidR="008A3857" w:rsidRDefault="008A3857" w:rsidP="00123A53">
            <w:pPr>
              <w:pStyle w:val="Box"/>
            </w:pPr>
            <w:r w:rsidRPr="00BB5DCF">
              <w:t>The Commission’s independence is underpinned by an Act of Parliament. Its processes and outputs are open to public scrutiny and are driven by concern for the wellbeing of the community as a whole.</w:t>
            </w:r>
          </w:p>
          <w:p w14:paraId="6BF8DB31"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B11B31">
              <w:fldChar w:fldCharType="begin"/>
            </w:r>
            <w:r w:rsidR="00B11B31">
              <w:instrText xml:space="preserve"> HYPERLINK "http://www.pc.gov.au/" </w:instrText>
            </w:r>
            <w:r w:rsidR="00B11B31">
              <w:fldChar w:fldCharType="separate"/>
            </w:r>
            <w:r w:rsidRPr="00805FD7">
              <w:t>www.pc.gov.au</w:t>
            </w:r>
            <w:proofErr w:type="spellEnd"/>
            <w:r w:rsidR="00B11B31">
              <w:fldChar w:fldCharType="end"/>
            </w:r>
            <w:r w:rsidRPr="00BB5DCF">
              <w:rPr>
                <w:szCs w:val="24"/>
              </w:rPr>
              <w:t>)</w:t>
            </w:r>
            <w:r w:rsidR="00EC38C1">
              <w:rPr>
                <w:szCs w:val="24"/>
              </w:rPr>
              <w:t>.</w:t>
            </w:r>
          </w:p>
        </w:tc>
      </w:tr>
      <w:tr w:rsidR="008A3857" w14:paraId="6BF8DB34" w14:textId="77777777" w:rsidTr="00C670DE">
        <w:tc>
          <w:tcPr>
            <w:tcW w:w="8771" w:type="dxa"/>
            <w:tcBorders>
              <w:top w:val="nil"/>
              <w:left w:val="nil"/>
              <w:bottom w:val="single" w:sz="6" w:space="0" w:color="78A22F"/>
              <w:right w:val="nil"/>
            </w:tcBorders>
            <w:shd w:val="clear" w:color="auto" w:fill="F2F2F2" w:themeFill="background1" w:themeFillShade="F2"/>
          </w:tcPr>
          <w:p w14:paraId="6BF8DB33" w14:textId="77777777" w:rsidR="008A3857" w:rsidRDefault="008A3857" w:rsidP="00123A53">
            <w:pPr>
              <w:pStyle w:val="Box"/>
              <w:spacing w:before="0" w:line="120" w:lineRule="exact"/>
            </w:pPr>
          </w:p>
        </w:tc>
      </w:tr>
    </w:tbl>
    <w:p w14:paraId="6BF8DB35"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14:paraId="6BF8DB36" w14:textId="77777777" w:rsidR="00BB04DB" w:rsidRDefault="00BB04DB">
      <w:pPr>
        <w:pStyle w:val="Heading1"/>
      </w:pPr>
      <w:bookmarkStart w:id="3" w:name="_Toc467850206"/>
      <w:bookmarkStart w:id="4" w:name="_Toc468112882"/>
      <w:r>
        <w:lastRenderedPageBreak/>
        <w:t>Opportunity for further comment</w:t>
      </w:r>
      <w:bookmarkEnd w:id="3"/>
      <w:bookmarkEnd w:id="4"/>
    </w:p>
    <w:p w14:paraId="6BF8DB37" w14:textId="77777777" w:rsidR="00BB04DB" w:rsidRDefault="00BB04DB">
      <w:pPr>
        <w:pStyle w:val="BodyText"/>
        <w:rPr>
          <w:sz w:val="23"/>
          <w:szCs w:val="23"/>
        </w:rPr>
      </w:pPr>
      <w:r>
        <w:rPr>
          <w:sz w:val="23"/>
          <w:szCs w:val="23"/>
        </w:rPr>
        <w:t xml:space="preserve">You are invited to examine this draft inquiry report and comment on it by written submission to the Productivity Commission, preferably in electronic format, by </w:t>
      </w:r>
      <w:r>
        <w:rPr>
          <w:b/>
          <w:bCs/>
          <w:sz w:val="23"/>
          <w:szCs w:val="23"/>
        </w:rPr>
        <w:t xml:space="preserve">20 January 2017 </w:t>
      </w:r>
      <w:r>
        <w:rPr>
          <w:sz w:val="23"/>
          <w:szCs w:val="23"/>
        </w:rPr>
        <w:t xml:space="preserve">and/or by attending a public hearing </w:t>
      </w:r>
    </w:p>
    <w:p w14:paraId="6BF8DB38" w14:textId="3CACD77F" w:rsidR="00BB04DB" w:rsidRDefault="00BB04DB">
      <w:pPr>
        <w:pStyle w:val="BodyText"/>
      </w:pPr>
      <w:r>
        <w:t>The final report will be prepared after further submissions have been received and public hearings have been held and will be forward</w:t>
      </w:r>
      <w:r w:rsidR="008C6604">
        <w:t>ed</w:t>
      </w:r>
      <w:r>
        <w:t xml:space="preserve"> to the Australian Government by </w:t>
      </w:r>
      <w:r w:rsidR="008C6604">
        <w:t>28 April </w:t>
      </w:r>
      <w:r w:rsidR="00382F91">
        <w:t>2017.</w:t>
      </w:r>
    </w:p>
    <w:p w14:paraId="6BF8DB39" w14:textId="316177A8" w:rsidR="00382F91" w:rsidRDefault="00BB04DB" w:rsidP="00123A53">
      <w:pPr>
        <w:pStyle w:val="Heading3"/>
        <w:spacing w:after="240"/>
      </w:pPr>
      <w:r w:rsidRPr="00B146AA">
        <w:t>Public hearing</w:t>
      </w:r>
      <w:r w:rsidR="00382F91">
        <w:t>s</w:t>
      </w:r>
    </w:p>
    <w:p w14:paraId="6BF8DB3A" w14:textId="695B0F98" w:rsidR="00382F91" w:rsidRDefault="00382F91" w:rsidP="00382F91">
      <w:pPr>
        <w:pStyle w:val="BodyText"/>
      </w:pPr>
      <w:r>
        <w:t>The Commission will be holding public hearings in Cairns, Sydney, Dubbo, Port Augusta, Launceston and Melbourne</w:t>
      </w:r>
      <w:r w:rsidR="00CA0AD3">
        <w:t xml:space="preserve"> in late January and early February 2017</w:t>
      </w:r>
      <w:r>
        <w:t>. Details regarding dates and venues will be made available on the Commission’s website in due course</w:t>
      </w:r>
      <w:r w:rsidR="002A1F06">
        <w:t>.</w:t>
      </w:r>
    </w:p>
    <w:p w14:paraId="6BF8DB3B" w14:textId="77777777" w:rsidR="00BB04DB" w:rsidRPr="00683E2C" w:rsidRDefault="00BB04DB" w:rsidP="00123A53">
      <w:pPr>
        <w:pStyle w:val="Heading3"/>
      </w:pPr>
      <w:r>
        <w:t>Commissioner</w:t>
      </w:r>
    </w:p>
    <w:p w14:paraId="6BF8DB3C" w14:textId="612FB3D6" w:rsidR="00BB04DB" w:rsidRPr="007151C7" w:rsidRDefault="00BB04DB" w:rsidP="00BB04DB">
      <w:pPr>
        <w:pStyle w:val="BodyText"/>
        <w:spacing w:after="360"/>
      </w:pPr>
      <w:r w:rsidRPr="007151C7">
        <w:t xml:space="preserve">For the purposes of this </w:t>
      </w:r>
      <w:r w:rsidR="002A1F06">
        <w:t>inquiry</w:t>
      </w:r>
      <w:r w:rsidRPr="007151C7">
        <w:t xml:space="preserve"> the Commission</w:t>
      </w:r>
      <w:r>
        <w:t>er is:</w:t>
      </w:r>
    </w:p>
    <w:tbl>
      <w:tblPr>
        <w:tblW w:w="0" w:type="auto"/>
        <w:tblLayout w:type="fixed"/>
        <w:tblLook w:val="01E0" w:firstRow="1" w:lastRow="1" w:firstColumn="1" w:lastColumn="1" w:noHBand="0" w:noVBand="0"/>
      </w:tblPr>
      <w:tblGrid>
        <w:gridCol w:w="8789"/>
      </w:tblGrid>
      <w:tr w:rsidR="002A1F06" w14:paraId="6BF8DB3F" w14:textId="77777777" w:rsidTr="0049702E">
        <w:tc>
          <w:tcPr>
            <w:tcW w:w="8789" w:type="dxa"/>
            <w:tcMar>
              <w:left w:w="0" w:type="dxa"/>
              <w:right w:w="0" w:type="dxa"/>
            </w:tcMar>
          </w:tcPr>
          <w:p w14:paraId="6BF8DB3E" w14:textId="6CC65E19" w:rsidR="002A1F06" w:rsidRDefault="002A1F06">
            <w:pPr>
              <w:pStyle w:val="BodyText"/>
              <w:spacing w:before="120"/>
            </w:pPr>
            <w:r>
              <w:t>Paul Lindwall</w:t>
            </w:r>
          </w:p>
        </w:tc>
      </w:tr>
    </w:tbl>
    <w:p w14:paraId="6BF8DB62" w14:textId="77777777" w:rsidR="00BB04DB" w:rsidRDefault="00BB04DB" w:rsidP="00123A53">
      <w:pPr>
        <w:pStyle w:val="BodyText"/>
      </w:pPr>
    </w:p>
    <w:p w14:paraId="6BF8DB63" w14:textId="77777777" w:rsidR="00BB04DB" w:rsidRDefault="00BB04DB" w:rsidP="00123A53">
      <w:pPr>
        <w:pStyle w:val="BodyText"/>
        <w:sectPr w:rsidR="00BB04DB" w:rsidSect="00123A53">
          <w:headerReference w:type="even" r:id="rId15"/>
          <w:headerReference w:type="default" r:id="rId16"/>
          <w:footerReference w:type="even" r:id="rId17"/>
          <w:footerReference w:type="default" r:id="rId18"/>
          <w:pgSz w:w="11907" w:h="16840" w:code="9"/>
          <w:pgMar w:top="1985" w:right="1304" w:bottom="1247" w:left="1814" w:header="1701" w:footer="397" w:gutter="0"/>
          <w:pgNumType w:fmt="lowerRoman"/>
          <w:cols w:space="720"/>
        </w:sectPr>
      </w:pPr>
    </w:p>
    <w:p w14:paraId="39C61867" w14:textId="0316D041" w:rsidR="008E33BF" w:rsidRDefault="00735FEA" w:rsidP="006F78B3">
      <w:pPr>
        <w:pStyle w:val="Heading1NotTOC"/>
        <w:rPr>
          <w:noProof/>
        </w:rPr>
      </w:pPr>
      <w:bookmarkStart w:id="5" w:name="Contents"/>
      <w:bookmarkEnd w:id="5"/>
      <w:r w:rsidRPr="00B153C3">
        <w:lastRenderedPageBreak/>
        <w:t>Contents</w:t>
      </w:r>
      <w:bookmarkStart w:id="6" w:name="InsertContents"/>
      <w:bookmarkEnd w:id="6"/>
    </w:p>
    <w:p w14:paraId="7FA2FACF" w14:textId="433BE324" w:rsidR="008E33BF" w:rsidRDefault="008E33BF">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0D029B">
        <w:rPr>
          <w:noProof/>
        </w:rPr>
        <w:t>iii</w:t>
      </w:r>
    </w:p>
    <w:p w14:paraId="292189D9" w14:textId="74942EF7" w:rsidR="008E33BF" w:rsidRDefault="008E33BF">
      <w:pPr>
        <w:pStyle w:val="TOC1"/>
        <w:rPr>
          <w:rFonts w:asciiTheme="minorHAnsi" w:eastAsiaTheme="minorEastAsia" w:hAnsiTheme="minorHAnsi" w:cstheme="minorBidi"/>
          <w:b w:val="0"/>
          <w:noProof/>
          <w:sz w:val="22"/>
          <w:szCs w:val="22"/>
          <w:lang w:eastAsia="en-AU"/>
        </w:rPr>
      </w:pPr>
      <w:r>
        <w:rPr>
          <w:noProof/>
        </w:rPr>
        <w:t>Key points</w:t>
      </w:r>
      <w:bookmarkStart w:id="7" w:name="_GoBack"/>
      <w:bookmarkEnd w:id="7"/>
      <w:r>
        <w:rPr>
          <w:noProof/>
        </w:rPr>
        <w:tab/>
      </w:r>
      <w:r w:rsidR="00370C80">
        <w:rPr>
          <w:noProof/>
        </w:rPr>
        <w:t>2</w:t>
      </w:r>
    </w:p>
    <w:p w14:paraId="06B21D28" w14:textId="77777777" w:rsidR="008E33BF" w:rsidRDefault="008E33BF">
      <w:pPr>
        <w:pStyle w:val="TOC1"/>
        <w:rPr>
          <w:noProof/>
        </w:rPr>
      </w:pPr>
      <w:r>
        <w:rPr>
          <w:noProof/>
        </w:rPr>
        <w:t>Overview</w:t>
      </w:r>
      <w:r>
        <w:rPr>
          <w:noProof/>
        </w:rPr>
        <w:tab/>
        <w:t>3</w:t>
      </w:r>
    </w:p>
    <w:p w14:paraId="522946D5" w14:textId="56FCE260" w:rsidR="00637CBC" w:rsidRDefault="00637CBC" w:rsidP="00637CBC">
      <w:pPr>
        <w:pStyle w:val="TOC2"/>
      </w:pPr>
      <w:r>
        <w:t>The Commission’s approach</w:t>
      </w:r>
      <w:r>
        <w:tab/>
        <w:t>5</w:t>
      </w:r>
    </w:p>
    <w:p w14:paraId="1B8D8577" w14:textId="59E55693" w:rsidR="00637CBC" w:rsidRDefault="00637CBC" w:rsidP="00637CBC">
      <w:pPr>
        <w:pStyle w:val="TOC2"/>
      </w:pPr>
      <w:r>
        <w:t xml:space="preserve">The </w:t>
      </w:r>
      <w:proofErr w:type="spellStart"/>
      <w:r>
        <w:t>TUSO</w:t>
      </w:r>
      <w:proofErr w:type="spellEnd"/>
      <w:r>
        <w:t xml:space="preserve"> is past its use</w:t>
      </w:r>
      <w:r>
        <w:noBreakHyphen/>
        <w:t>by date</w:t>
      </w:r>
      <w:r>
        <w:tab/>
        <w:t>6</w:t>
      </w:r>
    </w:p>
    <w:p w14:paraId="351ACF29" w14:textId="358F1412" w:rsidR="00637CBC" w:rsidRDefault="00637CBC" w:rsidP="00637CBC">
      <w:pPr>
        <w:pStyle w:val="TOC2"/>
      </w:pPr>
      <w:r>
        <w:t>A new universal service framework is needed</w:t>
      </w:r>
      <w:r>
        <w:tab/>
        <w:t>9</w:t>
      </w:r>
    </w:p>
    <w:p w14:paraId="59DA8874" w14:textId="0C3670E7" w:rsidR="00637CBC" w:rsidRDefault="00637CBC" w:rsidP="00637CBC">
      <w:pPr>
        <w:pStyle w:val="TOC2"/>
      </w:pPr>
      <w:r>
        <w:t xml:space="preserve">The </w:t>
      </w:r>
      <w:proofErr w:type="spellStart"/>
      <w:r>
        <w:t>NBN</w:t>
      </w:r>
      <w:proofErr w:type="spellEnd"/>
      <w:r>
        <w:t xml:space="preserve"> (and markets) have an important role to play</w:t>
      </w:r>
      <w:r>
        <w:tab/>
        <w:t>10</w:t>
      </w:r>
    </w:p>
    <w:p w14:paraId="5B3E74A7" w14:textId="5AF5D912" w:rsidR="00637CBC" w:rsidRDefault="00637CBC" w:rsidP="00637CBC">
      <w:pPr>
        <w:pStyle w:val="TOC2"/>
      </w:pPr>
      <w:r>
        <w:t>How much funding and who should pay?</w:t>
      </w:r>
      <w:r>
        <w:tab/>
        <w:t>15</w:t>
      </w:r>
    </w:p>
    <w:p w14:paraId="1412DD67" w14:textId="5BE34C88" w:rsidR="00637CBC" w:rsidRDefault="00637CBC" w:rsidP="00637CBC">
      <w:pPr>
        <w:pStyle w:val="TOC2"/>
      </w:pPr>
      <w:r>
        <w:t>Transitional matters</w:t>
      </w:r>
      <w:r>
        <w:tab/>
        <w:t>16</w:t>
      </w:r>
    </w:p>
    <w:p w14:paraId="3F3E4A14" w14:textId="77777777" w:rsidR="008E33BF" w:rsidRDefault="008E33BF">
      <w:pPr>
        <w:pStyle w:val="TOC1"/>
        <w:rPr>
          <w:noProof/>
        </w:rPr>
      </w:pPr>
      <w:r>
        <w:rPr>
          <w:noProof/>
        </w:rPr>
        <w:t>Draft recommendations, findings and information requests</w:t>
      </w:r>
      <w:r>
        <w:rPr>
          <w:noProof/>
        </w:rPr>
        <w:tab/>
        <w:t>19</w:t>
      </w:r>
    </w:p>
    <w:p w14:paraId="2E97BDF1" w14:textId="5617A958" w:rsidR="00447EFE" w:rsidRPr="00447EFE" w:rsidRDefault="00447EFE" w:rsidP="00447EFE">
      <w:pPr>
        <w:pStyle w:val="TOC1"/>
        <w:spacing w:before="480"/>
        <w:rPr>
          <w:rFonts w:eastAsiaTheme="minorEastAsia"/>
        </w:rPr>
      </w:pPr>
      <w:r>
        <w:rPr>
          <w:rFonts w:eastAsiaTheme="minorEastAsia"/>
        </w:rPr>
        <w:t xml:space="preserve">The full report is available from </w:t>
      </w:r>
      <w:hyperlink r:id="rId19" w:history="1">
        <w:proofErr w:type="spellStart"/>
        <w:r w:rsidRPr="00CF184B">
          <w:rPr>
            <w:rStyle w:val="Hyperlink"/>
            <w:rFonts w:ascii="Arial" w:eastAsiaTheme="minorEastAsia" w:hAnsi="Arial"/>
          </w:rPr>
          <w:t>www.pc.gov.au</w:t>
        </w:r>
        <w:proofErr w:type="spellEnd"/>
      </w:hyperlink>
    </w:p>
    <w:sectPr w:rsidR="00447EFE" w:rsidRPr="00447EFE" w:rsidSect="00234D77">
      <w:headerReference w:type="even" r:id="rId20"/>
      <w:headerReference w:type="default" r:id="rId21"/>
      <w:footerReference w:type="even" r:id="rId22"/>
      <w:footerReference w:type="default" r:id="rId23"/>
      <w:type w:val="oddPage"/>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8DB7B" w14:textId="77777777" w:rsidR="00A40BCD" w:rsidRDefault="00A40BCD">
      <w:r>
        <w:separator/>
      </w:r>
    </w:p>
    <w:p w14:paraId="6BF8DB7C" w14:textId="77777777" w:rsidR="00A40BCD" w:rsidRDefault="00A40BCD"/>
    <w:p w14:paraId="6BF8DB7D" w14:textId="77777777" w:rsidR="00A40BCD" w:rsidRDefault="00A40BCD"/>
  </w:endnote>
  <w:endnote w:type="continuationSeparator" w:id="0">
    <w:p w14:paraId="6BF8DB7E" w14:textId="77777777" w:rsidR="00A40BCD" w:rsidRDefault="00A40BCD">
      <w:r>
        <w:continuationSeparator/>
      </w:r>
    </w:p>
    <w:p w14:paraId="6BF8DB7F" w14:textId="77777777" w:rsidR="00A40BCD" w:rsidRDefault="00A40BCD"/>
    <w:p w14:paraId="6BF8DB80" w14:textId="77777777" w:rsidR="00A40BCD" w:rsidRDefault="00A40B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A1" w14:textId="77777777" w:rsidTr="00123A53">
      <w:trPr>
        <w:trHeight w:hRule="exact" w:val="567"/>
      </w:trPr>
      <w:tc>
        <w:tcPr>
          <w:tcW w:w="510" w:type="dxa"/>
        </w:tcPr>
        <w:p w14:paraId="6BF8DB9E" w14:textId="77777777" w:rsidR="00A40BCD" w:rsidRPr="00752FFF" w:rsidRDefault="00A40BCD" w:rsidP="00123A53">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447EFE">
            <w:rPr>
              <w:rStyle w:val="PageNumber"/>
              <w:caps w:val="0"/>
              <w:noProof/>
            </w:rPr>
            <w:t>iv</w:t>
          </w:r>
          <w:r w:rsidRPr="00752FFF">
            <w:rPr>
              <w:rStyle w:val="PageNumber"/>
              <w:caps w:val="0"/>
            </w:rPr>
            <w:fldChar w:fldCharType="end"/>
          </w:r>
        </w:p>
      </w:tc>
      <w:tc>
        <w:tcPr>
          <w:tcW w:w="7767" w:type="dxa"/>
        </w:tcPr>
        <w:p w14:paraId="04BCBAD9" w14:textId="77777777" w:rsidR="00A40BCD" w:rsidRDefault="002A1F06" w:rsidP="00A72FD6">
          <w:pPr>
            <w:pStyle w:val="Footer"/>
            <w:rPr>
              <w:rFonts w:cs="Arial"/>
            </w:rPr>
          </w:pPr>
          <w:r>
            <w:rPr>
              <w:rFonts w:cs="Arial"/>
            </w:rPr>
            <w:t>Telecommunications Universal Service Obligation</w:t>
          </w:r>
        </w:p>
        <w:p w14:paraId="6BF8DB9F" w14:textId="5758DC84" w:rsidR="008A7009" w:rsidRPr="0013739A" w:rsidRDefault="008A7009" w:rsidP="008A7009">
          <w:pPr>
            <w:pStyle w:val="FooterDraftReport"/>
          </w:pPr>
          <w:r>
            <w:t>Draft report</w:t>
          </w:r>
        </w:p>
      </w:tc>
      <w:tc>
        <w:tcPr>
          <w:tcW w:w="510" w:type="dxa"/>
        </w:tcPr>
        <w:p w14:paraId="6BF8DBA0" w14:textId="77777777" w:rsidR="00A40BCD" w:rsidRDefault="00A40BCD" w:rsidP="00123A53">
          <w:pPr>
            <w:pStyle w:val="Footer"/>
          </w:pPr>
        </w:p>
      </w:tc>
    </w:tr>
  </w:tbl>
  <w:p w14:paraId="6BF8DBA2" w14:textId="77777777" w:rsidR="00A40BCD" w:rsidRDefault="00A40BCD" w:rsidP="00123A53">
    <w:pPr>
      <w:pStyle w:val="FooterEnd"/>
    </w:pPr>
  </w:p>
  <w:p w14:paraId="6BF8DBA3" w14:textId="77777777" w:rsidR="00A40BCD" w:rsidRDefault="00A40BC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A7" w14:textId="77777777" w:rsidTr="00123A53">
      <w:trPr>
        <w:trHeight w:hRule="exact" w:val="567"/>
      </w:trPr>
      <w:tc>
        <w:tcPr>
          <w:tcW w:w="510" w:type="dxa"/>
        </w:tcPr>
        <w:p w14:paraId="6BF8DBA4" w14:textId="77777777" w:rsidR="00A40BCD" w:rsidRDefault="00A40BCD">
          <w:pPr>
            <w:pStyle w:val="Footer"/>
            <w:ind w:right="360" w:firstLine="360"/>
          </w:pPr>
        </w:p>
      </w:tc>
      <w:tc>
        <w:tcPr>
          <w:tcW w:w="7767" w:type="dxa"/>
        </w:tcPr>
        <w:p w14:paraId="38E4C668" w14:textId="77777777" w:rsidR="00A40BCD" w:rsidRDefault="008A7009" w:rsidP="00123A53">
          <w:pPr>
            <w:pStyle w:val="Footer"/>
            <w:jc w:val="right"/>
            <w:rPr>
              <w:bCs/>
              <w:noProof/>
              <w:lang w:val="en-US"/>
            </w:rPr>
          </w:pPr>
          <w:r w:rsidRPr="008A7009">
            <w:rPr>
              <w:bCs/>
              <w:noProof/>
              <w:lang w:val="en-US"/>
            </w:rPr>
            <w:t>Terms of reference</w:t>
          </w:r>
        </w:p>
        <w:p w14:paraId="6BF8DBA5" w14:textId="3B9C5F7E" w:rsidR="008A7009" w:rsidRPr="00752FFF" w:rsidRDefault="008A7009" w:rsidP="008A7009">
          <w:pPr>
            <w:pStyle w:val="FooterDraftReport"/>
            <w:jc w:val="right"/>
          </w:pPr>
          <w:r>
            <w:t>Draft report</w:t>
          </w:r>
        </w:p>
      </w:tc>
      <w:tc>
        <w:tcPr>
          <w:tcW w:w="510" w:type="dxa"/>
        </w:tcPr>
        <w:p w14:paraId="6BF8DBA6" w14:textId="77777777" w:rsidR="00A40BCD" w:rsidRPr="00A24443" w:rsidRDefault="00A40BC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34D77">
            <w:rPr>
              <w:rStyle w:val="PageNumber"/>
              <w:caps w:val="0"/>
              <w:noProof/>
            </w:rPr>
            <w:t>iii</w:t>
          </w:r>
          <w:r w:rsidRPr="00A24443">
            <w:rPr>
              <w:rStyle w:val="PageNumber"/>
              <w:caps w:val="0"/>
            </w:rPr>
            <w:fldChar w:fldCharType="end"/>
          </w:r>
        </w:p>
      </w:tc>
    </w:tr>
  </w:tbl>
  <w:p w14:paraId="6BF8DBA8" w14:textId="77777777" w:rsidR="00A40BCD" w:rsidRDefault="00A40BCD">
    <w:pPr>
      <w:pStyle w:val="FooterEnd"/>
    </w:pPr>
  </w:p>
  <w:p w14:paraId="6BF8DBA9" w14:textId="77777777" w:rsidR="00A40BCD" w:rsidRPr="00D01645" w:rsidRDefault="00A40BCD" w:rsidP="00123A5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52779303" w14:textId="77777777" w:rsidTr="00123A53">
      <w:trPr>
        <w:trHeight w:hRule="exact" w:val="567"/>
      </w:trPr>
      <w:tc>
        <w:tcPr>
          <w:tcW w:w="510" w:type="dxa"/>
        </w:tcPr>
        <w:p w14:paraId="4EF25C63" w14:textId="77777777" w:rsidR="00A40BCD" w:rsidRPr="007448F7" w:rsidRDefault="00A40BCD" w:rsidP="00123A53">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70C80">
            <w:rPr>
              <w:rStyle w:val="PageNumber"/>
              <w:caps w:val="0"/>
              <w:noProof/>
            </w:rPr>
            <w:t>iv</w:t>
          </w:r>
          <w:r w:rsidRPr="007448F7">
            <w:rPr>
              <w:rStyle w:val="PageNumber"/>
              <w:caps w:val="0"/>
            </w:rPr>
            <w:fldChar w:fldCharType="end"/>
          </w:r>
        </w:p>
      </w:tc>
      <w:tc>
        <w:tcPr>
          <w:tcW w:w="7767" w:type="dxa"/>
        </w:tcPr>
        <w:p w14:paraId="42CF264B" w14:textId="77777777" w:rsidR="00A40BCD" w:rsidRDefault="00A40BCD" w:rsidP="00271B0C">
          <w:pPr>
            <w:pStyle w:val="Footer"/>
            <w:rPr>
              <w:rFonts w:cs="Arial"/>
            </w:rPr>
          </w:pPr>
          <w:r>
            <w:rPr>
              <w:rFonts w:cs="Arial"/>
            </w:rPr>
            <w:t>Telecommunications Universal Obligation Services</w:t>
          </w:r>
        </w:p>
        <w:p w14:paraId="1FFCED68" w14:textId="77777777" w:rsidR="00A40BCD" w:rsidRPr="0013739A" w:rsidRDefault="00A40BCD" w:rsidP="00A40BCD">
          <w:pPr>
            <w:pStyle w:val="FooterDraftReport"/>
          </w:pPr>
          <w:r>
            <w:t>draft report</w:t>
          </w:r>
        </w:p>
      </w:tc>
      <w:tc>
        <w:tcPr>
          <w:tcW w:w="510" w:type="dxa"/>
        </w:tcPr>
        <w:p w14:paraId="452C604F" w14:textId="77777777" w:rsidR="00A40BCD" w:rsidRDefault="00A40BCD" w:rsidP="00123A53">
          <w:pPr>
            <w:pStyle w:val="Footer"/>
          </w:pPr>
        </w:p>
      </w:tc>
    </w:tr>
  </w:tbl>
  <w:p w14:paraId="504FAB89" w14:textId="77777777" w:rsidR="00A40BCD" w:rsidRDefault="00A40BCD" w:rsidP="00123A53">
    <w:pPr>
      <w:pStyle w:val="FooterEnd"/>
    </w:pPr>
  </w:p>
  <w:p w14:paraId="1B74919F" w14:textId="77777777" w:rsidR="00A40BCD" w:rsidRDefault="00A40BC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44542738" w14:textId="77777777" w:rsidTr="00123A53">
      <w:trPr>
        <w:trHeight w:hRule="exact" w:val="567"/>
      </w:trPr>
      <w:tc>
        <w:tcPr>
          <w:tcW w:w="510" w:type="dxa"/>
        </w:tcPr>
        <w:p w14:paraId="3BB9B842" w14:textId="77777777" w:rsidR="00A40BCD" w:rsidRDefault="00A40BCD">
          <w:pPr>
            <w:pStyle w:val="Footer"/>
            <w:ind w:right="360" w:firstLine="360"/>
          </w:pPr>
        </w:p>
      </w:tc>
      <w:tc>
        <w:tcPr>
          <w:tcW w:w="7767" w:type="dxa"/>
        </w:tcPr>
        <w:p w14:paraId="5FC2DE0B" w14:textId="41EC2FB3" w:rsidR="00A40BCD" w:rsidRDefault="00234D77" w:rsidP="00340511">
          <w:pPr>
            <w:pStyle w:val="Footer"/>
            <w:jc w:val="right"/>
            <w:rPr>
              <w:bCs/>
              <w:noProof/>
              <w:lang w:val="en-US"/>
            </w:rPr>
          </w:pPr>
          <w:r>
            <w:rPr>
              <w:bCs/>
              <w:noProof/>
              <w:lang w:val="en-US"/>
            </w:rPr>
            <w:t>contents</w:t>
          </w:r>
        </w:p>
        <w:p w14:paraId="5EDE8D6C" w14:textId="51CD484D" w:rsidR="00A40BCD" w:rsidRPr="00340511" w:rsidRDefault="00A40BCD" w:rsidP="00A40BCD">
          <w:pPr>
            <w:pStyle w:val="FooterDraftReport"/>
            <w:jc w:val="right"/>
          </w:pPr>
          <w:r>
            <w:t>draft report</w:t>
          </w:r>
        </w:p>
      </w:tc>
      <w:tc>
        <w:tcPr>
          <w:tcW w:w="510" w:type="dxa"/>
        </w:tcPr>
        <w:p w14:paraId="1AE45316" w14:textId="77777777" w:rsidR="00A40BCD" w:rsidRPr="00A24443" w:rsidRDefault="00A40BC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70C80">
            <w:rPr>
              <w:rStyle w:val="PageNumber"/>
              <w:caps w:val="0"/>
              <w:noProof/>
            </w:rPr>
            <w:t>v</w:t>
          </w:r>
          <w:r w:rsidRPr="00A24443">
            <w:rPr>
              <w:rStyle w:val="PageNumber"/>
              <w:caps w:val="0"/>
            </w:rPr>
            <w:fldChar w:fldCharType="end"/>
          </w:r>
        </w:p>
      </w:tc>
    </w:tr>
  </w:tbl>
  <w:p w14:paraId="6B7159F8" w14:textId="77777777" w:rsidR="00A40BCD" w:rsidRDefault="00A40BCD">
    <w:pPr>
      <w:pStyle w:val="FooterEnd"/>
    </w:pPr>
  </w:p>
  <w:p w14:paraId="76957BFF" w14:textId="77777777" w:rsidR="00A40BCD" w:rsidRDefault="00A40BCD"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8DB75" w14:textId="77777777" w:rsidR="00A40BCD" w:rsidRDefault="00A40BCD">
      <w:r>
        <w:separator/>
      </w:r>
    </w:p>
    <w:p w14:paraId="6BF8DB76" w14:textId="77777777" w:rsidR="00A40BCD" w:rsidRDefault="00A40BCD"/>
    <w:p w14:paraId="6BF8DB77" w14:textId="77777777" w:rsidR="00A40BCD" w:rsidRDefault="00A40BCD"/>
  </w:footnote>
  <w:footnote w:type="continuationSeparator" w:id="0">
    <w:p w14:paraId="6BF8DB78" w14:textId="77777777" w:rsidR="00A40BCD" w:rsidRDefault="00A40BCD">
      <w:r>
        <w:continuationSeparator/>
      </w:r>
    </w:p>
    <w:p w14:paraId="6BF8DB79" w14:textId="77777777" w:rsidR="00A40BCD" w:rsidRDefault="00A40BCD"/>
    <w:p w14:paraId="6BF8DB7A" w14:textId="77777777" w:rsidR="00A40BCD" w:rsidRDefault="00A40B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0BCD" w14:paraId="6BF8DB97" w14:textId="77777777">
      <w:tc>
        <w:tcPr>
          <w:tcW w:w="2155" w:type="dxa"/>
          <w:tcBorders>
            <w:top w:val="single" w:sz="24" w:space="0" w:color="auto"/>
          </w:tcBorders>
        </w:tcPr>
        <w:p w14:paraId="6BF8DB95" w14:textId="77777777" w:rsidR="00A40BCD" w:rsidRDefault="00A40BCD">
          <w:pPr>
            <w:pStyle w:val="Header"/>
          </w:pPr>
        </w:p>
      </w:tc>
      <w:tc>
        <w:tcPr>
          <w:tcW w:w="6634" w:type="dxa"/>
          <w:tcBorders>
            <w:top w:val="single" w:sz="6" w:space="0" w:color="auto"/>
          </w:tcBorders>
        </w:tcPr>
        <w:p w14:paraId="6BF8DB96" w14:textId="77777777" w:rsidR="00A40BCD" w:rsidRDefault="00A40BCD">
          <w:pPr>
            <w:pStyle w:val="Header"/>
          </w:pPr>
        </w:p>
      </w:tc>
    </w:tr>
  </w:tbl>
  <w:p w14:paraId="6BF8DB98" w14:textId="77777777" w:rsidR="00A40BCD" w:rsidRDefault="00A40BC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6BF8DB9B" w14:textId="77777777">
      <w:tc>
        <w:tcPr>
          <w:tcW w:w="6634" w:type="dxa"/>
          <w:tcBorders>
            <w:top w:val="single" w:sz="6" w:space="0" w:color="auto"/>
          </w:tcBorders>
        </w:tcPr>
        <w:p w14:paraId="6BF8DB99" w14:textId="77777777" w:rsidR="00A40BCD" w:rsidRDefault="00A40BCD" w:rsidP="00123A53">
          <w:pPr>
            <w:pStyle w:val="HeaderOdd"/>
          </w:pPr>
        </w:p>
      </w:tc>
      <w:tc>
        <w:tcPr>
          <w:tcW w:w="2155" w:type="dxa"/>
          <w:tcBorders>
            <w:top w:val="single" w:sz="24" w:space="0" w:color="auto"/>
          </w:tcBorders>
        </w:tcPr>
        <w:p w14:paraId="6BF8DB9A" w14:textId="77777777" w:rsidR="00A40BCD" w:rsidRDefault="00A40BCD" w:rsidP="00123A53">
          <w:pPr>
            <w:pStyle w:val="HeaderOdd"/>
          </w:pPr>
        </w:p>
      </w:tc>
    </w:tr>
  </w:tbl>
  <w:p w14:paraId="6BF8DB9C" w14:textId="77777777" w:rsidR="00A40BCD" w:rsidRDefault="00A40BCD" w:rsidP="00123A53">
    <w:pPr>
      <w:pStyle w:val="HeaderEnd"/>
    </w:pPr>
  </w:p>
  <w:p w14:paraId="6BF8DB9D" w14:textId="77777777" w:rsidR="00A40BCD" w:rsidRPr="00D01645" w:rsidRDefault="00A40BCD" w:rsidP="00123A5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40BCD" w14:paraId="4D04E20F" w14:textId="77777777" w:rsidTr="005C68FE">
      <w:tc>
        <w:tcPr>
          <w:tcW w:w="2155" w:type="dxa"/>
          <w:tcBorders>
            <w:top w:val="single" w:sz="24" w:space="0" w:color="auto"/>
          </w:tcBorders>
        </w:tcPr>
        <w:p w14:paraId="2D88C4DF" w14:textId="77777777" w:rsidR="00A40BCD" w:rsidRDefault="00A40BCD" w:rsidP="005C68FE">
          <w:pPr>
            <w:pStyle w:val="HeaderEven"/>
          </w:pPr>
        </w:p>
      </w:tc>
      <w:tc>
        <w:tcPr>
          <w:tcW w:w="6634" w:type="dxa"/>
          <w:tcBorders>
            <w:top w:val="single" w:sz="6" w:space="0" w:color="auto"/>
          </w:tcBorders>
        </w:tcPr>
        <w:p w14:paraId="72F57135" w14:textId="77777777" w:rsidR="00A40BCD" w:rsidRDefault="00A40BCD" w:rsidP="005C68FE">
          <w:pPr>
            <w:pStyle w:val="HeaderEven"/>
          </w:pPr>
        </w:p>
      </w:tc>
    </w:tr>
  </w:tbl>
  <w:p w14:paraId="4F613131" w14:textId="77777777" w:rsidR="00A40BCD" w:rsidRDefault="00A40BCD"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336F0AA4" w14:textId="77777777">
      <w:tc>
        <w:tcPr>
          <w:tcW w:w="6634" w:type="dxa"/>
          <w:tcBorders>
            <w:top w:val="single" w:sz="6" w:space="0" w:color="auto"/>
          </w:tcBorders>
        </w:tcPr>
        <w:p w14:paraId="4724BA8B" w14:textId="77777777" w:rsidR="00A40BCD" w:rsidRDefault="00A40BCD">
          <w:pPr>
            <w:pStyle w:val="HeaderOdd"/>
          </w:pPr>
        </w:p>
      </w:tc>
      <w:tc>
        <w:tcPr>
          <w:tcW w:w="2155" w:type="dxa"/>
          <w:tcBorders>
            <w:top w:val="single" w:sz="24" w:space="0" w:color="auto"/>
          </w:tcBorders>
        </w:tcPr>
        <w:p w14:paraId="671533BF" w14:textId="77777777" w:rsidR="00A40BCD" w:rsidRDefault="00A40BCD">
          <w:pPr>
            <w:pStyle w:val="HeaderOdd"/>
          </w:pPr>
        </w:p>
      </w:tc>
    </w:tr>
  </w:tbl>
  <w:p w14:paraId="45F810C4" w14:textId="77777777" w:rsidR="00A40BCD" w:rsidRDefault="00A40BCD"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A304BB"/>
    <w:multiLevelType w:val="multilevel"/>
    <w:tmpl w:val="4422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3D33D09"/>
    <w:multiLevelType w:val="multilevel"/>
    <w:tmpl w:val="9EB41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6"/>
  </w:num>
  <w:num w:numId="16">
    <w:abstractNumId w:val="18"/>
  </w:num>
  <w:num w:numId="17">
    <w:abstractNumId w:val="7"/>
  </w:num>
  <w:num w:numId="18">
    <w:abstractNumId w:val="22"/>
  </w:num>
  <w:num w:numId="19">
    <w:abstractNumId w:val="20"/>
  </w:num>
  <w:num w:numId="20">
    <w:abstractNumId w:val="27"/>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6"/>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7"/>
  </w:num>
  <w:num w:numId="48">
    <w:abstractNumId w:val="19"/>
  </w:num>
  <w:num w:numId="49">
    <w:abstractNumId w:val="2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DB"/>
    <w:rsid w:val="00017AFC"/>
    <w:rsid w:val="00025878"/>
    <w:rsid w:val="00026B38"/>
    <w:rsid w:val="000502D3"/>
    <w:rsid w:val="00052CB2"/>
    <w:rsid w:val="000623BF"/>
    <w:rsid w:val="000779EB"/>
    <w:rsid w:val="00095EEA"/>
    <w:rsid w:val="00097C15"/>
    <w:rsid w:val="000A0A0E"/>
    <w:rsid w:val="000A5E12"/>
    <w:rsid w:val="000B416E"/>
    <w:rsid w:val="000D029B"/>
    <w:rsid w:val="000F185F"/>
    <w:rsid w:val="000F2F5F"/>
    <w:rsid w:val="00106041"/>
    <w:rsid w:val="0010611E"/>
    <w:rsid w:val="00122FE9"/>
    <w:rsid w:val="00123A53"/>
    <w:rsid w:val="00131572"/>
    <w:rsid w:val="00131D4F"/>
    <w:rsid w:val="0013399B"/>
    <w:rsid w:val="00180515"/>
    <w:rsid w:val="00181F4B"/>
    <w:rsid w:val="00190919"/>
    <w:rsid w:val="00196FB3"/>
    <w:rsid w:val="001A5071"/>
    <w:rsid w:val="001B4E73"/>
    <w:rsid w:val="001B7F1E"/>
    <w:rsid w:val="001D4B1F"/>
    <w:rsid w:val="001D6629"/>
    <w:rsid w:val="001E3390"/>
    <w:rsid w:val="001F2270"/>
    <w:rsid w:val="001F3311"/>
    <w:rsid w:val="00203B40"/>
    <w:rsid w:val="00205A82"/>
    <w:rsid w:val="00211BEE"/>
    <w:rsid w:val="002179C6"/>
    <w:rsid w:val="00234D77"/>
    <w:rsid w:val="00261607"/>
    <w:rsid w:val="00263DD1"/>
    <w:rsid w:val="00264D3B"/>
    <w:rsid w:val="00265685"/>
    <w:rsid w:val="00271B0C"/>
    <w:rsid w:val="00281D5F"/>
    <w:rsid w:val="002923AD"/>
    <w:rsid w:val="00296592"/>
    <w:rsid w:val="002A0A4B"/>
    <w:rsid w:val="002A1F06"/>
    <w:rsid w:val="002A499E"/>
    <w:rsid w:val="002B636E"/>
    <w:rsid w:val="002B64D6"/>
    <w:rsid w:val="002C12F5"/>
    <w:rsid w:val="002D6FCE"/>
    <w:rsid w:val="00340511"/>
    <w:rsid w:val="00341002"/>
    <w:rsid w:val="00370C80"/>
    <w:rsid w:val="00382F91"/>
    <w:rsid w:val="0038647D"/>
    <w:rsid w:val="00393A49"/>
    <w:rsid w:val="003B41E0"/>
    <w:rsid w:val="003C3D73"/>
    <w:rsid w:val="003C51A3"/>
    <w:rsid w:val="003D624D"/>
    <w:rsid w:val="003E7802"/>
    <w:rsid w:val="0042007A"/>
    <w:rsid w:val="00433C81"/>
    <w:rsid w:val="00446D6B"/>
    <w:rsid w:val="00447EFE"/>
    <w:rsid w:val="004566DF"/>
    <w:rsid w:val="00457B3F"/>
    <w:rsid w:val="00463022"/>
    <w:rsid w:val="00481CF0"/>
    <w:rsid w:val="00490091"/>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37CBC"/>
    <w:rsid w:val="00641AE2"/>
    <w:rsid w:val="0064456A"/>
    <w:rsid w:val="00650DDA"/>
    <w:rsid w:val="0065126A"/>
    <w:rsid w:val="00653FA6"/>
    <w:rsid w:val="0067557D"/>
    <w:rsid w:val="006802D4"/>
    <w:rsid w:val="00683849"/>
    <w:rsid w:val="00691AB5"/>
    <w:rsid w:val="006D2F45"/>
    <w:rsid w:val="006E1E6B"/>
    <w:rsid w:val="006F0EAC"/>
    <w:rsid w:val="006F6A85"/>
    <w:rsid w:val="006F78B3"/>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332C"/>
    <w:rsid w:val="008273A9"/>
    <w:rsid w:val="00836ED7"/>
    <w:rsid w:val="0084355E"/>
    <w:rsid w:val="008453AC"/>
    <w:rsid w:val="00860D09"/>
    <w:rsid w:val="00862044"/>
    <w:rsid w:val="00880BF7"/>
    <w:rsid w:val="0089269F"/>
    <w:rsid w:val="008A2133"/>
    <w:rsid w:val="008A3857"/>
    <w:rsid w:val="008A7009"/>
    <w:rsid w:val="008B2205"/>
    <w:rsid w:val="008C08EF"/>
    <w:rsid w:val="008C305F"/>
    <w:rsid w:val="008C3AD2"/>
    <w:rsid w:val="008C6604"/>
    <w:rsid w:val="008C7C3D"/>
    <w:rsid w:val="008D6F66"/>
    <w:rsid w:val="008E1BEA"/>
    <w:rsid w:val="008E242D"/>
    <w:rsid w:val="008E33BF"/>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0BCD"/>
    <w:rsid w:val="00A46989"/>
    <w:rsid w:val="00A469AA"/>
    <w:rsid w:val="00A5241D"/>
    <w:rsid w:val="00A53132"/>
    <w:rsid w:val="00A71CE9"/>
    <w:rsid w:val="00A72A19"/>
    <w:rsid w:val="00A72FD6"/>
    <w:rsid w:val="00A75A30"/>
    <w:rsid w:val="00A93C82"/>
    <w:rsid w:val="00AB2A48"/>
    <w:rsid w:val="00AC3236"/>
    <w:rsid w:val="00AD4874"/>
    <w:rsid w:val="00AE1F8A"/>
    <w:rsid w:val="00B036B2"/>
    <w:rsid w:val="00B04D19"/>
    <w:rsid w:val="00B11B31"/>
    <w:rsid w:val="00B153C3"/>
    <w:rsid w:val="00B22087"/>
    <w:rsid w:val="00B34C5D"/>
    <w:rsid w:val="00B722F2"/>
    <w:rsid w:val="00B80355"/>
    <w:rsid w:val="00B90958"/>
    <w:rsid w:val="00B95339"/>
    <w:rsid w:val="00BA0B81"/>
    <w:rsid w:val="00BA311E"/>
    <w:rsid w:val="00BB04DB"/>
    <w:rsid w:val="00BB334E"/>
    <w:rsid w:val="00BB5DCF"/>
    <w:rsid w:val="00BC2476"/>
    <w:rsid w:val="00BD1673"/>
    <w:rsid w:val="00BF59EA"/>
    <w:rsid w:val="00BF79CD"/>
    <w:rsid w:val="00C058AB"/>
    <w:rsid w:val="00C0721B"/>
    <w:rsid w:val="00C34C8C"/>
    <w:rsid w:val="00C50792"/>
    <w:rsid w:val="00C51371"/>
    <w:rsid w:val="00C55A45"/>
    <w:rsid w:val="00C670DE"/>
    <w:rsid w:val="00C904D9"/>
    <w:rsid w:val="00C94C06"/>
    <w:rsid w:val="00CA0AD3"/>
    <w:rsid w:val="00CA48BF"/>
    <w:rsid w:val="00CB3ACC"/>
    <w:rsid w:val="00CB4745"/>
    <w:rsid w:val="00CD2163"/>
    <w:rsid w:val="00CD360D"/>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41288"/>
    <w:rsid w:val="00E6632E"/>
    <w:rsid w:val="00E90CF2"/>
    <w:rsid w:val="00E94148"/>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BF8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B04DB"/>
    <w:rPr>
      <w:kern w:val="28"/>
      <w:sz w:val="52"/>
      <w:lang w:eastAsia="en-US"/>
    </w:rPr>
  </w:style>
  <w:style w:type="character" w:customStyle="1" w:styleId="Heading3Char">
    <w:name w:val="Heading 3 Char"/>
    <w:basedOn w:val="DefaultParagraphFont"/>
    <w:link w:val="Heading3"/>
    <w:rsid w:val="00BB04DB"/>
    <w:rPr>
      <w:rFonts w:ascii="Arial" w:hAnsi="Arial"/>
      <w:b/>
      <w:sz w:val="26"/>
    </w:rPr>
  </w:style>
  <w:style w:type="paragraph" w:customStyle="1" w:styleId="gloss">
    <w:name w:val="gloss"/>
    <w:basedOn w:val="TableBodyText"/>
    <w:rsid w:val="00E41288"/>
  </w:style>
  <w:style w:type="character" w:customStyle="1" w:styleId="Heading2Char">
    <w:name w:val="Heading 2 Char"/>
    <w:basedOn w:val="DefaultParagraphFont"/>
    <w:link w:val="Heading2"/>
    <w:rsid w:val="00637CBC"/>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B04DB"/>
    <w:rPr>
      <w:kern w:val="28"/>
      <w:sz w:val="52"/>
      <w:lang w:eastAsia="en-US"/>
    </w:rPr>
  </w:style>
  <w:style w:type="character" w:customStyle="1" w:styleId="Heading3Char">
    <w:name w:val="Heading 3 Char"/>
    <w:basedOn w:val="DefaultParagraphFont"/>
    <w:link w:val="Heading3"/>
    <w:rsid w:val="00BB04DB"/>
    <w:rPr>
      <w:rFonts w:ascii="Arial" w:hAnsi="Arial"/>
      <w:b/>
      <w:sz w:val="26"/>
    </w:rPr>
  </w:style>
  <w:style w:type="paragraph" w:customStyle="1" w:styleId="gloss">
    <w:name w:val="gloss"/>
    <w:basedOn w:val="TableBodyText"/>
    <w:rsid w:val="00E41288"/>
  </w:style>
  <w:style w:type="character" w:customStyle="1" w:styleId="Heading2Char">
    <w:name w:val="Heading 2 Char"/>
    <w:basedOn w:val="DefaultParagraphFont"/>
    <w:link w:val="Heading2"/>
    <w:rsid w:val="00637CBC"/>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2016877173">
      <w:bodyDiv w:val="1"/>
      <w:marLeft w:val="0"/>
      <w:marRight w:val="0"/>
      <w:marTop w:val="0"/>
      <w:marBottom w:val="0"/>
      <w:divBdr>
        <w:top w:val="none" w:sz="0" w:space="0" w:color="auto"/>
        <w:left w:val="none" w:sz="0" w:space="0" w:color="auto"/>
        <w:bottom w:val="none" w:sz="0" w:space="0" w:color="auto"/>
        <w:right w:val="none" w:sz="0" w:space="0" w:color="auto"/>
      </w:divBdr>
      <w:divsChild>
        <w:div w:id="1070690982">
          <w:marLeft w:val="0"/>
          <w:marRight w:val="0"/>
          <w:marTop w:val="0"/>
          <w:marBottom w:val="0"/>
          <w:divBdr>
            <w:top w:val="none" w:sz="0" w:space="0" w:color="auto"/>
            <w:left w:val="none" w:sz="0" w:space="0" w:color="auto"/>
            <w:bottom w:val="none" w:sz="0" w:space="0" w:color="auto"/>
            <w:right w:val="none" w:sz="0" w:space="0" w:color="auto"/>
          </w:divBdr>
          <w:divsChild>
            <w:div w:id="749276403">
              <w:marLeft w:val="0"/>
              <w:marRight w:val="0"/>
              <w:marTop w:val="0"/>
              <w:marBottom w:val="0"/>
              <w:divBdr>
                <w:top w:val="none" w:sz="0" w:space="0" w:color="auto"/>
                <w:left w:val="none" w:sz="0" w:space="0" w:color="auto"/>
                <w:bottom w:val="none" w:sz="0" w:space="0" w:color="auto"/>
                <w:right w:val="none" w:sz="0" w:space="0" w:color="auto"/>
              </w:divBdr>
              <w:divsChild>
                <w:div w:id="1964997909">
                  <w:marLeft w:val="0"/>
                  <w:marRight w:val="0"/>
                  <w:marTop w:val="0"/>
                  <w:marBottom w:val="0"/>
                  <w:divBdr>
                    <w:top w:val="none" w:sz="0" w:space="0" w:color="auto"/>
                    <w:left w:val="none" w:sz="0" w:space="0" w:color="auto"/>
                    <w:bottom w:val="none" w:sz="0" w:space="0" w:color="auto"/>
                    <w:right w:val="none" w:sz="0" w:space="0" w:color="auto"/>
                  </w:divBdr>
                  <w:divsChild>
                    <w:div w:id="2051880206">
                      <w:marLeft w:val="0"/>
                      <w:marRight w:val="0"/>
                      <w:marTop w:val="0"/>
                      <w:marBottom w:val="0"/>
                      <w:divBdr>
                        <w:top w:val="none" w:sz="0" w:space="0" w:color="auto"/>
                        <w:left w:val="none" w:sz="0" w:space="0" w:color="auto"/>
                        <w:bottom w:val="none" w:sz="0" w:space="0" w:color="auto"/>
                        <w:right w:val="none" w:sz="0" w:space="0" w:color="auto"/>
                      </w:divBdr>
                      <w:divsChild>
                        <w:div w:id="1053581045">
                          <w:marLeft w:val="0"/>
                          <w:marRight w:val="0"/>
                          <w:marTop w:val="0"/>
                          <w:marBottom w:val="0"/>
                          <w:divBdr>
                            <w:top w:val="none" w:sz="0" w:space="0" w:color="auto"/>
                            <w:left w:val="none" w:sz="0" w:space="0" w:color="auto"/>
                            <w:bottom w:val="none" w:sz="0" w:space="0" w:color="auto"/>
                            <w:right w:val="none" w:sz="0" w:space="0" w:color="auto"/>
                          </w:divBdr>
                          <w:divsChild>
                            <w:div w:id="18956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hyperlink" Target="http://www.pc.gov.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3.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E6383BE-20D7-46A8-913C-DC2F7CF51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507</Words>
  <Characters>3275</Characters>
  <Application>Microsoft Office Word</Application>
  <DocSecurity>0</DocSecurity>
  <Lines>60</Lines>
  <Paragraphs>23</Paragraphs>
  <ScaleCrop>false</ScaleCrop>
  <HeadingPairs>
    <vt:vector size="2" baseType="variant">
      <vt:variant>
        <vt:lpstr>Title</vt:lpstr>
      </vt:variant>
      <vt:variant>
        <vt:i4>1</vt:i4>
      </vt:variant>
    </vt:vector>
  </HeadingPairs>
  <TitlesOfParts>
    <vt:vector size="1" baseType="lpstr">
      <vt:lpstr>Telecommunications Universal Service Obligation — Draft Report Overview Preliminaries</vt:lpstr>
    </vt:vector>
  </TitlesOfParts>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Telecommunications Universal Service Obligation — Draft Report Overview Preliminaries</dc:title>
  <dc:creator/>
  <cp:lastModifiedBy/>
  <cp:revision>1</cp:revision>
  <dcterms:created xsi:type="dcterms:W3CDTF">2016-12-05T01:23:00Z</dcterms:created>
  <dcterms:modified xsi:type="dcterms:W3CDTF">2016-12-05T01:33:00Z</dcterms:modified>
</cp:coreProperties>
</file>