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36B97" w:rsidP="00E36B97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262853" w:rsidRPr="007E1DF7" w:rsidRDefault="00262853" w:rsidP="00D27F4B">
      <w:pPr>
        <w:pStyle w:val="Reference"/>
      </w:pPr>
      <w:bookmarkStart w:id="2" w:name="begin"/>
      <w:bookmarkEnd w:id="2"/>
      <w:r w:rsidRPr="007E1DF7">
        <w:t xml:space="preserve">ACCC (Australian Competition and Consumer Commission) 2008, </w:t>
      </w:r>
      <w:r w:rsidRPr="007E1DF7">
        <w:rPr>
          <w:i/>
          <w:iCs/>
        </w:rPr>
        <w:t>Report of the ACCC Inquiry into the Competitiveness of Retail Prices for Standard Groceries</w:t>
      </w:r>
      <w:r w:rsidRPr="007E1DF7">
        <w:t>, Canberra.</w:t>
      </w:r>
    </w:p>
    <w:p w:rsidR="00262853" w:rsidRDefault="00262853" w:rsidP="00D27F4B">
      <w:pPr>
        <w:pStyle w:val="Reference"/>
      </w:pPr>
      <w:r w:rsidRPr="007E1DF7">
        <w:t>Anti</w:t>
      </w:r>
      <w:r w:rsidR="00FA0EF2">
        <w:noBreakHyphen/>
      </w:r>
      <w:r w:rsidRPr="007E1DF7">
        <w:t xml:space="preserve">Dumping Commission </w:t>
      </w:r>
      <w:proofErr w:type="spellStart"/>
      <w:r w:rsidRPr="007E1DF7">
        <w:t>2013</w:t>
      </w:r>
      <w:r w:rsidR="00A37D41">
        <w:t>a</w:t>
      </w:r>
      <w:proofErr w:type="spellEnd"/>
      <w:r w:rsidRPr="007E1DF7">
        <w:t xml:space="preserve">, </w:t>
      </w:r>
      <w:r w:rsidRPr="007E1DF7">
        <w:rPr>
          <w:i/>
          <w:iCs/>
        </w:rPr>
        <w:t>Application for a Dumping Duty Notice: Prepared or Preserved Tomatoes Exported from Italy</w:t>
      </w:r>
      <w:r w:rsidRPr="007E1DF7">
        <w:t>, Consideration Report no.</w:t>
      </w:r>
      <w:r w:rsidR="00E41715">
        <w:t> </w:t>
      </w:r>
      <w:r w:rsidRPr="007E1DF7">
        <w:t>217, Melbourne.</w:t>
      </w:r>
    </w:p>
    <w:p w:rsidR="00A37D41" w:rsidRPr="007E1DF7" w:rsidRDefault="00A37D41" w:rsidP="00D27F4B">
      <w:pPr>
        <w:pStyle w:val="Reference"/>
      </w:pPr>
      <w:r>
        <w:t xml:space="preserve">—— </w:t>
      </w:r>
      <w:proofErr w:type="spellStart"/>
      <w:r>
        <w:t>2013b</w:t>
      </w:r>
      <w:proofErr w:type="spellEnd"/>
      <w:r>
        <w:t xml:space="preserve">, </w:t>
      </w:r>
      <w:r w:rsidRPr="00A37D41">
        <w:rPr>
          <w:i/>
        </w:rPr>
        <w:t>Preliminary Affirmative Determination: Prepared or Preserved Tomatoes Exported from Italy</w:t>
      </w:r>
      <w:r>
        <w:t>, Report no. 217, Canberra.</w:t>
      </w:r>
    </w:p>
    <w:p w:rsidR="00262853" w:rsidRPr="007E1DF7" w:rsidRDefault="00262853" w:rsidP="00D27F4B">
      <w:pPr>
        <w:pStyle w:val="Reference"/>
      </w:pPr>
      <w:r w:rsidRPr="007E1DF7">
        <w:t xml:space="preserve">Australian Customs Service </w:t>
      </w:r>
      <w:proofErr w:type="spellStart"/>
      <w:r w:rsidRPr="007E1DF7">
        <w:t>2003a</w:t>
      </w:r>
      <w:proofErr w:type="spellEnd"/>
      <w:r w:rsidRPr="007E1DF7">
        <w:t xml:space="preserve">, </w:t>
      </w:r>
      <w:r w:rsidRPr="007E1DF7">
        <w:rPr>
          <w:i/>
          <w:iCs/>
        </w:rPr>
        <w:t>Canned Tomatoes from Italy</w:t>
      </w:r>
      <w:r w:rsidRPr="007E1DF7">
        <w:t>, Statement of Essential Facts no.</w:t>
      </w:r>
      <w:r w:rsidR="00E41715">
        <w:t> </w:t>
      </w:r>
      <w:r w:rsidRPr="007E1DF7">
        <w:t>66, Canberra.</w:t>
      </w:r>
    </w:p>
    <w:p w:rsidR="00262853" w:rsidRDefault="00262853" w:rsidP="00D27F4B">
      <w:pPr>
        <w:pStyle w:val="Reference"/>
      </w:pPr>
      <w:r w:rsidRPr="007E1DF7">
        <w:t xml:space="preserve">—— </w:t>
      </w:r>
      <w:proofErr w:type="spellStart"/>
      <w:r w:rsidRPr="007E1DF7">
        <w:t>2003b</w:t>
      </w:r>
      <w:proofErr w:type="spellEnd"/>
      <w:r w:rsidRPr="007E1DF7">
        <w:t xml:space="preserve">, </w:t>
      </w:r>
      <w:r w:rsidRPr="007E1DF7">
        <w:rPr>
          <w:i/>
          <w:iCs/>
        </w:rPr>
        <w:t xml:space="preserve">Section </w:t>
      </w:r>
      <w:proofErr w:type="spellStart"/>
      <w:r w:rsidRPr="007E1DF7">
        <w:rPr>
          <w:i/>
          <w:iCs/>
        </w:rPr>
        <w:t>269TAG</w:t>
      </w:r>
      <w:proofErr w:type="spellEnd"/>
      <w:r w:rsidRPr="007E1DF7">
        <w:rPr>
          <w:i/>
          <w:iCs/>
        </w:rPr>
        <w:t xml:space="preserve"> Investigation: Canned Tomatoes from Italy</w:t>
      </w:r>
      <w:r w:rsidRPr="007E1DF7">
        <w:t>, Termination Report, Trade Measures Branch Report no. 66, Canberra.</w:t>
      </w:r>
    </w:p>
    <w:p w:rsidR="00262853" w:rsidRDefault="00262853" w:rsidP="00D27F4B">
      <w:pPr>
        <w:pStyle w:val="Reference"/>
      </w:pPr>
      <w:r w:rsidRPr="007E1DF7">
        <w:t>Coca</w:t>
      </w:r>
      <w:r w:rsidR="00FA0EF2">
        <w:noBreakHyphen/>
      </w:r>
      <w:r w:rsidRPr="007E1DF7">
        <w:t xml:space="preserve">Cola </w:t>
      </w:r>
      <w:proofErr w:type="spellStart"/>
      <w:r w:rsidRPr="007E1DF7">
        <w:t>Amatil</w:t>
      </w:r>
      <w:proofErr w:type="spellEnd"/>
      <w:r w:rsidRPr="007E1DF7">
        <w:t xml:space="preserve"> 2007, </w:t>
      </w:r>
      <w:proofErr w:type="spellStart"/>
      <w:r w:rsidRPr="007E1DF7">
        <w:rPr>
          <w:i/>
          <w:iCs/>
        </w:rPr>
        <w:t>CCA</w:t>
      </w:r>
      <w:proofErr w:type="spellEnd"/>
      <w:r w:rsidRPr="007E1DF7">
        <w:rPr>
          <w:i/>
          <w:iCs/>
        </w:rPr>
        <w:t xml:space="preserve"> Annual Report 2006</w:t>
      </w:r>
      <w:r w:rsidRPr="007E1DF7">
        <w:t>, Sydney.</w:t>
      </w:r>
    </w:p>
    <w:p w:rsidR="00C51931" w:rsidRDefault="00C51931" w:rsidP="00D27F4B">
      <w:pPr>
        <w:pStyle w:val="Reference"/>
      </w:pPr>
      <w:r>
        <w:t xml:space="preserve">Essential Economics 2013, </w:t>
      </w:r>
      <w:r w:rsidRPr="00C51931">
        <w:rPr>
          <w:i/>
        </w:rPr>
        <w:t>Economic Impact of the Potential Withdrawal of SPC Ardmona from the Greater Shepparton Region</w:t>
      </w:r>
      <w:r>
        <w:t>, report prepared for Greater Shepparton City Council, Melbourne.</w:t>
      </w:r>
    </w:p>
    <w:p w:rsidR="00262853" w:rsidRDefault="00262853" w:rsidP="00D27F4B">
      <w:pPr>
        <w:pStyle w:val="Reference"/>
      </w:pPr>
      <w:r w:rsidRPr="007E1DF7">
        <w:t xml:space="preserve">Klug, D. and </w:t>
      </w:r>
      <w:proofErr w:type="spellStart"/>
      <w:r w:rsidRPr="007E1DF7">
        <w:t>Queck</w:t>
      </w:r>
      <w:proofErr w:type="spellEnd"/>
      <w:r w:rsidRPr="007E1DF7">
        <w:t xml:space="preserve">, M. 2013, </w:t>
      </w:r>
      <w:r w:rsidRPr="007E1DF7">
        <w:rPr>
          <w:i/>
          <w:iCs/>
        </w:rPr>
        <w:t>Private Label, 2013: The Global Grocery Trends to Watch</w:t>
      </w:r>
      <w:r w:rsidRPr="007E1DF7">
        <w:t>, Planet Retail, London.</w:t>
      </w:r>
    </w:p>
    <w:p w:rsidR="00C51931" w:rsidRPr="007E1DF7" w:rsidRDefault="00C51931" w:rsidP="00D27F4B">
      <w:pPr>
        <w:pStyle w:val="Reference"/>
      </w:pPr>
      <w:r>
        <w:t xml:space="preserve">PC (Productivity Commission) 2008, </w:t>
      </w:r>
      <w:r w:rsidRPr="00C51931">
        <w:rPr>
          <w:i/>
        </w:rPr>
        <w:t>Safeguards Inquiry into the Import of Pigmeat</w:t>
      </w:r>
      <w:r>
        <w:t>, Report no. 44, Canberra.</w:t>
      </w:r>
    </w:p>
    <w:p w:rsidR="00262853" w:rsidRPr="007E1DF7" w:rsidRDefault="00262853" w:rsidP="00D27F4B">
      <w:pPr>
        <w:pStyle w:val="Reference"/>
      </w:pPr>
      <w:r w:rsidRPr="007E1DF7">
        <w:t xml:space="preserve">Pritchard, B. and Burch, D. 2003, </w:t>
      </w:r>
      <w:proofErr w:type="spellStart"/>
      <w:r w:rsidRPr="007E1DF7">
        <w:rPr>
          <w:i/>
          <w:iCs/>
        </w:rPr>
        <w:t>Agri</w:t>
      </w:r>
      <w:proofErr w:type="spellEnd"/>
      <w:r w:rsidR="00FA0EF2">
        <w:rPr>
          <w:i/>
          <w:iCs/>
        </w:rPr>
        <w:noBreakHyphen/>
      </w:r>
      <w:r w:rsidRPr="007E1DF7">
        <w:rPr>
          <w:i/>
          <w:iCs/>
        </w:rPr>
        <w:t>food Globalization in Perspective: International Restructuring in the Processing Tomato Industry</w:t>
      </w:r>
      <w:r w:rsidRPr="007E1DF7">
        <w:t xml:space="preserve">, </w:t>
      </w:r>
      <w:proofErr w:type="spellStart"/>
      <w:r w:rsidRPr="007E1DF7">
        <w:t>Ashgate</w:t>
      </w:r>
      <w:proofErr w:type="spellEnd"/>
      <w:r w:rsidRPr="007E1DF7">
        <w:t>, Aldershot, U</w:t>
      </w:r>
      <w:r w:rsidR="00D87660">
        <w:t>nited Kingdom</w:t>
      </w:r>
      <w:r w:rsidRPr="007E1DF7">
        <w:t>.</w:t>
      </w:r>
    </w:p>
    <w:p w:rsidR="00262853" w:rsidRDefault="00262853" w:rsidP="00D27F4B">
      <w:pPr>
        <w:pStyle w:val="Reference"/>
      </w:pPr>
      <w:r w:rsidRPr="007E1DF7">
        <w:t xml:space="preserve">RBA (Reserve Bank of Australia) 2013, </w:t>
      </w:r>
      <w:r w:rsidRPr="007E1DF7">
        <w:rPr>
          <w:i/>
          <w:iCs/>
        </w:rPr>
        <w:t>Exchange Rate Data</w:t>
      </w:r>
      <w:r w:rsidRPr="007E1DF7">
        <w:t xml:space="preserve">, </w:t>
      </w:r>
      <w:proofErr w:type="spellStart"/>
      <w:r w:rsidRPr="007E1DF7">
        <w:t>www.rba.gov.au</w:t>
      </w:r>
      <w:proofErr w:type="spellEnd"/>
      <w:r w:rsidRPr="007E1DF7">
        <w:t>/statistics/</w:t>
      </w:r>
      <w:proofErr w:type="spellStart"/>
      <w:r w:rsidRPr="007E1DF7">
        <w:t>hist</w:t>
      </w:r>
      <w:proofErr w:type="spellEnd"/>
      <w:r w:rsidR="00FA0EF2">
        <w:noBreakHyphen/>
      </w:r>
      <w:r w:rsidRPr="007E1DF7">
        <w:t>exchange</w:t>
      </w:r>
      <w:r w:rsidR="00FA0EF2">
        <w:noBreakHyphen/>
      </w:r>
      <w:r w:rsidRPr="007E1DF7">
        <w:t xml:space="preserve">rates/index.html (accessed </w:t>
      </w:r>
      <w:r w:rsidR="000A02FA">
        <w:t>18 October</w:t>
      </w:r>
      <w:r w:rsidRPr="007E1DF7">
        <w:t xml:space="preserve"> 2013).</w:t>
      </w:r>
    </w:p>
    <w:p w:rsidR="00262853" w:rsidRDefault="00262853" w:rsidP="00D27F4B">
      <w:pPr>
        <w:pStyle w:val="Reference"/>
      </w:pPr>
      <w:r w:rsidRPr="007E1DF7">
        <w:t xml:space="preserve">SPC Ardmona 2003, </w:t>
      </w:r>
      <w:r w:rsidRPr="007E1DF7">
        <w:rPr>
          <w:i/>
          <w:iCs/>
        </w:rPr>
        <w:t>Annual Report 2002</w:t>
      </w:r>
      <w:r w:rsidRPr="007E1DF7">
        <w:t>, Melbourne.</w:t>
      </w:r>
    </w:p>
    <w:p w:rsidR="00262853" w:rsidRDefault="00262853" w:rsidP="00D27F4B">
      <w:pPr>
        <w:pStyle w:val="Reference"/>
      </w:pPr>
      <w:r w:rsidRPr="007E1DF7">
        <w:t>Sykes, A.</w:t>
      </w:r>
      <w:r w:rsidR="00D87660">
        <w:t>O. 2003, ‘The safeguards mess: a</w:t>
      </w:r>
      <w:r w:rsidRPr="007E1DF7">
        <w:t xml:space="preserve"> critique of WTO jurisprudence’, </w:t>
      </w:r>
      <w:r w:rsidRPr="007E1DF7">
        <w:rPr>
          <w:i/>
          <w:iCs/>
        </w:rPr>
        <w:t>World Trade Review</w:t>
      </w:r>
      <w:r w:rsidR="00D87660">
        <w:t>, vol. 2, no. 3, pp. 261–</w:t>
      </w:r>
      <w:r w:rsidRPr="007E1DF7">
        <w:t>95.</w:t>
      </w:r>
    </w:p>
    <w:p w:rsidR="00262853" w:rsidRPr="007E1DF7" w:rsidRDefault="00262853" w:rsidP="00D27F4B">
      <w:pPr>
        <w:pStyle w:val="Reference"/>
      </w:pPr>
      <w:proofErr w:type="spellStart"/>
      <w:r w:rsidRPr="007E1DF7">
        <w:lastRenderedPageBreak/>
        <w:t>WPTC</w:t>
      </w:r>
      <w:proofErr w:type="spellEnd"/>
      <w:r w:rsidRPr="007E1DF7">
        <w:t xml:space="preserve"> (World Processing Tomato Council) 2013, </w:t>
      </w:r>
      <w:proofErr w:type="spellStart"/>
      <w:r w:rsidRPr="007E1DF7">
        <w:rPr>
          <w:i/>
          <w:iCs/>
        </w:rPr>
        <w:t>WPTC</w:t>
      </w:r>
      <w:proofErr w:type="spellEnd"/>
      <w:r w:rsidRPr="007E1DF7">
        <w:rPr>
          <w:i/>
          <w:iCs/>
        </w:rPr>
        <w:t xml:space="preserve"> World Production Estimate for Tomatoes for Processing (in 1000 metric tonnes)</w:t>
      </w:r>
      <w:r w:rsidRPr="007E1DF7">
        <w:t xml:space="preserve">, </w:t>
      </w:r>
      <w:proofErr w:type="spellStart"/>
      <w:r w:rsidRPr="007E1DF7">
        <w:t>www.wptc.to</w:t>
      </w:r>
      <w:proofErr w:type="spellEnd"/>
      <w:r w:rsidRPr="007E1DF7">
        <w:t>/releases</w:t>
      </w:r>
      <w:r w:rsidR="00FA0EF2">
        <w:noBreakHyphen/>
      </w:r>
      <w:proofErr w:type="spellStart"/>
      <w:r w:rsidRPr="007E1DF7">
        <w:t>wptc.php</w:t>
      </w:r>
      <w:proofErr w:type="spellEnd"/>
      <w:r w:rsidRPr="007E1DF7">
        <w:t xml:space="preserve"> (accessed 12</w:t>
      </w:r>
      <w:r w:rsidR="00FA0EF2">
        <w:t> </w:t>
      </w:r>
      <w:r w:rsidRPr="007E1DF7">
        <w:t>July 2013).</w:t>
      </w:r>
    </w:p>
    <w:p w:rsidR="00D27F4B" w:rsidRPr="00971D0E" w:rsidRDefault="00262853" w:rsidP="00D27F4B">
      <w:pPr>
        <w:pStyle w:val="Reference"/>
      </w:pPr>
      <w:r w:rsidRPr="007E1DF7">
        <w:t xml:space="preserve">WTO (World Trade Organization) 2012, </w:t>
      </w:r>
      <w:r w:rsidRPr="007E1DF7">
        <w:rPr>
          <w:i/>
          <w:iCs/>
        </w:rPr>
        <w:t>Systemic Concerns With Certain Safeguard Proceedings</w:t>
      </w:r>
      <w:r w:rsidRPr="007E1DF7">
        <w:t xml:space="preserve">, Communication to the Committee on </w:t>
      </w:r>
      <w:r>
        <w:t>Safeguards, G/SG/W/226, Geneva.</w:t>
      </w:r>
    </w:p>
    <w:sectPr w:rsidR="00D27F4B" w:rsidRPr="00971D0E" w:rsidSect="00CC0DB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7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97" w:rsidRDefault="00E36B97">
      <w:r>
        <w:separator/>
      </w:r>
    </w:p>
  </w:endnote>
  <w:endnote w:type="continuationSeparator" w:id="0">
    <w:p w:rsidR="00E36B97" w:rsidRDefault="00E3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30AC7">
            <w:rPr>
              <w:rStyle w:val="PageNumber"/>
              <w:noProof/>
            </w:rPr>
            <w:t>78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CC0DB3" w:rsidP="0019293B">
          <w:pPr>
            <w:pStyle w:val="Footer"/>
          </w:pPr>
          <w:r>
            <w:t>Processed Tomato Safeguards</w:t>
          </w:r>
          <w:r w:rsidR="00126680">
            <w:fldChar w:fldCharType="begin"/>
          </w:r>
          <w:r w:rsidR="00126680">
            <w:instrText xml:space="preserve"> SUBJECT  \* MERGEFORMAT </w:instrText>
          </w:r>
          <w:r w:rsidR="00126680">
            <w:fldChar w:fldCharType="end"/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876DE5">
          <w:pPr>
            <w:pStyle w:val="Footer"/>
          </w:pPr>
          <w:r>
            <w:t>References</w:t>
          </w:r>
          <w:r w:rsidR="00126680">
            <w:fldChar w:fldCharType="begin"/>
          </w:r>
          <w:r w:rsidR="00126680">
            <w:instrText xml:space="preserve"> TITLE  \* MERGEFORMAT </w:instrText>
          </w:r>
          <w:r w:rsidR="00126680"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30AC7">
            <w:rPr>
              <w:rStyle w:val="PageNumber"/>
              <w:noProof/>
            </w:rPr>
            <w:t>77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97" w:rsidRDefault="00E36B97">
      <w:r>
        <w:separator/>
      </w:r>
    </w:p>
  </w:footnote>
  <w:footnote w:type="continuationSeparator" w:id="0">
    <w:p w:rsidR="00E36B97" w:rsidRDefault="00E36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omatoes provisional safeguards"/>
  </w:docVars>
  <w:rsids>
    <w:rsidRoot w:val="00E36B97"/>
    <w:rsid w:val="000227D5"/>
    <w:rsid w:val="000245AA"/>
    <w:rsid w:val="0003664B"/>
    <w:rsid w:val="0004111F"/>
    <w:rsid w:val="000565B3"/>
    <w:rsid w:val="0007150B"/>
    <w:rsid w:val="00092641"/>
    <w:rsid w:val="000938F5"/>
    <w:rsid w:val="00096E55"/>
    <w:rsid w:val="000A02FA"/>
    <w:rsid w:val="000B601B"/>
    <w:rsid w:val="000C207E"/>
    <w:rsid w:val="000F0035"/>
    <w:rsid w:val="000F420B"/>
    <w:rsid w:val="00110116"/>
    <w:rsid w:val="00120072"/>
    <w:rsid w:val="00126680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24B33"/>
    <w:rsid w:val="002400F1"/>
    <w:rsid w:val="00242279"/>
    <w:rsid w:val="00245C82"/>
    <w:rsid w:val="00262853"/>
    <w:rsid w:val="00291B40"/>
    <w:rsid w:val="002B4008"/>
    <w:rsid w:val="002C6FDD"/>
    <w:rsid w:val="002D0E8E"/>
    <w:rsid w:val="00301189"/>
    <w:rsid w:val="00310DD7"/>
    <w:rsid w:val="00323E09"/>
    <w:rsid w:val="00333932"/>
    <w:rsid w:val="003518AA"/>
    <w:rsid w:val="00352165"/>
    <w:rsid w:val="00353182"/>
    <w:rsid w:val="00353B79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3F2AF7"/>
    <w:rsid w:val="00401882"/>
    <w:rsid w:val="004100C8"/>
    <w:rsid w:val="00411DBD"/>
    <w:rsid w:val="00412ACE"/>
    <w:rsid w:val="00431249"/>
    <w:rsid w:val="00434C19"/>
    <w:rsid w:val="00450810"/>
    <w:rsid w:val="00455919"/>
    <w:rsid w:val="00477144"/>
    <w:rsid w:val="00491380"/>
    <w:rsid w:val="0049459F"/>
    <w:rsid w:val="004A38DD"/>
    <w:rsid w:val="004B01E1"/>
    <w:rsid w:val="004B43AE"/>
    <w:rsid w:val="004C30ED"/>
    <w:rsid w:val="004D5675"/>
    <w:rsid w:val="004E351B"/>
    <w:rsid w:val="004F318C"/>
    <w:rsid w:val="0050777D"/>
    <w:rsid w:val="0051242C"/>
    <w:rsid w:val="00523639"/>
    <w:rsid w:val="00531FE5"/>
    <w:rsid w:val="005402FA"/>
    <w:rsid w:val="00550722"/>
    <w:rsid w:val="00583C39"/>
    <w:rsid w:val="00584C5F"/>
    <w:rsid w:val="00587F28"/>
    <w:rsid w:val="005909CF"/>
    <w:rsid w:val="00591E71"/>
    <w:rsid w:val="005A0D41"/>
    <w:rsid w:val="005E17F9"/>
    <w:rsid w:val="006057A9"/>
    <w:rsid w:val="00607BF1"/>
    <w:rsid w:val="00630D4D"/>
    <w:rsid w:val="00632A74"/>
    <w:rsid w:val="0069787F"/>
    <w:rsid w:val="006A4655"/>
    <w:rsid w:val="006A7514"/>
    <w:rsid w:val="006B2B3C"/>
    <w:rsid w:val="006C1D81"/>
    <w:rsid w:val="006C7038"/>
    <w:rsid w:val="006E73EF"/>
    <w:rsid w:val="00714D4D"/>
    <w:rsid w:val="00746A0C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07775"/>
    <w:rsid w:val="0081030F"/>
    <w:rsid w:val="008163DE"/>
    <w:rsid w:val="0082087D"/>
    <w:rsid w:val="00835771"/>
    <w:rsid w:val="00842933"/>
    <w:rsid w:val="0086082C"/>
    <w:rsid w:val="00864ADC"/>
    <w:rsid w:val="00876DE5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0AC7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DB0"/>
    <w:rsid w:val="00971D0E"/>
    <w:rsid w:val="00990C2C"/>
    <w:rsid w:val="009E1844"/>
    <w:rsid w:val="009F0D1B"/>
    <w:rsid w:val="009F696D"/>
    <w:rsid w:val="009F6BC6"/>
    <w:rsid w:val="009F6CC2"/>
    <w:rsid w:val="00A17328"/>
    <w:rsid w:val="00A23A20"/>
    <w:rsid w:val="00A268B9"/>
    <w:rsid w:val="00A2703A"/>
    <w:rsid w:val="00A33DFF"/>
    <w:rsid w:val="00A35115"/>
    <w:rsid w:val="00A36D9A"/>
    <w:rsid w:val="00A37D41"/>
    <w:rsid w:val="00A554AB"/>
    <w:rsid w:val="00A57062"/>
    <w:rsid w:val="00A7383F"/>
    <w:rsid w:val="00A81C5B"/>
    <w:rsid w:val="00A92B53"/>
    <w:rsid w:val="00A94FA6"/>
    <w:rsid w:val="00AA49A0"/>
    <w:rsid w:val="00AA6710"/>
    <w:rsid w:val="00AB0681"/>
    <w:rsid w:val="00AD20D5"/>
    <w:rsid w:val="00AD520B"/>
    <w:rsid w:val="00B17CEE"/>
    <w:rsid w:val="00B425C3"/>
    <w:rsid w:val="00B440AD"/>
    <w:rsid w:val="00B479BB"/>
    <w:rsid w:val="00B53E7E"/>
    <w:rsid w:val="00B6342E"/>
    <w:rsid w:val="00B7113F"/>
    <w:rsid w:val="00B96D2F"/>
    <w:rsid w:val="00BA73B6"/>
    <w:rsid w:val="00BA7E27"/>
    <w:rsid w:val="00BB2603"/>
    <w:rsid w:val="00BB4FCD"/>
    <w:rsid w:val="00BC04E9"/>
    <w:rsid w:val="00BC052A"/>
    <w:rsid w:val="00BD13EA"/>
    <w:rsid w:val="00BE3808"/>
    <w:rsid w:val="00C062E9"/>
    <w:rsid w:val="00C07B64"/>
    <w:rsid w:val="00C13721"/>
    <w:rsid w:val="00C14FE4"/>
    <w:rsid w:val="00C3066D"/>
    <w:rsid w:val="00C51931"/>
    <w:rsid w:val="00C52416"/>
    <w:rsid w:val="00C543F4"/>
    <w:rsid w:val="00C6291C"/>
    <w:rsid w:val="00C633CB"/>
    <w:rsid w:val="00C6555B"/>
    <w:rsid w:val="00C736B7"/>
    <w:rsid w:val="00C81D4A"/>
    <w:rsid w:val="00C84917"/>
    <w:rsid w:val="00C8762C"/>
    <w:rsid w:val="00CA00F9"/>
    <w:rsid w:val="00CA2961"/>
    <w:rsid w:val="00CB50D7"/>
    <w:rsid w:val="00CB7177"/>
    <w:rsid w:val="00CC0DB3"/>
    <w:rsid w:val="00CC1998"/>
    <w:rsid w:val="00CC4946"/>
    <w:rsid w:val="00D270A4"/>
    <w:rsid w:val="00D27F4B"/>
    <w:rsid w:val="00D31FE9"/>
    <w:rsid w:val="00D34E1B"/>
    <w:rsid w:val="00D376BA"/>
    <w:rsid w:val="00D45634"/>
    <w:rsid w:val="00D53240"/>
    <w:rsid w:val="00D5568A"/>
    <w:rsid w:val="00D63D73"/>
    <w:rsid w:val="00D64452"/>
    <w:rsid w:val="00D66E1E"/>
    <w:rsid w:val="00D75722"/>
    <w:rsid w:val="00D80CF5"/>
    <w:rsid w:val="00D87660"/>
    <w:rsid w:val="00DA5BBA"/>
    <w:rsid w:val="00DB26D2"/>
    <w:rsid w:val="00DB67C9"/>
    <w:rsid w:val="00DC0C95"/>
    <w:rsid w:val="00DD116E"/>
    <w:rsid w:val="00DD6580"/>
    <w:rsid w:val="00E17C72"/>
    <w:rsid w:val="00E21FC6"/>
    <w:rsid w:val="00E36B97"/>
    <w:rsid w:val="00E41715"/>
    <w:rsid w:val="00E431A9"/>
    <w:rsid w:val="00E553FA"/>
    <w:rsid w:val="00E669E2"/>
    <w:rsid w:val="00E76135"/>
    <w:rsid w:val="00E82F4F"/>
    <w:rsid w:val="00EC2844"/>
    <w:rsid w:val="00EC5500"/>
    <w:rsid w:val="00ED18F8"/>
    <w:rsid w:val="00ED21C3"/>
    <w:rsid w:val="00EF6C6C"/>
    <w:rsid w:val="00F056FC"/>
    <w:rsid w:val="00F10476"/>
    <w:rsid w:val="00F135D8"/>
    <w:rsid w:val="00F31299"/>
    <w:rsid w:val="00F3534A"/>
    <w:rsid w:val="00F51609"/>
    <w:rsid w:val="00F60631"/>
    <w:rsid w:val="00F81006"/>
    <w:rsid w:val="00F82F5D"/>
    <w:rsid w:val="00F85325"/>
    <w:rsid w:val="00FA0EF2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rsid w:val="00E36B97"/>
    <w:rPr>
      <w:sz w:val="26"/>
    </w:rPr>
  </w:style>
  <w:style w:type="paragraph" w:styleId="Bibliography">
    <w:name w:val="Bibliography"/>
    <w:basedOn w:val="Normal"/>
    <w:next w:val="Normal"/>
    <w:uiPriority w:val="37"/>
    <w:unhideWhenUsed/>
    <w:rsid w:val="00E36B97"/>
    <w:pPr>
      <w:spacing w:after="240"/>
      <w:ind w:left="720" w:hanging="720"/>
    </w:pPr>
  </w:style>
  <w:style w:type="character" w:styleId="Hyperlink">
    <w:name w:val="Hyperlink"/>
    <w:basedOn w:val="DefaultParagraphFont"/>
    <w:rsid w:val="00310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rsid w:val="00E36B97"/>
    <w:rPr>
      <w:sz w:val="26"/>
    </w:rPr>
  </w:style>
  <w:style w:type="paragraph" w:styleId="Bibliography">
    <w:name w:val="Bibliography"/>
    <w:basedOn w:val="Normal"/>
    <w:next w:val="Normal"/>
    <w:uiPriority w:val="37"/>
    <w:unhideWhenUsed/>
    <w:rsid w:val="00E36B97"/>
    <w:pPr>
      <w:spacing w:after="240"/>
      <w:ind w:left="720" w:hanging="720"/>
    </w:pPr>
  </w:style>
  <w:style w:type="character" w:styleId="Hyperlink">
    <w:name w:val="Hyperlink"/>
    <w:basedOn w:val="DefaultParagraphFont"/>
    <w:rsid w:val="00310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45B4F-90A8-4AEF-90EC-955AEC7A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1728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Productivity Commission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Productivity Commission</dc:creator>
  <cp:lastModifiedBy>Productivity Commission</cp:lastModifiedBy>
  <cp:revision>2</cp:revision>
  <dcterms:created xsi:type="dcterms:W3CDTF">2013-12-16T03:55:00Z</dcterms:created>
  <dcterms:modified xsi:type="dcterms:W3CDTF">2013-12-16T03:55:00Z</dcterms:modified>
</cp:coreProperties>
</file>