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094" w:rsidRPr="002D283F" w:rsidRDefault="00F64094" w:rsidP="002D283F">
      <w:pPr>
        <w:pStyle w:val="HeadingB"/>
        <w:ind w:left="0" w:firstLine="0"/>
        <w:rPr>
          <w:sz w:val="40"/>
          <w:szCs w:val="40"/>
        </w:rPr>
      </w:pPr>
      <w:r w:rsidRPr="002D283F">
        <w:rPr>
          <w:sz w:val="40"/>
          <w:szCs w:val="40"/>
        </w:rPr>
        <w:t>Safeguards inquiry into imports of Processed Tomato Products</w:t>
      </w:r>
    </w:p>
    <w:p w:rsidR="00F64094" w:rsidRPr="002D283F" w:rsidRDefault="00F64094" w:rsidP="00F64094">
      <w:pPr>
        <w:pStyle w:val="HeadingB"/>
        <w:rPr>
          <w:sz w:val="32"/>
          <w:szCs w:val="32"/>
        </w:rPr>
      </w:pPr>
      <w:r w:rsidRPr="002D283F">
        <w:rPr>
          <w:sz w:val="32"/>
          <w:szCs w:val="32"/>
        </w:rPr>
        <w:t>Submission by Senator Bridget McKenzie, July 2013</w:t>
      </w:r>
      <w:bookmarkStart w:id="0" w:name="_GoBack"/>
      <w:bookmarkEnd w:id="0"/>
    </w:p>
    <w:p w:rsidR="00F64094" w:rsidRDefault="00F64094">
      <w:pPr>
        <w:pStyle w:val="HeadingB"/>
      </w:pPr>
      <w:r>
        <w:t>Executive Summary</w:t>
      </w:r>
    </w:p>
    <w:p w:rsidR="00F64094" w:rsidRDefault="00F64094" w:rsidP="00F64094">
      <w:pPr>
        <w:pStyle w:val="BodyText"/>
        <w:ind w:left="567" w:hanging="567"/>
      </w:pPr>
      <w:r>
        <w:t>•</w:t>
      </w:r>
      <w:r>
        <w:tab/>
        <w:t xml:space="preserve">Australia’s tomato growers who supply the SPC Ardmona cannery are facing financial ruin. Thirty years ago, 400 tomato growers supplied seven canneries. Today, seven growers supply a single cannery.  </w:t>
      </w:r>
    </w:p>
    <w:p w:rsidR="00F64094" w:rsidRDefault="00F64094" w:rsidP="00F64094">
      <w:pPr>
        <w:pStyle w:val="BodyText"/>
        <w:ind w:left="567" w:hanging="567"/>
      </w:pPr>
      <w:r>
        <w:t>•</w:t>
      </w:r>
      <w:r>
        <w:tab/>
        <w:t xml:space="preserve">Australia’s canned tomato industry is threatened by a sudden and sustained surge in low cost imports, particularly over the past year. In the year to 2011-12, the quantity of canned tomato imports rose by 48 per cent. Italian processed tomatoes now outsell their Australian competition by a ratio of four cans to one.  </w:t>
      </w:r>
    </w:p>
    <w:p w:rsidR="00F64094" w:rsidRDefault="00F64094" w:rsidP="00F64094">
      <w:pPr>
        <w:pStyle w:val="BodyText"/>
        <w:ind w:left="567" w:hanging="567"/>
      </w:pPr>
      <w:r>
        <w:t>•</w:t>
      </w:r>
      <w:r>
        <w:tab/>
        <w:t>The European Union has protected its processed tomato industry with subsidies since 1978. From 1992 until 2002, Australia fought the dumping of cheap Italian tomatoes by charging the importers duties.  But in 2002, an importer legally challenged the federal government over the measures and won.</w:t>
      </w:r>
    </w:p>
    <w:p w:rsidR="00F64094" w:rsidRDefault="00F64094" w:rsidP="00F64094">
      <w:pPr>
        <w:pStyle w:val="BodyText"/>
        <w:ind w:left="567" w:hanging="567"/>
      </w:pPr>
      <w:r>
        <w:t>•</w:t>
      </w:r>
      <w:r>
        <w:tab/>
        <w:t>There is a significant link between a strong and sustainable food industry and employment opportunities in rural and regional areas. Employment in the agricultural sector in the Greater Shepparton and Upper Goulburn Valley areas totals over 7,200 jobs (2011 Census), representing around 10.8% of overall employment across these regions</w:t>
      </w:r>
    </w:p>
    <w:p w:rsidR="00F64094" w:rsidRDefault="00F64094" w:rsidP="00F64094">
      <w:pPr>
        <w:pStyle w:val="BodyText"/>
        <w:ind w:left="567" w:hanging="567"/>
      </w:pPr>
      <w:r>
        <w:t>•</w:t>
      </w:r>
      <w:r>
        <w:tab/>
        <w:t xml:space="preserve">With a localisation of industry in the Goulburn Valley the importation of low cost goods is proportionally higher amongst the factories, businesses, farmers and workers supplying industry in that region. </w:t>
      </w:r>
    </w:p>
    <w:p w:rsidR="00F64094" w:rsidRDefault="00F64094" w:rsidP="00F64094">
      <w:pPr>
        <w:pStyle w:val="BodyText"/>
        <w:ind w:left="567" w:hanging="567"/>
      </w:pPr>
      <w:r>
        <w:t>•</w:t>
      </w:r>
      <w:r>
        <w:tab/>
        <w:t xml:space="preserve">A crucial aspect of Australia’s membership of the World Trade Organisation is recognition that within that framework and following formal investigation, the safeguard mechanism can be applied following to prevent or remedy serious injury. </w:t>
      </w:r>
    </w:p>
    <w:p w:rsidR="00F64094" w:rsidRPr="00F64094" w:rsidRDefault="00F8353E" w:rsidP="00F64094">
      <w:pPr>
        <w:pStyle w:val="BodyText"/>
        <w:ind w:left="567" w:hanging="567"/>
      </w:pPr>
      <w:r w:rsidRPr="00F8353E">
        <w:t>•</w:t>
      </w:r>
      <w:r w:rsidRPr="00F8353E">
        <w:tab/>
        <w:t>To address the negative effect of the flow of cheap imports Australia needs to pursue safeguards as a matter of urgency.</w:t>
      </w:r>
    </w:p>
    <w:p w:rsidR="00F64094" w:rsidRDefault="00F64094">
      <w:pPr>
        <w:spacing w:before="0"/>
        <w:ind w:left="0" w:firstLine="0"/>
        <w:jc w:val="left"/>
        <w:rPr>
          <w:b/>
          <w:color w:val="002776"/>
          <w:sz w:val="28"/>
          <w:szCs w:val="26"/>
        </w:rPr>
      </w:pPr>
      <w:r>
        <w:br w:type="page"/>
      </w:r>
    </w:p>
    <w:p w:rsidR="004D0BCD" w:rsidRDefault="00A4700D">
      <w:pPr>
        <w:pStyle w:val="HeadingB"/>
      </w:pPr>
      <w:r>
        <w:lastRenderedPageBreak/>
        <w:t>Introduction</w:t>
      </w:r>
    </w:p>
    <w:p w:rsidR="004D0BCD" w:rsidRDefault="00A4700D">
      <w:pPr>
        <w:pStyle w:val="BodyText"/>
      </w:pPr>
      <w:r>
        <w:t>Australia is the world’s 6</w:t>
      </w:r>
      <w:r>
        <w:rPr>
          <w:vertAlign w:val="superscript"/>
        </w:rPr>
        <w:t>th</w:t>
      </w:r>
      <w:r>
        <w:t xml:space="preserve"> largest agricultural exporter and enjoys a first-rate reputation as a ‘good citizen’ in terms of adherence to the WTO rules governing global agricultural trade.  Our agricultural industry receives minimal assistance from the Australian taxpayer, unlike many other countries.  Indeed, assistance to the entire Australian agricultural sector in 2011</w:t>
      </w:r>
      <w:r w:rsidR="00091BD4">
        <w:t>/</w:t>
      </w:r>
      <w:r>
        <w:t>12 was less than the level of assistance provided by the European Union to its tomato and fruit growers and canned processing industry.</w:t>
      </w:r>
    </w:p>
    <w:p w:rsidR="004D0BCD" w:rsidRDefault="00A4700D">
      <w:pPr>
        <w:pStyle w:val="BodyText"/>
      </w:pPr>
      <w:r>
        <w:t>The long-run economic viability of Australia’s agricultural sector is critical to the health of Australia’s regions.  Economically healthy regions provide for the benefits of demographic diversity and dispersion, underpin our national food security objectives, and generate necessary export income.  For all these reasons, our agricultural industry should remain a national priority.</w:t>
      </w:r>
    </w:p>
    <w:p w:rsidR="004D0BCD" w:rsidRDefault="00A4700D">
      <w:pPr>
        <w:pStyle w:val="BodyText"/>
      </w:pPr>
      <w:r>
        <w:t xml:space="preserve">Australia’s canned tomato industry is currently confronting an existential threat from a sudden and sustained surge in low-cost imports, particularly over the past year.  In turn, Australia’s tomato growers who supply the SPC Ardmona cannery are facing financial ruin.  While Australia’s agribusinesses and food manufacturers have long faced healthy competition from abroad unaided by large taxpayer subsidies, the rapid market penetration of subsidised Italian canned tomatoes is threatening the immediate and longer term financial sustainability of the industry and the tomato growers that supply the SPC Ardmona cannery in Shepparton, Victoria. </w:t>
      </w:r>
    </w:p>
    <w:p w:rsidR="004D0BCD" w:rsidRDefault="00A4700D">
      <w:pPr>
        <w:pStyle w:val="BodyText"/>
      </w:pPr>
      <w:r>
        <w:t>As a World Trade Organization (WTO) Member, Australia has made binding commitments in relation to the trade of goods and services.  A crucial aspect of the WTO framework is the safeguard mechanism, which can be applied, following formal investigation, to prevent or remedy ‘serious injury’ to an import-competing industry resulting from unforeseen import surges in relevant markets.  As recently reinforced by the Chairman of the Productivity Commission (see Hansard, Senate Legislation Economics Committee, 6 June, p. 79), there is a legitimate role for member countries to utilise the safeguard mechanism where justified. Indeed, the temporary measures offer a means to actively pursue liberalised global trade with some recourse to address exceptional market circumstances.</w:t>
      </w:r>
    </w:p>
    <w:p w:rsidR="004D0BCD" w:rsidRDefault="00A4700D">
      <w:pPr>
        <w:pStyle w:val="BodyText"/>
      </w:pPr>
      <w:r>
        <w:t>The current market environment clearly warrants a detailed assessment and we welcome the Productivity Commission’s investigation into this important matter.</w:t>
      </w:r>
    </w:p>
    <w:p w:rsidR="004D0BCD" w:rsidRDefault="00A4700D">
      <w:pPr>
        <w:pStyle w:val="BodyText"/>
      </w:pPr>
      <w:r>
        <w:t>The focus of this submission is to highlight the acute financial challenges being faced by the processed tomato industry given the dramatic influx of low-cost imports which have flooded the Australian market.  We discuss these challenges, and their attendant issues, in areas being examined by the inquiry and where specific information is being sought by the Commission.</w:t>
      </w:r>
    </w:p>
    <w:p w:rsidR="004D0BCD" w:rsidRDefault="00A4700D">
      <w:pPr>
        <w:pStyle w:val="HeadingB"/>
      </w:pPr>
      <w:r>
        <w:t>Industry context</w:t>
      </w:r>
    </w:p>
    <w:p w:rsidR="004D0BCD" w:rsidRDefault="00A4700D">
      <w:pPr>
        <w:pStyle w:val="BodyText"/>
        <w:rPr>
          <w:i/>
        </w:rPr>
      </w:pPr>
      <w:r>
        <w:rPr>
          <w:i/>
        </w:rPr>
        <w:t>A brief history of canning in Australia</w:t>
      </w:r>
    </w:p>
    <w:p w:rsidR="004D0BCD" w:rsidRDefault="00A4700D">
      <w:pPr>
        <w:pStyle w:val="BodyText"/>
      </w:pPr>
      <w:r>
        <w:t>The food canning process was invented in the 1790s in Europe and by the 1840s a small canning factory had opened in Sydney.  By 1869, manufacturers in Queensland were exporting over one million kilograms of canned meat each year.  In Victoria, around Shepparton, SPC produced 430,000 cans of fruit in 1917 and in 1925 Ardmona's first year of canning produced nearly 3 million cans of fruit.  Edgell &amp; Sons first began canning asparagus in 1926 at Bathurst and Heinz &amp; Company began producing baked beans in tomato sauce at Richmond, Victoria in 1935.</w:t>
      </w:r>
    </w:p>
    <w:p w:rsidR="004D0BCD" w:rsidRDefault="00A4700D">
      <w:pPr>
        <w:pStyle w:val="BodyText"/>
      </w:pPr>
      <w:r>
        <w:lastRenderedPageBreak/>
        <w:t>During World War II the Australian canned food industry expanded rapidly and new products, such as cauliflower, brussel sprouts and whole tomatoes were canned.  By the 1980s dozens of canning companies operated throughout Australia and produced over 1,000 different types of canned foods for the Australian market and for export (</w:t>
      </w:r>
      <w:hyperlink r:id="rId9" w:history="1">
        <w:r>
          <w:rPr>
            <w:rStyle w:val="Hyperlink"/>
          </w:rPr>
          <w:t>www.cannedfood.org</w:t>
        </w:r>
      </w:hyperlink>
      <w:r>
        <w:t xml:space="preserve">). </w:t>
      </w:r>
    </w:p>
    <w:p w:rsidR="004D0BCD" w:rsidRDefault="00A4700D">
      <w:pPr>
        <w:pStyle w:val="BodyText"/>
      </w:pPr>
      <w:r>
        <w:t xml:space="preserve">However, in recent years there have been a number of cannery closures.  In 2011, SPC Ardmona closed one of its factories in the Goulburn Valley that produced mainly canned tomatoes and tomato paste.  And Heinz closed its tomato processing factory at nearby Girgarre in 2012, shifting operations to New Zealand. </w:t>
      </w:r>
    </w:p>
    <w:p w:rsidR="004D0BCD" w:rsidRDefault="00A4700D">
      <w:pPr>
        <w:pStyle w:val="BodyText"/>
        <w:rPr>
          <w:i/>
        </w:rPr>
      </w:pPr>
      <w:r>
        <w:rPr>
          <w:i/>
        </w:rPr>
        <w:t xml:space="preserve">Current State of Play </w:t>
      </w:r>
    </w:p>
    <w:p w:rsidR="004D0BCD" w:rsidRDefault="00A4700D">
      <w:pPr>
        <w:pStyle w:val="BodyText"/>
      </w:pPr>
      <w:r>
        <w:t xml:space="preserve">The Australian canned tomato industry has been under pressure from lower-priced foreign imports for a number of years, but the situation has become acute in the past 12 months.  </w:t>
      </w:r>
      <w:r>
        <w:rPr>
          <w:lang w:val="en-GB"/>
        </w:rPr>
        <w:t xml:space="preserve">Thirty years ago, 400 tomato growers supplied seven canneries.  Today, seven growers supply a single cannery.  In the year to 2011-12, the quantity of canned tomato imports rose by 48 per cent. </w:t>
      </w:r>
    </w:p>
    <w:p w:rsidR="004D0BCD" w:rsidRDefault="00A4700D">
      <w:pPr>
        <w:pStyle w:val="BodyText"/>
      </w:pPr>
      <w:r>
        <w:rPr>
          <w:lang w:val="en-GB"/>
        </w:rPr>
        <w:t xml:space="preserve">Italian processed tomatoes now outsell their Australian competition by a ratio of four cans to one.  A 400gm tin of Italian canned tomatoes often sells for between 80-99 cents at the major supermarkets, undercutting SPC Ardmona by 40-60 cents.  </w:t>
      </w:r>
      <w:r>
        <w:t xml:space="preserve">As a result, the industry is now at a tipping point where further falls in production volumes will, by definition, destroy any remaining economies of scale and accelerate the demise of the industry.  </w:t>
      </w:r>
    </w:p>
    <w:p w:rsidR="004D0BCD" w:rsidRDefault="00A4700D">
      <w:pPr>
        <w:pStyle w:val="BodyText"/>
      </w:pPr>
      <w:r>
        <w:t xml:space="preserve">While we acknowledge the economy-wide benefits of lower prices for consumers, a key issue is: </w:t>
      </w:r>
      <w:r>
        <w:rPr>
          <w:i/>
        </w:rPr>
        <w:t>are the Italian producers playing by the rules and, hence, are their prices sustainable?</w:t>
      </w:r>
      <w:r>
        <w:t xml:space="preserve">  In this regard, we note that the European Commission will review subsidies to European agricultural production next year with an objective to increase efficiency in the industry.  There would be no economy-wide welfare gain if the local industry were to shut down only to see the price of imports rise because of further subsidy reform in Europe. </w:t>
      </w:r>
    </w:p>
    <w:p w:rsidR="004D0BCD" w:rsidRDefault="00A4700D">
      <w:pPr>
        <w:pStyle w:val="BodyText"/>
      </w:pPr>
      <w:r>
        <w:t xml:space="preserve">Because the local industry is highly concentrated in the Goulburn Valley, the consequences for the regional economy are particularly dire should current market circumstances persist.  The range of suppliers and other dependent businesses is considerable.  Moreover there is a significant link between a strong and sustainable food industry and employment opportunities in rural and regional areas.  The local economic and social repercussions if the factory shuts down are likely to be considerable and should be a key consideration of the Commission’s inquiry. </w:t>
      </w:r>
    </w:p>
    <w:p w:rsidR="004D0BCD" w:rsidRDefault="00A4700D">
      <w:pPr>
        <w:pStyle w:val="BodyText"/>
        <w:rPr>
          <w:i/>
        </w:rPr>
      </w:pPr>
      <w:r>
        <w:rPr>
          <w:i/>
        </w:rPr>
        <w:t>The international picture</w:t>
      </w:r>
    </w:p>
    <w:p w:rsidR="004D0BCD" w:rsidRDefault="00A4700D">
      <w:pPr>
        <w:pStyle w:val="BodyText"/>
        <w:rPr>
          <w:lang w:val="en-GB"/>
        </w:rPr>
      </w:pPr>
      <w:r>
        <w:rPr>
          <w:lang w:val="en-GB"/>
        </w:rPr>
        <w:t xml:space="preserve">Three countries (Italy, the United States and Spain) account for more than 90 per cent of world exports of canned tomato products.  Italy in particular has benefited from substantial industry protection in the form of direct subsidies to producers, cheap (and sometimes illegal) labour from North Africa and Eastern Europe and lower industry standards and regulatory burden.  </w:t>
      </w:r>
    </w:p>
    <w:p w:rsidR="004D0BCD" w:rsidRDefault="00A4700D">
      <w:pPr>
        <w:pStyle w:val="BodyText"/>
        <w:rPr>
          <w:lang w:val="en-GB"/>
        </w:rPr>
      </w:pPr>
      <w:r>
        <w:rPr>
          <w:lang w:val="en-GB"/>
        </w:rPr>
        <w:t xml:space="preserve">Over the past 6 years, the locally produced share of the market has declined from almost 80 per cent to less than 40 per cent (Chart 1).  Over the same time period, imports of canned tomatoes from Italy have doubled as a share of total imports from 44 per cent in 2007 to 88 per cent in 2012.  </w:t>
      </w:r>
    </w:p>
    <w:p w:rsidR="004D0BCD" w:rsidRDefault="00A4700D">
      <w:pPr>
        <w:pStyle w:val="BodyText"/>
        <w:jc w:val="left"/>
        <w:rPr>
          <w:lang w:val="en-GB"/>
        </w:rPr>
      </w:pPr>
      <w:r>
        <w:rPr>
          <w:b/>
          <w:color w:val="1F497D"/>
        </w:rPr>
        <w:lastRenderedPageBreak/>
        <w:t>Chart 1: Local market share of canned tomatoes (% of total)</w:t>
      </w:r>
      <w:r>
        <w:rPr>
          <w:noProof/>
          <w:lang w:eastAsia="en-AU"/>
        </w:rPr>
        <w:drawing>
          <wp:inline distT="0" distB="0" distL="0" distR="0" wp14:anchorId="5340D879" wp14:editId="79BD8028">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D0BCD" w:rsidRDefault="00A4700D">
      <w:pPr>
        <w:pStyle w:val="BodyText"/>
        <w:spacing w:before="0"/>
        <w:rPr>
          <w:sz w:val="16"/>
        </w:rPr>
      </w:pPr>
      <w:r>
        <w:rPr>
          <w:sz w:val="16"/>
        </w:rPr>
        <w:t>Source: ABS, trade data at the Standard International Trade Classification (SITC) level 5.</w:t>
      </w:r>
    </w:p>
    <w:p w:rsidR="004D0BCD" w:rsidRDefault="00A4700D">
      <w:pPr>
        <w:pStyle w:val="BodyText"/>
        <w:rPr>
          <w:lang w:val="en-GB"/>
        </w:rPr>
      </w:pPr>
      <w:r>
        <w:rPr>
          <w:lang w:val="en-GB"/>
        </w:rPr>
        <w:t>Despite ongoing reform to its Common Agricultural Policy (CAP), the European Union continues to subsidise tomato growers and processors with an array of border measures and direct domestic production and income subsidies.  This policy severely distorts global trade patterns for processed tomato products to the detriment of Australian tomato growers and processors.</w:t>
      </w:r>
    </w:p>
    <w:p w:rsidR="004D0BCD" w:rsidRDefault="00A4700D">
      <w:pPr>
        <w:pStyle w:val="BodyText"/>
        <w:rPr>
          <w:lang w:val="en-GB"/>
        </w:rPr>
      </w:pPr>
      <w:r>
        <w:rPr>
          <w:lang w:val="en-GB"/>
        </w:rPr>
        <w:t xml:space="preserve">The figure below demonstrates that while the delivery mechanism for industry support in Europe has changed, the fact is that industry subsidies remain and are harming Australian producers.  In order to accord with WTO rules, industry support in the EU has changed from direct subsidies to products to direct subsidies (income support) to producers.  This is the green bar in the chart below.  </w:t>
      </w:r>
    </w:p>
    <w:p w:rsidR="004D0BCD" w:rsidRDefault="00A4700D">
      <w:pPr>
        <w:pStyle w:val="BodyText"/>
        <w:jc w:val="left"/>
        <w:rPr>
          <w:lang w:val="en-GB"/>
        </w:rPr>
      </w:pPr>
      <w:r>
        <w:rPr>
          <w:b/>
          <w:color w:val="1F497D"/>
          <w:lang w:val="en-GB"/>
        </w:rPr>
        <w:t>Chart 1:</w:t>
      </w:r>
      <w:r>
        <w:rPr>
          <w:b/>
          <w:color w:val="1F497D"/>
          <w:lang w:val="en-GB"/>
        </w:rPr>
        <w:tab/>
        <w:t>Evolution of EU agricultural assistance, 1980-2009</w:t>
      </w:r>
      <w:r>
        <w:rPr>
          <w:noProof/>
          <w:lang w:eastAsia="en-AU"/>
        </w:rPr>
        <w:drawing>
          <wp:inline distT="0" distB="0" distL="0" distR="0" wp14:anchorId="7424CC7E" wp14:editId="42C5F6EF">
            <wp:extent cx="5400040" cy="228290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2282902"/>
                    </a:xfrm>
                    <a:prstGeom prst="rect">
                      <a:avLst/>
                    </a:prstGeom>
                  </pic:spPr>
                </pic:pic>
              </a:graphicData>
            </a:graphic>
          </wp:inline>
        </w:drawing>
      </w:r>
    </w:p>
    <w:p w:rsidR="004D0BCD" w:rsidRDefault="00A4700D">
      <w:pPr>
        <w:pStyle w:val="BodyText"/>
        <w:rPr>
          <w:lang w:val="en-GB"/>
        </w:rPr>
      </w:pPr>
      <w:r>
        <w:rPr>
          <w:lang w:val="en-GB"/>
        </w:rPr>
        <w:t xml:space="preserve">The European Union has protected its processed tomato industry with subsidies since 1978. While annual payments to farmers and canneries have peaked, they remain substantial and globally distorting.  From 1992 until 2002, Australia fought the dumping of cheap Italian tomatoes by charging the importers duties.  But in 2002, an importer legally challenged the federal government over the measures and won. </w:t>
      </w:r>
    </w:p>
    <w:p w:rsidR="004D0BCD" w:rsidRDefault="00A4700D">
      <w:pPr>
        <w:pStyle w:val="BodyText"/>
      </w:pPr>
      <w:r>
        <w:rPr>
          <w:lang w:val="en-GB"/>
        </w:rPr>
        <w:lastRenderedPageBreak/>
        <w:t xml:space="preserve">The Australian Customs Service has previously found that both the production aid system and the export refund system in the European Union fall within the definition of a specific subsidy under section 269TAAC of the Customs Act and Articles 2 and 3 of the World Trade Organization Agreement on Subsidies and Countervailing Measures (ACS, </w:t>
      </w:r>
      <w:r>
        <w:rPr>
          <w:i/>
          <w:lang w:val="en-GB"/>
        </w:rPr>
        <w:t>Canned Tomatoes from Italy, Statement of Essential Fact No.66</w:t>
      </w:r>
      <w:r>
        <w:rPr>
          <w:lang w:val="en-GB"/>
        </w:rPr>
        <w:t xml:space="preserve">, p.10).   </w:t>
      </w:r>
    </w:p>
    <w:p w:rsidR="004D0BCD" w:rsidRDefault="00A4700D">
      <w:pPr>
        <w:pStyle w:val="BodyText"/>
        <w:rPr>
          <w:i/>
          <w:lang w:val="en-GB"/>
        </w:rPr>
      </w:pPr>
      <w:r>
        <w:rPr>
          <w:i/>
          <w:lang w:val="en-GB"/>
        </w:rPr>
        <w:t>The Australian Dollar</w:t>
      </w:r>
    </w:p>
    <w:p w:rsidR="004D0BCD" w:rsidRDefault="00A4700D">
      <w:pPr>
        <w:pStyle w:val="BodyText"/>
      </w:pPr>
      <w:r>
        <w:t xml:space="preserve">The strength of the Australian dollar has further exacerbated the competitive disadvantages of the local industry.  While there is no doubt that a floating exchange rate has served Australia well in terms of delivering macroeconomic stability, it is widely considered that the Australian dollar is currently over-valued as it has de-linked from the decline in our terms of trade (that is, our commodity prices have fallen but our dollar has not fallen by as much).  This means, that our exchange rate is probably higher in the short-term than what it should be, hurting our exporters – and, potentially killing off our processed tomato industry before the exchange rate declines to a level that would reflect the fall in our export prices.  </w:t>
      </w:r>
    </w:p>
    <w:p w:rsidR="004D0BCD" w:rsidRDefault="00A4700D">
      <w:pPr>
        <w:pStyle w:val="HeadingB"/>
      </w:pPr>
      <w:r>
        <w:t>Issues being examined by the inquiry</w:t>
      </w:r>
    </w:p>
    <w:p w:rsidR="004D0BCD" w:rsidRDefault="00A4700D">
      <w:pPr>
        <w:pStyle w:val="BodyText"/>
      </w:pPr>
      <w:r>
        <w:t>The Productivity Commission is looking at three key issues as part of its inquiry:</w:t>
      </w:r>
    </w:p>
    <w:p w:rsidR="004D0BCD" w:rsidRDefault="00A4700D">
      <w:pPr>
        <w:pStyle w:val="BodyText"/>
        <w:numPr>
          <w:ilvl w:val="0"/>
          <w:numId w:val="26"/>
        </w:numPr>
      </w:pPr>
      <w:r>
        <w:t>whether safeguard measures are justified under the WTO Agreement</w:t>
      </w:r>
    </w:p>
    <w:p w:rsidR="004D0BCD" w:rsidRDefault="00A4700D">
      <w:pPr>
        <w:pStyle w:val="BodyText"/>
        <w:numPr>
          <w:ilvl w:val="0"/>
          <w:numId w:val="26"/>
        </w:numPr>
      </w:pPr>
      <w:r>
        <w:t>what measures would be necessary to prevent or remedy serious injury and to facilitate adjustment</w:t>
      </w:r>
    </w:p>
    <w:p w:rsidR="004D0BCD" w:rsidRDefault="00A4700D">
      <w:pPr>
        <w:pStyle w:val="BodyText"/>
        <w:numPr>
          <w:ilvl w:val="0"/>
          <w:numId w:val="26"/>
        </w:numPr>
      </w:pPr>
      <w:r>
        <w:t>whether those measures should be implemented</w:t>
      </w:r>
    </w:p>
    <w:p w:rsidR="004D0BCD" w:rsidRDefault="00A4700D">
      <w:pPr>
        <w:pStyle w:val="BodyText"/>
      </w:pPr>
      <w:r>
        <w:t>These areas are examined below.</w:t>
      </w:r>
    </w:p>
    <w:p w:rsidR="004D0BCD" w:rsidRDefault="00A4700D">
      <w:pPr>
        <w:pStyle w:val="BodyText"/>
        <w:rPr>
          <w:i/>
          <w:color w:val="00127A"/>
        </w:rPr>
      </w:pPr>
      <w:r>
        <w:rPr>
          <w:i/>
          <w:color w:val="00127A"/>
        </w:rPr>
        <w:t>Determining whether safeguard measures are justified</w:t>
      </w:r>
    </w:p>
    <w:p w:rsidR="004D0BCD" w:rsidRDefault="00A4700D">
      <w:pPr>
        <w:pStyle w:val="BodyText"/>
      </w:pPr>
      <w:r>
        <w:rPr>
          <w:i/>
        </w:rPr>
        <w:t>What has happened to imports?</w:t>
      </w:r>
    </w:p>
    <w:p w:rsidR="004D0BCD" w:rsidRDefault="00A4700D" w:rsidP="00F5513F">
      <w:pPr>
        <w:pStyle w:val="BodyText"/>
      </w:pPr>
      <w:r>
        <w:t xml:space="preserve">Over the past decade annual imports of processed tomatoes have more than doubled from less than 30,000 tonnes to 63,000 tonnes in 2011-12 (Chart 2).  Over the past two years, the volume of canned tomato imports has risen by 19 per cent, from 53,000 to 63,000 tonnes.  </w:t>
      </w:r>
      <w:r>
        <w:rPr>
          <w:b/>
          <w:color w:val="1F497D"/>
        </w:rPr>
        <w:lastRenderedPageBreak/>
        <w:t>Chart 2: Tomato imports by volume (kg), 2002-03 to 2011-12</w:t>
      </w:r>
      <w:r>
        <w:rPr>
          <w:noProof/>
          <w:lang w:eastAsia="en-AU"/>
        </w:rPr>
        <w:drawing>
          <wp:inline distT="0" distB="0" distL="0" distR="0" wp14:anchorId="375E5A8A" wp14:editId="39C43FAB">
            <wp:extent cx="5400040" cy="3122331"/>
            <wp:effectExtent l="0" t="0" r="0"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D0BCD" w:rsidRDefault="00A4700D">
      <w:pPr>
        <w:pStyle w:val="BodyText"/>
        <w:spacing w:before="0"/>
        <w:rPr>
          <w:sz w:val="16"/>
        </w:rPr>
      </w:pPr>
      <w:r>
        <w:rPr>
          <w:sz w:val="16"/>
        </w:rPr>
        <w:t>Source: ABS, trade data at the Standard International Trade Classification (SITC) level 5.</w:t>
      </w:r>
    </w:p>
    <w:p w:rsidR="004D0BCD" w:rsidRDefault="00A4700D">
      <w:pPr>
        <w:pStyle w:val="BodyText"/>
      </w:pPr>
      <w:r>
        <w:t xml:space="preserve">In nominal terms, the value of imports has also doubled from $30 million per year in 2002-03 to just under $60 million in 2011-12 (chart 3).  In real terms (deflated by the CPI), the value of imports has increased by about 50 per cent, which is significantly below the increase in volumes.  In other words, there has been a significant decline in unit prices over the past decade.  Over the past two years, in real terms, the value of imports has declined by 8 per cent.    </w:t>
      </w:r>
    </w:p>
    <w:p w:rsidR="004D0BCD" w:rsidRDefault="00A4700D">
      <w:pPr>
        <w:pStyle w:val="BodyText"/>
      </w:pPr>
      <w:r>
        <w:rPr>
          <w:b/>
          <w:color w:val="1F497D"/>
        </w:rPr>
        <w:t>Chart 3: Tomato imports by value ($), 2002-03 to 2011-12</w:t>
      </w:r>
    </w:p>
    <w:p w:rsidR="004D0BCD" w:rsidRDefault="00A4700D">
      <w:pPr>
        <w:pStyle w:val="BodyText"/>
      </w:pPr>
      <w:r>
        <w:rPr>
          <w:noProof/>
          <w:lang w:eastAsia="en-AU"/>
        </w:rPr>
        <w:drawing>
          <wp:inline distT="0" distB="0" distL="0" distR="0" wp14:anchorId="58C26C64" wp14:editId="35C51850">
            <wp:extent cx="5400040" cy="2895021"/>
            <wp:effectExtent l="0" t="0" r="0" b="6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D0BCD" w:rsidRDefault="00A4700D">
      <w:pPr>
        <w:pStyle w:val="BodyText"/>
        <w:spacing w:before="0"/>
      </w:pPr>
      <w:r>
        <w:rPr>
          <w:sz w:val="16"/>
        </w:rPr>
        <w:t>Source: ABS, trade data at the Standard International Trade Classification (SITC) level 5.</w:t>
      </w:r>
    </w:p>
    <w:p w:rsidR="004D0BCD" w:rsidRDefault="00A4700D">
      <w:pPr>
        <w:pStyle w:val="BodyText"/>
      </w:pPr>
      <w:r>
        <w:t xml:space="preserve">All canned tomato tariff classifications have experienced substantial increases in the 5-year moving average of annual imports over the past 5 years (Table 1).  This indicates a significant and sustained structural adjustment in the volumes of canned tomato imports into Australia.  </w:t>
      </w:r>
    </w:p>
    <w:p w:rsidR="004D0BCD" w:rsidRDefault="00A4700D">
      <w:pPr>
        <w:pStyle w:val="BodyText"/>
        <w:rPr>
          <w:b/>
        </w:rPr>
      </w:pPr>
      <w:r>
        <w:rPr>
          <w:b/>
        </w:rPr>
        <w:lastRenderedPageBreak/>
        <w:t>Table 1</w:t>
      </w:r>
      <w:r>
        <w:rPr>
          <w:b/>
        </w:rPr>
        <w:tab/>
        <w:t>Increases in processed tomato imports by weight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81"/>
        <w:gridCol w:w="1693"/>
        <w:gridCol w:w="1403"/>
        <w:gridCol w:w="1693"/>
      </w:tblGrid>
      <w:tr w:rsidR="004D0BCD">
        <w:tc>
          <w:tcPr>
            <w:tcW w:w="1846" w:type="dxa"/>
            <w:shd w:val="clear" w:color="auto" w:fill="F2F2F2"/>
          </w:tcPr>
          <w:p w:rsidR="004D0BCD" w:rsidRDefault="00A4700D">
            <w:pPr>
              <w:pStyle w:val="BodyText"/>
              <w:jc w:val="left"/>
              <w:rPr>
                <w:sz w:val="20"/>
              </w:rPr>
            </w:pPr>
            <w:r>
              <w:rPr>
                <w:sz w:val="20"/>
              </w:rPr>
              <w:t>Product</w:t>
            </w:r>
          </w:p>
        </w:tc>
        <w:tc>
          <w:tcPr>
            <w:tcW w:w="1881" w:type="dxa"/>
            <w:shd w:val="clear" w:color="auto" w:fill="F2F2F2"/>
          </w:tcPr>
          <w:p w:rsidR="004D0BCD" w:rsidRDefault="00A4700D">
            <w:pPr>
              <w:pStyle w:val="BodyText"/>
              <w:jc w:val="left"/>
              <w:rPr>
                <w:sz w:val="20"/>
              </w:rPr>
            </w:pPr>
            <w:r>
              <w:rPr>
                <w:sz w:val="20"/>
              </w:rPr>
              <w:t>Tariff class</w:t>
            </w:r>
          </w:p>
        </w:tc>
        <w:tc>
          <w:tcPr>
            <w:tcW w:w="1693" w:type="dxa"/>
            <w:shd w:val="clear" w:color="auto" w:fill="F2F2F2"/>
          </w:tcPr>
          <w:p w:rsidR="004D0BCD" w:rsidRDefault="00A4700D">
            <w:pPr>
              <w:pStyle w:val="BodyText"/>
              <w:jc w:val="left"/>
              <w:rPr>
                <w:sz w:val="20"/>
              </w:rPr>
            </w:pPr>
            <w:r>
              <w:rPr>
                <w:sz w:val="20"/>
              </w:rPr>
              <w:t>5-year moving average in 2007</w:t>
            </w:r>
          </w:p>
        </w:tc>
        <w:tc>
          <w:tcPr>
            <w:tcW w:w="1403" w:type="dxa"/>
            <w:shd w:val="clear" w:color="auto" w:fill="F2F2F2"/>
          </w:tcPr>
          <w:p w:rsidR="004D0BCD" w:rsidRDefault="00A4700D">
            <w:pPr>
              <w:pStyle w:val="BodyText"/>
              <w:jc w:val="left"/>
              <w:rPr>
                <w:sz w:val="20"/>
              </w:rPr>
            </w:pPr>
            <w:r>
              <w:rPr>
                <w:sz w:val="20"/>
              </w:rPr>
              <w:t>5-year moving average in 2012</w:t>
            </w:r>
          </w:p>
        </w:tc>
        <w:tc>
          <w:tcPr>
            <w:tcW w:w="1693" w:type="dxa"/>
            <w:shd w:val="clear" w:color="auto" w:fill="F2F2F2"/>
          </w:tcPr>
          <w:p w:rsidR="004D0BCD" w:rsidRDefault="00A4700D">
            <w:pPr>
              <w:pStyle w:val="BodyText"/>
              <w:jc w:val="left"/>
              <w:rPr>
                <w:sz w:val="20"/>
              </w:rPr>
            </w:pPr>
            <w:r>
              <w:rPr>
                <w:sz w:val="20"/>
              </w:rPr>
              <w:t>Increase</w:t>
            </w:r>
          </w:p>
        </w:tc>
      </w:tr>
      <w:tr w:rsidR="004D0BCD">
        <w:tc>
          <w:tcPr>
            <w:tcW w:w="1846" w:type="dxa"/>
            <w:shd w:val="clear" w:color="auto" w:fill="F2F2F2"/>
          </w:tcPr>
          <w:p w:rsidR="004D0BCD" w:rsidRDefault="004D0BCD">
            <w:pPr>
              <w:pStyle w:val="BodyText"/>
              <w:rPr>
                <w:sz w:val="20"/>
              </w:rPr>
            </w:pPr>
          </w:p>
        </w:tc>
        <w:tc>
          <w:tcPr>
            <w:tcW w:w="1881" w:type="dxa"/>
            <w:shd w:val="clear" w:color="auto" w:fill="F2F2F2"/>
          </w:tcPr>
          <w:p w:rsidR="004D0BCD" w:rsidRDefault="004D0BCD">
            <w:pPr>
              <w:pStyle w:val="BodyText"/>
              <w:rPr>
                <w:sz w:val="20"/>
              </w:rPr>
            </w:pPr>
          </w:p>
        </w:tc>
        <w:tc>
          <w:tcPr>
            <w:tcW w:w="1693" w:type="dxa"/>
            <w:shd w:val="clear" w:color="auto" w:fill="F2F2F2"/>
          </w:tcPr>
          <w:p w:rsidR="004D0BCD" w:rsidRDefault="00A4700D">
            <w:pPr>
              <w:pStyle w:val="BodyText"/>
              <w:rPr>
                <w:sz w:val="20"/>
              </w:rPr>
            </w:pPr>
            <w:r>
              <w:rPr>
                <w:sz w:val="20"/>
              </w:rPr>
              <w:t>tonnes</w:t>
            </w:r>
          </w:p>
        </w:tc>
        <w:tc>
          <w:tcPr>
            <w:tcW w:w="1403" w:type="dxa"/>
            <w:shd w:val="clear" w:color="auto" w:fill="F2F2F2"/>
          </w:tcPr>
          <w:p w:rsidR="004D0BCD" w:rsidRDefault="00A4700D">
            <w:pPr>
              <w:pStyle w:val="BodyText"/>
              <w:rPr>
                <w:sz w:val="20"/>
              </w:rPr>
            </w:pPr>
            <w:r>
              <w:rPr>
                <w:sz w:val="20"/>
              </w:rPr>
              <w:t>tonnes</w:t>
            </w:r>
          </w:p>
        </w:tc>
        <w:tc>
          <w:tcPr>
            <w:tcW w:w="1693" w:type="dxa"/>
            <w:shd w:val="clear" w:color="auto" w:fill="F2F2F2"/>
          </w:tcPr>
          <w:p w:rsidR="004D0BCD" w:rsidRDefault="00A4700D">
            <w:pPr>
              <w:pStyle w:val="BodyText"/>
              <w:rPr>
                <w:sz w:val="20"/>
              </w:rPr>
            </w:pPr>
            <w:r>
              <w:rPr>
                <w:sz w:val="20"/>
              </w:rPr>
              <w:t>%</w:t>
            </w:r>
          </w:p>
        </w:tc>
      </w:tr>
      <w:tr w:rsidR="004D0BCD">
        <w:tc>
          <w:tcPr>
            <w:tcW w:w="1846" w:type="dxa"/>
          </w:tcPr>
          <w:p w:rsidR="004D0BCD" w:rsidRDefault="00A4700D">
            <w:pPr>
              <w:pStyle w:val="BodyText"/>
              <w:rPr>
                <w:sz w:val="20"/>
              </w:rPr>
            </w:pPr>
            <w:r>
              <w:rPr>
                <w:sz w:val="20"/>
              </w:rPr>
              <w:t xml:space="preserve">Whole or pieces &lt; 1.14 L </w:t>
            </w:r>
          </w:p>
        </w:tc>
        <w:tc>
          <w:tcPr>
            <w:tcW w:w="1881" w:type="dxa"/>
          </w:tcPr>
          <w:p w:rsidR="004D0BCD" w:rsidRDefault="00A4700D">
            <w:pPr>
              <w:pStyle w:val="BodyText"/>
              <w:rPr>
                <w:sz w:val="20"/>
              </w:rPr>
            </w:pPr>
            <w:r>
              <w:rPr>
                <w:sz w:val="20"/>
              </w:rPr>
              <w:t>2002100060</w:t>
            </w:r>
          </w:p>
        </w:tc>
        <w:tc>
          <w:tcPr>
            <w:tcW w:w="1693" w:type="dxa"/>
            <w:vAlign w:val="center"/>
          </w:tcPr>
          <w:p w:rsidR="004D0BCD" w:rsidRDefault="00A4700D">
            <w:pPr>
              <w:pStyle w:val="BodyText"/>
              <w:jc w:val="right"/>
              <w:rPr>
                <w:sz w:val="20"/>
              </w:rPr>
            </w:pPr>
            <w:r>
              <w:rPr>
                <w:sz w:val="20"/>
              </w:rPr>
              <w:t>59,453</w:t>
            </w:r>
          </w:p>
        </w:tc>
        <w:tc>
          <w:tcPr>
            <w:tcW w:w="1403" w:type="dxa"/>
            <w:vAlign w:val="center"/>
          </w:tcPr>
          <w:p w:rsidR="004D0BCD" w:rsidRDefault="00A4700D">
            <w:pPr>
              <w:pStyle w:val="BodyText"/>
              <w:jc w:val="right"/>
              <w:rPr>
                <w:sz w:val="20"/>
              </w:rPr>
            </w:pPr>
            <w:r>
              <w:rPr>
                <w:sz w:val="20"/>
              </w:rPr>
              <w:t>64,632</w:t>
            </w:r>
          </w:p>
        </w:tc>
        <w:tc>
          <w:tcPr>
            <w:tcW w:w="1693" w:type="dxa"/>
            <w:vAlign w:val="center"/>
          </w:tcPr>
          <w:p w:rsidR="004D0BCD" w:rsidRDefault="00A4700D">
            <w:pPr>
              <w:pStyle w:val="BodyText"/>
              <w:jc w:val="right"/>
              <w:rPr>
                <w:i/>
                <w:sz w:val="20"/>
              </w:rPr>
            </w:pPr>
            <w:r>
              <w:rPr>
                <w:i/>
                <w:sz w:val="20"/>
              </w:rPr>
              <w:t>8.7%</w:t>
            </w:r>
          </w:p>
        </w:tc>
      </w:tr>
      <w:tr w:rsidR="004D0BCD">
        <w:tc>
          <w:tcPr>
            <w:tcW w:w="1846" w:type="dxa"/>
          </w:tcPr>
          <w:p w:rsidR="004D0BCD" w:rsidRDefault="00A4700D">
            <w:pPr>
              <w:pStyle w:val="BodyText"/>
              <w:rPr>
                <w:sz w:val="20"/>
              </w:rPr>
            </w:pPr>
            <w:r>
              <w:rPr>
                <w:sz w:val="20"/>
              </w:rPr>
              <w:t>Whole or pieces &gt; 1.14L</w:t>
            </w:r>
          </w:p>
        </w:tc>
        <w:tc>
          <w:tcPr>
            <w:tcW w:w="1881" w:type="dxa"/>
          </w:tcPr>
          <w:p w:rsidR="004D0BCD" w:rsidRDefault="00A4700D">
            <w:pPr>
              <w:pStyle w:val="BodyText"/>
              <w:rPr>
                <w:sz w:val="20"/>
              </w:rPr>
            </w:pPr>
            <w:r>
              <w:rPr>
                <w:sz w:val="20"/>
              </w:rPr>
              <w:t>2002100061</w:t>
            </w:r>
          </w:p>
        </w:tc>
        <w:tc>
          <w:tcPr>
            <w:tcW w:w="1693" w:type="dxa"/>
            <w:vAlign w:val="center"/>
          </w:tcPr>
          <w:p w:rsidR="004D0BCD" w:rsidRDefault="00A4700D">
            <w:pPr>
              <w:pStyle w:val="BodyText"/>
              <w:jc w:val="right"/>
              <w:rPr>
                <w:sz w:val="20"/>
              </w:rPr>
            </w:pPr>
            <w:r>
              <w:rPr>
                <w:sz w:val="20"/>
              </w:rPr>
              <w:t>11,405</w:t>
            </w:r>
          </w:p>
        </w:tc>
        <w:tc>
          <w:tcPr>
            <w:tcW w:w="1403" w:type="dxa"/>
            <w:vAlign w:val="center"/>
          </w:tcPr>
          <w:p w:rsidR="004D0BCD" w:rsidRDefault="00A4700D">
            <w:pPr>
              <w:pStyle w:val="BodyText"/>
              <w:jc w:val="right"/>
              <w:rPr>
                <w:sz w:val="20"/>
              </w:rPr>
            </w:pPr>
            <w:r>
              <w:rPr>
                <w:sz w:val="20"/>
              </w:rPr>
              <w:t>16,393</w:t>
            </w:r>
          </w:p>
        </w:tc>
        <w:tc>
          <w:tcPr>
            <w:tcW w:w="1693" w:type="dxa"/>
            <w:vAlign w:val="center"/>
          </w:tcPr>
          <w:p w:rsidR="004D0BCD" w:rsidRDefault="00A4700D">
            <w:pPr>
              <w:pStyle w:val="BodyText"/>
              <w:jc w:val="right"/>
              <w:rPr>
                <w:i/>
                <w:sz w:val="20"/>
              </w:rPr>
            </w:pPr>
            <w:r>
              <w:rPr>
                <w:i/>
                <w:sz w:val="20"/>
              </w:rPr>
              <w:t>43.7%</w:t>
            </w:r>
          </w:p>
        </w:tc>
      </w:tr>
      <w:tr w:rsidR="004D0BCD">
        <w:tc>
          <w:tcPr>
            <w:tcW w:w="1846" w:type="dxa"/>
          </w:tcPr>
          <w:p w:rsidR="004D0BCD" w:rsidRDefault="00A4700D">
            <w:pPr>
              <w:pStyle w:val="BodyText"/>
              <w:rPr>
                <w:sz w:val="20"/>
              </w:rPr>
            </w:pPr>
            <w:r>
              <w:rPr>
                <w:sz w:val="20"/>
              </w:rPr>
              <w:t>Not whole or pieces &lt; 1.14L</w:t>
            </w:r>
          </w:p>
        </w:tc>
        <w:tc>
          <w:tcPr>
            <w:tcW w:w="1881" w:type="dxa"/>
          </w:tcPr>
          <w:p w:rsidR="004D0BCD" w:rsidRDefault="00A4700D">
            <w:pPr>
              <w:pStyle w:val="BodyText"/>
              <w:rPr>
                <w:sz w:val="20"/>
              </w:rPr>
            </w:pPr>
            <w:r>
              <w:rPr>
                <w:sz w:val="20"/>
              </w:rPr>
              <w:t>2002900030</w:t>
            </w:r>
          </w:p>
        </w:tc>
        <w:tc>
          <w:tcPr>
            <w:tcW w:w="1693" w:type="dxa"/>
            <w:vAlign w:val="center"/>
          </w:tcPr>
          <w:p w:rsidR="004D0BCD" w:rsidRDefault="00A4700D">
            <w:pPr>
              <w:pStyle w:val="BodyText"/>
              <w:jc w:val="right"/>
              <w:rPr>
                <w:sz w:val="20"/>
              </w:rPr>
            </w:pPr>
            <w:r>
              <w:rPr>
                <w:sz w:val="20"/>
              </w:rPr>
              <w:t>9,399</w:t>
            </w:r>
          </w:p>
        </w:tc>
        <w:tc>
          <w:tcPr>
            <w:tcW w:w="1403" w:type="dxa"/>
            <w:vAlign w:val="center"/>
          </w:tcPr>
          <w:p w:rsidR="004D0BCD" w:rsidRDefault="00A4700D">
            <w:pPr>
              <w:pStyle w:val="BodyText"/>
              <w:jc w:val="right"/>
              <w:rPr>
                <w:sz w:val="20"/>
              </w:rPr>
            </w:pPr>
            <w:r>
              <w:rPr>
                <w:sz w:val="20"/>
              </w:rPr>
              <w:t>14,442</w:t>
            </w:r>
          </w:p>
        </w:tc>
        <w:tc>
          <w:tcPr>
            <w:tcW w:w="1693" w:type="dxa"/>
            <w:vAlign w:val="center"/>
          </w:tcPr>
          <w:p w:rsidR="004D0BCD" w:rsidRDefault="00A4700D">
            <w:pPr>
              <w:pStyle w:val="BodyText"/>
              <w:jc w:val="right"/>
              <w:rPr>
                <w:i/>
                <w:sz w:val="20"/>
              </w:rPr>
            </w:pPr>
            <w:r>
              <w:rPr>
                <w:i/>
                <w:sz w:val="20"/>
              </w:rPr>
              <w:t>53.7%</w:t>
            </w:r>
          </w:p>
        </w:tc>
      </w:tr>
      <w:tr w:rsidR="004D0BCD">
        <w:tc>
          <w:tcPr>
            <w:tcW w:w="1846" w:type="dxa"/>
          </w:tcPr>
          <w:p w:rsidR="004D0BCD" w:rsidRDefault="00A4700D">
            <w:pPr>
              <w:pStyle w:val="BodyText"/>
              <w:rPr>
                <w:sz w:val="20"/>
              </w:rPr>
            </w:pPr>
            <w:r>
              <w:rPr>
                <w:sz w:val="20"/>
              </w:rPr>
              <w:t>Not whole or pieces &gt; 1.14L</w:t>
            </w:r>
          </w:p>
        </w:tc>
        <w:tc>
          <w:tcPr>
            <w:tcW w:w="1881" w:type="dxa"/>
          </w:tcPr>
          <w:p w:rsidR="004D0BCD" w:rsidRDefault="00A4700D">
            <w:pPr>
              <w:pStyle w:val="BodyText"/>
              <w:rPr>
                <w:sz w:val="20"/>
              </w:rPr>
            </w:pPr>
            <w:r>
              <w:rPr>
                <w:sz w:val="20"/>
              </w:rPr>
              <w:t>2002900031</w:t>
            </w:r>
          </w:p>
        </w:tc>
        <w:tc>
          <w:tcPr>
            <w:tcW w:w="1693" w:type="dxa"/>
            <w:vAlign w:val="center"/>
          </w:tcPr>
          <w:p w:rsidR="004D0BCD" w:rsidRDefault="00A4700D">
            <w:pPr>
              <w:pStyle w:val="BodyText"/>
              <w:jc w:val="right"/>
              <w:rPr>
                <w:sz w:val="20"/>
              </w:rPr>
            </w:pPr>
            <w:r>
              <w:rPr>
                <w:sz w:val="20"/>
              </w:rPr>
              <w:t>13,900</w:t>
            </w:r>
          </w:p>
        </w:tc>
        <w:tc>
          <w:tcPr>
            <w:tcW w:w="1403" w:type="dxa"/>
            <w:vAlign w:val="center"/>
          </w:tcPr>
          <w:p w:rsidR="004D0BCD" w:rsidRDefault="00A4700D">
            <w:pPr>
              <w:pStyle w:val="BodyText"/>
              <w:jc w:val="right"/>
              <w:rPr>
                <w:sz w:val="20"/>
              </w:rPr>
            </w:pPr>
            <w:r>
              <w:rPr>
                <w:sz w:val="20"/>
              </w:rPr>
              <w:t>29,114</w:t>
            </w:r>
          </w:p>
        </w:tc>
        <w:tc>
          <w:tcPr>
            <w:tcW w:w="1693" w:type="dxa"/>
            <w:vAlign w:val="center"/>
          </w:tcPr>
          <w:p w:rsidR="004D0BCD" w:rsidRDefault="00A4700D">
            <w:pPr>
              <w:pStyle w:val="BodyText"/>
              <w:jc w:val="right"/>
              <w:rPr>
                <w:i/>
                <w:sz w:val="20"/>
              </w:rPr>
            </w:pPr>
            <w:r>
              <w:rPr>
                <w:i/>
                <w:sz w:val="20"/>
              </w:rPr>
              <w:t>109.5%</w:t>
            </w:r>
          </w:p>
        </w:tc>
      </w:tr>
    </w:tbl>
    <w:p w:rsidR="004D0BCD" w:rsidRDefault="004D0BCD">
      <w:pPr>
        <w:pStyle w:val="BodyText"/>
      </w:pPr>
    </w:p>
    <w:p w:rsidR="004D0BCD" w:rsidRDefault="004D0BCD">
      <w:pPr>
        <w:pStyle w:val="BodyText"/>
      </w:pPr>
    </w:p>
    <w:p w:rsidR="004D0BCD" w:rsidRDefault="004D0BCD">
      <w:pPr>
        <w:pStyle w:val="BodyText"/>
      </w:pPr>
    </w:p>
    <w:p w:rsidR="004D0BCD" w:rsidRDefault="004D0BCD">
      <w:pPr>
        <w:pStyle w:val="BodyText"/>
      </w:pPr>
    </w:p>
    <w:p w:rsidR="004D0BCD" w:rsidRDefault="004D0BCD">
      <w:pPr>
        <w:pStyle w:val="BodyText"/>
        <w:sectPr w:rsidR="004D0BCD" w:rsidSect="00F64094">
          <w:footerReference w:type="default" r:id="rId14"/>
          <w:pgSz w:w="11906" w:h="16838"/>
          <w:pgMar w:top="851" w:right="1701" w:bottom="1701" w:left="1701" w:header="720" w:footer="720" w:gutter="0"/>
          <w:cols w:sep="1" w:space="720"/>
          <w:docGrid w:linePitch="360"/>
        </w:sectPr>
      </w:pPr>
    </w:p>
    <w:p w:rsidR="004D0BCD" w:rsidRDefault="00A4700D">
      <w:pPr>
        <w:pStyle w:val="BodyText"/>
        <w:rPr>
          <w:b/>
        </w:rPr>
      </w:pPr>
      <w:r>
        <w:rPr>
          <w:b/>
        </w:rPr>
        <w:lastRenderedPageBreak/>
        <w:t xml:space="preserve">Table 1: Hurdles within the WTO safeguards framework </w:t>
      </w:r>
    </w:p>
    <w:tbl>
      <w:tblPr>
        <w:tblW w:w="0" w:type="auto"/>
        <w:tblBorders>
          <w:bottom w:val="single" w:sz="12" w:space="0" w:color="002776"/>
        </w:tblBorders>
        <w:tblLook w:val="04A0" w:firstRow="1" w:lastRow="0" w:firstColumn="1" w:lastColumn="0" w:noHBand="0" w:noVBand="1"/>
      </w:tblPr>
      <w:tblGrid>
        <w:gridCol w:w="2376"/>
        <w:gridCol w:w="3119"/>
        <w:gridCol w:w="6804"/>
      </w:tblGrid>
      <w:tr w:rsidR="004D0BCD">
        <w:trPr>
          <w:tblHeader/>
        </w:trPr>
        <w:tc>
          <w:tcPr>
            <w:tcW w:w="2376" w:type="dxa"/>
            <w:tcBorders>
              <w:top w:val="single" w:sz="12" w:space="0" w:color="002776"/>
              <w:left w:val="single" w:sz="0" w:space="0" w:color="auto"/>
              <w:bottom w:val="single" w:sz="8" w:space="0" w:color="002776"/>
              <w:right w:val="single" w:sz="0" w:space="0" w:color="auto"/>
            </w:tcBorders>
            <w:shd w:val="clear" w:color="auto" w:fill="auto"/>
          </w:tcPr>
          <w:p w:rsidR="004D0BCD" w:rsidRDefault="00A4700D">
            <w:pPr>
              <w:pStyle w:val="BodyText"/>
              <w:rPr>
                <w:b/>
                <w:sz w:val="20"/>
              </w:rPr>
            </w:pPr>
            <w:r>
              <w:rPr>
                <w:b/>
                <w:sz w:val="20"/>
              </w:rPr>
              <w:t>WTO hurdle</w:t>
            </w:r>
          </w:p>
        </w:tc>
        <w:tc>
          <w:tcPr>
            <w:tcW w:w="3119" w:type="dxa"/>
            <w:tcBorders>
              <w:top w:val="single" w:sz="12" w:space="0" w:color="002776"/>
              <w:left w:val="single" w:sz="0" w:space="0" w:color="auto"/>
              <w:bottom w:val="single" w:sz="8" w:space="0" w:color="002776"/>
              <w:right w:val="single" w:sz="0" w:space="0" w:color="auto"/>
            </w:tcBorders>
            <w:shd w:val="clear" w:color="auto" w:fill="auto"/>
          </w:tcPr>
          <w:p w:rsidR="004D0BCD" w:rsidRDefault="00A4700D">
            <w:pPr>
              <w:pStyle w:val="BodyText"/>
              <w:rPr>
                <w:b/>
                <w:sz w:val="20"/>
              </w:rPr>
            </w:pPr>
            <w:r>
              <w:rPr>
                <w:b/>
                <w:sz w:val="20"/>
              </w:rPr>
              <w:t>Requirement</w:t>
            </w:r>
          </w:p>
        </w:tc>
        <w:tc>
          <w:tcPr>
            <w:tcW w:w="6804" w:type="dxa"/>
            <w:tcBorders>
              <w:top w:val="single" w:sz="12" w:space="0" w:color="002776"/>
              <w:left w:val="single" w:sz="0" w:space="0" w:color="auto"/>
              <w:bottom w:val="single" w:sz="8" w:space="0" w:color="002776"/>
              <w:right w:val="single" w:sz="0" w:space="0" w:color="auto"/>
            </w:tcBorders>
            <w:shd w:val="clear" w:color="auto" w:fill="auto"/>
          </w:tcPr>
          <w:p w:rsidR="004D0BCD" w:rsidRDefault="00A4700D">
            <w:pPr>
              <w:pStyle w:val="BodyText"/>
              <w:rPr>
                <w:b/>
                <w:sz w:val="20"/>
              </w:rPr>
            </w:pPr>
            <w:r>
              <w:rPr>
                <w:b/>
                <w:sz w:val="20"/>
              </w:rPr>
              <w:t>Industry factors</w:t>
            </w:r>
          </w:p>
        </w:tc>
      </w:tr>
      <w:tr w:rsidR="004D0BCD">
        <w:tc>
          <w:tcPr>
            <w:tcW w:w="2376" w:type="dxa"/>
            <w:tcBorders>
              <w:bottom w:val="single" w:sz="4" w:space="0" w:color="002776"/>
            </w:tcBorders>
            <w:shd w:val="clear" w:color="auto" w:fill="auto"/>
          </w:tcPr>
          <w:p w:rsidR="004D0BCD" w:rsidRDefault="00A4700D">
            <w:pPr>
              <w:pStyle w:val="BodyText"/>
              <w:rPr>
                <w:i/>
                <w:sz w:val="20"/>
              </w:rPr>
            </w:pPr>
            <w:r>
              <w:rPr>
                <w:i/>
                <w:sz w:val="20"/>
              </w:rPr>
              <w:t>That imports have increased</w:t>
            </w:r>
          </w:p>
        </w:tc>
        <w:tc>
          <w:tcPr>
            <w:tcW w:w="3119" w:type="dxa"/>
            <w:tcBorders>
              <w:bottom w:val="single" w:sz="4" w:space="0" w:color="002776"/>
            </w:tcBorders>
            <w:shd w:val="clear" w:color="auto" w:fill="auto"/>
          </w:tcPr>
          <w:p w:rsidR="004D0BCD" w:rsidRDefault="00A4700D">
            <w:pPr>
              <w:pStyle w:val="BodyText"/>
              <w:rPr>
                <w:sz w:val="20"/>
              </w:rPr>
            </w:pPr>
            <w:r>
              <w:rPr>
                <w:sz w:val="20"/>
              </w:rPr>
              <w:t>WTO provisions require evidence of an increase in imports, either in absolute terms or relevant to domestic production.</w:t>
            </w:r>
          </w:p>
        </w:tc>
        <w:tc>
          <w:tcPr>
            <w:tcW w:w="6804" w:type="dxa"/>
            <w:tcBorders>
              <w:bottom w:val="single" w:sz="4" w:space="0" w:color="002776"/>
            </w:tcBorders>
            <w:shd w:val="clear" w:color="auto" w:fill="auto"/>
          </w:tcPr>
          <w:p w:rsidR="004D0BCD" w:rsidRDefault="00A4700D">
            <w:pPr>
              <w:pStyle w:val="BodyText"/>
              <w:numPr>
                <w:ilvl w:val="0"/>
                <w:numId w:val="28"/>
              </w:numPr>
              <w:rPr>
                <w:sz w:val="20"/>
              </w:rPr>
            </w:pPr>
            <w:r>
              <w:rPr>
                <w:sz w:val="20"/>
              </w:rPr>
              <w:t>Over the past two years, the volume of canned tomato imports has risen by 19 per cent, from 53,000 to 63,000 tonnes.</w:t>
            </w:r>
          </w:p>
        </w:tc>
      </w:tr>
      <w:tr w:rsidR="004D0BCD">
        <w:tc>
          <w:tcPr>
            <w:tcW w:w="2376" w:type="dxa"/>
            <w:tcBorders>
              <w:top w:val="single" w:sz="4" w:space="0" w:color="002776"/>
              <w:bottom w:val="single" w:sz="4" w:space="0" w:color="002776"/>
            </w:tcBorders>
            <w:shd w:val="clear" w:color="auto" w:fill="auto"/>
          </w:tcPr>
          <w:p w:rsidR="004D0BCD" w:rsidRDefault="00A4700D">
            <w:pPr>
              <w:pStyle w:val="BodyText"/>
              <w:rPr>
                <w:i/>
                <w:sz w:val="20"/>
              </w:rPr>
            </w:pPr>
            <w:r>
              <w:rPr>
                <w:i/>
                <w:sz w:val="20"/>
              </w:rPr>
              <w:t>That there has been serious injury to the industry, or the threat of serious injury</w:t>
            </w:r>
          </w:p>
        </w:tc>
        <w:tc>
          <w:tcPr>
            <w:tcW w:w="3119" w:type="dxa"/>
            <w:tcBorders>
              <w:top w:val="single" w:sz="4" w:space="0" w:color="002776"/>
              <w:bottom w:val="single" w:sz="4" w:space="0" w:color="002776"/>
            </w:tcBorders>
            <w:shd w:val="clear" w:color="auto" w:fill="auto"/>
          </w:tcPr>
          <w:p w:rsidR="004D0BCD" w:rsidRDefault="00A4700D">
            <w:pPr>
              <w:pStyle w:val="BodyText"/>
              <w:rPr>
                <w:sz w:val="20"/>
              </w:rPr>
            </w:pPr>
            <w:r>
              <w:rPr>
                <w:sz w:val="20"/>
              </w:rPr>
              <w:t>The Agreement on Safeguards contains a stringent ‘injury’ test. This requires evidence that increased imports (as set out under the specific Customs tariffs for processed fruit products) have caused ‘serious’ injury to the relevant domestic industry.</w:t>
            </w:r>
          </w:p>
        </w:tc>
        <w:tc>
          <w:tcPr>
            <w:tcW w:w="6804" w:type="dxa"/>
            <w:tcBorders>
              <w:top w:val="single" w:sz="4" w:space="0" w:color="002776"/>
              <w:bottom w:val="single" w:sz="4" w:space="0" w:color="002776"/>
            </w:tcBorders>
            <w:shd w:val="clear" w:color="auto" w:fill="auto"/>
          </w:tcPr>
          <w:p w:rsidR="004D0BCD" w:rsidRDefault="00A4700D">
            <w:pPr>
              <w:pStyle w:val="BodyText"/>
              <w:numPr>
                <w:ilvl w:val="0"/>
                <w:numId w:val="28"/>
              </w:numPr>
              <w:rPr>
                <w:sz w:val="20"/>
              </w:rPr>
            </w:pPr>
            <w:r>
              <w:rPr>
                <w:sz w:val="20"/>
              </w:rPr>
              <w:t xml:space="preserve">SPC Ardmona is Australia’s sole processed tomato canner. According to the company, over the past three years sales have dropped by 28 per cent, profitability by over 200 per cent, while imports have increased by 35 per cent. </w:t>
            </w:r>
          </w:p>
          <w:p w:rsidR="004D0BCD" w:rsidRDefault="00A4700D">
            <w:pPr>
              <w:pStyle w:val="BodyText"/>
              <w:numPr>
                <w:ilvl w:val="0"/>
                <w:numId w:val="28"/>
              </w:numPr>
              <w:rPr>
                <w:sz w:val="20"/>
              </w:rPr>
            </w:pPr>
            <w:r>
              <w:rPr>
                <w:sz w:val="20"/>
              </w:rPr>
              <w:t>SPC Ardmona’s export market volumes have declined by 90 per cent in the past five years.</w:t>
            </w:r>
          </w:p>
          <w:p w:rsidR="004D0BCD" w:rsidRDefault="00A4700D">
            <w:pPr>
              <w:pStyle w:val="BodyText"/>
              <w:numPr>
                <w:ilvl w:val="0"/>
                <w:numId w:val="28"/>
              </w:numPr>
              <w:rPr>
                <w:sz w:val="20"/>
              </w:rPr>
            </w:pPr>
            <w:r>
              <w:rPr>
                <w:sz w:val="20"/>
              </w:rPr>
              <w:t>There has been a severe rationalisation in the number of tomato suppliers to SPC Ardmona. For the 2014 growing season, supplying tomato growers has dropped to just seven.</w:t>
            </w:r>
          </w:p>
        </w:tc>
      </w:tr>
      <w:tr w:rsidR="004D0BCD">
        <w:tc>
          <w:tcPr>
            <w:tcW w:w="2376" w:type="dxa"/>
            <w:tcBorders>
              <w:top w:val="single" w:sz="4" w:space="0" w:color="002776"/>
              <w:bottom w:val="single" w:sz="4" w:space="0" w:color="002776"/>
            </w:tcBorders>
            <w:shd w:val="clear" w:color="auto" w:fill="auto"/>
          </w:tcPr>
          <w:p w:rsidR="004D0BCD" w:rsidRDefault="00A4700D">
            <w:pPr>
              <w:pStyle w:val="BodyText"/>
              <w:rPr>
                <w:i/>
                <w:sz w:val="20"/>
              </w:rPr>
            </w:pPr>
            <w:r>
              <w:rPr>
                <w:i/>
                <w:sz w:val="20"/>
              </w:rPr>
              <w:t>That the increases in imports constitute an unforeseen development</w:t>
            </w:r>
          </w:p>
        </w:tc>
        <w:tc>
          <w:tcPr>
            <w:tcW w:w="3119" w:type="dxa"/>
            <w:tcBorders>
              <w:top w:val="single" w:sz="4" w:space="0" w:color="002776"/>
              <w:bottom w:val="single" w:sz="4" w:space="0" w:color="002776"/>
            </w:tcBorders>
            <w:shd w:val="clear" w:color="auto" w:fill="auto"/>
          </w:tcPr>
          <w:p w:rsidR="004D0BCD" w:rsidRDefault="00A4700D">
            <w:pPr>
              <w:pStyle w:val="BodyText"/>
              <w:rPr>
                <w:sz w:val="20"/>
              </w:rPr>
            </w:pPr>
            <w:r>
              <w:rPr>
                <w:sz w:val="20"/>
              </w:rPr>
              <w:t>Provisional safeguards can only be imposed where there are critical circumstances where delay would cause damage which would be difficult to repair.</w:t>
            </w:r>
          </w:p>
        </w:tc>
        <w:tc>
          <w:tcPr>
            <w:tcW w:w="6804" w:type="dxa"/>
            <w:tcBorders>
              <w:top w:val="single" w:sz="4" w:space="0" w:color="002776"/>
              <w:bottom w:val="single" w:sz="4" w:space="0" w:color="002776"/>
            </w:tcBorders>
            <w:shd w:val="clear" w:color="auto" w:fill="auto"/>
          </w:tcPr>
          <w:p w:rsidR="004D0BCD" w:rsidRDefault="00A4700D">
            <w:pPr>
              <w:pStyle w:val="BodyText"/>
              <w:numPr>
                <w:ilvl w:val="0"/>
                <w:numId w:val="28"/>
              </w:numPr>
              <w:rPr>
                <w:sz w:val="20"/>
              </w:rPr>
            </w:pPr>
            <w:r>
              <w:rPr>
                <w:sz w:val="20"/>
              </w:rPr>
              <w:t>The magnitude and suddenness of impairment to the industry over the past two years appears well beyond what could be considered to represent normal market fluctuations that might be based on technology, innovation and cost.</w:t>
            </w:r>
          </w:p>
        </w:tc>
      </w:tr>
      <w:tr w:rsidR="004D0BCD">
        <w:tc>
          <w:tcPr>
            <w:tcW w:w="2376" w:type="dxa"/>
            <w:tcBorders>
              <w:top w:val="single" w:sz="4" w:space="0" w:color="002776"/>
              <w:bottom w:val="single" w:sz="4" w:space="0" w:color="002776"/>
            </w:tcBorders>
            <w:shd w:val="clear" w:color="auto" w:fill="auto"/>
          </w:tcPr>
          <w:p w:rsidR="004D0BCD" w:rsidRDefault="00A4700D">
            <w:pPr>
              <w:pStyle w:val="BodyText"/>
              <w:rPr>
                <w:i/>
                <w:sz w:val="20"/>
              </w:rPr>
            </w:pPr>
            <w:r>
              <w:rPr>
                <w:i/>
                <w:sz w:val="20"/>
              </w:rPr>
              <w:t>That critical circumstances exist which warrant provision safeguards</w:t>
            </w:r>
          </w:p>
        </w:tc>
        <w:tc>
          <w:tcPr>
            <w:tcW w:w="3119" w:type="dxa"/>
            <w:tcBorders>
              <w:top w:val="single" w:sz="4" w:space="0" w:color="002776"/>
              <w:bottom w:val="single" w:sz="4" w:space="0" w:color="002776"/>
            </w:tcBorders>
            <w:shd w:val="clear" w:color="auto" w:fill="auto"/>
          </w:tcPr>
          <w:p w:rsidR="004D0BCD" w:rsidRDefault="00A4700D">
            <w:pPr>
              <w:pStyle w:val="BodyText"/>
              <w:rPr>
                <w:sz w:val="20"/>
              </w:rPr>
            </w:pPr>
            <w:r>
              <w:rPr>
                <w:sz w:val="20"/>
              </w:rPr>
              <w:t>Provisional safeguards can only be imposed where there are critical circumstances where delay would cause damage which would be difficult to repair.</w:t>
            </w:r>
          </w:p>
        </w:tc>
        <w:tc>
          <w:tcPr>
            <w:tcW w:w="6804" w:type="dxa"/>
            <w:tcBorders>
              <w:top w:val="single" w:sz="4" w:space="0" w:color="002776"/>
              <w:bottom w:val="single" w:sz="4" w:space="0" w:color="002776"/>
            </w:tcBorders>
            <w:shd w:val="clear" w:color="auto" w:fill="auto"/>
          </w:tcPr>
          <w:p w:rsidR="004D0BCD" w:rsidRDefault="00A4700D">
            <w:pPr>
              <w:pStyle w:val="BodyText"/>
              <w:numPr>
                <w:ilvl w:val="0"/>
                <w:numId w:val="28"/>
              </w:numPr>
              <w:rPr>
                <w:sz w:val="20"/>
              </w:rPr>
            </w:pPr>
            <w:r>
              <w:rPr>
                <w:sz w:val="20"/>
              </w:rPr>
              <w:t>The canning industry has reached a tipping point i</w:t>
            </w:r>
            <w:r w:rsidR="008017EB">
              <w:rPr>
                <w:sz w:val="20"/>
              </w:rPr>
              <w:t xml:space="preserve">n terms of economies of scale. </w:t>
            </w:r>
            <w:r>
              <w:rPr>
                <w:sz w:val="20"/>
              </w:rPr>
              <w:t xml:space="preserve">Hence, by definition, any further deterioration would wipe out the industry.  </w:t>
            </w:r>
          </w:p>
          <w:p w:rsidR="004D0BCD" w:rsidRDefault="00A4700D">
            <w:pPr>
              <w:pStyle w:val="BodyText"/>
              <w:numPr>
                <w:ilvl w:val="0"/>
                <w:numId w:val="28"/>
              </w:numPr>
              <w:rPr>
                <w:sz w:val="20"/>
              </w:rPr>
            </w:pPr>
            <w:r>
              <w:rPr>
                <w:sz w:val="20"/>
              </w:rPr>
              <w:t>There is a significant link between a strong and sustainable food industry and employment opportunities in rural and regional areas.</w:t>
            </w:r>
          </w:p>
        </w:tc>
      </w:tr>
      <w:tr w:rsidR="004D0BCD">
        <w:tc>
          <w:tcPr>
            <w:tcW w:w="2376" w:type="dxa"/>
            <w:tcBorders>
              <w:top w:val="single" w:sz="4" w:space="0" w:color="002776"/>
              <w:bottom w:val="single" w:sz="12" w:space="0" w:color="002776"/>
            </w:tcBorders>
            <w:shd w:val="clear" w:color="auto" w:fill="auto"/>
          </w:tcPr>
          <w:p w:rsidR="004D0BCD" w:rsidRDefault="00A4700D">
            <w:pPr>
              <w:pStyle w:val="BodyText"/>
              <w:rPr>
                <w:i/>
                <w:sz w:val="20"/>
              </w:rPr>
            </w:pPr>
            <w:r>
              <w:rPr>
                <w:i/>
                <w:sz w:val="20"/>
              </w:rPr>
              <w:lastRenderedPageBreak/>
              <w:t>That increased imports are causing serious injury</w:t>
            </w:r>
          </w:p>
        </w:tc>
        <w:tc>
          <w:tcPr>
            <w:tcW w:w="3119" w:type="dxa"/>
            <w:tcBorders>
              <w:top w:val="single" w:sz="4" w:space="0" w:color="002776"/>
              <w:bottom w:val="single" w:sz="12" w:space="0" w:color="002776"/>
            </w:tcBorders>
            <w:shd w:val="clear" w:color="auto" w:fill="auto"/>
          </w:tcPr>
          <w:p w:rsidR="004D0BCD" w:rsidRDefault="00A4700D">
            <w:pPr>
              <w:pStyle w:val="BodyText"/>
              <w:rPr>
                <w:sz w:val="20"/>
              </w:rPr>
            </w:pPr>
            <w:r>
              <w:rPr>
                <w:sz w:val="20"/>
              </w:rPr>
              <w:t>A causal link needs to be established. In this it must be shown that imports have caused, or are threatening to cause, serious impairment of the domestic industry.</w:t>
            </w:r>
          </w:p>
        </w:tc>
        <w:tc>
          <w:tcPr>
            <w:tcW w:w="6804" w:type="dxa"/>
            <w:tcBorders>
              <w:top w:val="single" w:sz="4" w:space="0" w:color="002776"/>
              <w:bottom w:val="single" w:sz="12" w:space="0" w:color="002776"/>
            </w:tcBorders>
            <w:shd w:val="clear" w:color="auto" w:fill="auto"/>
          </w:tcPr>
          <w:p w:rsidR="004D0BCD" w:rsidRDefault="00A4700D">
            <w:pPr>
              <w:pStyle w:val="BodyText"/>
              <w:numPr>
                <w:ilvl w:val="0"/>
                <w:numId w:val="28"/>
              </w:numPr>
              <w:rPr>
                <w:sz w:val="20"/>
              </w:rPr>
            </w:pPr>
            <w:r>
              <w:rPr>
                <w:sz w:val="20"/>
              </w:rPr>
              <w:t xml:space="preserve">The canning industry is clearly on the brink of collapse with a single cannery remaining.  The sudden and significant increase in imports over the past two years is now threatening the viability of the remaining cannery in the Goulburn Valley.   </w:t>
            </w:r>
          </w:p>
        </w:tc>
      </w:tr>
    </w:tbl>
    <w:p w:rsidR="004D0BCD" w:rsidRDefault="004D0BCD">
      <w:pPr>
        <w:pStyle w:val="BodyText"/>
      </w:pPr>
    </w:p>
    <w:p w:rsidR="004D0BCD" w:rsidRDefault="004D0BCD">
      <w:pPr>
        <w:pStyle w:val="BodyText"/>
      </w:pPr>
    </w:p>
    <w:p w:rsidR="004D0BCD" w:rsidRDefault="004D0BCD">
      <w:pPr>
        <w:pStyle w:val="BodyText"/>
        <w:sectPr w:rsidR="004D0BCD">
          <w:headerReference w:type="default" r:id="rId15"/>
          <w:footerReference w:type="default" r:id="rId16"/>
          <w:pgSz w:w="16838" w:h="11906" w:orient="landscape"/>
          <w:pgMar w:top="1701" w:right="1701" w:bottom="1701" w:left="1701" w:header="720" w:footer="720" w:gutter="0"/>
          <w:cols w:sep="1" w:space="720"/>
          <w:docGrid w:linePitch="360"/>
        </w:sectPr>
      </w:pPr>
    </w:p>
    <w:p w:rsidR="004D0BCD" w:rsidRDefault="00A4700D">
      <w:pPr>
        <w:pStyle w:val="BodyText"/>
        <w:rPr>
          <w:b/>
          <w:color w:val="00127A"/>
        </w:rPr>
      </w:pPr>
      <w:r>
        <w:rPr>
          <w:b/>
          <w:color w:val="00127A"/>
        </w:rPr>
        <w:lastRenderedPageBreak/>
        <w:t>What measures would be necessary to prevent or remedy serious injury and to facilitate adjustment</w:t>
      </w:r>
    </w:p>
    <w:p w:rsidR="004D0BCD" w:rsidRDefault="00A4700D">
      <w:pPr>
        <w:pStyle w:val="BodyText"/>
      </w:pPr>
      <w:r>
        <w:t>Many canned tomato growers in the Goulburn Valley currently find themselves in awful financial circumstances with current market conditions. With SPC Ardmona’s recent decision to drastically cut the number of suppliers, on top of ongoing incremental rationalisation, the profit outlook is poor across the industry. It is clear that some businesses will be commercially unviable with little equity and limited cash flow going forward.</w:t>
      </w:r>
    </w:p>
    <w:p w:rsidR="004D0BCD" w:rsidRDefault="00A4700D">
      <w:pPr>
        <w:pStyle w:val="BodyText"/>
      </w:pPr>
      <w:r>
        <w:t>In this difficult environment, it is inevitable that some growers will exit the industry — as has already occurred. This is an unfortunate outcome for many farmers which can exact a terrible toll on individuals and families.</w:t>
      </w:r>
    </w:p>
    <w:p w:rsidR="004D0BCD" w:rsidRDefault="00A4700D">
      <w:pPr>
        <w:pStyle w:val="BodyText"/>
      </w:pPr>
      <w:r>
        <w:t>The introduction of immediate provisional tariff support on processed tomato products would be a useful start to help prevent further serious damage to the industry. This would be consistent with established procedures for undertaking inquiries by the Productivity Commission into whether safeguard action is warranted (Commonwealth of Australia Gazette No. S 297, 25 June 1998). This provides for provisional tariff increases for up to 200 days, which would be revoked when the Government reached a decision on the imposition of safeguard measures following receipt of the Commission’s final report.</w:t>
      </w:r>
    </w:p>
    <w:p w:rsidR="004D0BCD" w:rsidRDefault="00A4700D">
      <w:pPr>
        <w:pStyle w:val="BodyText"/>
      </w:pPr>
      <w:r>
        <w:t>While access to financial assistance through Commonwealth and State Government programs such as concessional loans can provide some relief, supporting less viable canning tomato businesses leave the industry may also have merit. In this regard, the process of structural adjustment in the form of fewer and generally larger scale operations has long been a feature of Australia’s farming landscape.</w:t>
      </w:r>
    </w:p>
    <w:p w:rsidR="004D0BCD" w:rsidRDefault="00A4700D">
      <w:pPr>
        <w:pStyle w:val="BodyText"/>
        <w:rPr>
          <w:b/>
        </w:rPr>
      </w:pPr>
      <w:r>
        <w:rPr>
          <w:b/>
        </w:rPr>
        <w:t>Assessing the impact of regulation — whether those measures should be implemented</w:t>
      </w:r>
    </w:p>
    <w:p w:rsidR="004D0BCD" w:rsidRDefault="00A4700D">
      <w:pPr>
        <w:pStyle w:val="BodyText"/>
      </w:pPr>
      <w:r>
        <w:t>The importance of a sustainable agriculture and food manufacturing industry to the regional economy is highlighted in the significant levels of employment in farming within the region.  Employment in the agricultural sector in the Greater Shepparton and Upper Goulburn Valley areas totals over 7,200 jobs (2011 Census), representing around 10.8% of overall employment across these regions.</w:t>
      </w:r>
    </w:p>
    <w:p w:rsidR="00F64094" w:rsidRDefault="00F64094" w:rsidP="00F64094">
      <w:pPr>
        <w:pStyle w:val="BodyText"/>
      </w:pPr>
      <w:r>
        <w:t xml:space="preserve">It has been reported that more than 1500 jobs including seasonal work such as fruit-picking are expected to be lost. 533 part-time, casual and full-time jobs have already been lost on peach and pear orchard (D Gray, ‘Future not so peachy but growers keen to stay’, The Age, 10 June 2013). </w:t>
      </w:r>
    </w:p>
    <w:p w:rsidR="00F64094" w:rsidRDefault="00F64094" w:rsidP="00F64094">
      <w:pPr>
        <w:pStyle w:val="BodyText"/>
      </w:pPr>
      <w:r>
        <w:t xml:space="preserve">According to REMPLAN Economic Impact Analysis using data from the ABS 2011 Census JTW Employment Data, ABS 2008 / 2009 National Input Output Tables, and                                         ABS June 2012 Gross State Product, from a loss of 100 direct jobs in the Fruit Product Manufacturing Industry Sector it is estimated that Greater Shepparton’s annual economic output would decrease $82.690 million.  From this direct contraction in the economy, flow-on industrial effects in terms of local purchases of goods and services are anticipated, and it is estimated that these indirect impacts would result in the loss of a further 149 jobs. </w:t>
      </w:r>
    </w:p>
    <w:p w:rsidR="00F64094" w:rsidRDefault="00F64094" w:rsidP="00F64094">
      <w:pPr>
        <w:pStyle w:val="BodyText"/>
      </w:pPr>
      <w:r>
        <w:t xml:space="preserve">The decrease in direct and indirect output and the corresponding loss of jobs in the economy are expected to result in a decrease in the wages and salaries paid to local employees.  A </w:t>
      </w:r>
      <w:r>
        <w:lastRenderedPageBreak/>
        <w:t>proportion of these wages and salaries are typically spent on consumption and a proportion of this expenditure is captured in the local economy. The consumption effects under this scenario are estimated to further reduce employment by 72 jobs.</w:t>
      </w:r>
    </w:p>
    <w:p w:rsidR="00F64094" w:rsidRDefault="00F64094" w:rsidP="00F64094">
      <w:pPr>
        <w:pStyle w:val="BodyText"/>
      </w:pPr>
      <w:r>
        <w:rPr>
          <w:noProof/>
          <w:color w:val="1F497D"/>
          <w:lang w:eastAsia="en-AU"/>
        </w:rPr>
        <w:drawing>
          <wp:inline distT="0" distB="0" distL="0" distR="0" wp14:anchorId="37901045" wp14:editId="4D89789E">
            <wp:extent cx="5400040" cy="1616096"/>
            <wp:effectExtent l="0" t="0" r="0" b="3175"/>
            <wp:docPr id="2" name="Picture 2" descr="cid:image002.png@01CE86E8.1BBA6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E86E8.1BBA6C6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400040" cy="1616096"/>
                    </a:xfrm>
                    <a:prstGeom prst="rect">
                      <a:avLst/>
                    </a:prstGeom>
                    <a:noFill/>
                    <a:ln>
                      <a:noFill/>
                    </a:ln>
                  </pic:spPr>
                </pic:pic>
              </a:graphicData>
            </a:graphic>
          </wp:inline>
        </w:drawing>
      </w:r>
    </w:p>
    <w:p w:rsidR="00F64094" w:rsidRDefault="00F64094" w:rsidP="00F64094">
      <w:pPr>
        <w:pStyle w:val="BodyText"/>
      </w:pPr>
      <w:r>
        <w:t>Total employment, including all direct, industrial and consumption effects is estimated to decrease by up to 321 jobs. This represents a Type 2 Employment multiplier of 3.210.  That is, for every 100 direct jobs lost in the Fruit Product Manufacturing Industry Sector it is estimated that up to a further 221 jobs would be lost in the Greater Shepparton economy once flow-on industrial and consumption effects are taken into consideration (REMPLAN Economic Impact Analysis).</w:t>
      </w:r>
    </w:p>
    <w:p w:rsidR="008017EB" w:rsidRDefault="00F64094" w:rsidP="00F64094">
      <w:pPr>
        <w:pStyle w:val="BodyText"/>
      </w:pPr>
      <w:r>
        <w:t>While domestic canning operations are concentrated in one company (SPC Ardmona), the supply chain across the processed fruit industry is relatively broad. It extends from canning operations, on-farm activities, and to agribusiness suppliers and other businesses. Employment within a region also impacts on other services like housing, education and health services. In this sense, fruit processing provides a form of logistics architecture for the region.</w:t>
      </w:r>
    </w:p>
    <w:p w:rsidR="004D0BCD" w:rsidRDefault="00A4700D">
      <w:pPr>
        <w:pStyle w:val="BodyText"/>
      </w:pPr>
      <w:r>
        <w:t>While domestic canning operations are concentrated in one company (SPC Ardmona), the supply chain across the processed tomato and fruit industry is relatively broad.  It extends from canning operations, on-farm activities, and to agribusiness suppliers and other businesses.  In this sense, tomato processing provides a form of logistics architecture for the region.</w:t>
      </w:r>
    </w:p>
    <w:p w:rsidR="004D0BCD" w:rsidRDefault="00A4700D">
      <w:pPr>
        <w:pStyle w:val="BodyText"/>
      </w:pPr>
      <w:r>
        <w:t>An important consequence of these linkages is that any further impairment in the processed tomato industry will have detrimental spill-over impacts across the region.  Simply put, a reduction in income to canners and growers, and attendant decreases in employment, will lead to reduced demand for agricultural suppliers and other industries, generating a further loss in employment.</w:t>
      </w:r>
    </w:p>
    <w:p w:rsidR="004D0BCD" w:rsidRDefault="00A4700D">
      <w:pPr>
        <w:pStyle w:val="BodyText"/>
      </w:pPr>
      <w:r>
        <w:t>Such considerations need to be carefully weighed up in deliberations over the merits of introducing safeguard measures and other forms of structural assistance for the industry. For a region heavily geared towards agriculture, the potential adverse consequences for overall economic activity are particularly acute.</w:t>
      </w:r>
    </w:p>
    <w:p w:rsidR="004D0BCD" w:rsidRDefault="00A4700D">
      <w:pPr>
        <w:pStyle w:val="HeadingB"/>
      </w:pPr>
      <w:r>
        <w:t>Some additional matters</w:t>
      </w:r>
    </w:p>
    <w:p w:rsidR="004D0BCD" w:rsidRDefault="00A4700D">
      <w:pPr>
        <w:pStyle w:val="BodyText"/>
        <w:rPr>
          <w:i/>
        </w:rPr>
      </w:pPr>
      <w:r>
        <w:rPr>
          <w:i/>
        </w:rPr>
        <w:t>WTO frameworks</w:t>
      </w:r>
    </w:p>
    <w:p w:rsidR="004D0BCD" w:rsidRDefault="00A4700D">
      <w:pPr>
        <w:pStyle w:val="BodyText"/>
      </w:pPr>
      <w:r>
        <w:t xml:space="preserve">WTO provisions and their interpretation, including by the WTO appellate body, have taken a highly restrictive position on the application of safeguard measures. Many of the safeguard </w:t>
      </w:r>
      <w:r>
        <w:lastRenderedPageBreak/>
        <w:t>measures have been challenged in the WTO dispute resolution process. And most, if not all, cases have found the challenged measure to be in violation of WTO law.</w:t>
      </w:r>
    </w:p>
    <w:p w:rsidR="004D0BCD" w:rsidRDefault="00A4700D">
      <w:pPr>
        <w:pStyle w:val="BodyText"/>
      </w:pPr>
      <w:r>
        <w:t>As a result, the safeguards mechanism has proven increasingly impractical due to legal impediments.</w:t>
      </w:r>
    </w:p>
    <w:p w:rsidR="004D0BCD" w:rsidRDefault="00A4700D">
      <w:pPr>
        <w:pStyle w:val="BodyText"/>
      </w:pPr>
      <w:r>
        <w:t>There is a concern that such issues will come into play during this inquiry process and any resultant determination. This would serve to undermine the legitimate grievances of the industry concerning the substantial cost-price squeeze generated by the flood of imported products into the Australian market.</w:t>
      </w:r>
    </w:p>
    <w:p w:rsidR="004D0BCD" w:rsidRDefault="00A4700D">
      <w:pPr>
        <w:pStyle w:val="BodyText"/>
      </w:pPr>
      <w:r>
        <w:t>While limiting the use of the safeguards mechanism is an explicit intention of the underlying agreement — indeed, it is intended as a temporary, ‘emergency action’ — an overly restrictive and legalistic approach can be counterproductive to promoting welfare-enhancing trade liberalisation in world markets. For instance, it can encourage countries to be excessively ‘cautious’ in their commitments to ongoing trade reforms and to pursue alternative forms of redress. This can further add to the already complicated maze of (potentially distorting and discriminatory) international trade arrangements.</w:t>
      </w:r>
    </w:p>
    <w:p w:rsidR="004D0BCD" w:rsidRDefault="00A4700D">
      <w:pPr>
        <w:pStyle w:val="BodyText"/>
      </w:pPr>
      <w:r>
        <w:t xml:space="preserve">In this sense, improving how implementation of the safeguards mechanism corresponds to the intent of the WTO rules should be a longer term priority for countries as part of international trade discussions. Other worthwhile reforms to the global trade framework could include measures to improve the transparency of broader WTO processes and to enhance the provision of relevant trade data (for instance, on the level of tariff, non-tariff barriers and subsidies applying in agricultural and food markets). </w:t>
      </w:r>
    </w:p>
    <w:p w:rsidR="004D0BCD" w:rsidRDefault="00A4700D">
      <w:pPr>
        <w:pStyle w:val="BodyText"/>
      </w:pPr>
      <w:r>
        <w:t>Such issues were recently highlighted by the Director-General of the WTO (speech at the University of International Business and Economics in Beijing on 20 September 2012) in the context of improving the integration of preferential trade agreements within the WTO multilateral trading system.</w:t>
      </w:r>
    </w:p>
    <w:p w:rsidR="004D0BCD" w:rsidRDefault="00A4700D">
      <w:pPr>
        <w:pStyle w:val="BodyText"/>
      </w:pPr>
      <w:r>
        <w:t>Many of these matters (which often go to issues of WTO jurisprudence) are clearly beyond the remit of the Commission in prosecuting its obligations under this inquiry. Crucially, however, they point to areas where concerted policy attention is required.</w:t>
      </w:r>
    </w:p>
    <w:p w:rsidR="004D0BCD" w:rsidRPr="00F64094" w:rsidRDefault="00F64094">
      <w:pPr>
        <w:pStyle w:val="BodyText"/>
        <w:rPr>
          <w:i/>
        </w:rPr>
      </w:pPr>
      <w:r w:rsidRPr="00F64094">
        <w:rPr>
          <w:i/>
        </w:rPr>
        <w:t>Terms of Reference</w:t>
      </w:r>
    </w:p>
    <w:p w:rsidR="00F64094" w:rsidRDefault="00F64094" w:rsidP="00F64094">
      <w:pPr>
        <w:pStyle w:val="BodyText"/>
      </w:pPr>
      <w:r>
        <w:t xml:space="preserve">The terms of reference for the Productivity Commission Inquiry into the Import of Processed Fruit Products concerning the application of safeguard measures (in line with our obligations as a signatory of the World Trade Organisation) are outlined in Commonwealth of Australia Special Gazette No S 297. </w:t>
      </w:r>
    </w:p>
    <w:p w:rsidR="00F64094" w:rsidRDefault="00F64094" w:rsidP="00F64094">
      <w:pPr>
        <w:pStyle w:val="BodyText"/>
      </w:pPr>
      <w:r>
        <w:t xml:space="preserve">According to the Gazette, before recommending any safeguard measures the Commission must inquire and report on the following: </w:t>
      </w:r>
    </w:p>
    <w:p w:rsidR="00F64094" w:rsidRDefault="00F64094" w:rsidP="00F64094">
      <w:pPr>
        <w:pStyle w:val="BodyText"/>
      </w:pPr>
      <w:r>
        <w:t xml:space="preserve">a) whether the conditions are such that safeguard measures would be justified under the WTO Agreement; </w:t>
      </w:r>
    </w:p>
    <w:p w:rsidR="00F64094" w:rsidRDefault="00F64094" w:rsidP="00F64094">
      <w:pPr>
        <w:pStyle w:val="BodyText"/>
      </w:pPr>
      <w:r>
        <w:t>b) if so, what measures would be necessary to prevent or remedy serious injury and to facilitate adjustment</w:t>
      </w:r>
    </w:p>
    <w:p w:rsidR="00F64094" w:rsidRDefault="00F64094" w:rsidP="00F64094">
      <w:pPr>
        <w:pStyle w:val="BodyText"/>
      </w:pPr>
      <w:r>
        <w:lastRenderedPageBreak/>
        <w:t xml:space="preserve">c) whether, having regard to the Government’s requirements for assessing the impact of the regulation which affects business those measures should be implemented. </w:t>
      </w:r>
    </w:p>
    <w:p w:rsidR="00F64094" w:rsidRDefault="00F64094" w:rsidP="00F64094">
      <w:pPr>
        <w:pStyle w:val="BodyText"/>
      </w:pPr>
      <w:r>
        <w:t xml:space="preserve">Under Section 6 of Gazette, the Commission has been asked to conduct a broad ranging inquiry, including public hearings, in “which importers, exporters, and other interested parties can present evidence and their view….as to whether or not the application of a safeguard measure would be in the public interest.” </w:t>
      </w:r>
    </w:p>
    <w:p w:rsidR="00F64094" w:rsidRDefault="00F64094" w:rsidP="00F64094">
      <w:pPr>
        <w:pStyle w:val="BodyText"/>
      </w:pPr>
      <w:r>
        <w:t>In response, the Commission has stipulated that in accordance with the Best Practice Regulation Handbook and the Productivity Commission Act 1998 it will consider the need to “achieve higher living standards for all members of the Australian community”. In that context, the Commission will also consider the impact of safeguard measures on “fruit growers and other suppliers, downstream industries such as food services, grocery wholesalers and retailers, importers, local exporters and consumers”(pg 20 PC Issues Paper).</w:t>
      </w:r>
    </w:p>
    <w:p w:rsidR="004D0BCD" w:rsidRDefault="00F64094" w:rsidP="00F64094">
      <w:pPr>
        <w:pStyle w:val="BodyText"/>
      </w:pPr>
      <w:r>
        <w:t>It is essential that during the course of the Inquiry the Commission consider the varying degrees of impact on different stakeholders. The proportional impact of emergency safeguard measures will have a much greater effect on residents of the Goulburn Valley, than those living in Sydney. In line with the terms of reference, the Commission also needs to consider the socio-economic benefits of a sustainable domestic food industry and Australia’s food security.</w:t>
      </w:r>
    </w:p>
    <w:sectPr w:rsidR="004D0BCD">
      <w:headerReference w:type="default" r:id="rId19"/>
      <w:footerReference w:type="default" r:id="rId20"/>
      <w:pgSz w:w="11906" w:h="16838"/>
      <w:pgMar w:top="1701" w:right="1701" w:bottom="1701" w:left="1701"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39C" w:rsidRDefault="0032539C" w:rsidP="00680968">
      <w:pPr>
        <w:pStyle w:val="Tabletotals"/>
      </w:pPr>
      <w:r>
        <w:separator/>
      </w:r>
    </w:p>
  </w:endnote>
  <w:endnote w:type="continuationSeparator" w:id="0">
    <w:p w:rsidR="0032539C" w:rsidRDefault="0032539C" w:rsidP="00680968">
      <w:pPr>
        <w:pStyle w:val="Tabletotal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F557BA8F-D268-4DB7-A2EA-B21F05A4D95B}"/>
    <w:embedBold r:id="rId2" w:fontKey="{03F09302-1E76-4072-BE2D-5AD8E55BD49F}"/>
    <w:embedItalic r:id="rId3" w:fontKey="{2EE762F8-617F-4846-99B7-2B4D567863E5}"/>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A6" w:rsidRPr="00905EAD" w:rsidRDefault="00BB41A6">
    <w:pPr>
      <w:pStyle w:val="Footer"/>
      <w:jc w:val="right"/>
      <w:rPr>
        <w:sz w:val="16"/>
      </w:rPr>
    </w:pPr>
    <w:r w:rsidRPr="00905EAD">
      <w:rPr>
        <w:sz w:val="16"/>
      </w:rPr>
      <w:fldChar w:fldCharType="begin"/>
    </w:r>
    <w:r w:rsidRPr="00905EAD">
      <w:rPr>
        <w:sz w:val="16"/>
      </w:rPr>
      <w:instrText xml:space="preserve"> PAGE   \* MERGEFORMAT </w:instrText>
    </w:r>
    <w:r w:rsidRPr="00905EAD">
      <w:rPr>
        <w:sz w:val="16"/>
      </w:rPr>
      <w:fldChar w:fldCharType="separate"/>
    </w:r>
    <w:r w:rsidR="00B50328">
      <w:rPr>
        <w:noProof/>
        <w:sz w:val="16"/>
      </w:rPr>
      <w:t>1</w:t>
    </w:r>
    <w:r w:rsidRPr="00905EAD">
      <w:rPr>
        <w:sz w:val="16"/>
      </w:rPr>
      <w:fldChar w:fldCharType="end"/>
    </w:r>
  </w:p>
  <w:p w:rsidR="00BB41A6" w:rsidRDefault="00BB41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A6" w:rsidRPr="00905EAD" w:rsidRDefault="00BB41A6">
    <w:pPr>
      <w:pStyle w:val="Footer"/>
      <w:jc w:val="right"/>
      <w:rPr>
        <w:sz w:val="16"/>
      </w:rPr>
    </w:pPr>
    <w:r w:rsidRPr="00905EAD">
      <w:rPr>
        <w:sz w:val="16"/>
      </w:rPr>
      <w:fldChar w:fldCharType="begin"/>
    </w:r>
    <w:r w:rsidRPr="00905EAD">
      <w:rPr>
        <w:sz w:val="16"/>
      </w:rPr>
      <w:instrText xml:space="preserve"> PAGE   \* MERGEFORMAT </w:instrText>
    </w:r>
    <w:r w:rsidRPr="00905EAD">
      <w:rPr>
        <w:sz w:val="16"/>
      </w:rPr>
      <w:fldChar w:fldCharType="separate"/>
    </w:r>
    <w:r w:rsidR="00B50328">
      <w:rPr>
        <w:noProof/>
        <w:sz w:val="16"/>
      </w:rPr>
      <w:t>9</w:t>
    </w:r>
    <w:r w:rsidRPr="00905EAD">
      <w:rPr>
        <w:sz w:val="16"/>
      </w:rPr>
      <w:fldChar w:fldCharType="end"/>
    </w:r>
  </w:p>
  <w:p w:rsidR="00BB41A6" w:rsidRDefault="00BB41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A6" w:rsidRPr="00905EAD" w:rsidRDefault="00BB41A6">
    <w:pPr>
      <w:pStyle w:val="Footer"/>
      <w:jc w:val="right"/>
      <w:rPr>
        <w:sz w:val="16"/>
      </w:rPr>
    </w:pPr>
    <w:r w:rsidRPr="00905EAD">
      <w:rPr>
        <w:sz w:val="16"/>
      </w:rPr>
      <w:fldChar w:fldCharType="begin"/>
    </w:r>
    <w:r w:rsidRPr="00905EAD">
      <w:rPr>
        <w:sz w:val="16"/>
      </w:rPr>
      <w:instrText xml:space="preserve"> PAGE   \* MERGEFORMAT </w:instrText>
    </w:r>
    <w:r w:rsidRPr="00905EAD">
      <w:rPr>
        <w:sz w:val="16"/>
      </w:rPr>
      <w:fldChar w:fldCharType="separate"/>
    </w:r>
    <w:r w:rsidR="00BC1FA6">
      <w:rPr>
        <w:noProof/>
        <w:sz w:val="16"/>
      </w:rPr>
      <w:t>10</w:t>
    </w:r>
    <w:r w:rsidRPr="00905EAD">
      <w:rPr>
        <w:sz w:val="16"/>
      </w:rPr>
      <w:fldChar w:fldCharType="end"/>
    </w:r>
  </w:p>
  <w:p w:rsidR="00BB41A6" w:rsidRDefault="00BB4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39C" w:rsidRDefault="0032539C" w:rsidP="00680968">
      <w:pPr>
        <w:pStyle w:val="Tabletotals"/>
      </w:pPr>
      <w:r>
        <w:separator/>
      </w:r>
    </w:p>
  </w:footnote>
  <w:footnote w:type="continuationSeparator" w:id="0">
    <w:p w:rsidR="0032539C" w:rsidRDefault="0032539C" w:rsidP="00680968">
      <w:pPr>
        <w:pStyle w:val="Tabletotals"/>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A6" w:rsidRDefault="00BB41A6" w:rsidP="00263D7B">
    <w:pPr>
      <w:pStyle w:val="BodyText"/>
    </w:pPr>
  </w:p>
  <w:p w:rsidR="00BB41A6" w:rsidRPr="00263D7B" w:rsidRDefault="00BB41A6" w:rsidP="00263D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A6" w:rsidRDefault="00BB41A6" w:rsidP="00263D7B">
    <w:pPr>
      <w:pStyle w:val="BodyText"/>
    </w:pPr>
  </w:p>
  <w:p w:rsidR="00BB41A6" w:rsidRPr="00263D7B" w:rsidRDefault="00BB41A6" w:rsidP="00263D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046A"/>
    <w:multiLevelType w:val="hybridMultilevel"/>
    <w:tmpl w:val="DBB8B422"/>
    <w:lvl w:ilvl="0" w:tplc="C22C99E6">
      <w:start w:val="1"/>
      <w:numFmt w:val="bullet"/>
      <w:lvlText w:val=""/>
      <w:lvlJc w:val="left"/>
      <w:pPr>
        <w:ind w:left="360" w:hanging="360"/>
      </w:pPr>
      <w:rPr>
        <w:rFonts w:ascii="Symbol" w:hAnsi="Symbol"/>
      </w:rPr>
    </w:lvl>
    <w:lvl w:ilvl="1" w:tplc="B704A0A6">
      <w:start w:val="1"/>
      <w:numFmt w:val="bullet"/>
      <w:lvlText w:val="o"/>
      <w:lvlJc w:val="left"/>
      <w:pPr>
        <w:ind w:left="1080" w:hanging="360"/>
      </w:pPr>
      <w:rPr>
        <w:rFonts w:ascii="Courier New" w:hAnsi="Courier New"/>
      </w:rPr>
    </w:lvl>
    <w:lvl w:ilvl="2" w:tplc="8904D0DA">
      <w:start w:val="1"/>
      <w:numFmt w:val="bullet"/>
      <w:lvlText w:val=""/>
      <w:lvlJc w:val="left"/>
      <w:pPr>
        <w:ind w:left="1800" w:hanging="360"/>
      </w:pPr>
      <w:rPr>
        <w:rFonts w:ascii="Wingdings" w:hAnsi="Wingdings"/>
      </w:rPr>
    </w:lvl>
    <w:lvl w:ilvl="3" w:tplc="F43C5932">
      <w:start w:val="1"/>
      <w:numFmt w:val="bullet"/>
      <w:lvlText w:val=""/>
      <w:lvlJc w:val="left"/>
      <w:pPr>
        <w:ind w:left="2520" w:hanging="360"/>
      </w:pPr>
      <w:rPr>
        <w:rFonts w:ascii="Symbol" w:hAnsi="Symbol"/>
      </w:rPr>
    </w:lvl>
    <w:lvl w:ilvl="4" w:tplc="4E22E500">
      <w:start w:val="1"/>
      <w:numFmt w:val="bullet"/>
      <w:lvlText w:val="o"/>
      <w:lvlJc w:val="left"/>
      <w:pPr>
        <w:ind w:left="3240" w:hanging="360"/>
      </w:pPr>
      <w:rPr>
        <w:rFonts w:ascii="Courier New" w:hAnsi="Courier New"/>
      </w:rPr>
    </w:lvl>
    <w:lvl w:ilvl="5" w:tplc="B4BE51E0">
      <w:start w:val="1"/>
      <w:numFmt w:val="bullet"/>
      <w:lvlText w:val=""/>
      <w:lvlJc w:val="left"/>
      <w:pPr>
        <w:ind w:left="3960" w:hanging="360"/>
      </w:pPr>
      <w:rPr>
        <w:rFonts w:ascii="Wingdings" w:hAnsi="Wingdings"/>
      </w:rPr>
    </w:lvl>
    <w:lvl w:ilvl="6" w:tplc="5B9ABBE0">
      <w:start w:val="1"/>
      <w:numFmt w:val="bullet"/>
      <w:lvlText w:val=""/>
      <w:lvlJc w:val="left"/>
      <w:pPr>
        <w:ind w:left="4680" w:hanging="360"/>
      </w:pPr>
      <w:rPr>
        <w:rFonts w:ascii="Symbol" w:hAnsi="Symbol"/>
      </w:rPr>
    </w:lvl>
    <w:lvl w:ilvl="7" w:tplc="01AA3968">
      <w:start w:val="1"/>
      <w:numFmt w:val="bullet"/>
      <w:lvlText w:val="o"/>
      <w:lvlJc w:val="left"/>
      <w:pPr>
        <w:ind w:left="5400" w:hanging="360"/>
      </w:pPr>
      <w:rPr>
        <w:rFonts w:ascii="Courier New" w:hAnsi="Courier New"/>
      </w:rPr>
    </w:lvl>
    <w:lvl w:ilvl="8" w:tplc="BAF006C2">
      <w:start w:val="1"/>
      <w:numFmt w:val="bullet"/>
      <w:lvlText w:val=""/>
      <w:lvlJc w:val="left"/>
      <w:pPr>
        <w:ind w:left="6120" w:hanging="360"/>
      </w:pPr>
      <w:rPr>
        <w:rFonts w:ascii="Wingdings" w:hAnsi="Wingdings"/>
      </w:rPr>
    </w:lvl>
  </w:abstractNum>
  <w:abstractNum w:abstractNumId="1">
    <w:nsid w:val="05024928"/>
    <w:multiLevelType w:val="hybridMultilevel"/>
    <w:tmpl w:val="1450AD28"/>
    <w:lvl w:ilvl="0" w:tplc="A19C4A50">
      <w:start w:val="1"/>
      <w:numFmt w:val="bullet"/>
      <w:lvlText w:val=""/>
      <w:lvlJc w:val="left"/>
      <w:pPr>
        <w:ind w:left="720" w:hanging="360"/>
      </w:pPr>
      <w:rPr>
        <w:rFonts w:ascii="Symbol" w:hAnsi="Symbol"/>
      </w:rPr>
    </w:lvl>
    <w:lvl w:ilvl="1" w:tplc="3ED4CE00">
      <w:start w:val="1"/>
      <w:numFmt w:val="bullet"/>
      <w:lvlText w:val="o"/>
      <w:lvlJc w:val="left"/>
      <w:pPr>
        <w:ind w:left="1440" w:hanging="360"/>
      </w:pPr>
      <w:rPr>
        <w:rFonts w:ascii="Courier New" w:hAnsi="Courier New"/>
      </w:rPr>
    </w:lvl>
    <w:lvl w:ilvl="2" w:tplc="6DEED12E">
      <w:start w:val="1"/>
      <w:numFmt w:val="bullet"/>
      <w:lvlText w:val=""/>
      <w:lvlJc w:val="left"/>
      <w:pPr>
        <w:ind w:left="2160" w:hanging="360"/>
      </w:pPr>
      <w:rPr>
        <w:rFonts w:ascii="Wingdings" w:hAnsi="Wingdings"/>
      </w:rPr>
    </w:lvl>
    <w:lvl w:ilvl="3" w:tplc="82D22664">
      <w:start w:val="1"/>
      <w:numFmt w:val="bullet"/>
      <w:lvlText w:val=""/>
      <w:lvlJc w:val="left"/>
      <w:pPr>
        <w:ind w:left="2880" w:hanging="360"/>
      </w:pPr>
      <w:rPr>
        <w:rFonts w:ascii="Symbol" w:hAnsi="Symbol"/>
      </w:rPr>
    </w:lvl>
    <w:lvl w:ilvl="4" w:tplc="50BCC384">
      <w:start w:val="1"/>
      <w:numFmt w:val="bullet"/>
      <w:lvlText w:val="o"/>
      <w:lvlJc w:val="left"/>
      <w:pPr>
        <w:ind w:left="3600" w:hanging="360"/>
      </w:pPr>
      <w:rPr>
        <w:rFonts w:ascii="Courier New" w:hAnsi="Courier New"/>
      </w:rPr>
    </w:lvl>
    <w:lvl w:ilvl="5" w:tplc="542EFE38">
      <w:start w:val="1"/>
      <w:numFmt w:val="bullet"/>
      <w:lvlText w:val=""/>
      <w:lvlJc w:val="left"/>
      <w:pPr>
        <w:ind w:left="4320" w:hanging="360"/>
      </w:pPr>
      <w:rPr>
        <w:rFonts w:ascii="Wingdings" w:hAnsi="Wingdings"/>
      </w:rPr>
    </w:lvl>
    <w:lvl w:ilvl="6" w:tplc="3C2E2F44">
      <w:start w:val="1"/>
      <w:numFmt w:val="bullet"/>
      <w:lvlText w:val=""/>
      <w:lvlJc w:val="left"/>
      <w:pPr>
        <w:ind w:left="5040" w:hanging="360"/>
      </w:pPr>
      <w:rPr>
        <w:rFonts w:ascii="Symbol" w:hAnsi="Symbol"/>
      </w:rPr>
    </w:lvl>
    <w:lvl w:ilvl="7" w:tplc="8AC0857E">
      <w:start w:val="1"/>
      <w:numFmt w:val="bullet"/>
      <w:lvlText w:val="o"/>
      <w:lvlJc w:val="left"/>
      <w:pPr>
        <w:ind w:left="5760" w:hanging="360"/>
      </w:pPr>
      <w:rPr>
        <w:rFonts w:ascii="Courier New" w:hAnsi="Courier New"/>
      </w:rPr>
    </w:lvl>
    <w:lvl w:ilvl="8" w:tplc="C6A8AD22">
      <w:start w:val="1"/>
      <w:numFmt w:val="bullet"/>
      <w:lvlText w:val=""/>
      <w:lvlJc w:val="left"/>
      <w:pPr>
        <w:ind w:left="6480" w:hanging="360"/>
      </w:pPr>
      <w:rPr>
        <w:rFonts w:ascii="Wingdings" w:hAnsi="Wingdings"/>
      </w:rPr>
    </w:lvl>
  </w:abstractNum>
  <w:abstractNum w:abstractNumId="2">
    <w:nsid w:val="058C6DD7"/>
    <w:multiLevelType w:val="multilevel"/>
    <w:tmpl w:val="FA041674"/>
    <w:lvl w:ilvl="0">
      <w:start w:val="1"/>
      <w:numFmt w:val="upperLetter"/>
      <w:pStyle w:val="Appendix"/>
      <w:lvlText w:val=""/>
      <w:lvlJc w:val="left"/>
      <w:pPr>
        <w:ind w:left="0"/>
      </w:pPr>
    </w:lvl>
    <w:lvl w:ilvl="1">
      <w:start w:val="1"/>
      <w:numFmt w:val="decimal"/>
      <w:pStyle w:val="AppendixTableCaption"/>
      <w:lvlText w:val=""/>
      <w:lvlJc w:val="left"/>
      <w:pPr>
        <w:ind w:left="0"/>
      </w:pPr>
      <w:rPr>
        <w:rFonts w:ascii="Calibri" w:hAnsi="Calibri"/>
        <w:b/>
        <w:i w:val="0"/>
        <w:color w:val="002776"/>
        <w:sz w:val="22"/>
      </w:rPr>
    </w:lvl>
    <w:lvl w:ilvl="2">
      <w:start w:val="1"/>
      <w:numFmt w:val="decimal"/>
      <w:pStyle w:val="AppendixChartCaption"/>
      <w:lvlText w:val=""/>
      <w:lvlJc w:val="left"/>
      <w:pPr>
        <w:ind w:left="0"/>
      </w:pPr>
      <w:rPr>
        <w:rFonts w:ascii="Calibri" w:hAnsi="Calibri"/>
        <w:b/>
        <w:i w:val="0"/>
        <w:color w:val="002776"/>
        <w:sz w:val="22"/>
      </w:rPr>
    </w:lvl>
    <w:lvl w:ilvl="3">
      <w:start w:val="1"/>
      <w:numFmt w:val="decimal"/>
      <w:pStyle w:val="AppendixFigureCaption"/>
      <w:lvlText w:val=""/>
      <w:lvlJc w:val="left"/>
      <w:pPr>
        <w:ind w:left="0"/>
      </w:pPr>
      <w:rPr>
        <w:rFonts w:ascii="Calibri" w:hAnsi="Calibri"/>
        <w:b/>
        <w:i w:val="0"/>
        <w:color w:val="002776"/>
        <w:sz w:val="22"/>
      </w:rPr>
    </w:lvl>
    <w:lvl w:ilvl="4">
      <w:start w:val="1"/>
      <w:numFmt w:val="decimal"/>
      <w:lvlText w:val="%1.%2.%3.%4.%5."/>
      <w:lvlJc w:val="left"/>
      <w:pPr>
        <w:tabs>
          <w:tab w:val="num" w:pos="1134"/>
        </w:tabs>
        <w:ind w:left="1134" w:hanging="1134"/>
      </w:pPr>
      <w:rPr>
        <w:rFonts w:ascii="Arial" w:hAnsi="Arial"/>
        <w:b w:val="0"/>
        <w:i w:val="0"/>
        <w:color w:val="931638"/>
        <w:sz w:val="20"/>
      </w:rPr>
    </w:lvl>
    <w:lvl w:ilvl="5">
      <w:start w:val="1"/>
      <w:numFmt w:val="decimal"/>
      <w:lvlText w:val="%1.%2.%3.%4.%5.%6."/>
      <w:lvlJc w:val="left"/>
      <w:pPr>
        <w:tabs>
          <w:tab w:val="num" w:pos="1701"/>
        </w:tabs>
        <w:ind w:left="1701" w:hanging="1701"/>
      </w:pPr>
      <w:rPr>
        <w:rFonts w:ascii="Arial" w:hAnsi="Arial"/>
        <w:b w:val="0"/>
        <w:i w:val="0"/>
        <w:color w:val="931638"/>
        <w:sz w:val="20"/>
      </w:rPr>
    </w:lvl>
    <w:lvl w:ilvl="6">
      <w:start w:val="1"/>
      <w:numFmt w:val="decimal"/>
      <w:lvlText w:val="%1.%2.%3.%4.%5.%6.%7."/>
      <w:lvlJc w:val="left"/>
      <w:pPr>
        <w:tabs>
          <w:tab w:val="num" w:pos="1701"/>
        </w:tabs>
        <w:ind w:left="1701" w:hanging="1701"/>
      </w:pPr>
      <w:rPr>
        <w:rFonts w:ascii="Arial" w:hAnsi="Arial"/>
        <w:b w:val="0"/>
        <w:i w:val="0"/>
        <w:color w:val="931638"/>
        <w:sz w:val="20"/>
      </w:rPr>
    </w:lvl>
    <w:lvl w:ilvl="7">
      <w:start w:val="1"/>
      <w:numFmt w:val="decimal"/>
      <w:lvlText w:val="%1.%2.%3.%4.%5.%6.%7.%8."/>
      <w:lvlJc w:val="left"/>
      <w:pPr>
        <w:tabs>
          <w:tab w:val="num" w:pos="1701"/>
        </w:tabs>
        <w:ind w:left="1701" w:hanging="1701"/>
      </w:pPr>
      <w:rPr>
        <w:rFonts w:ascii="Arial" w:hAnsi="Arial"/>
        <w:b w:val="0"/>
        <w:i w:val="0"/>
        <w:color w:val="931638"/>
        <w:sz w:val="20"/>
      </w:rPr>
    </w:lvl>
    <w:lvl w:ilvl="8">
      <w:start w:val="1"/>
      <w:numFmt w:val="decimal"/>
      <w:lvlText w:val="%1.%2.%3.%4.%5.%6.%7.%8.%9."/>
      <w:lvlJc w:val="left"/>
      <w:pPr>
        <w:tabs>
          <w:tab w:val="num" w:pos="1701"/>
        </w:tabs>
        <w:ind w:left="1701" w:hanging="1701"/>
      </w:pPr>
      <w:rPr>
        <w:rFonts w:ascii="Arial" w:hAnsi="Arial"/>
        <w:b w:val="0"/>
        <w:i w:val="0"/>
        <w:color w:val="931638"/>
        <w:sz w:val="20"/>
      </w:rPr>
    </w:lvl>
  </w:abstractNum>
  <w:abstractNum w:abstractNumId="3">
    <w:nsid w:val="06F64958"/>
    <w:multiLevelType w:val="hybridMultilevel"/>
    <w:tmpl w:val="5634608A"/>
    <w:lvl w:ilvl="0" w:tplc="B8B6AE24">
      <w:start w:val="1"/>
      <w:numFmt w:val="bullet"/>
      <w:lvlText w:val="-"/>
      <w:lvlJc w:val="left"/>
      <w:pPr>
        <w:tabs>
          <w:tab w:val="num" w:pos="360"/>
        </w:tabs>
        <w:ind w:left="360" w:hanging="360"/>
      </w:pPr>
      <w:rPr>
        <w:rFonts w:ascii="Courier New" w:hAnsi="Courier New"/>
      </w:rPr>
    </w:lvl>
    <w:lvl w:ilvl="1" w:tplc="07A0EF8A">
      <w:start w:val="1"/>
      <w:numFmt w:val="bullet"/>
      <w:lvlText w:val="o"/>
      <w:lvlJc w:val="left"/>
      <w:pPr>
        <w:tabs>
          <w:tab w:val="num" w:pos="360"/>
        </w:tabs>
        <w:ind w:left="360" w:hanging="360"/>
      </w:pPr>
      <w:rPr>
        <w:rFonts w:ascii="Courier New" w:hAnsi="Courier New"/>
      </w:rPr>
    </w:lvl>
    <w:lvl w:ilvl="2" w:tplc="0B98320E">
      <w:start w:val="1"/>
      <w:numFmt w:val="bullet"/>
      <w:lvlText w:val=""/>
      <w:lvlJc w:val="left"/>
      <w:pPr>
        <w:tabs>
          <w:tab w:val="num" w:pos="1080"/>
        </w:tabs>
        <w:ind w:left="1080" w:hanging="360"/>
      </w:pPr>
      <w:rPr>
        <w:rFonts w:ascii="Wingdings" w:hAnsi="Wingdings"/>
      </w:rPr>
    </w:lvl>
    <w:lvl w:ilvl="3" w:tplc="C47C7400">
      <w:start w:val="1"/>
      <w:numFmt w:val="bullet"/>
      <w:lvlText w:val=""/>
      <w:lvlJc w:val="left"/>
      <w:pPr>
        <w:tabs>
          <w:tab w:val="num" w:pos="1800"/>
        </w:tabs>
        <w:ind w:left="1800" w:hanging="360"/>
      </w:pPr>
      <w:rPr>
        <w:rFonts w:ascii="Symbol" w:hAnsi="Symbol"/>
      </w:rPr>
    </w:lvl>
    <w:lvl w:ilvl="4" w:tplc="7DE07162">
      <w:start w:val="1"/>
      <w:numFmt w:val="bullet"/>
      <w:lvlText w:val="o"/>
      <w:lvlJc w:val="left"/>
      <w:pPr>
        <w:tabs>
          <w:tab w:val="num" w:pos="2520"/>
        </w:tabs>
        <w:ind w:left="2520" w:hanging="360"/>
      </w:pPr>
      <w:rPr>
        <w:rFonts w:ascii="Courier New" w:hAnsi="Courier New"/>
      </w:rPr>
    </w:lvl>
    <w:lvl w:ilvl="5" w:tplc="4E64AD56">
      <w:start w:val="1"/>
      <w:numFmt w:val="bullet"/>
      <w:lvlText w:val=""/>
      <w:lvlJc w:val="left"/>
      <w:pPr>
        <w:tabs>
          <w:tab w:val="num" w:pos="3240"/>
        </w:tabs>
        <w:ind w:left="3240" w:hanging="360"/>
      </w:pPr>
      <w:rPr>
        <w:rFonts w:ascii="Wingdings" w:hAnsi="Wingdings"/>
      </w:rPr>
    </w:lvl>
    <w:lvl w:ilvl="6" w:tplc="6F20778C">
      <w:start w:val="1"/>
      <w:numFmt w:val="bullet"/>
      <w:lvlText w:val=""/>
      <w:lvlJc w:val="left"/>
      <w:pPr>
        <w:tabs>
          <w:tab w:val="num" w:pos="3960"/>
        </w:tabs>
        <w:ind w:left="3960" w:hanging="360"/>
      </w:pPr>
      <w:rPr>
        <w:rFonts w:ascii="Symbol" w:hAnsi="Symbol"/>
      </w:rPr>
    </w:lvl>
    <w:lvl w:ilvl="7" w:tplc="C0E8028E">
      <w:start w:val="1"/>
      <w:numFmt w:val="bullet"/>
      <w:lvlText w:val="o"/>
      <w:lvlJc w:val="left"/>
      <w:pPr>
        <w:tabs>
          <w:tab w:val="num" w:pos="4680"/>
        </w:tabs>
        <w:ind w:left="4680" w:hanging="360"/>
      </w:pPr>
      <w:rPr>
        <w:rFonts w:ascii="Courier New" w:hAnsi="Courier New"/>
      </w:rPr>
    </w:lvl>
    <w:lvl w:ilvl="8" w:tplc="7A36F5C2">
      <w:start w:val="1"/>
      <w:numFmt w:val="bullet"/>
      <w:lvlText w:val=""/>
      <w:lvlJc w:val="left"/>
      <w:pPr>
        <w:tabs>
          <w:tab w:val="num" w:pos="5400"/>
        </w:tabs>
        <w:ind w:left="5400" w:hanging="360"/>
      </w:pPr>
      <w:rPr>
        <w:rFonts w:ascii="Wingdings" w:hAnsi="Wingdings"/>
      </w:rPr>
    </w:lvl>
  </w:abstractNum>
  <w:abstractNum w:abstractNumId="4">
    <w:nsid w:val="07020CBA"/>
    <w:multiLevelType w:val="singleLevel"/>
    <w:tmpl w:val="78AE38C0"/>
    <w:lvl w:ilvl="0">
      <w:start w:val="1"/>
      <w:numFmt w:val="upperLetter"/>
      <w:lvlText w:val="%1."/>
      <w:lvlJc w:val="left"/>
      <w:pPr>
        <w:tabs>
          <w:tab w:val="num" w:pos="567"/>
        </w:tabs>
        <w:ind w:left="567" w:hanging="567"/>
      </w:pPr>
      <w:rPr>
        <w:rFonts w:ascii="Arial" w:hAnsi="Arial"/>
        <w:b w:val="0"/>
        <w:i w:val="0"/>
        <w:color w:val="auto"/>
        <w:sz w:val="22"/>
      </w:rPr>
    </w:lvl>
  </w:abstractNum>
  <w:abstractNum w:abstractNumId="5">
    <w:nsid w:val="09C60F3C"/>
    <w:multiLevelType w:val="singleLevel"/>
    <w:tmpl w:val="807E04E6"/>
    <w:lvl w:ilvl="0">
      <w:start w:val="1"/>
      <w:numFmt w:val="bullet"/>
      <w:lvlText w:val=""/>
      <w:lvlJc w:val="left"/>
      <w:pPr>
        <w:tabs>
          <w:tab w:val="num" w:pos="360"/>
        </w:tabs>
        <w:ind w:left="360" w:hanging="360"/>
      </w:pPr>
      <w:rPr>
        <w:rFonts w:ascii="Wingdings" w:hAnsi="Wingdings"/>
        <w:sz w:val="16"/>
      </w:rPr>
    </w:lvl>
  </w:abstractNum>
  <w:abstractNum w:abstractNumId="6">
    <w:nsid w:val="0B365761"/>
    <w:multiLevelType w:val="hybridMultilevel"/>
    <w:tmpl w:val="9F1807C8"/>
    <w:lvl w:ilvl="0" w:tplc="B6B247BE">
      <w:start w:val="1"/>
      <w:numFmt w:val="bullet"/>
      <w:pStyle w:val="DBullet"/>
      <w:lvlText w:val=""/>
      <w:lvlJc w:val="left"/>
      <w:pPr>
        <w:tabs>
          <w:tab w:val="num" w:pos="357"/>
        </w:tabs>
        <w:ind w:left="357" w:hanging="357"/>
      </w:pPr>
      <w:rPr>
        <w:rFonts w:ascii="Symbol" w:hAnsi="Symbol"/>
      </w:rPr>
    </w:lvl>
    <w:lvl w:ilvl="1" w:tplc="A3EC0E5A">
      <w:start w:val="1"/>
      <w:numFmt w:val="bullet"/>
      <w:lvlText w:val="o"/>
      <w:lvlJc w:val="left"/>
      <w:pPr>
        <w:tabs>
          <w:tab w:val="num" w:pos="1090"/>
        </w:tabs>
        <w:ind w:left="1090" w:hanging="360"/>
      </w:pPr>
      <w:rPr>
        <w:rFonts w:ascii="Courier New" w:hAnsi="Courier New"/>
      </w:rPr>
    </w:lvl>
    <w:lvl w:ilvl="2" w:tplc="16FACBB8">
      <w:start w:val="1"/>
      <w:numFmt w:val="bullet"/>
      <w:lvlText w:val=""/>
      <w:lvlJc w:val="left"/>
      <w:pPr>
        <w:tabs>
          <w:tab w:val="num" w:pos="1810"/>
        </w:tabs>
        <w:ind w:left="1810" w:hanging="360"/>
      </w:pPr>
      <w:rPr>
        <w:rFonts w:ascii="Wingdings" w:hAnsi="Wingdings"/>
      </w:rPr>
    </w:lvl>
    <w:lvl w:ilvl="3" w:tplc="01EACBAC">
      <w:start w:val="1"/>
      <w:numFmt w:val="bullet"/>
      <w:lvlText w:val=""/>
      <w:lvlJc w:val="left"/>
      <w:pPr>
        <w:tabs>
          <w:tab w:val="num" w:pos="2530"/>
        </w:tabs>
        <w:ind w:left="2530" w:hanging="360"/>
      </w:pPr>
      <w:rPr>
        <w:rFonts w:ascii="Symbol" w:hAnsi="Symbol"/>
      </w:rPr>
    </w:lvl>
    <w:lvl w:ilvl="4" w:tplc="0712A1A0">
      <w:start w:val="1"/>
      <w:numFmt w:val="bullet"/>
      <w:lvlText w:val="o"/>
      <w:lvlJc w:val="left"/>
      <w:pPr>
        <w:tabs>
          <w:tab w:val="num" w:pos="3250"/>
        </w:tabs>
        <w:ind w:left="3250" w:hanging="360"/>
      </w:pPr>
      <w:rPr>
        <w:rFonts w:ascii="Courier New" w:hAnsi="Courier New"/>
      </w:rPr>
    </w:lvl>
    <w:lvl w:ilvl="5" w:tplc="1172BD8C">
      <w:start w:val="1"/>
      <w:numFmt w:val="bullet"/>
      <w:lvlText w:val=""/>
      <w:lvlJc w:val="left"/>
      <w:pPr>
        <w:tabs>
          <w:tab w:val="num" w:pos="3970"/>
        </w:tabs>
        <w:ind w:left="3970" w:hanging="360"/>
      </w:pPr>
      <w:rPr>
        <w:rFonts w:ascii="Wingdings" w:hAnsi="Wingdings"/>
      </w:rPr>
    </w:lvl>
    <w:lvl w:ilvl="6" w:tplc="42D43708">
      <w:start w:val="1"/>
      <w:numFmt w:val="bullet"/>
      <w:lvlText w:val=""/>
      <w:lvlJc w:val="left"/>
      <w:pPr>
        <w:tabs>
          <w:tab w:val="num" w:pos="4690"/>
        </w:tabs>
        <w:ind w:left="4690" w:hanging="360"/>
      </w:pPr>
      <w:rPr>
        <w:rFonts w:ascii="Symbol" w:hAnsi="Symbol"/>
      </w:rPr>
    </w:lvl>
    <w:lvl w:ilvl="7" w:tplc="74E04C34">
      <w:start w:val="1"/>
      <w:numFmt w:val="bullet"/>
      <w:lvlText w:val="o"/>
      <w:lvlJc w:val="left"/>
      <w:pPr>
        <w:tabs>
          <w:tab w:val="num" w:pos="5410"/>
        </w:tabs>
        <w:ind w:left="5410" w:hanging="360"/>
      </w:pPr>
      <w:rPr>
        <w:rFonts w:ascii="Courier New" w:hAnsi="Courier New"/>
      </w:rPr>
    </w:lvl>
    <w:lvl w:ilvl="8" w:tplc="E11C9AD6">
      <w:start w:val="1"/>
      <w:numFmt w:val="bullet"/>
      <w:lvlText w:val=""/>
      <w:lvlJc w:val="left"/>
      <w:pPr>
        <w:tabs>
          <w:tab w:val="num" w:pos="6130"/>
        </w:tabs>
        <w:ind w:left="6130" w:hanging="360"/>
      </w:pPr>
      <w:rPr>
        <w:rFonts w:ascii="Wingdings" w:hAnsi="Wingdings"/>
      </w:rPr>
    </w:lvl>
  </w:abstractNum>
  <w:abstractNum w:abstractNumId="7">
    <w:nsid w:val="0F2B1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
      <w:lvlJc w:val="left"/>
      <w:pPr>
        <w:tabs>
          <w:tab w:val="num" w:pos="1440"/>
        </w:tabs>
        <w:ind w:left="1440" w:hanging="360"/>
      </w:pPr>
    </w:lvl>
    <w:lvl w:ilvl="4">
      <w:start w:val="1"/>
      <w:numFmt w:val="lowerLetter"/>
      <w:lvlText w:val=""/>
      <w:lvlJc w:val="left"/>
      <w:pPr>
        <w:tabs>
          <w:tab w:val="num" w:pos="1800"/>
        </w:tabs>
        <w:ind w:left="1800" w:hanging="360"/>
      </w:pPr>
    </w:lvl>
    <w:lvl w:ilvl="5">
      <w:start w:val="1"/>
      <w:numFmt w:val="lowerRoman"/>
      <w:lvlText w:val=""/>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6EC072D"/>
    <w:multiLevelType w:val="multilevel"/>
    <w:tmpl w:val="3D485516"/>
    <w:lvl w:ilvl="0">
      <w:numFmt w:val="none"/>
      <w:lvlText w:val=""/>
      <w:lvlJc w:val="left"/>
      <w:pPr>
        <w:tabs>
          <w:tab w:val="num" w:pos="360"/>
        </w:tabs>
      </w:pPr>
    </w:lvl>
    <w:lvl w:ilvl="1">
      <w:start w:val="1"/>
      <w:numFmt w:val="bullet"/>
      <w:pStyle w:val="DashList"/>
      <w:lvlText w:val=""/>
      <w:lvlJc w:val="left"/>
      <w:pPr>
        <w:tabs>
          <w:tab w:val="num" w:pos="1134"/>
        </w:tabs>
        <w:ind w:left="1134" w:hanging="567"/>
      </w:pPr>
      <w:rPr>
        <w:rFonts w:ascii="Wingdings 3" w:hAnsi="Wingdings 3"/>
        <w:b/>
        <w:i w:val="0"/>
        <w:color w:val="931638"/>
        <w:sz w:val="24"/>
      </w:rPr>
    </w:lvl>
    <w:lvl w:ilvl="2">
      <w:start w:val="1"/>
      <w:numFmt w:val="lowerRoman"/>
      <w:lvlText w:val="%3)"/>
      <w:lvlJc w:val="left"/>
      <w:pPr>
        <w:tabs>
          <w:tab w:val="num" w:pos="1080"/>
        </w:tabs>
        <w:ind w:left="1080" w:hanging="360"/>
      </w:pPr>
    </w:lvl>
    <w:lvl w:ilvl="3">
      <w:start w:val="1"/>
      <w:numFmt w:val="decimal"/>
      <w:lvlText w:val=""/>
      <w:lvlJc w:val="left"/>
      <w:pPr>
        <w:tabs>
          <w:tab w:val="num" w:pos="1440"/>
        </w:tabs>
        <w:ind w:left="1440" w:hanging="360"/>
      </w:pPr>
    </w:lvl>
    <w:lvl w:ilvl="4">
      <w:start w:val="1"/>
      <w:numFmt w:val="lowerLetter"/>
      <w:lvlText w:val=""/>
      <w:lvlJc w:val="left"/>
      <w:pPr>
        <w:tabs>
          <w:tab w:val="num" w:pos="1800"/>
        </w:tabs>
        <w:ind w:left="1800" w:hanging="360"/>
      </w:pPr>
    </w:lvl>
    <w:lvl w:ilvl="5">
      <w:start w:val="1"/>
      <w:numFmt w:val="lowerRoman"/>
      <w:lvlText w:val=""/>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0772411"/>
    <w:multiLevelType w:val="hybridMultilevel"/>
    <w:tmpl w:val="5316FD32"/>
    <w:lvl w:ilvl="0" w:tplc="F61645FE">
      <w:start w:val="1"/>
      <w:numFmt w:val="bullet"/>
      <w:lvlText w:val=""/>
      <w:lvlJc w:val="left"/>
      <w:pPr>
        <w:ind w:left="360" w:hanging="360"/>
      </w:pPr>
      <w:rPr>
        <w:rFonts w:ascii="Symbol" w:hAnsi="Symbol"/>
      </w:rPr>
    </w:lvl>
    <w:lvl w:ilvl="1" w:tplc="9E9C3E44">
      <w:start w:val="1"/>
      <w:numFmt w:val="bullet"/>
      <w:lvlText w:val="o"/>
      <w:lvlJc w:val="left"/>
      <w:pPr>
        <w:ind w:left="1080" w:hanging="360"/>
      </w:pPr>
      <w:rPr>
        <w:rFonts w:ascii="Courier New" w:hAnsi="Courier New"/>
      </w:rPr>
    </w:lvl>
    <w:lvl w:ilvl="2" w:tplc="3A9CF318">
      <w:start w:val="1"/>
      <w:numFmt w:val="bullet"/>
      <w:lvlText w:val=""/>
      <w:lvlJc w:val="left"/>
      <w:pPr>
        <w:ind w:left="1800" w:hanging="360"/>
      </w:pPr>
      <w:rPr>
        <w:rFonts w:ascii="Wingdings" w:hAnsi="Wingdings"/>
      </w:rPr>
    </w:lvl>
    <w:lvl w:ilvl="3" w:tplc="62CE1778">
      <w:start w:val="1"/>
      <w:numFmt w:val="bullet"/>
      <w:lvlText w:val=""/>
      <w:lvlJc w:val="left"/>
      <w:pPr>
        <w:ind w:left="2520" w:hanging="360"/>
      </w:pPr>
      <w:rPr>
        <w:rFonts w:ascii="Symbol" w:hAnsi="Symbol"/>
      </w:rPr>
    </w:lvl>
    <w:lvl w:ilvl="4" w:tplc="A4000544">
      <w:start w:val="1"/>
      <w:numFmt w:val="bullet"/>
      <w:lvlText w:val="o"/>
      <w:lvlJc w:val="left"/>
      <w:pPr>
        <w:ind w:left="3240" w:hanging="360"/>
      </w:pPr>
      <w:rPr>
        <w:rFonts w:ascii="Courier New" w:hAnsi="Courier New"/>
      </w:rPr>
    </w:lvl>
    <w:lvl w:ilvl="5" w:tplc="72546366">
      <w:start w:val="1"/>
      <w:numFmt w:val="bullet"/>
      <w:lvlText w:val=""/>
      <w:lvlJc w:val="left"/>
      <w:pPr>
        <w:ind w:left="3960" w:hanging="360"/>
      </w:pPr>
      <w:rPr>
        <w:rFonts w:ascii="Wingdings" w:hAnsi="Wingdings"/>
      </w:rPr>
    </w:lvl>
    <w:lvl w:ilvl="6" w:tplc="C6AA0FE4">
      <w:start w:val="1"/>
      <w:numFmt w:val="bullet"/>
      <w:lvlText w:val=""/>
      <w:lvlJc w:val="left"/>
      <w:pPr>
        <w:ind w:left="4680" w:hanging="360"/>
      </w:pPr>
      <w:rPr>
        <w:rFonts w:ascii="Symbol" w:hAnsi="Symbol"/>
      </w:rPr>
    </w:lvl>
    <w:lvl w:ilvl="7" w:tplc="1A323BB6">
      <w:start w:val="1"/>
      <w:numFmt w:val="bullet"/>
      <w:lvlText w:val="o"/>
      <w:lvlJc w:val="left"/>
      <w:pPr>
        <w:ind w:left="5400" w:hanging="360"/>
      </w:pPr>
      <w:rPr>
        <w:rFonts w:ascii="Courier New" w:hAnsi="Courier New"/>
      </w:rPr>
    </w:lvl>
    <w:lvl w:ilvl="8" w:tplc="13C4A040">
      <w:start w:val="1"/>
      <w:numFmt w:val="bullet"/>
      <w:lvlText w:val=""/>
      <w:lvlJc w:val="left"/>
      <w:pPr>
        <w:ind w:left="6120" w:hanging="360"/>
      </w:pPr>
      <w:rPr>
        <w:rFonts w:ascii="Wingdings" w:hAnsi="Wingdings"/>
      </w:rPr>
    </w:lvl>
  </w:abstractNum>
  <w:abstractNum w:abstractNumId="10">
    <w:nsid w:val="20F75D3E"/>
    <w:multiLevelType w:val="hybridMultilevel"/>
    <w:tmpl w:val="A1E8F3F6"/>
    <w:lvl w:ilvl="0" w:tplc="1FCE6756">
      <w:start w:val="1"/>
      <w:numFmt w:val="bullet"/>
      <w:lvlText w:val="•"/>
      <w:lvlJc w:val="left"/>
      <w:pPr>
        <w:tabs>
          <w:tab w:val="num" w:pos="720"/>
        </w:tabs>
        <w:ind w:left="720" w:hanging="360"/>
      </w:pPr>
      <w:rPr>
        <w:rFonts w:ascii="Arial" w:hAnsi="Arial"/>
      </w:rPr>
    </w:lvl>
    <w:lvl w:ilvl="1" w:tplc="E4F4F140">
      <w:start w:val="1664"/>
      <w:numFmt w:val="bullet"/>
      <w:lvlText w:val="–"/>
      <w:lvlJc w:val="left"/>
      <w:pPr>
        <w:tabs>
          <w:tab w:val="num" w:pos="1440"/>
        </w:tabs>
        <w:ind w:left="1440" w:hanging="360"/>
      </w:pPr>
      <w:rPr>
        <w:rFonts w:ascii="Times New Roman" w:hAnsi="Times New Roman"/>
      </w:rPr>
    </w:lvl>
    <w:lvl w:ilvl="2" w:tplc="E1447108">
      <w:start w:val="1"/>
      <w:numFmt w:val="bullet"/>
      <w:lvlText w:val="•"/>
      <w:lvlJc w:val="left"/>
      <w:pPr>
        <w:tabs>
          <w:tab w:val="num" w:pos="2160"/>
        </w:tabs>
        <w:ind w:left="2160" w:hanging="360"/>
      </w:pPr>
      <w:rPr>
        <w:rFonts w:ascii="Arial" w:hAnsi="Arial"/>
      </w:rPr>
    </w:lvl>
    <w:lvl w:ilvl="3" w:tplc="CF348BAA">
      <w:start w:val="1"/>
      <w:numFmt w:val="bullet"/>
      <w:lvlText w:val="•"/>
      <w:lvlJc w:val="left"/>
      <w:pPr>
        <w:tabs>
          <w:tab w:val="num" w:pos="2880"/>
        </w:tabs>
        <w:ind w:left="2880" w:hanging="360"/>
      </w:pPr>
      <w:rPr>
        <w:rFonts w:ascii="Arial" w:hAnsi="Arial"/>
      </w:rPr>
    </w:lvl>
    <w:lvl w:ilvl="4" w:tplc="9E4088B4">
      <w:start w:val="1"/>
      <w:numFmt w:val="bullet"/>
      <w:lvlText w:val="•"/>
      <w:lvlJc w:val="left"/>
      <w:pPr>
        <w:tabs>
          <w:tab w:val="num" w:pos="3600"/>
        </w:tabs>
        <w:ind w:left="3600" w:hanging="360"/>
      </w:pPr>
      <w:rPr>
        <w:rFonts w:ascii="Arial" w:hAnsi="Arial"/>
      </w:rPr>
    </w:lvl>
    <w:lvl w:ilvl="5" w:tplc="CD4EE7DC">
      <w:start w:val="1"/>
      <w:numFmt w:val="bullet"/>
      <w:lvlText w:val="•"/>
      <w:lvlJc w:val="left"/>
      <w:pPr>
        <w:tabs>
          <w:tab w:val="num" w:pos="4320"/>
        </w:tabs>
        <w:ind w:left="4320" w:hanging="360"/>
      </w:pPr>
      <w:rPr>
        <w:rFonts w:ascii="Arial" w:hAnsi="Arial"/>
      </w:rPr>
    </w:lvl>
    <w:lvl w:ilvl="6" w:tplc="A9DE5E46">
      <w:start w:val="1"/>
      <w:numFmt w:val="bullet"/>
      <w:lvlText w:val="•"/>
      <w:lvlJc w:val="left"/>
      <w:pPr>
        <w:tabs>
          <w:tab w:val="num" w:pos="5040"/>
        </w:tabs>
        <w:ind w:left="5040" w:hanging="360"/>
      </w:pPr>
      <w:rPr>
        <w:rFonts w:ascii="Arial" w:hAnsi="Arial"/>
      </w:rPr>
    </w:lvl>
    <w:lvl w:ilvl="7" w:tplc="04C8C11C">
      <w:start w:val="1"/>
      <w:numFmt w:val="bullet"/>
      <w:lvlText w:val="•"/>
      <w:lvlJc w:val="left"/>
      <w:pPr>
        <w:tabs>
          <w:tab w:val="num" w:pos="5760"/>
        </w:tabs>
        <w:ind w:left="5760" w:hanging="360"/>
      </w:pPr>
      <w:rPr>
        <w:rFonts w:ascii="Arial" w:hAnsi="Arial"/>
      </w:rPr>
    </w:lvl>
    <w:lvl w:ilvl="8" w:tplc="074E8078">
      <w:start w:val="1"/>
      <w:numFmt w:val="bullet"/>
      <w:lvlText w:val="•"/>
      <w:lvlJc w:val="left"/>
      <w:pPr>
        <w:tabs>
          <w:tab w:val="num" w:pos="6480"/>
        </w:tabs>
        <w:ind w:left="6480" w:hanging="360"/>
      </w:pPr>
      <w:rPr>
        <w:rFonts w:ascii="Arial" w:hAnsi="Arial"/>
      </w:rPr>
    </w:lvl>
  </w:abstractNum>
  <w:abstractNum w:abstractNumId="11">
    <w:nsid w:val="25F436B6"/>
    <w:multiLevelType w:val="singleLevel"/>
    <w:tmpl w:val="28CC76BA"/>
    <w:lvl w:ilvl="0">
      <w:start w:val="1"/>
      <w:numFmt w:val="upperLetter"/>
      <w:pStyle w:val="AlphabeticList"/>
      <w:lvlText w:val="%1."/>
      <w:lvlJc w:val="left"/>
      <w:pPr>
        <w:ind w:left="567" w:hanging="567"/>
      </w:pPr>
      <w:rPr>
        <w:rFonts w:ascii="Calibri" w:hAnsi="Calibri"/>
      </w:rPr>
    </w:lvl>
  </w:abstractNum>
  <w:abstractNum w:abstractNumId="12">
    <w:nsid w:val="26233EAF"/>
    <w:multiLevelType w:val="multilevel"/>
    <w:tmpl w:val="5634608A"/>
    <w:lvl w:ilvl="0">
      <w:start w:val="1"/>
      <w:numFmt w:val="bullet"/>
      <w:lvlText w:val="-"/>
      <w:lvlJc w:val="left"/>
      <w:pPr>
        <w:tabs>
          <w:tab w:val="num" w:pos="360"/>
        </w:tabs>
        <w:ind w:left="360" w:hanging="360"/>
      </w:pPr>
      <w:rPr>
        <w:rFonts w:ascii="Courier New" w:hAnsi="Courier New"/>
      </w:rPr>
    </w:lvl>
    <w:lvl w:ilvl="1">
      <w:start w:val="1"/>
      <w:numFmt w:val="bullet"/>
      <w:lvlText w:val="o"/>
      <w:lvlJc w:val="left"/>
      <w:pPr>
        <w:tabs>
          <w:tab w:val="num" w:pos="360"/>
        </w:tabs>
        <w:ind w:left="360" w:hanging="360"/>
      </w:pPr>
      <w:rPr>
        <w:rFonts w:ascii="Courier New" w:hAnsi="Courier New"/>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520"/>
        </w:tabs>
        <w:ind w:left="2520" w:hanging="360"/>
      </w:pPr>
      <w:rPr>
        <w:rFonts w:ascii="Courier New" w:hAnsi="Courier New"/>
      </w:rPr>
    </w:lvl>
    <w:lvl w:ilvl="5">
      <w:start w:val="1"/>
      <w:numFmt w:val="bullet"/>
      <w:lvlText w:val=""/>
      <w:lvlJc w:val="left"/>
      <w:pPr>
        <w:tabs>
          <w:tab w:val="num" w:pos="3240"/>
        </w:tabs>
        <w:ind w:left="3240" w:hanging="360"/>
      </w:pPr>
      <w:rPr>
        <w:rFonts w:ascii="Wingdings" w:hAnsi="Wingdings"/>
      </w:rPr>
    </w:lvl>
    <w:lvl w:ilvl="6">
      <w:start w:val="1"/>
      <w:numFmt w:val="bullet"/>
      <w:lvlText w:val=""/>
      <w:lvlJc w:val="left"/>
      <w:pPr>
        <w:tabs>
          <w:tab w:val="num" w:pos="3960"/>
        </w:tabs>
        <w:ind w:left="3960" w:hanging="360"/>
      </w:pPr>
      <w:rPr>
        <w:rFonts w:ascii="Symbol" w:hAnsi="Symbol"/>
      </w:rPr>
    </w:lvl>
    <w:lvl w:ilvl="7">
      <w:start w:val="1"/>
      <w:numFmt w:val="bullet"/>
      <w:lvlText w:val="o"/>
      <w:lvlJc w:val="left"/>
      <w:pPr>
        <w:tabs>
          <w:tab w:val="num" w:pos="4680"/>
        </w:tabs>
        <w:ind w:left="4680" w:hanging="360"/>
      </w:pPr>
      <w:rPr>
        <w:rFonts w:ascii="Courier New" w:hAnsi="Courier New"/>
      </w:rPr>
    </w:lvl>
    <w:lvl w:ilvl="8">
      <w:start w:val="1"/>
      <w:numFmt w:val="bullet"/>
      <w:lvlText w:val=""/>
      <w:lvlJc w:val="left"/>
      <w:pPr>
        <w:tabs>
          <w:tab w:val="num" w:pos="5400"/>
        </w:tabs>
        <w:ind w:left="5400" w:hanging="360"/>
      </w:pPr>
      <w:rPr>
        <w:rFonts w:ascii="Wingdings" w:hAnsi="Wingdings"/>
      </w:rPr>
    </w:lvl>
  </w:abstractNum>
  <w:abstractNum w:abstractNumId="13">
    <w:nsid w:val="26757D6E"/>
    <w:multiLevelType w:val="multilevel"/>
    <w:tmpl w:val="A34AE908"/>
    <w:lvl w:ilvl="0">
      <w:start w:val="1"/>
      <w:numFmt w:val="none"/>
      <w:pStyle w:val="MajorHeading"/>
      <w:lvlText w:val=""/>
      <w:lvlJc w:val="left"/>
      <w:pPr>
        <w:ind w:left="0" w:hanging="113"/>
      </w:pPr>
    </w:lvl>
    <w:lvl w:ilvl="1">
      <w:start w:val="1"/>
      <w:numFmt w:val="lowerRoman"/>
      <w:pStyle w:val="ExecTableCaption"/>
      <w:lvlText w:val=""/>
      <w:lvlJc w:val="left"/>
      <w:pPr>
        <w:ind w:left="0"/>
      </w:pPr>
      <w:rPr>
        <w:rFonts w:ascii="Calibri" w:hAnsi="Calibri"/>
        <w:b/>
        <w:i w:val="0"/>
        <w:color w:val="002776"/>
        <w:sz w:val="22"/>
      </w:rPr>
    </w:lvl>
    <w:lvl w:ilvl="2">
      <w:start w:val="1"/>
      <w:numFmt w:val="lowerRoman"/>
      <w:pStyle w:val="ExecChartCaption"/>
      <w:lvlText w:val=""/>
      <w:lvlJc w:val="left"/>
      <w:pPr>
        <w:ind w:left="0"/>
      </w:pPr>
      <w:rPr>
        <w:rFonts w:ascii="Calibri" w:hAnsi="Calibri"/>
        <w:b/>
        <w:i w:val="0"/>
        <w:color w:val="002776"/>
        <w:sz w:val="22"/>
      </w:rPr>
    </w:lvl>
    <w:lvl w:ilvl="3">
      <w:start w:val="1"/>
      <w:numFmt w:val="lowerRoman"/>
      <w:pStyle w:val="ExecFigureCaption"/>
      <w:lvlText w:val=""/>
      <w:lvlJc w:val="left"/>
      <w:pPr>
        <w:ind w:left="0"/>
      </w:pPr>
      <w:rPr>
        <w:rFonts w:ascii="Calibri" w:hAnsi="Calibri"/>
        <w:b/>
        <w:i w:val="0"/>
        <w:color w:val="002776"/>
        <w:sz w:val="22"/>
      </w:rPr>
    </w:lvl>
    <w:lvl w:ilvl="4">
      <w:start w:val="1"/>
      <w:numFmt w:val="lowerLetter"/>
      <w:lvlText w:val=""/>
      <w:lvlJc w:val="left"/>
      <w:pPr>
        <w:ind w:left="1800" w:hanging="360"/>
      </w:pPr>
    </w:lvl>
    <w:lvl w:ilvl="5">
      <w:start w:val="1"/>
      <w:numFmt w:val="lowerRoman"/>
      <w:lvlText w:val=""/>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7B753C9"/>
    <w:multiLevelType w:val="singleLevel"/>
    <w:tmpl w:val="47B8E46C"/>
    <w:lvl w:ilvl="0">
      <w:start w:val="3"/>
      <w:numFmt w:val="bullet"/>
      <w:lvlText w:val="-"/>
      <w:lvlJc w:val="left"/>
      <w:pPr>
        <w:tabs>
          <w:tab w:val="num" w:pos="360"/>
        </w:tabs>
        <w:ind w:left="360" w:hanging="360"/>
      </w:pPr>
      <w:rPr>
        <w:rFonts w:ascii="Times New Roman" w:hAnsi="Times New Roman"/>
      </w:rPr>
    </w:lvl>
  </w:abstractNum>
  <w:abstractNum w:abstractNumId="15">
    <w:nsid w:val="27D843E6"/>
    <w:multiLevelType w:val="singleLevel"/>
    <w:tmpl w:val="4614C302"/>
    <w:lvl w:ilvl="0">
      <w:start w:val="1"/>
      <w:numFmt w:val="lowerLetter"/>
      <w:pStyle w:val="IndentAlphabeticList"/>
      <w:lvlText w:val="%1."/>
      <w:lvlJc w:val="left"/>
      <w:pPr>
        <w:ind w:left="927" w:hanging="360"/>
      </w:pPr>
      <w:rPr>
        <w:rFonts w:ascii="Calibri" w:hAnsi="Calibri"/>
        <w:b w:val="0"/>
        <w:i w:val="0"/>
        <w:color w:val="auto"/>
        <w:sz w:val="24"/>
      </w:rPr>
    </w:lvl>
  </w:abstractNum>
  <w:abstractNum w:abstractNumId="16">
    <w:nsid w:val="37EC1C84"/>
    <w:multiLevelType w:val="hybridMultilevel"/>
    <w:tmpl w:val="D7DE1630"/>
    <w:lvl w:ilvl="0" w:tplc="EF6CA94A">
      <w:start w:val="1"/>
      <w:numFmt w:val="bullet"/>
      <w:lvlText w:val="•"/>
      <w:lvlJc w:val="left"/>
      <w:pPr>
        <w:tabs>
          <w:tab w:val="num" w:pos="720"/>
        </w:tabs>
        <w:ind w:left="720" w:hanging="360"/>
      </w:pPr>
      <w:rPr>
        <w:rFonts w:ascii="Arial" w:hAnsi="Arial"/>
      </w:rPr>
    </w:lvl>
    <w:lvl w:ilvl="1" w:tplc="EE0AB77E">
      <w:start w:val="2487"/>
      <w:numFmt w:val="bullet"/>
      <w:lvlText w:val="–"/>
      <w:lvlJc w:val="left"/>
      <w:pPr>
        <w:tabs>
          <w:tab w:val="num" w:pos="1440"/>
        </w:tabs>
        <w:ind w:left="1440" w:hanging="360"/>
      </w:pPr>
      <w:rPr>
        <w:rFonts w:ascii="Times New Roman" w:hAnsi="Times New Roman"/>
      </w:rPr>
    </w:lvl>
    <w:lvl w:ilvl="2" w:tplc="F238E55C">
      <w:start w:val="1"/>
      <w:numFmt w:val="bullet"/>
      <w:lvlText w:val="•"/>
      <w:lvlJc w:val="left"/>
      <w:pPr>
        <w:tabs>
          <w:tab w:val="num" w:pos="2160"/>
        </w:tabs>
        <w:ind w:left="2160" w:hanging="360"/>
      </w:pPr>
      <w:rPr>
        <w:rFonts w:ascii="Arial" w:hAnsi="Arial"/>
      </w:rPr>
    </w:lvl>
    <w:lvl w:ilvl="3" w:tplc="9AD67CF6">
      <w:start w:val="1"/>
      <w:numFmt w:val="bullet"/>
      <w:lvlText w:val="•"/>
      <w:lvlJc w:val="left"/>
      <w:pPr>
        <w:tabs>
          <w:tab w:val="num" w:pos="2880"/>
        </w:tabs>
        <w:ind w:left="2880" w:hanging="360"/>
      </w:pPr>
      <w:rPr>
        <w:rFonts w:ascii="Arial" w:hAnsi="Arial"/>
      </w:rPr>
    </w:lvl>
    <w:lvl w:ilvl="4" w:tplc="800CEEF8">
      <w:start w:val="1"/>
      <w:numFmt w:val="bullet"/>
      <w:lvlText w:val="•"/>
      <w:lvlJc w:val="left"/>
      <w:pPr>
        <w:tabs>
          <w:tab w:val="num" w:pos="3600"/>
        </w:tabs>
        <w:ind w:left="3600" w:hanging="360"/>
      </w:pPr>
      <w:rPr>
        <w:rFonts w:ascii="Arial" w:hAnsi="Arial"/>
      </w:rPr>
    </w:lvl>
    <w:lvl w:ilvl="5" w:tplc="263292B2">
      <w:start w:val="1"/>
      <w:numFmt w:val="bullet"/>
      <w:lvlText w:val="•"/>
      <w:lvlJc w:val="left"/>
      <w:pPr>
        <w:tabs>
          <w:tab w:val="num" w:pos="4320"/>
        </w:tabs>
        <w:ind w:left="4320" w:hanging="360"/>
      </w:pPr>
      <w:rPr>
        <w:rFonts w:ascii="Arial" w:hAnsi="Arial"/>
      </w:rPr>
    </w:lvl>
    <w:lvl w:ilvl="6" w:tplc="5A2CC3DC">
      <w:start w:val="1"/>
      <w:numFmt w:val="bullet"/>
      <w:lvlText w:val="•"/>
      <w:lvlJc w:val="left"/>
      <w:pPr>
        <w:tabs>
          <w:tab w:val="num" w:pos="5040"/>
        </w:tabs>
        <w:ind w:left="5040" w:hanging="360"/>
      </w:pPr>
      <w:rPr>
        <w:rFonts w:ascii="Arial" w:hAnsi="Arial"/>
      </w:rPr>
    </w:lvl>
    <w:lvl w:ilvl="7" w:tplc="6E7E32C4">
      <w:start w:val="1"/>
      <w:numFmt w:val="bullet"/>
      <w:lvlText w:val="•"/>
      <w:lvlJc w:val="left"/>
      <w:pPr>
        <w:tabs>
          <w:tab w:val="num" w:pos="5760"/>
        </w:tabs>
        <w:ind w:left="5760" w:hanging="360"/>
      </w:pPr>
      <w:rPr>
        <w:rFonts w:ascii="Arial" w:hAnsi="Arial"/>
      </w:rPr>
    </w:lvl>
    <w:lvl w:ilvl="8" w:tplc="F6A0EBB2">
      <w:start w:val="1"/>
      <w:numFmt w:val="bullet"/>
      <w:lvlText w:val="•"/>
      <w:lvlJc w:val="left"/>
      <w:pPr>
        <w:tabs>
          <w:tab w:val="num" w:pos="6480"/>
        </w:tabs>
        <w:ind w:left="6480" w:hanging="360"/>
      </w:pPr>
      <w:rPr>
        <w:rFonts w:ascii="Arial" w:hAnsi="Arial"/>
      </w:rPr>
    </w:lvl>
  </w:abstractNum>
  <w:abstractNum w:abstractNumId="17">
    <w:nsid w:val="3CC92A4E"/>
    <w:multiLevelType w:val="hybridMultilevel"/>
    <w:tmpl w:val="A7282988"/>
    <w:lvl w:ilvl="0" w:tplc="CDC6D272">
      <w:start w:val="1"/>
      <w:numFmt w:val="decimal"/>
      <w:lvlText w:val="%1."/>
      <w:lvlJc w:val="left"/>
      <w:pPr>
        <w:ind w:left="720" w:hanging="360"/>
      </w:pPr>
    </w:lvl>
    <w:lvl w:ilvl="1" w:tplc="0BD2EF98">
      <w:start w:val="1"/>
      <w:numFmt w:val="lowerLetter"/>
      <w:lvlText w:val="%2."/>
      <w:lvlJc w:val="left"/>
      <w:pPr>
        <w:ind w:left="1440" w:hanging="360"/>
      </w:pPr>
    </w:lvl>
    <w:lvl w:ilvl="2" w:tplc="56AED47C">
      <w:start w:val="1"/>
      <w:numFmt w:val="lowerRoman"/>
      <w:lvlText w:val="%3."/>
      <w:lvlJc w:val="right"/>
      <w:pPr>
        <w:ind w:left="2160" w:hanging="180"/>
      </w:pPr>
    </w:lvl>
    <w:lvl w:ilvl="3" w:tplc="358E05D6">
      <w:start w:val="1"/>
      <w:numFmt w:val="decimal"/>
      <w:lvlText w:val="%4."/>
      <w:lvlJc w:val="left"/>
      <w:pPr>
        <w:ind w:left="2880" w:hanging="360"/>
      </w:pPr>
    </w:lvl>
    <w:lvl w:ilvl="4" w:tplc="2F260BEA">
      <w:start w:val="1"/>
      <w:numFmt w:val="lowerLetter"/>
      <w:lvlText w:val="%5."/>
      <w:lvlJc w:val="left"/>
      <w:pPr>
        <w:ind w:left="3600" w:hanging="360"/>
      </w:pPr>
    </w:lvl>
    <w:lvl w:ilvl="5" w:tplc="8A462FDC">
      <w:start w:val="1"/>
      <w:numFmt w:val="lowerRoman"/>
      <w:lvlText w:val="%6."/>
      <w:lvlJc w:val="right"/>
      <w:pPr>
        <w:ind w:left="4320" w:hanging="180"/>
      </w:pPr>
    </w:lvl>
    <w:lvl w:ilvl="6" w:tplc="8F66D356">
      <w:start w:val="1"/>
      <w:numFmt w:val="decimal"/>
      <w:lvlText w:val="%7."/>
      <w:lvlJc w:val="left"/>
      <w:pPr>
        <w:ind w:left="5040" w:hanging="360"/>
      </w:pPr>
    </w:lvl>
    <w:lvl w:ilvl="7" w:tplc="45F42A52">
      <w:start w:val="1"/>
      <w:numFmt w:val="lowerLetter"/>
      <w:lvlText w:val="%8."/>
      <w:lvlJc w:val="left"/>
      <w:pPr>
        <w:ind w:left="5760" w:hanging="360"/>
      </w:pPr>
    </w:lvl>
    <w:lvl w:ilvl="8" w:tplc="1128A94C">
      <w:start w:val="1"/>
      <w:numFmt w:val="lowerRoman"/>
      <w:lvlText w:val="%9."/>
      <w:lvlJc w:val="right"/>
      <w:pPr>
        <w:ind w:left="6480" w:hanging="180"/>
      </w:pPr>
    </w:lvl>
  </w:abstractNum>
  <w:abstractNum w:abstractNumId="18">
    <w:nsid w:val="3D5A7780"/>
    <w:multiLevelType w:val="multilevel"/>
    <w:tmpl w:val="2240431E"/>
    <w:lvl w:ilvl="0">
      <w:numFmt w:val="none"/>
      <w:lvlText w:val=""/>
      <w:lvlJc w:val="left"/>
      <w:pPr>
        <w:tabs>
          <w:tab w:val="num" w:pos="360"/>
        </w:tabs>
      </w:pPr>
    </w:lvl>
    <w:lvl w:ilvl="1">
      <w:start w:val="1"/>
      <w:numFmt w:val="bullet"/>
      <w:lvlText w:val=""/>
      <w:lvlJc w:val="left"/>
      <w:pPr>
        <w:tabs>
          <w:tab w:val="num" w:pos="1134"/>
        </w:tabs>
        <w:ind w:left="1134" w:hanging="567"/>
      </w:pPr>
      <w:rPr>
        <w:rFonts w:ascii="Wingdings 3" w:hAnsi="Wingdings 3"/>
        <w:b/>
        <w:i w:val="0"/>
        <w:color w:val="931638"/>
        <w:sz w:val="24"/>
      </w:rPr>
    </w:lvl>
    <w:lvl w:ilvl="2">
      <w:start w:val="1"/>
      <w:numFmt w:val="lowerRoman"/>
      <w:lvlText w:val="%3)"/>
      <w:lvlJc w:val="left"/>
      <w:pPr>
        <w:tabs>
          <w:tab w:val="num" w:pos="1080"/>
        </w:tabs>
        <w:ind w:left="1080" w:hanging="360"/>
      </w:pPr>
    </w:lvl>
    <w:lvl w:ilvl="3">
      <w:start w:val="1"/>
      <w:numFmt w:val="decimal"/>
      <w:lvlText w:val=""/>
      <w:lvlJc w:val="left"/>
      <w:pPr>
        <w:tabs>
          <w:tab w:val="num" w:pos="1440"/>
        </w:tabs>
        <w:ind w:left="1440" w:hanging="360"/>
      </w:pPr>
    </w:lvl>
    <w:lvl w:ilvl="4">
      <w:start w:val="1"/>
      <w:numFmt w:val="lowerLetter"/>
      <w:lvlText w:val=""/>
      <w:lvlJc w:val="left"/>
      <w:pPr>
        <w:tabs>
          <w:tab w:val="num" w:pos="1800"/>
        </w:tabs>
        <w:ind w:left="1800" w:hanging="360"/>
      </w:pPr>
    </w:lvl>
    <w:lvl w:ilvl="5">
      <w:start w:val="1"/>
      <w:numFmt w:val="lowerRoman"/>
      <w:lvlText w:val=""/>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D5E76F8"/>
    <w:multiLevelType w:val="hybridMultilevel"/>
    <w:tmpl w:val="00B69FBA"/>
    <w:lvl w:ilvl="0" w:tplc="3B127F62">
      <w:start w:val="1"/>
      <w:numFmt w:val="bullet"/>
      <w:lvlText w:val="•"/>
      <w:lvlJc w:val="left"/>
      <w:pPr>
        <w:tabs>
          <w:tab w:val="num" w:pos="720"/>
        </w:tabs>
        <w:ind w:left="720" w:hanging="360"/>
      </w:pPr>
      <w:rPr>
        <w:rFonts w:ascii="Arial" w:hAnsi="Arial"/>
      </w:rPr>
    </w:lvl>
    <w:lvl w:ilvl="1" w:tplc="37C86FFE">
      <w:start w:val="624"/>
      <w:numFmt w:val="bullet"/>
      <w:lvlText w:val="–"/>
      <w:lvlJc w:val="left"/>
      <w:pPr>
        <w:tabs>
          <w:tab w:val="num" w:pos="1440"/>
        </w:tabs>
        <w:ind w:left="1440" w:hanging="360"/>
      </w:pPr>
      <w:rPr>
        <w:rFonts w:ascii="Times New Roman" w:hAnsi="Times New Roman"/>
      </w:rPr>
    </w:lvl>
    <w:lvl w:ilvl="2" w:tplc="FDDEF5D4">
      <w:start w:val="1"/>
      <w:numFmt w:val="bullet"/>
      <w:lvlText w:val="•"/>
      <w:lvlJc w:val="left"/>
      <w:pPr>
        <w:tabs>
          <w:tab w:val="num" w:pos="2160"/>
        </w:tabs>
        <w:ind w:left="2160" w:hanging="360"/>
      </w:pPr>
      <w:rPr>
        <w:rFonts w:ascii="Arial" w:hAnsi="Arial"/>
      </w:rPr>
    </w:lvl>
    <w:lvl w:ilvl="3" w:tplc="805E1740">
      <w:start w:val="1"/>
      <w:numFmt w:val="bullet"/>
      <w:lvlText w:val="•"/>
      <w:lvlJc w:val="left"/>
      <w:pPr>
        <w:tabs>
          <w:tab w:val="num" w:pos="2880"/>
        </w:tabs>
        <w:ind w:left="2880" w:hanging="360"/>
      </w:pPr>
      <w:rPr>
        <w:rFonts w:ascii="Arial" w:hAnsi="Arial"/>
      </w:rPr>
    </w:lvl>
    <w:lvl w:ilvl="4" w:tplc="63FADAE2">
      <w:start w:val="1"/>
      <w:numFmt w:val="bullet"/>
      <w:lvlText w:val="•"/>
      <w:lvlJc w:val="left"/>
      <w:pPr>
        <w:tabs>
          <w:tab w:val="num" w:pos="3600"/>
        </w:tabs>
        <w:ind w:left="3600" w:hanging="360"/>
      </w:pPr>
      <w:rPr>
        <w:rFonts w:ascii="Arial" w:hAnsi="Arial"/>
      </w:rPr>
    </w:lvl>
    <w:lvl w:ilvl="5" w:tplc="A2A882A2">
      <w:start w:val="1"/>
      <w:numFmt w:val="bullet"/>
      <w:lvlText w:val="•"/>
      <w:lvlJc w:val="left"/>
      <w:pPr>
        <w:tabs>
          <w:tab w:val="num" w:pos="4320"/>
        </w:tabs>
        <w:ind w:left="4320" w:hanging="360"/>
      </w:pPr>
      <w:rPr>
        <w:rFonts w:ascii="Arial" w:hAnsi="Arial"/>
      </w:rPr>
    </w:lvl>
    <w:lvl w:ilvl="6" w:tplc="0358C52E">
      <w:start w:val="1"/>
      <w:numFmt w:val="bullet"/>
      <w:lvlText w:val="•"/>
      <w:lvlJc w:val="left"/>
      <w:pPr>
        <w:tabs>
          <w:tab w:val="num" w:pos="5040"/>
        </w:tabs>
        <w:ind w:left="5040" w:hanging="360"/>
      </w:pPr>
      <w:rPr>
        <w:rFonts w:ascii="Arial" w:hAnsi="Arial"/>
      </w:rPr>
    </w:lvl>
    <w:lvl w:ilvl="7" w:tplc="121C2236">
      <w:start w:val="1"/>
      <w:numFmt w:val="bullet"/>
      <w:lvlText w:val="•"/>
      <w:lvlJc w:val="left"/>
      <w:pPr>
        <w:tabs>
          <w:tab w:val="num" w:pos="5760"/>
        </w:tabs>
        <w:ind w:left="5760" w:hanging="360"/>
      </w:pPr>
      <w:rPr>
        <w:rFonts w:ascii="Arial" w:hAnsi="Arial"/>
      </w:rPr>
    </w:lvl>
    <w:lvl w:ilvl="8" w:tplc="C0028E52">
      <w:start w:val="1"/>
      <w:numFmt w:val="bullet"/>
      <w:lvlText w:val="•"/>
      <w:lvlJc w:val="left"/>
      <w:pPr>
        <w:tabs>
          <w:tab w:val="num" w:pos="6480"/>
        </w:tabs>
        <w:ind w:left="6480" w:hanging="360"/>
      </w:pPr>
      <w:rPr>
        <w:rFonts w:ascii="Arial" w:hAnsi="Arial"/>
      </w:rPr>
    </w:lvl>
  </w:abstractNum>
  <w:abstractNum w:abstractNumId="20">
    <w:nsid w:val="4636481F"/>
    <w:multiLevelType w:val="hybridMultilevel"/>
    <w:tmpl w:val="48543D60"/>
    <w:lvl w:ilvl="0" w:tplc="B5920F46">
      <w:start w:val="1"/>
      <w:numFmt w:val="bullet"/>
      <w:lvlText w:val="•"/>
      <w:lvlJc w:val="left"/>
      <w:pPr>
        <w:tabs>
          <w:tab w:val="num" w:pos="720"/>
        </w:tabs>
        <w:ind w:left="720" w:hanging="360"/>
      </w:pPr>
      <w:rPr>
        <w:rFonts w:ascii="Arial" w:hAnsi="Arial"/>
      </w:rPr>
    </w:lvl>
    <w:lvl w:ilvl="1" w:tplc="4F888B10">
      <w:start w:val="1664"/>
      <w:numFmt w:val="bullet"/>
      <w:lvlText w:val="–"/>
      <w:lvlJc w:val="left"/>
      <w:pPr>
        <w:tabs>
          <w:tab w:val="num" w:pos="1440"/>
        </w:tabs>
        <w:ind w:left="1440" w:hanging="360"/>
      </w:pPr>
      <w:rPr>
        <w:rFonts w:ascii="Times New Roman" w:hAnsi="Times New Roman"/>
      </w:rPr>
    </w:lvl>
    <w:lvl w:ilvl="2" w:tplc="7BBE9A5E">
      <w:start w:val="1"/>
      <w:numFmt w:val="bullet"/>
      <w:lvlText w:val="•"/>
      <w:lvlJc w:val="left"/>
      <w:pPr>
        <w:tabs>
          <w:tab w:val="num" w:pos="2160"/>
        </w:tabs>
        <w:ind w:left="2160" w:hanging="360"/>
      </w:pPr>
      <w:rPr>
        <w:rFonts w:ascii="Arial" w:hAnsi="Arial"/>
      </w:rPr>
    </w:lvl>
    <w:lvl w:ilvl="3" w:tplc="96363D94">
      <w:start w:val="1"/>
      <w:numFmt w:val="bullet"/>
      <w:lvlText w:val="•"/>
      <w:lvlJc w:val="left"/>
      <w:pPr>
        <w:tabs>
          <w:tab w:val="num" w:pos="2880"/>
        </w:tabs>
        <w:ind w:left="2880" w:hanging="360"/>
      </w:pPr>
      <w:rPr>
        <w:rFonts w:ascii="Arial" w:hAnsi="Arial"/>
      </w:rPr>
    </w:lvl>
    <w:lvl w:ilvl="4" w:tplc="C232A1E8">
      <w:start w:val="1"/>
      <w:numFmt w:val="bullet"/>
      <w:lvlText w:val="•"/>
      <w:lvlJc w:val="left"/>
      <w:pPr>
        <w:tabs>
          <w:tab w:val="num" w:pos="3600"/>
        </w:tabs>
        <w:ind w:left="3600" w:hanging="360"/>
      </w:pPr>
      <w:rPr>
        <w:rFonts w:ascii="Arial" w:hAnsi="Arial"/>
      </w:rPr>
    </w:lvl>
    <w:lvl w:ilvl="5" w:tplc="B0543B20">
      <w:start w:val="1"/>
      <w:numFmt w:val="bullet"/>
      <w:lvlText w:val="•"/>
      <w:lvlJc w:val="left"/>
      <w:pPr>
        <w:tabs>
          <w:tab w:val="num" w:pos="4320"/>
        </w:tabs>
        <w:ind w:left="4320" w:hanging="360"/>
      </w:pPr>
      <w:rPr>
        <w:rFonts w:ascii="Arial" w:hAnsi="Arial"/>
      </w:rPr>
    </w:lvl>
    <w:lvl w:ilvl="6" w:tplc="C60AE8E4">
      <w:start w:val="1"/>
      <w:numFmt w:val="bullet"/>
      <w:lvlText w:val="•"/>
      <w:lvlJc w:val="left"/>
      <w:pPr>
        <w:tabs>
          <w:tab w:val="num" w:pos="5040"/>
        </w:tabs>
        <w:ind w:left="5040" w:hanging="360"/>
      </w:pPr>
      <w:rPr>
        <w:rFonts w:ascii="Arial" w:hAnsi="Arial"/>
      </w:rPr>
    </w:lvl>
    <w:lvl w:ilvl="7" w:tplc="FA7E4B1C">
      <w:start w:val="1"/>
      <w:numFmt w:val="bullet"/>
      <w:lvlText w:val="•"/>
      <w:lvlJc w:val="left"/>
      <w:pPr>
        <w:tabs>
          <w:tab w:val="num" w:pos="5760"/>
        </w:tabs>
        <w:ind w:left="5760" w:hanging="360"/>
      </w:pPr>
      <w:rPr>
        <w:rFonts w:ascii="Arial" w:hAnsi="Arial"/>
      </w:rPr>
    </w:lvl>
    <w:lvl w:ilvl="8" w:tplc="D9E6E184">
      <w:start w:val="1"/>
      <w:numFmt w:val="bullet"/>
      <w:lvlText w:val="•"/>
      <w:lvlJc w:val="left"/>
      <w:pPr>
        <w:tabs>
          <w:tab w:val="num" w:pos="6480"/>
        </w:tabs>
        <w:ind w:left="6480" w:hanging="360"/>
      </w:pPr>
      <w:rPr>
        <w:rFonts w:ascii="Arial" w:hAnsi="Arial"/>
      </w:rPr>
    </w:lvl>
  </w:abstractNum>
  <w:abstractNum w:abstractNumId="21">
    <w:nsid w:val="472B0144"/>
    <w:multiLevelType w:val="hybridMultilevel"/>
    <w:tmpl w:val="42C01E0C"/>
    <w:lvl w:ilvl="0" w:tplc="13504B1C">
      <w:start w:val="1"/>
      <w:numFmt w:val="bullet"/>
      <w:lvlText w:val=""/>
      <w:lvlJc w:val="left"/>
      <w:pPr>
        <w:ind w:left="720" w:hanging="360"/>
      </w:pPr>
      <w:rPr>
        <w:rFonts w:ascii="Symbol" w:hAnsi="Symbol"/>
      </w:rPr>
    </w:lvl>
    <w:lvl w:ilvl="1" w:tplc="073AA482">
      <w:start w:val="1"/>
      <w:numFmt w:val="bullet"/>
      <w:lvlText w:val="o"/>
      <w:lvlJc w:val="left"/>
      <w:pPr>
        <w:ind w:left="1440" w:hanging="360"/>
      </w:pPr>
      <w:rPr>
        <w:rFonts w:ascii="Courier New" w:hAnsi="Courier New"/>
      </w:rPr>
    </w:lvl>
    <w:lvl w:ilvl="2" w:tplc="7E5E3CC8">
      <w:start w:val="1"/>
      <w:numFmt w:val="bullet"/>
      <w:lvlText w:val=""/>
      <w:lvlJc w:val="left"/>
      <w:pPr>
        <w:ind w:left="2160" w:hanging="360"/>
      </w:pPr>
      <w:rPr>
        <w:rFonts w:ascii="Wingdings" w:hAnsi="Wingdings"/>
      </w:rPr>
    </w:lvl>
    <w:lvl w:ilvl="3" w:tplc="15BC1B5E">
      <w:start w:val="1"/>
      <w:numFmt w:val="bullet"/>
      <w:lvlText w:val=""/>
      <w:lvlJc w:val="left"/>
      <w:pPr>
        <w:ind w:left="2880" w:hanging="360"/>
      </w:pPr>
      <w:rPr>
        <w:rFonts w:ascii="Symbol" w:hAnsi="Symbol"/>
      </w:rPr>
    </w:lvl>
    <w:lvl w:ilvl="4" w:tplc="650864C2">
      <w:start w:val="1"/>
      <w:numFmt w:val="bullet"/>
      <w:lvlText w:val="o"/>
      <w:lvlJc w:val="left"/>
      <w:pPr>
        <w:ind w:left="3600" w:hanging="360"/>
      </w:pPr>
      <w:rPr>
        <w:rFonts w:ascii="Courier New" w:hAnsi="Courier New"/>
      </w:rPr>
    </w:lvl>
    <w:lvl w:ilvl="5" w:tplc="F3605024">
      <w:start w:val="1"/>
      <w:numFmt w:val="bullet"/>
      <w:lvlText w:val=""/>
      <w:lvlJc w:val="left"/>
      <w:pPr>
        <w:ind w:left="4320" w:hanging="360"/>
      </w:pPr>
      <w:rPr>
        <w:rFonts w:ascii="Wingdings" w:hAnsi="Wingdings"/>
      </w:rPr>
    </w:lvl>
    <w:lvl w:ilvl="6" w:tplc="D3F62A24">
      <w:start w:val="1"/>
      <w:numFmt w:val="bullet"/>
      <w:lvlText w:val=""/>
      <w:lvlJc w:val="left"/>
      <w:pPr>
        <w:ind w:left="5040" w:hanging="360"/>
      </w:pPr>
      <w:rPr>
        <w:rFonts w:ascii="Symbol" w:hAnsi="Symbol"/>
      </w:rPr>
    </w:lvl>
    <w:lvl w:ilvl="7" w:tplc="FC42FF30">
      <w:start w:val="1"/>
      <w:numFmt w:val="bullet"/>
      <w:lvlText w:val="o"/>
      <w:lvlJc w:val="left"/>
      <w:pPr>
        <w:ind w:left="5760" w:hanging="360"/>
      </w:pPr>
      <w:rPr>
        <w:rFonts w:ascii="Courier New" w:hAnsi="Courier New"/>
      </w:rPr>
    </w:lvl>
    <w:lvl w:ilvl="8" w:tplc="72048302">
      <w:start w:val="1"/>
      <w:numFmt w:val="bullet"/>
      <w:lvlText w:val=""/>
      <w:lvlJc w:val="left"/>
      <w:pPr>
        <w:ind w:left="6480" w:hanging="360"/>
      </w:pPr>
      <w:rPr>
        <w:rFonts w:ascii="Wingdings" w:hAnsi="Wingdings"/>
      </w:rPr>
    </w:lvl>
  </w:abstractNum>
  <w:abstractNum w:abstractNumId="22">
    <w:nsid w:val="4BCF174A"/>
    <w:multiLevelType w:val="hybridMultilevel"/>
    <w:tmpl w:val="BAE8F89E"/>
    <w:lvl w:ilvl="0" w:tplc="2D0EE06A">
      <w:start w:val="1"/>
      <w:numFmt w:val="bullet"/>
      <w:lvlText w:val=""/>
      <w:lvlJc w:val="left"/>
      <w:pPr>
        <w:ind w:left="720" w:hanging="360"/>
      </w:pPr>
      <w:rPr>
        <w:rFonts w:ascii="Symbol" w:hAnsi="Symbol"/>
      </w:rPr>
    </w:lvl>
    <w:lvl w:ilvl="1" w:tplc="EA462DCA">
      <w:start w:val="1"/>
      <w:numFmt w:val="bullet"/>
      <w:lvlText w:val="o"/>
      <w:lvlJc w:val="left"/>
      <w:pPr>
        <w:ind w:left="1440" w:hanging="360"/>
      </w:pPr>
      <w:rPr>
        <w:rFonts w:ascii="Courier New" w:hAnsi="Courier New"/>
      </w:rPr>
    </w:lvl>
    <w:lvl w:ilvl="2" w:tplc="FCEEDC5C">
      <w:start w:val="1"/>
      <w:numFmt w:val="bullet"/>
      <w:lvlText w:val=""/>
      <w:lvlJc w:val="left"/>
      <w:pPr>
        <w:ind w:left="2160" w:hanging="360"/>
      </w:pPr>
      <w:rPr>
        <w:rFonts w:ascii="Wingdings" w:hAnsi="Wingdings"/>
      </w:rPr>
    </w:lvl>
    <w:lvl w:ilvl="3" w:tplc="41747390">
      <w:start w:val="1"/>
      <w:numFmt w:val="bullet"/>
      <w:lvlText w:val=""/>
      <w:lvlJc w:val="left"/>
      <w:pPr>
        <w:ind w:left="2880" w:hanging="360"/>
      </w:pPr>
      <w:rPr>
        <w:rFonts w:ascii="Symbol" w:hAnsi="Symbol"/>
      </w:rPr>
    </w:lvl>
    <w:lvl w:ilvl="4" w:tplc="DD42BAB0">
      <w:start w:val="1"/>
      <w:numFmt w:val="bullet"/>
      <w:lvlText w:val="o"/>
      <w:lvlJc w:val="left"/>
      <w:pPr>
        <w:ind w:left="3600" w:hanging="360"/>
      </w:pPr>
      <w:rPr>
        <w:rFonts w:ascii="Courier New" w:hAnsi="Courier New"/>
      </w:rPr>
    </w:lvl>
    <w:lvl w:ilvl="5" w:tplc="65C0061A">
      <w:start w:val="1"/>
      <w:numFmt w:val="bullet"/>
      <w:lvlText w:val=""/>
      <w:lvlJc w:val="left"/>
      <w:pPr>
        <w:ind w:left="4320" w:hanging="360"/>
      </w:pPr>
      <w:rPr>
        <w:rFonts w:ascii="Wingdings" w:hAnsi="Wingdings"/>
      </w:rPr>
    </w:lvl>
    <w:lvl w:ilvl="6" w:tplc="80A247FE">
      <w:start w:val="1"/>
      <w:numFmt w:val="bullet"/>
      <w:lvlText w:val=""/>
      <w:lvlJc w:val="left"/>
      <w:pPr>
        <w:ind w:left="5040" w:hanging="360"/>
      </w:pPr>
      <w:rPr>
        <w:rFonts w:ascii="Symbol" w:hAnsi="Symbol"/>
      </w:rPr>
    </w:lvl>
    <w:lvl w:ilvl="7" w:tplc="3280D372">
      <w:start w:val="1"/>
      <w:numFmt w:val="bullet"/>
      <w:lvlText w:val="o"/>
      <w:lvlJc w:val="left"/>
      <w:pPr>
        <w:ind w:left="5760" w:hanging="360"/>
      </w:pPr>
      <w:rPr>
        <w:rFonts w:ascii="Courier New" w:hAnsi="Courier New"/>
      </w:rPr>
    </w:lvl>
    <w:lvl w:ilvl="8" w:tplc="76621DE6">
      <w:start w:val="1"/>
      <w:numFmt w:val="bullet"/>
      <w:lvlText w:val=""/>
      <w:lvlJc w:val="left"/>
      <w:pPr>
        <w:ind w:left="6480" w:hanging="360"/>
      </w:pPr>
      <w:rPr>
        <w:rFonts w:ascii="Wingdings" w:hAnsi="Wingdings"/>
      </w:rPr>
    </w:lvl>
  </w:abstractNum>
  <w:abstractNum w:abstractNumId="23">
    <w:nsid w:val="4D08644F"/>
    <w:multiLevelType w:val="multilevel"/>
    <w:tmpl w:val="ACDE66B8"/>
    <w:lvl w:ilvl="0">
      <w:start w:val="1"/>
      <w:numFmt w:val="decimal"/>
      <w:pStyle w:val="NumberedList"/>
      <w:lvlText w:val="%1."/>
      <w:lvlJc w:val="left"/>
      <w:pPr>
        <w:ind w:left="567" w:hanging="567"/>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4">
    <w:nsid w:val="4F4F5FE2"/>
    <w:multiLevelType w:val="hybridMultilevel"/>
    <w:tmpl w:val="C7024314"/>
    <w:lvl w:ilvl="0" w:tplc="41CECA40">
      <w:start w:val="1"/>
      <w:numFmt w:val="bullet"/>
      <w:pStyle w:val="Bullet3"/>
      <w:lvlText w:val="•"/>
      <w:lvlJc w:val="left"/>
      <w:pPr>
        <w:ind w:left="1854" w:hanging="360"/>
      </w:pPr>
      <w:rPr>
        <w:rFonts w:ascii="Calibri" w:hAnsi="Calibri"/>
        <w:color w:val="92D400"/>
      </w:rPr>
    </w:lvl>
    <w:lvl w:ilvl="1" w:tplc="B4BE8B28">
      <w:start w:val="1"/>
      <w:numFmt w:val="bullet"/>
      <w:lvlText w:val="o"/>
      <w:lvlJc w:val="left"/>
      <w:pPr>
        <w:ind w:left="2574" w:hanging="360"/>
      </w:pPr>
      <w:rPr>
        <w:rFonts w:ascii="Courier New" w:hAnsi="Courier New"/>
      </w:rPr>
    </w:lvl>
    <w:lvl w:ilvl="2" w:tplc="0B5E6D8E">
      <w:start w:val="1"/>
      <w:numFmt w:val="bullet"/>
      <w:lvlText w:val=""/>
      <w:lvlJc w:val="left"/>
      <w:pPr>
        <w:ind w:left="3294" w:hanging="360"/>
      </w:pPr>
      <w:rPr>
        <w:rFonts w:ascii="Wingdings" w:hAnsi="Wingdings"/>
      </w:rPr>
    </w:lvl>
    <w:lvl w:ilvl="3" w:tplc="40043CA4">
      <w:start w:val="1"/>
      <w:numFmt w:val="bullet"/>
      <w:lvlText w:val=""/>
      <w:lvlJc w:val="left"/>
      <w:pPr>
        <w:ind w:left="4014" w:hanging="360"/>
      </w:pPr>
      <w:rPr>
        <w:rFonts w:ascii="Symbol" w:hAnsi="Symbol"/>
      </w:rPr>
    </w:lvl>
    <w:lvl w:ilvl="4" w:tplc="B8D69AD0">
      <w:start w:val="1"/>
      <w:numFmt w:val="bullet"/>
      <w:lvlText w:val="o"/>
      <w:lvlJc w:val="left"/>
      <w:pPr>
        <w:ind w:left="4734" w:hanging="360"/>
      </w:pPr>
      <w:rPr>
        <w:rFonts w:ascii="Courier New" w:hAnsi="Courier New"/>
      </w:rPr>
    </w:lvl>
    <w:lvl w:ilvl="5" w:tplc="9FD0701E">
      <w:start w:val="1"/>
      <w:numFmt w:val="bullet"/>
      <w:lvlText w:val=""/>
      <w:lvlJc w:val="left"/>
      <w:pPr>
        <w:ind w:left="5454" w:hanging="360"/>
      </w:pPr>
      <w:rPr>
        <w:rFonts w:ascii="Wingdings" w:hAnsi="Wingdings"/>
      </w:rPr>
    </w:lvl>
    <w:lvl w:ilvl="6" w:tplc="8C702C54">
      <w:start w:val="1"/>
      <w:numFmt w:val="bullet"/>
      <w:lvlText w:val=""/>
      <w:lvlJc w:val="left"/>
      <w:pPr>
        <w:ind w:left="6174" w:hanging="360"/>
      </w:pPr>
      <w:rPr>
        <w:rFonts w:ascii="Symbol" w:hAnsi="Symbol"/>
      </w:rPr>
    </w:lvl>
    <w:lvl w:ilvl="7" w:tplc="F50C5BB2">
      <w:start w:val="1"/>
      <w:numFmt w:val="bullet"/>
      <w:lvlText w:val="o"/>
      <w:lvlJc w:val="left"/>
      <w:pPr>
        <w:ind w:left="6894" w:hanging="360"/>
      </w:pPr>
      <w:rPr>
        <w:rFonts w:ascii="Courier New" w:hAnsi="Courier New"/>
      </w:rPr>
    </w:lvl>
    <w:lvl w:ilvl="8" w:tplc="5302D2D4">
      <w:start w:val="1"/>
      <w:numFmt w:val="bullet"/>
      <w:lvlText w:val=""/>
      <w:lvlJc w:val="left"/>
      <w:pPr>
        <w:ind w:left="7614" w:hanging="360"/>
      </w:pPr>
      <w:rPr>
        <w:rFonts w:ascii="Wingdings" w:hAnsi="Wingdings"/>
      </w:rPr>
    </w:lvl>
  </w:abstractNum>
  <w:abstractNum w:abstractNumId="25">
    <w:nsid w:val="519D392D"/>
    <w:multiLevelType w:val="singleLevel"/>
    <w:tmpl w:val="C5B2C534"/>
    <w:lvl w:ilvl="0">
      <w:start w:val="1"/>
      <w:numFmt w:val="lowerRoman"/>
      <w:pStyle w:val="IndentNumberedList"/>
      <w:lvlText w:val="%1."/>
      <w:lvlJc w:val="left"/>
      <w:pPr>
        <w:tabs>
          <w:tab w:val="num" w:pos="1134"/>
        </w:tabs>
        <w:ind w:left="1134" w:hanging="567"/>
      </w:pPr>
      <w:rPr>
        <w:rFonts w:ascii="Calibri" w:hAnsi="Calibri"/>
        <w:b w:val="0"/>
        <w:i w:val="0"/>
        <w:color w:val="auto"/>
        <w:sz w:val="22"/>
      </w:rPr>
    </w:lvl>
  </w:abstractNum>
  <w:abstractNum w:abstractNumId="26">
    <w:nsid w:val="51F446EB"/>
    <w:multiLevelType w:val="hybridMultilevel"/>
    <w:tmpl w:val="98E89F60"/>
    <w:lvl w:ilvl="0" w:tplc="7BEED9E8">
      <w:start w:val="1"/>
      <w:numFmt w:val="bullet"/>
      <w:pStyle w:val="Bullet2"/>
      <w:lvlText w:val="•"/>
      <w:lvlJc w:val="left"/>
      <w:pPr>
        <w:ind w:left="1287" w:hanging="360"/>
      </w:pPr>
      <w:rPr>
        <w:rFonts w:ascii="Calibri" w:hAnsi="Calibri"/>
        <w:color w:val="72C7E7"/>
      </w:rPr>
    </w:lvl>
    <w:lvl w:ilvl="1" w:tplc="2368B4D6">
      <w:start w:val="1"/>
      <w:numFmt w:val="bullet"/>
      <w:lvlText w:val="o"/>
      <w:lvlJc w:val="left"/>
      <w:pPr>
        <w:ind w:left="2007" w:hanging="360"/>
      </w:pPr>
      <w:rPr>
        <w:rFonts w:ascii="Courier New" w:hAnsi="Courier New"/>
      </w:rPr>
    </w:lvl>
    <w:lvl w:ilvl="2" w:tplc="219A8FE8">
      <w:start w:val="1"/>
      <w:numFmt w:val="bullet"/>
      <w:lvlText w:val=""/>
      <w:lvlJc w:val="left"/>
      <w:pPr>
        <w:ind w:left="2727" w:hanging="360"/>
      </w:pPr>
      <w:rPr>
        <w:rFonts w:ascii="Wingdings" w:hAnsi="Wingdings"/>
      </w:rPr>
    </w:lvl>
    <w:lvl w:ilvl="3" w:tplc="20E42CCC">
      <w:start w:val="1"/>
      <w:numFmt w:val="bullet"/>
      <w:lvlText w:val=""/>
      <w:lvlJc w:val="left"/>
      <w:pPr>
        <w:ind w:left="3447" w:hanging="360"/>
      </w:pPr>
      <w:rPr>
        <w:rFonts w:ascii="Symbol" w:hAnsi="Symbol"/>
      </w:rPr>
    </w:lvl>
    <w:lvl w:ilvl="4" w:tplc="EBA0166E">
      <w:start w:val="1"/>
      <w:numFmt w:val="bullet"/>
      <w:lvlText w:val="o"/>
      <w:lvlJc w:val="left"/>
      <w:pPr>
        <w:ind w:left="4167" w:hanging="360"/>
      </w:pPr>
      <w:rPr>
        <w:rFonts w:ascii="Courier New" w:hAnsi="Courier New"/>
      </w:rPr>
    </w:lvl>
    <w:lvl w:ilvl="5" w:tplc="009CE1A8">
      <w:start w:val="1"/>
      <w:numFmt w:val="bullet"/>
      <w:lvlText w:val=""/>
      <w:lvlJc w:val="left"/>
      <w:pPr>
        <w:ind w:left="4887" w:hanging="360"/>
      </w:pPr>
      <w:rPr>
        <w:rFonts w:ascii="Wingdings" w:hAnsi="Wingdings"/>
      </w:rPr>
    </w:lvl>
    <w:lvl w:ilvl="6" w:tplc="9FFADEE8">
      <w:start w:val="1"/>
      <w:numFmt w:val="bullet"/>
      <w:lvlText w:val=""/>
      <w:lvlJc w:val="left"/>
      <w:pPr>
        <w:ind w:left="5607" w:hanging="360"/>
      </w:pPr>
      <w:rPr>
        <w:rFonts w:ascii="Symbol" w:hAnsi="Symbol"/>
      </w:rPr>
    </w:lvl>
    <w:lvl w:ilvl="7" w:tplc="12548196">
      <w:start w:val="1"/>
      <w:numFmt w:val="bullet"/>
      <w:lvlText w:val="o"/>
      <w:lvlJc w:val="left"/>
      <w:pPr>
        <w:ind w:left="6327" w:hanging="360"/>
      </w:pPr>
      <w:rPr>
        <w:rFonts w:ascii="Courier New" w:hAnsi="Courier New"/>
      </w:rPr>
    </w:lvl>
    <w:lvl w:ilvl="8" w:tplc="BDEEDA34">
      <w:start w:val="1"/>
      <w:numFmt w:val="bullet"/>
      <w:lvlText w:val=""/>
      <w:lvlJc w:val="left"/>
      <w:pPr>
        <w:ind w:left="7047" w:hanging="360"/>
      </w:pPr>
      <w:rPr>
        <w:rFonts w:ascii="Wingdings" w:hAnsi="Wingdings"/>
      </w:rPr>
    </w:lvl>
  </w:abstractNum>
  <w:abstractNum w:abstractNumId="27">
    <w:nsid w:val="52E71DAF"/>
    <w:multiLevelType w:val="singleLevel"/>
    <w:tmpl w:val="8E3AB198"/>
    <w:lvl w:ilvl="0">
      <w:start w:val="1"/>
      <w:numFmt w:val="lowerLetter"/>
      <w:lvlText w:val="%1."/>
      <w:lvlJc w:val="left"/>
      <w:pPr>
        <w:tabs>
          <w:tab w:val="num" w:pos="1134"/>
        </w:tabs>
        <w:ind w:left="1134" w:hanging="567"/>
      </w:pPr>
      <w:rPr>
        <w:rFonts w:ascii="Arial" w:hAnsi="Arial"/>
        <w:b w:val="0"/>
        <w:i w:val="0"/>
        <w:color w:val="auto"/>
        <w:sz w:val="24"/>
      </w:rPr>
    </w:lvl>
  </w:abstractNum>
  <w:abstractNum w:abstractNumId="28">
    <w:nsid w:val="552368F4"/>
    <w:multiLevelType w:val="multilevel"/>
    <w:tmpl w:val="B080CDA2"/>
    <w:lvl w:ilvl="0">
      <w:start w:val="1"/>
      <w:numFmt w:val="bullet"/>
      <w:pStyle w:val="Bullet1"/>
      <w:lvlText w:val=""/>
      <w:lvlJc w:val="left"/>
      <w:pPr>
        <w:ind w:left="360" w:hanging="360"/>
      </w:pPr>
      <w:rPr>
        <w:rFonts w:ascii="Symbol" w:hAnsi="Symbol"/>
        <w:color w:val="002776"/>
        <w:sz w:val="22"/>
      </w:rPr>
    </w:lvl>
    <w:lvl w:ilvl="1">
      <w:start w:val="1"/>
      <w:numFmt w:val="bullet"/>
      <w:lvlText w:val=""/>
      <w:lvlJc w:val="left"/>
      <w:pPr>
        <w:tabs>
          <w:tab w:val="num" w:pos="1134"/>
        </w:tabs>
        <w:ind w:left="1134" w:hanging="567"/>
      </w:pPr>
      <w:rPr>
        <w:rFonts w:ascii="Wingdings 3" w:hAnsi="Wingdings 3"/>
        <w:b/>
        <w:i w:val="0"/>
        <w:color w:val="931638"/>
        <w:sz w:val="24"/>
      </w:rPr>
    </w:lvl>
    <w:lvl w:ilvl="2">
      <w:start w:val="1"/>
      <w:numFmt w:val="bullet"/>
      <w:lvlText w:val="-"/>
      <w:lvlJc w:val="left"/>
      <w:pPr>
        <w:tabs>
          <w:tab w:val="num" w:pos="1701"/>
        </w:tabs>
        <w:ind w:left="1701" w:hanging="567"/>
      </w:pPr>
      <w:rPr>
        <w:rFonts w:ascii="Arial" w:hAnsi="Arial"/>
        <w:color w:val="931638"/>
      </w:rPr>
    </w:lvl>
    <w:lvl w:ilvl="3">
      <w:start w:val="1"/>
      <w:numFmt w:val="decimal"/>
      <w:lvlText w:val=""/>
      <w:lvlJc w:val="left"/>
      <w:pPr>
        <w:tabs>
          <w:tab w:val="num" w:pos="1440"/>
        </w:tabs>
        <w:ind w:left="1440" w:hanging="360"/>
      </w:pPr>
    </w:lvl>
    <w:lvl w:ilvl="4">
      <w:start w:val="1"/>
      <w:numFmt w:val="lowerLetter"/>
      <w:lvlText w:val=""/>
      <w:lvlJc w:val="left"/>
      <w:pPr>
        <w:tabs>
          <w:tab w:val="num" w:pos="1800"/>
        </w:tabs>
        <w:ind w:left="1800" w:hanging="360"/>
      </w:pPr>
    </w:lvl>
    <w:lvl w:ilvl="5">
      <w:start w:val="1"/>
      <w:numFmt w:val="lowerRoman"/>
      <w:lvlText w:val=""/>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49F66FA"/>
    <w:multiLevelType w:val="hybridMultilevel"/>
    <w:tmpl w:val="B8ECA616"/>
    <w:lvl w:ilvl="0" w:tplc="8DB83CE2">
      <w:start w:val="1"/>
      <w:numFmt w:val="bullet"/>
      <w:lvlText w:val=""/>
      <w:lvlJc w:val="left"/>
      <w:pPr>
        <w:ind w:left="720" w:hanging="360"/>
      </w:pPr>
      <w:rPr>
        <w:rFonts w:ascii="Symbol" w:hAnsi="Symbol"/>
      </w:rPr>
    </w:lvl>
    <w:lvl w:ilvl="1" w:tplc="13480842">
      <w:start w:val="1"/>
      <w:numFmt w:val="bullet"/>
      <w:lvlText w:val="o"/>
      <w:lvlJc w:val="left"/>
      <w:pPr>
        <w:ind w:left="1440" w:hanging="360"/>
      </w:pPr>
      <w:rPr>
        <w:rFonts w:ascii="Courier New" w:hAnsi="Courier New"/>
      </w:rPr>
    </w:lvl>
    <w:lvl w:ilvl="2" w:tplc="1A1894B2">
      <w:start w:val="1"/>
      <w:numFmt w:val="bullet"/>
      <w:lvlText w:val=""/>
      <w:lvlJc w:val="left"/>
      <w:pPr>
        <w:ind w:left="2160" w:hanging="360"/>
      </w:pPr>
      <w:rPr>
        <w:rFonts w:ascii="Wingdings" w:hAnsi="Wingdings"/>
      </w:rPr>
    </w:lvl>
    <w:lvl w:ilvl="3" w:tplc="E18EA484">
      <w:start w:val="1"/>
      <w:numFmt w:val="bullet"/>
      <w:lvlText w:val=""/>
      <w:lvlJc w:val="left"/>
      <w:pPr>
        <w:ind w:left="2880" w:hanging="360"/>
      </w:pPr>
      <w:rPr>
        <w:rFonts w:ascii="Symbol" w:hAnsi="Symbol"/>
      </w:rPr>
    </w:lvl>
    <w:lvl w:ilvl="4" w:tplc="0E22939A">
      <w:start w:val="1"/>
      <w:numFmt w:val="bullet"/>
      <w:lvlText w:val="o"/>
      <w:lvlJc w:val="left"/>
      <w:pPr>
        <w:ind w:left="3600" w:hanging="360"/>
      </w:pPr>
      <w:rPr>
        <w:rFonts w:ascii="Courier New" w:hAnsi="Courier New"/>
      </w:rPr>
    </w:lvl>
    <w:lvl w:ilvl="5" w:tplc="145C733C">
      <w:start w:val="1"/>
      <w:numFmt w:val="bullet"/>
      <w:lvlText w:val=""/>
      <w:lvlJc w:val="left"/>
      <w:pPr>
        <w:ind w:left="4320" w:hanging="360"/>
      </w:pPr>
      <w:rPr>
        <w:rFonts w:ascii="Wingdings" w:hAnsi="Wingdings"/>
      </w:rPr>
    </w:lvl>
    <w:lvl w:ilvl="6" w:tplc="692401BC">
      <w:start w:val="1"/>
      <w:numFmt w:val="bullet"/>
      <w:lvlText w:val=""/>
      <w:lvlJc w:val="left"/>
      <w:pPr>
        <w:ind w:left="5040" w:hanging="360"/>
      </w:pPr>
      <w:rPr>
        <w:rFonts w:ascii="Symbol" w:hAnsi="Symbol"/>
      </w:rPr>
    </w:lvl>
    <w:lvl w:ilvl="7" w:tplc="C8760FF0">
      <w:start w:val="1"/>
      <w:numFmt w:val="bullet"/>
      <w:lvlText w:val="o"/>
      <w:lvlJc w:val="left"/>
      <w:pPr>
        <w:ind w:left="5760" w:hanging="360"/>
      </w:pPr>
      <w:rPr>
        <w:rFonts w:ascii="Courier New" w:hAnsi="Courier New"/>
      </w:rPr>
    </w:lvl>
    <w:lvl w:ilvl="8" w:tplc="DABE5E56">
      <w:start w:val="1"/>
      <w:numFmt w:val="bullet"/>
      <w:lvlText w:val=""/>
      <w:lvlJc w:val="left"/>
      <w:pPr>
        <w:ind w:left="6480" w:hanging="360"/>
      </w:pPr>
      <w:rPr>
        <w:rFonts w:ascii="Wingdings" w:hAnsi="Wingdings"/>
      </w:rPr>
    </w:lvl>
  </w:abstractNum>
  <w:abstractNum w:abstractNumId="30">
    <w:nsid w:val="6CED0BD8"/>
    <w:multiLevelType w:val="multilevel"/>
    <w:tmpl w:val="D908ABD6"/>
    <w:lvl w:ilvl="0">
      <w:start w:val="1"/>
      <w:numFmt w:val="decimal"/>
      <w:pStyle w:val="Heading1"/>
      <w:lvlText w:val="%1."/>
      <w:lvlJc w:val="left"/>
      <w:pPr>
        <w:ind w:left="360" w:hanging="360"/>
      </w:pPr>
      <w:rPr>
        <w:b/>
        <w:i w:val="0"/>
        <w:color w:val="002776"/>
        <w:sz w:val="56"/>
      </w:rPr>
    </w:lvl>
    <w:lvl w:ilvl="1">
      <w:start w:val="1"/>
      <w:numFmt w:val="decimal"/>
      <w:pStyle w:val="Heading2"/>
      <w:lvlText w:val="%1.%2."/>
      <w:lvlJc w:val="left"/>
      <w:pPr>
        <w:tabs>
          <w:tab w:val="num" w:pos="709"/>
        </w:tabs>
        <w:ind w:left="709" w:hanging="567"/>
      </w:pPr>
      <w:rPr>
        <w:rFonts w:ascii="Calibri" w:hAnsi="Calibri"/>
        <w:b/>
        <w:i w:val="0"/>
        <w:color w:val="00A1DE"/>
        <w:sz w:val="40"/>
      </w:rPr>
    </w:lvl>
    <w:lvl w:ilvl="2">
      <w:start w:val="1"/>
      <w:numFmt w:val="decimal"/>
      <w:pStyle w:val="Heading3"/>
      <w:lvlText w:val="%1.%2.%3."/>
      <w:lvlJc w:val="left"/>
      <w:pPr>
        <w:tabs>
          <w:tab w:val="num" w:pos="1134"/>
        </w:tabs>
        <w:ind w:left="1134" w:hanging="1134"/>
      </w:pPr>
      <w:rPr>
        <w:rFonts w:ascii="Calibri" w:hAnsi="Calibri"/>
        <w:b w:val="0"/>
        <w:i w:val="0"/>
        <w:color w:val="00A1DE"/>
        <w:sz w:val="26"/>
      </w:rPr>
    </w:lvl>
    <w:lvl w:ilvl="3">
      <w:start w:val="1"/>
      <w:numFmt w:val="decimal"/>
      <w:pStyle w:val="Heading4"/>
      <w:lvlText w:val="%1.%2.%3.%4."/>
      <w:lvlJc w:val="left"/>
      <w:pPr>
        <w:tabs>
          <w:tab w:val="num" w:pos="1134"/>
        </w:tabs>
        <w:ind w:left="1134" w:hanging="1134"/>
      </w:pPr>
      <w:rPr>
        <w:rFonts w:ascii="Calibri" w:hAnsi="Calibri"/>
        <w:b/>
        <w:i w:val="0"/>
        <w:color w:val="00A1DE"/>
        <w:sz w:val="24"/>
        <w:u w:val="none"/>
      </w:rPr>
    </w:lvl>
    <w:lvl w:ilvl="4">
      <w:start w:val="1"/>
      <w:numFmt w:val="decimal"/>
      <w:pStyle w:val="Heading5"/>
      <w:lvlText w:val=""/>
      <w:lvlJc w:val="left"/>
      <w:pPr>
        <w:ind w:left="1134" w:hanging="850"/>
      </w:pPr>
      <w:rPr>
        <w:rFonts w:ascii="Calibri" w:hAnsi="Calibri"/>
        <w:b/>
        <w:i w:val="0"/>
        <w:color w:val="FFFFFF"/>
        <w:sz w:val="20"/>
      </w:rPr>
    </w:lvl>
    <w:lvl w:ilvl="5">
      <w:start w:val="1"/>
      <w:numFmt w:val="none"/>
      <w:lvlText w:val=""/>
      <w:lvlJc w:val="center"/>
      <w:pPr>
        <w:ind w:left="0"/>
      </w:pPr>
      <w:rPr>
        <w:rFonts w:ascii="Arial" w:hAnsi="Arial"/>
        <w:b/>
        <w:i w:val="0"/>
        <w:color w:val="931638"/>
        <w:sz w:val="20"/>
      </w:rPr>
    </w:lvl>
    <w:lvl w:ilvl="6">
      <w:start w:val="1"/>
      <w:numFmt w:val="decimal"/>
      <w:pStyle w:val="CaptionTable"/>
      <w:lvlText w:val=""/>
      <w:lvlJc w:val="left"/>
      <w:pPr>
        <w:ind w:left="0"/>
      </w:pPr>
      <w:rPr>
        <w:rFonts w:ascii="Calibri" w:hAnsi="Calibri"/>
        <w:b/>
        <w:i w:val="0"/>
        <w:color w:val="002776"/>
        <w:sz w:val="22"/>
      </w:rPr>
    </w:lvl>
    <w:lvl w:ilvl="7">
      <w:start w:val="1"/>
      <w:numFmt w:val="decimal"/>
      <w:pStyle w:val="CaptionChart"/>
      <w:lvlText w:val=""/>
      <w:lvlJc w:val="left"/>
      <w:pPr>
        <w:ind w:left="0"/>
      </w:pPr>
      <w:rPr>
        <w:rFonts w:ascii="Calibri" w:hAnsi="Calibri"/>
        <w:b/>
        <w:i w:val="0"/>
        <w:color w:val="002776"/>
        <w:sz w:val="22"/>
      </w:rPr>
    </w:lvl>
    <w:lvl w:ilvl="8">
      <w:start w:val="1"/>
      <w:numFmt w:val="decimal"/>
      <w:pStyle w:val="CaptionFigure"/>
      <w:lvlText w:val=""/>
      <w:lvlJc w:val="left"/>
      <w:pPr>
        <w:ind w:left="0"/>
      </w:pPr>
      <w:rPr>
        <w:rFonts w:ascii="Calibri" w:hAnsi="Calibri"/>
        <w:b/>
        <w:i w:val="0"/>
        <w:color w:val="002776"/>
        <w:sz w:val="22"/>
      </w:rPr>
    </w:lvl>
  </w:abstractNum>
  <w:abstractNum w:abstractNumId="31">
    <w:nsid w:val="73A96D2C"/>
    <w:multiLevelType w:val="singleLevel"/>
    <w:tmpl w:val="EE4A2D06"/>
    <w:lvl w:ilvl="0">
      <w:start w:val="1"/>
      <w:numFmt w:val="decimal"/>
      <w:lvlText w:val="%1."/>
      <w:lvlJc w:val="left"/>
      <w:pPr>
        <w:tabs>
          <w:tab w:val="num" w:pos="567"/>
        </w:tabs>
        <w:ind w:left="567" w:hanging="567"/>
      </w:pPr>
      <w:rPr>
        <w:rFonts w:ascii="Arial" w:hAnsi="Arial"/>
      </w:rPr>
    </w:lvl>
  </w:abstractNum>
  <w:abstractNum w:abstractNumId="32">
    <w:nsid w:val="76ED37F9"/>
    <w:multiLevelType w:val="hybridMultilevel"/>
    <w:tmpl w:val="183C0D8A"/>
    <w:lvl w:ilvl="0" w:tplc="EC5293CE">
      <w:start w:val="1"/>
      <w:numFmt w:val="bullet"/>
      <w:lvlText w:val=""/>
      <w:lvlJc w:val="left"/>
      <w:pPr>
        <w:tabs>
          <w:tab w:val="num" w:pos="360"/>
        </w:tabs>
        <w:ind w:left="360" w:hanging="360"/>
      </w:pPr>
      <w:rPr>
        <w:rFonts w:ascii="Symbol" w:hAnsi="Symbol"/>
      </w:rPr>
    </w:lvl>
    <w:lvl w:ilvl="1" w:tplc="B8C4B000">
      <w:start w:val="1"/>
      <w:numFmt w:val="bullet"/>
      <w:lvlText w:val="o"/>
      <w:lvlJc w:val="left"/>
      <w:pPr>
        <w:tabs>
          <w:tab w:val="num" w:pos="360"/>
        </w:tabs>
        <w:ind w:left="360" w:hanging="360"/>
      </w:pPr>
      <w:rPr>
        <w:rFonts w:ascii="Courier New" w:hAnsi="Courier New"/>
      </w:rPr>
    </w:lvl>
    <w:lvl w:ilvl="2" w:tplc="86FCF350">
      <w:start w:val="1"/>
      <w:numFmt w:val="bullet"/>
      <w:lvlText w:val=""/>
      <w:lvlJc w:val="left"/>
      <w:pPr>
        <w:tabs>
          <w:tab w:val="num" w:pos="1080"/>
        </w:tabs>
        <w:ind w:left="1080" w:hanging="360"/>
      </w:pPr>
      <w:rPr>
        <w:rFonts w:ascii="Wingdings" w:hAnsi="Wingdings"/>
      </w:rPr>
    </w:lvl>
    <w:lvl w:ilvl="3" w:tplc="E12CE3C2">
      <w:start w:val="1"/>
      <w:numFmt w:val="bullet"/>
      <w:lvlText w:val=""/>
      <w:lvlJc w:val="left"/>
      <w:pPr>
        <w:tabs>
          <w:tab w:val="num" w:pos="1800"/>
        </w:tabs>
        <w:ind w:left="1800" w:hanging="360"/>
      </w:pPr>
      <w:rPr>
        <w:rFonts w:ascii="Symbol" w:hAnsi="Symbol"/>
      </w:rPr>
    </w:lvl>
    <w:lvl w:ilvl="4" w:tplc="3BDE11AC">
      <w:start w:val="1"/>
      <w:numFmt w:val="bullet"/>
      <w:lvlText w:val="o"/>
      <w:lvlJc w:val="left"/>
      <w:pPr>
        <w:tabs>
          <w:tab w:val="num" w:pos="2520"/>
        </w:tabs>
        <w:ind w:left="2520" w:hanging="360"/>
      </w:pPr>
      <w:rPr>
        <w:rFonts w:ascii="Courier New" w:hAnsi="Courier New"/>
      </w:rPr>
    </w:lvl>
    <w:lvl w:ilvl="5" w:tplc="31B07D78">
      <w:start w:val="1"/>
      <w:numFmt w:val="bullet"/>
      <w:lvlText w:val=""/>
      <w:lvlJc w:val="left"/>
      <w:pPr>
        <w:tabs>
          <w:tab w:val="num" w:pos="3240"/>
        </w:tabs>
        <w:ind w:left="3240" w:hanging="360"/>
      </w:pPr>
      <w:rPr>
        <w:rFonts w:ascii="Wingdings" w:hAnsi="Wingdings"/>
      </w:rPr>
    </w:lvl>
    <w:lvl w:ilvl="6" w:tplc="C3D2DD44">
      <w:start w:val="1"/>
      <w:numFmt w:val="bullet"/>
      <w:lvlText w:val=""/>
      <w:lvlJc w:val="left"/>
      <w:pPr>
        <w:tabs>
          <w:tab w:val="num" w:pos="3960"/>
        </w:tabs>
        <w:ind w:left="3960" w:hanging="360"/>
      </w:pPr>
      <w:rPr>
        <w:rFonts w:ascii="Symbol" w:hAnsi="Symbol"/>
      </w:rPr>
    </w:lvl>
    <w:lvl w:ilvl="7" w:tplc="05DAF9C6">
      <w:start w:val="1"/>
      <w:numFmt w:val="bullet"/>
      <w:lvlText w:val="o"/>
      <w:lvlJc w:val="left"/>
      <w:pPr>
        <w:tabs>
          <w:tab w:val="num" w:pos="4680"/>
        </w:tabs>
        <w:ind w:left="4680" w:hanging="360"/>
      </w:pPr>
      <w:rPr>
        <w:rFonts w:ascii="Courier New" w:hAnsi="Courier New"/>
      </w:rPr>
    </w:lvl>
    <w:lvl w:ilvl="8" w:tplc="DE9EF752">
      <w:start w:val="1"/>
      <w:numFmt w:val="bullet"/>
      <w:lvlText w:val=""/>
      <w:lvlJc w:val="left"/>
      <w:pPr>
        <w:tabs>
          <w:tab w:val="num" w:pos="5400"/>
        </w:tabs>
        <w:ind w:left="5400" w:hanging="360"/>
      </w:pPr>
      <w:rPr>
        <w:rFonts w:ascii="Wingdings" w:hAnsi="Wingdings"/>
      </w:rPr>
    </w:lvl>
  </w:abstractNum>
  <w:abstractNum w:abstractNumId="33">
    <w:nsid w:val="78BE58D6"/>
    <w:multiLevelType w:val="singleLevel"/>
    <w:tmpl w:val="F3B04A5A"/>
    <w:lvl w:ilvl="0">
      <w:start w:val="1"/>
      <w:numFmt w:val="bullet"/>
      <w:pStyle w:val="ListBullet"/>
      <w:lvlText w:val=""/>
      <w:lvlJc w:val="left"/>
      <w:pPr>
        <w:tabs>
          <w:tab w:val="num" w:pos="360"/>
        </w:tabs>
        <w:ind w:left="360" w:hanging="360"/>
      </w:pPr>
      <w:rPr>
        <w:rFonts w:ascii="Symbol" w:hAnsi="Symbol"/>
      </w:rPr>
    </w:lvl>
  </w:abstractNum>
  <w:abstractNum w:abstractNumId="34">
    <w:nsid w:val="7B2760FB"/>
    <w:multiLevelType w:val="hybridMultilevel"/>
    <w:tmpl w:val="B8506D88"/>
    <w:lvl w:ilvl="0" w:tplc="230CCC20">
      <w:numFmt w:val="bullet"/>
      <w:pStyle w:val="IndentParaGreyBullet"/>
      <w:lvlText w:val="•"/>
      <w:lvlJc w:val="left"/>
      <w:pPr>
        <w:ind w:left="567" w:hanging="283"/>
      </w:pPr>
      <w:rPr>
        <w:rFonts w:ascii="Arial" w:hAnsi="Arial"/>
      </w:rPr>
    </w:lvl>
    <w:lvl w:ilvl="1" w:tplc="8CE48686">
      <w:start w:val="1"/>
      <w:numFmt w:val="bullet"/>
      <w:lvlText w:val="o"/>
      <w:lvlJc w:val="left"/>
      <w:pPr>
        <w:ind w:left="1647" w:hanging="360"/>
      </w:pPr>
      <w:rPr>
        <w:rFonts w:ascii="Courier New" w:hAnsi="Courier New"/>
      </w:rPr>
    </w:lvl>
    <w:lvl w:ilvl="2" w:tplc="2A428BF0">
      <w:start w:val="1"/>
      <w:numFmt w:val="bullet"/>
      <w:lvlText w:val=""/>
      <w:lvlJc w:val="left"/>
      <w:pPr>
        <w:ind w:left="2367" w:hanging="360"/>
      </w:pPr>
      <w:rPr>
        <w:rFonts w:ascii="Wingdings" w:hAnsi="Wingdings"/>
      </w:rPr>
    </w:lvl>
    <w:lvl w:ilvl="3" w:tplc="1A36E1AE">
      <w:start w:val="1"/>
      <w:numFmt w:val="bullet"/>
      <w:lvlText w:val=""/>
      <w:lvlJc w:val="left"/>
      <w:pPr>
        <w:ind w:left="3087" w:hanging="360"/>
      </w:pPr>
      <w:rPr>
        <w:rFonts w:ascii="Symbol" w:hAnsi="Symbol"/>
      </w:rPr>
    </w:lvl>
    <w:lvl w:ilvl="4" w:tplc="77100AAE">
      <w:start w:val="1"/>
      <w:numFmt w:val="bullet"/>
      <w:lvlText w:val="o"/>
      <w:lvlJc w:val="left"/>
      <w:pPr>
        <w:ind w:left="3807" w:hanging="360"/>
      </w:pPr>
      <w:rPr>
        <w:rFonts w:ascii="Courier New" w:hAnsi="Courier New"/>
      </w:rPr>
    </w:lvl>
    <w:lvl w:ilvl="5" w:tplc="38C2C13A">
      <w:start w:val="1"/>
      <w:numFmt w:val="bullet"/>
      <w:lvlText w:val=""/>
      <w:lvlJc w:val="left"/>
      <w:pPr>
        <w:ind w:left="4527" w:hanging="360"/>
      </w:pPr>
      <w:rPr>
        <w:rFonts w:ascii="Wingdings" w:hAnsi="Wingdings"/>
      </w:rPr>
    </w:lvl>
    <w:lvl w:ilvl="6" w:tplc="877C4742">
      <w:start w:val="1"/>
      <w:numFmt w:val="bullet"/>
      <w:lvlText w:val=""/>
      <w:lvlJc w:val="left"/>
      <w:pPr>
        <w:ind w:left="5247" w:hanging="360"/>
      </w:pPr>
      <w:rPr>
        <w:rFonts w:ascii="Symbol" w:hAnsi="Symbol"/>
      </w:rPr>
    </w:lvl>
    <w:lvl w:ilvl="7" w:tplc="2B34CC1C">
      <w:start w:val="1"/>
      <w:numFmt w:val="bullet"/>
      <w:lvlText w:val="o"/>
      <w:lvlJc w:val="left"/>
      <w:pPr>
        <w:ind w:left="5967" w:hanging="360"/>
      </w:pPr>
      <w:rPr>
        <w:rFonts w:ascii="Courier New" w:hAnsi="Courier New"/>
      </w:rPr>
    </w:lvl>
    <w:lvl w:ilvl="8" w:tplc="E1341098">
      <w:start w:val="1"/>
      <w:numFmt w:val="bullet"/>
      <w:lvlText w:val=""/>
      <w:lvlJc w:val="left"/>
      <w:pPr>
        <w:ind w:left="6687" w:hanging="360"/>
      </w:pPr>
      <w:rPr>
        <w:rFonts w:ascii="Wingdings" w:hAnsi="Wingdings"/>
      </w:rPr>
    </w:lvl>
  </w:abstractNum>
  <w:num w:numId="1">
    <w:abstractNumId w:val="11"/>
  </w:num>
  <w:num w:numId="2">
    <w:abstractNumId w:val="2"/>
  </w:num>
  <w:num w:numId="3">
    <w:abstractNumId w:val="28"/>
  </w:num>
  <w:num w:numId="4">
    <w:abstractNumId w:val="26"/>
  </w:num>
  <w:num w:numId="5">
    <w:abstractNumId w:val="24"/>
  </w:num>
  <w:num w:numId="6">
    <w:abstractNumId w:val="8"/>
  </w:num>
  <w:num w:numId="7">
    <w:abstractNumId w:val="33"/>
  </w:num>
  <w:num w:numId="8">
    <w:abstractNumId w:val="6"/>
  </w:num>
  <w:num w:numId="9">
    <w:abstractNumId w:val="30"/>
  </w:num>
  <w:num w:numId="10">
    <w:abstractNumId w:val="15"/>
  </w:num>
  <w:num w:numId="11">
    <w:abstractNumId w:val="25"/>
  </w:num>
  <w:num w:numId="12">
    <w:abstractNumId w:val="34"/>
  </w:num>
  <w:num w:numId="13">
    <w:abstractNumId w:val="13"/>
  </w:num>
  <w:num w:numId="14">
    <w:abstractNumId w:val="23"/>
  </w:num>
  <w:num w:numId="15">
    <w:abstractNumId w:val="0"/>
  </w:num>
  <w:num w:numId="16">
    <w:abstractNumId w:val="29"/>
  </w:num>
  <w:num w:numId="17">
    <w:abstractNumId w:val="22"/>
  </w:num>
  <w:num w:numId="18">
    <w:abstractNumId w:val="17"/>
  </w:num>
  <w:num w:numId="19">
    <w:abstractNumId w:val="20"/>
  </w:num>
  <w:num w:numId="20">
    <w:abstractNumId w:val="10"/>
  </w:num>
  <w:num w:numId="21">
    <w:abstractNumId w:val="19"/>
  </w:num>
  <w:num w:numId="22">
    <w:abstractNumId w:val="16"/>
  </w:num>
  <w:num w:numId="23">
    <w:abstractNumId w:val="5"/>
  </w:num>
  <w:num w:numId="24">
    <w:abstractNumId w:val="3"/>
  </w:num>
  <w:num w:numId="25">
    <w:abstractNumId w:val="12"/>
  </w:num>
  <w:num w:numId="26">
    <w:abstractNumId w:val="32"/>
  </w:num>
  <w:num w:numId="27">
    <w:abstractNumId w:val="14"/>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saveSubset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EED"/>
    <w:rsid w:val="000001AB"/>
    <w:rsid w:val="00001630"/>
    <w:rsid w:val="0000305E"/>
    <w:rsid w:val="00004BA1"/>
    <w:rsid w:val="000056E1"/>
    <w:rsid w:val="000058CD"/>
    <w:rsid w:val="00005CD2"/>
    <w:rsid w:val="00006690"/>
    <w:rsid w:val="00006A9F"/>
    <w:rsid w:val="000071E4"/>
    <w:rsid w:val="00010019"/>
    <w:rsid w:val="00010379"/>
    <w:rsid w:val="00010875"/>
    <w:rsid w:val="00010C36"/>
    <w:rsid w:val="00010E7D"/>
    <w:rsid w:val="00010FF2"/>
    <w:rsid w:val="0001118F"/>
    <w:rsid w:val="0001128F"/>
    <w:rsid w:val="00011D2A"/>
    <w:rsid w:val="000123F1"/>
    <w:rsid w:val="0001283E"/>
    <w:rsid w:val="00012C70"/>
    <w:rsid w:val="00014351"/>
    <w:rsid w:val="0001451A"/>
    <w:rsid w:val="00014B2C"/>
    <w:rsid w:val="000167F5"/>
    <w:rsid w:val="000167FF"/>
    <w:rsid w:val="000171FE"/>
    <w:rsid w:val="000179BD"/>
    <w:rsid w:val="00017D77"/>
    <w:rsid w:val="0002045B"/>
    <w:rsid w:val="00020ABB"/>
    <w:rsid w:val="00020CCD"/>
    <w:rsid w:val="000216EF"/>
    <w:rsid w:val="0002306E"/>
    <w:rsid w:val="00023513"/>
    <w:rsid w:val="000237C9"/>
    <w:rsid w:val="00024338"/>
    <w:rsid w:val="00024957"/>
    <w:rsid w:val="000259C8"/>
    <w:rsid w:val="00025B68"/>
    <w:rsid w:val="000263B6"/>
    <w:rsid w:val="00026595"/>
    <w:rsid w:val="00026AC5"/>
    <w:rsid w:val="00027A98"/>
    <w:rsid w:val="00027CE4"/>
    <w:rsid w:val="00030229"/>
    <w:rsid w:val="00030332"/>
    <w:rsid w:val="0003053E"/>
    <w:rsid w:val="00030C68"/>
    <w:rsid w:val="000311ED"/>
    <w:rsid w:val="00031E68"/>
    <w:rsid w:val="0003250C"/>
    <w:rsid w:val="00032BCA"/>
    <w:rsid w:val="00032E26"/>
    <w:rsid w:val="00033340"/>
    <w:rsid w:val="0003384F"/>
    <w:rsid w:val="00034063"/>
    <w:rsid w:val="000346D0"/>
    <w:rsid w:val="0003480D"/>
    <w:rsid w:val="00035632"/>
    <w:rsid w:val="000359D8"/>
    <w:rsid w:val="00036110"/>
    <w:rsid w:val="000361CA"/>
    <w:rsid w:val="000369A1"/>
    <w:rsid w:val="00037B42"/>
    <w:rsid w:val="00040225"/>
    <w:rsid w:val="00040526"/>
    <w:rsid w:val="00040CD5"/>
    <w:rsid w:val="00040D30"/>
    <w:rsid w:val="00040F85"/>
    <w:rsid w:val="0004142B"/>
    <w:rsid w:val="000414D3"/>
    <w:rsid w:val="00041ADD"/>
    <w:rsid w:val="00042896"/>
    <w:rsid w:val="00042A90"/>
    <w:rsid w:val="00042DB8"/>
    <w:rsid w:val="00043622"/>
    <w:rsid w:val="000439D1"/>
    <w:rsid w:val="00043CE0"/>
    <w:rsid w:val="00043E63"/>
    <w:rsid w:val="0004420A"/>
    <w:rsid w:val="00044A9B"/>
    <w:rsid w:val="00044EB4"/>
    <w:rsid w:val="00046B51"/>
    <w:rsid w:val="00046F66"/>
    <w:rsid w:val="0004719D"/>
    <w:rsid w:val="00050E22"/>
    <w:rsid w:val="000510BC"/>
    <w:rsid w:val="00051164"/>
    <w:rsid w:val="000511F3"/>
    <w:rsid w:val="000519AD"/>
    <w:rsid w:val="000526E6"/>
    <w:rsid w:val="00053253"/>
    <w:rsid w:val="000533FE"/>
    <w:rsid w:val="0005350E"/>
    <w:rsid w:val="00053ABD"/>
    <w:rsid w:val="00054A03"/>
    <w:rsid w:val="00054F38"/>
    <w:rsid w:val="00056E65"/>
    <w:rsid w:val="00057796"/>
    <w:rsid w:val="00060410"/>
    <w:rsid w:val="00060D6E"/>
    <w:rsid w:val="00061808"/>
    <w:rsid w:val="0006215A"/>
    <w:rsid w:val="000623ED"/>
    <w:rsid w:val="00062923"/>
    <w:rsid w:val="000633AB"/>
    <w:rsid w:val="0006373B"/>
    <w:rsid w:val="00064662"/>
    <w:rsid w:val="00064FDE"/>
    <w:rsid w:val="00065293"/>
    <w:rsid w:val="000658C9"/>
    <w:rsid w:val="00066753"/>
    <w:rsid w:val="000674CA"/>
    <w:rsid w:val="000675FC"/>
    <w:rsid w:val="00067785"/>
    <w:rsid w:val="00067806"/>
    <w:rsid w:val="00067BA0"/>
    <w:rsid w:val="00070D97"/>
    <w:rsid w:val="00070E64"/>
    <w:rsid w:val="00071072"/>
    <w:rsid w:val="00071CC2"/>
    <w:rsid w:val="000735D5"/>
    <w:rsid w:val="000736F1"/>
    <w:rsid w:val="00074630"/>
    <w:rsid w:val="00075B02"/>
    <w:rsid w:val="00077240"/>
    <w:rsid w:val="00077299"/>
    <w:rsid w:val="000774C2"/>
    <w:rsid w:val="00077860"/>
    <w:rsid w:val="00080392"/>
    <w:rsid w:val="0008070D"/>
    <w:rsid w:val="00080F67"/>
    <w:rsid w:val="000819AB"/>
    <w:rsid w:val="00081A49"/>
    <w:rsid w:val="00083609"/>
    <w:rsid w:val="000837F7"/>
    <w:rsid w:val="00084329"/>
    <w:rsid w:val="00085CA0"/>
    <w:rsid w:val="000866C4"/>
    <w:rsid w:val="00086CB2"/>
    <w:rsid w:val="00086D06"/>
    <w:rsid w:val="00087A0D"/>
    <w:rsid w:val="00091248"/>
    <w:rsid w:val="00091323"/>
    <w:rsid w:val="00091BD4"/>
    <w:rsid w:val="00091EDC"/>
    <w:rsid w:val="00092165"/>
    <w:rsid w:val="00092C4C"/>
    <w:rsid w:val="00092E57"/>
    <w:rsid w:val="00092FE5"/>
    <w:rsid w:val="000934E2"/>
    <w:rsid w:val="0009422D"/>
    <w:rsid w:val="0009440B"/>
    <w:rsid w:val="00095D13"/>
    <w:rsid w:val="00095F46"/>
    <w:rsid w:val="00096F80"/>
    <w:rsid w:val="00097217"/>
    <w:rsid w:val="000974E2"/>
    <w:rsid w:val="000A0342"/>
    <w:rsid w:val="000A07AE"/>
    <w:rsid w:val="000A12CC"/>
    <w:rsid w:val="000A1A5E"/>
    <w:rsid w:val="000A1CD2"/>
    <w:rsid w:val="000A2541"/>
    <w:rsid w:val="000A26EF"/>
    <w:rsid w:val="000A4282"/>
    <w:rsid w:val="000A54E4"/>
    <w:rsid w:val="000A5882"/>
    <w:rsid w:val="000A5D64"/>
    <w:rsid w:val="000A6ABD"/>
    <w:rsid w:val="000A718C"/>
    <w:rsid w:val="000A7C47"/>
    <w:rsid w:val="000B0B36"/>
    <w:rsid w:val="000B12B9"/>
    <w:rsid w:val="000B243C"/>
    <w:rsid w:val="000B2761"/>
    <w:rsid w:val="000B3975"/>
    <w:rsid w:val="000B3BE5"/>
    <w:rsid w:val="000B3CEC"/>
    <w:rsid w:val="000B4C05"/>
    <w:rsid w:val="000B54A5"/>
    <w:rsid w:val="000B67EB"/>
    <w:rsid w:val="000B72BC"/>
    <w:rsid w:val="000B7B22"/>
    <w:rsid w:val="000B7BAB"/>
    <w:rsid w:val="000C051B"/>
    <w:rsid w:val="000C0BC2"/>
    <w:rsid w:val="000C185B"/>
    <w:rsid w:val="000C2BFE"/>
    <w:rsid w:val="000C387F"/>
    <w:rsid w:val="000C38EA"/>
    <w:rsid w:val="000C3B61"/>
    <w:rsid w:val="000C464A"/>
    <w:rsid w:val="000C5DF5"/>
    <w:rsid w:val="000C7139"/>
    <w:rsid w:val="000C7839"/>
    <w:rsid w:val="000C79D3"/>
    <w:rsid w:val="000C7E77"/>
    <w:rsid w:val="000D00F8"/>
    <w:rsid w:val="000D11A9"/>
    <w:rsid w:val="000D19BE"/>
    <w:rsid w:val="000D1B99"/>
    <w:rsid w:val="000D2253"/>
    <w:rsid w:val="000D2275"/>
    <w:rsid w:val="000D2C81"/>
    <w:rsid w:val="000D37D9"/>
    <w:rsid w:val="000D3821"/>
    <w:rsid w:val="000D3A3E"/>
    <w:rsid w:val="000D47CB"/>
    <w:rsid w:val="000D6BEF"/>
    <w:rsid w:val="000D781A"/>
    <w:rsid w:val="000D7DE6"/>
    <w:rsid w:val="000D7EED"/>
    <w:rsid w:val="000D7FF5"/>
    <w:rsid w:val="000E066C"/>
    <w:rsid w:val="000E0B9A"/>
    <w:rsid w:val="000E183D"/>
    <w:rsid w:val="000E1B0A"/>
    <w:rsid w:val="000E1C39"/>
    <w:rsid w:val="000E20BA"/>
    <w:rsid w:val="000E2140"/>
    <w:rsid w:val="000E2B35"/>
    <w:rsid w:val="000E2D1B"/>
    <w:rsid w:val="000E2E14"/>
    <w:rsid w:val="000E2FDF"/>
    <w:rsid w:val="000E3726"/>
    <w:rsid w:val="000E445C"/>
    <w:rsid w:val="000E46AB"/>
    <w:rsid w:val="000E54E1"/>
    <w:rsid w:val="000E5DB6"/>
    <w:rsid w:val="000E60E1"/>
    <w:rsid w:val="000E6B52"/>
    <w:rsid w:val="000E6E88"/>
    <w:rsid w:val="000F0FAF"/>
    <w:rsid w:val="000F2265"/>
    <w:rsid w:val="000F2E1E"/>
    <w:rsid w:val="000F2F8D"/>
    <w:rsid w:val="000F3676"/>
    <w:rsid w:val="000F4625"/>
    <w:rsid w:val="000F4A0D"/>
    <w:rsid w:val="000F532F"/>
    <w:rsid w:val="000F555E"/>
    <w:rsid w:val="000F5BFB"/>
    <w:rsid w:val="000F5D83"/>
    <w:rsid w:val="000F693C"/>
    <w:rsid w:val="000F7058"/>
    <w:rsid w:val="000F7D70"/>
    <w:rsid w:val="00100871"/>
    <w:rsid w:val="00101D4B"/>
    <w:rsid w:val="00102564"/>
    <w:rsid w:val="0010260E"/>
    <w:rsid w:val="00102741"/>
    <w:rsid w:val="001033B7"/>
    <w:rsid w:val="001036F8"/>
    <w:rsid w:val="00103752"/>
    <w:rsid w:val="00104F1B"/>
    <w:rsid w:val="001057BD"/>
    <w:rsid w:val="001057D7"/>
    <w:rsid w:val="0010583E"/>
    <w:rsid w:val="00105977"/>
    <w:rsid w:val="00105F0D"/>
    <w:rsid w:val="00105F36"/>
    <w:rsid w:val="00106300"/>
    <w:rsid w:val="00106F80"/>
    <w:rsid w:val="0010745E"/>
    <w:rsid w:val="001078AE"/>
    <w:rsid w:val="00107D2E"/>
    <w:rsid w:val="00110318"/>
    <w:rsid w:val="00111411"/>
    <w:rsid w:val="00111689"/>
    <w:rsid w:val="00112141"/>
    <w:rsid w:val="00113631"/>
    <w:rsid w:val="001136F8"/>
    <w:rsid w:val="001148D8"/>
    <w:rsid w:val="00114A8E"/>
    <w:rsid w:val="00115E9F"/>
    <w:rsid w:val="00116990"/>
    <w:rsid w:val="001174D8"/>
    <w:rsid w:val="00117BCC"/>
    <w:rsid w:val="00120A9D"/>
    <w:rsid w:val="00120C4C"/>
    <w:rsid w:val="00122224"/>
    <w:rsid w:val="00122D0E"/>
    <w:rsid w:val="00122F1F"/>
    <w:rsid w:val="00123115"/>
    <w:rsid w:val="0012316B"/>
    <w:rsid w:val="001236D5"/>
    <w:rsid w:val="00124023"/>
    <w:rsid w:val="0012545C"/>
    <w:rsid w:val="00126722"/>
    <w:rsid w:val="0012708F"/>
    <w:rsid w:val="001274AE"/>
    <w:rsid w:val="001302D0"/>
    <w:rsid w:val="00130D6C"/>
    <w:rsid w:val="001311D9"/>
    <w:rsid w:val="00131AB6"/>
    <w:rsid w:val="001322CA"/>
    <w:rsid w:val="0013241E"/>
    <w:rsid w:val="00132E8F"/>
    <w:rsid w:val="001331F7"/>
    <w:rsid w:val="00133516"/>
    <w:rsid w:val="00133DBD"/>
    <w:rsid w:val="001340D4"/>
    <w:rsid w:val="00134DA5"/>
    <w:rsid w:val="00136AD5"/>
    <w:rsid w:val="00136E02"/>
    <w:rsid w:val="001371DD"/>
    <w:rsid w:val="001371E0"/>
    <w:rsid w:val="00137CE6"/>
    <w:rsid w:val="00140B07"/>
    <w:rsid w:val="001421DE"/>
    <w:rsid w:val="00143EAB"/>
    <w:rsid w:val="00144A43"/>
    <w:rsid w:val="00144CDB"/>
    <w:rsid w:val="00146849"/>
    <w:rsid w:val="00146870"/>
    <w:rsid w:val="00146B20"/>
    <w:rsid w:val="00146E61"/>
    <w:rsid w:val="00147334"/>
    <w:rsid w:val="001473CE"/>
    <w:rsid w:val="00147656"/>
    <w:rsid w:val="00150FEB"/>
    <w:rsid w:val="0015187C"/>
    <w:rsid w:val="001521F2"/>
    <w:rsid w:val="00152575"/>
    <w:rsid w:val="001535D0"/>
    <w:rsid w:val="00153E58"/>
    <w:rsid w:val="001547B5"/>
    <w:rsid w:val="00154B0D"/>
    <w:rsid w:val="00155340"/>
    <w:rsid w:val="00155879"/>
    <w:rsid w:val="00155AAA"/>
    <w:rsid w:val="001566BB"/>
    <w:rsid w:val="0015768D"/>
    <w:rsid w:val="00157EAB"/>
    <w:rsid w:val="0016140D"/>
    <w:rsid w:val="00161EF7"/>
    <w:rsid w:val="001621DE"/>
    <w:rsid w:val="00163822"/>
    <w:rsid w:val="00163D2C"/>
    <w:rsid w:val="00163E2A"/>
    <w:rsid w:val="00163E9B"/>
    <w:rsid w:val="00163EB0"/>
    <w:rsid w:val="0016534C"/>
    <w:rsid w:val="0016606E"/>
    <w:rsid w:val="00166F16"/>
    <w:rsid w:val="0016778F"/>
    <w:rsid w:val="00167AE9"/>
    <w:rsid w:val="00167D66"/>
    <w:rsid w:val="001718E4"/>
    <w:rsid w:val="001739D6"/>
    <w:rsid w:val="00173E2B"/>
    <w:rsid w:val="00173F82"/>
    <w:rsid w:val="0017537C"/>
    <w:rsid w:val="00176AE5"/>
    <w:rsid w:val="00177FA9"/>
    <w:rsid w:val="00180A99"/>
    <w:rsid w:val="00181994"/>
    <w:rsid w:val="001819D9"/>
    <w:rsid w:val="001826BD"/>
    <w:rsid w:val="001829CD"/>
    <w:rsid w:val="00182C0E"/>
    <w:rsid w:val="001836F1"/>
    <w:rsid w:val="001842CC"/>
    <w:rsid w:val="00184571"/>
    <w:rsid w:val="00184657"/>
    <w:rsid w:val="00184AFC"/>
    <w:rsid w:val="0018684C"/>
    <w:rsid w:val="0018764D"/>
    <w:rsid w:val="00187683"/>
    <w:rsid w:val="00187780"/>
    <w:rsid w:val="001879CC"/>
    <w:rsid w:val="001902D7"/>
    <w:rsid w:val="001909E5"/>
    <w:rsid w:val="00190B7B"/>
    <w:rsid w:val="0019129B"/>
    <w:rsid w:val="00194ABA"/>
    <w:rsid w:val="00194C30"/>
    <w:rsid w:val="001959E9"/>
    <w:rsid w:val="00195E24"/>
    <w:rsid w:val="001979A3"/>
    <w:rsid w:val="00197E67"/>
    <w:rsid w:val="001A0A2E"/>
    <w:rsid w:val="001A17CE"/>
    <w:rsid w:val="001A1FEB"/>
    <w:rsid w:val="001A3A23"/>
    <w:rsid w:val="001A3FB4"/>
    <w:rsid w:val="001A4889"/>
    <w:rsid w:val="001A4EB7"/>
    <w:rsid w:val="001A51B5"/>
    <w:rsid w:val="001A55BE"/>
    <w:rsid w:val="001A5F7F"/>
    <w:rsid w:val="001A6173"/>
    <w:rsid w:val="001A6424"/>
    <w:rsid w:val="001A6500"/>
    <w:rsid w:val="001A694D"/>
    <w:rsid w:val="001A7A5B"/>
    <w:rsid w:val="001B1728"/>
    <w:rsid w:val="001B1A2F"/>
    <w:rsid w:val="001B1E8C"/>
    <w:rsid w:val="001B226A"/>
    <w:rsid w:val="001B245B"/>
    <w:rsid w:val="001B28BC"/>
    <w:rsid w:val="001B3365"/>
    <w:rsid w:val="001B3B4C"/>
    <w:rsid w:val="001B5B73"/>
    <w:rsid w:val="001B63D2"/>
    <w:rsid w:val="001B701A"/>
    <w:rsid w:val="001B74A3"/>
    <w:rsid w:val="001B7C72"/>
    <w:rsid w:val="001B7D72"/>
    <w:rsid w:val="001C05A2"/>
    <w:rsid w:val="001C0614"/>
    <w:rsid w:val="001C115F"/>
    <w:rsid w:val="001C1C50"/>
    <w:rsid w:val="001C2D7A"/>
    <w:rsid w:val="001C3581"/>
    <w:rsid w:val="001C390C"/>
    <w:rsid w:val="001C4D4C"/>
    <w:rsid w:val="001C50E9"/>
    <w:rsid w:val="001C599B"/>
    <w:rsid w:val="001C5DF5"/>
    <w:rsid w:val="001C7126"/>
    <w:rsid w:val="001C7335"/>
    <w:rsid w:val="001C766E"/>
    <w:rsid w:val="001C76F4"/>
    <w:rsid w:val="001C7A9B"/>
    <w:rsid w:val="001C7E60"/>
    <w:rsid w:val="001D04E4"/>
    <w:rsid w:val="001D1D6E"/>
    <w:rsid w:val="001D29C4"/>
    <w:rsid w:val="001D573C"/>
    <w:rsid w:val="001D5CE5"/>
    <w:rsid w:val="001D69E0"/>
    <w:rsid w:val="001E0294"/>
    <w:rsid w:val="001E0A74"/>
    <w:rsid w:val="001E190A"/>
    <w:rsid w:val="001E1DB2"/>
    <w:rsid w:val="001E2044"/>
    <w:rsid w:val="001E2081"/>
    <w:rsid w:val="001E209F"/>
    <w:rsid w:val="001E2C61"/>
    <w:rsid w:val="001E39E4"/>
    <w:rsid w:val="001E42CC"/>
    <w:rsid w:val="001E44B2"/>
    <w:rsid w:val="001E467B"/>
    <w:rsid w:val="001E4743"/>
    <w:rsid w:val="001E4E8F"/>
    <w:rsid w:val="001E505D"/>
    <w:rsid w:val="001E5085"/>
    <w:rsid w:val="001E7506"/>
    <w:rsid w:val="001F14DB"/>
    <w:rsid w:val="001F199F"/>
    <w:rsid w:val="001F2D6D"/>
    <w:rsid w:val="001F43A0"/>
    <w:rsid w:val="001F5505"/>
    <w:rsid w:val="001F6CF6"/>
    <w:rsid w:val="001F6E1F"/>
    <w:rsid w:val="001F7215"/>
    <w:rsid w:val="001F72A7"/>
    <w:rsid w:val="00200478"/>
    <w:rsid w:val="00200BDA"/>
    <w:rsid w:val="002019FF"/>
    <w:rsid w:val="00201AAE"/>
    <w:rsid w:val="00201E47"/>
    <w:rsid w:val="00204136"/>
    <w:rsid w:val="0020509E"/>
    <w:rsid w:val="00206E2B"/>
    <w:rsid w:val="002076C7"/>
    <w:rsid w:val="00207C28"/>
    <w:rsid w:val="00207EF4"/>
    <w:rsid w:val="0021007E"/>
    <w:rsid w:val="0021237A"/>
    <w:rsid w:val="002123FE"/>
    <w:rsid w:val="002139F5"/>
    <w:rsid w:val="00213E7B"/>
    <w:rsid w:val="00214539"/>
    <w:rsid w:val="00214ADE"/>
    <w:rsid w:val="00214D31"/>
    <w:rsid w:val="00214F6D"/>
    <w:rsid w:val="00214FAA"/>
    <w:rsid w:val="00215F29"/>
    <w:rsid w:val="00217045"/>
    <w:rsid w:val="002179BF"/>
    <w:rsid w:val="00217B6A"/>
    <w:rsid w:val="00217E06"/>
    <w:rsid w:val="002200A0"/>
    <w:rsid w:val="0022019D"/>
    <w:rsid w:val="00220592"/>
    <w:rsid w:val="00220EDF"/>
    <w:rsid w:val="00221007"/>
    <w:rsid w:val="00221A26"/>
    <w:rsid w:val="002234A4"/>
    <w:rsid w:val="0022379E"/>
    <w:rsid w:val="00224000"/>
    <w:rsid w:val="002240D7"/>
    <w:rsid w:val="0022469D"/>
    <w:rsid w:val="002246CD"/>
    <w:rsid w:val="00224C32"/>
    <w:rsid w:val="00225254"/>
    <w:rsid w:val="00226011"/>
    <w:rsid w:val="002264C4"/>
    <w:rsid w:val="00226AB7"/>
    <w:rsid w:val="002270B1"/>
    <w:rsid w:val="0022710F"/>
    <w:rsid w:val="0022780C"/>
    <w:rsid w:val="00227E00"/>
    <w:rsid w:val="002302C2"/>
    <w:rsid w:val="0023117F"/>
    <w:rsid w:val="002313F1"/>
    <w:rsid w:val="00231431"/>
    <w:rsid w:val="0023187C"/>
    <w:rsid w:val="00231A83"/>
    <w:rsid w:val="002331FD"/>
    <w:rsid w:val="00233238"/>
    <w:rsid w:val="00233247"/>
    <w:rsid w:val="00233922"/>
    <w:rsid w:val="00233BF0"/>
    <w:rsid w:val="00233C2E"/>
    <w:rsid w:val="00233ED2"/>
    <w:rsid w:val="00236A94"/>
    <w:rsid w:val="00236AD0"/>
    <w:rsid w:val="00236E3B"/>
    <w:rsid w:val="0023786A"/>
    <w:rsid w:val="00237AD7"/>
    <w:rsid w:val="00237CE9"/>
    <w:rsid w:val="00240640"/>
    <w:rsid w:val="002412E3"/>
    <w:rsid w:val="0024185C"/>
    <w:rsid w:val="00242202"/>
    <w:rsid w:val="00242FA8"/>
    <w:rsid w:val="00243C95"/>
    <w:rsid w:val="002444F0"/>
    <w:rsid w:val="00244622"/>
    <w:rsid w:val="00245389"/>
    <w:rsid w:val="0024545C"/>
    <w:rsid w:val="002455AB"/>
    <w:rsid w:val="002466EF"/>
    <w:rsid w:val="002474E4"/>
    <w:rsid w:val="00247501"/>
    <w:rsid w:val="0024762C"/>
    <w:rsid w:val="00250008"/>
    <w:rsid w:val="00250150"/>
    <w:rsid w:val="00250537"/>
    <w:rsid w:val="00250E74"/>
    <w:rsid w:val="00251450"/>
    <w:rsid w:val="0025210E"/>
    <w:rsid w:val="002521F3"/>
    <w:rsid w:val="00252694"/>
    <w:rsid w:val="002527A2"/>
    <w:rsid w:val="002532D5"/>
    <w:rsid w:val="002533CF"/>
    <w:rsid w:val="00253ACC"/>
    <w:rsid w:val="00253F06"/>
    <w:rsid w:val="002569F9"/>
    <w:rsid w:val="00256E89"/>
    <w:rsid w:val="0025703D"/>
    <w:rsid w:val="00257686"/>
    <w:rsid w:val="00257B03"/>
    <w:rsid w:val="00260B24"/>
    <w:rsid w:val="00260B4D"/>
    <w:rsid w:val="002629A7"/>
    <w:rsid w:val="00263455"/>
    <w:rsid w:val="00263542"/>
    <w:rsid w:val="00263D7B"/>
    <w:rsid w:val="0026482B"/>
    <w:rsid w:val="00264B77"/>
    <w:rsid w:val="00264C32"/>
    <w:rsid w:val="00264FE6"/>
    <w:rsid w:val="00265261"/>
    <w:rsid w:val="00265817"/>
    <w:rsid w:val="00265A60"/>
    <w:rsid w:val="002664FB"/>
    <w:rsid w:val="00266614"/>
    <w:rsid w:val="00266AF4"/>
    <w:rsid w:val="00271CE8"/>
    <w:rsid w:val="00271F1C"/>
    <w:rsid w:val="00272473"/>
    <w:rsid w:val="002729A9"/>
    <w:rsid w:val="00273CDF"/>
    <w:rsid w:val="00274EB9"/>
    <w:rsid w:val="0027511B"/>
    <w:rsid w:val="0027630F"/>
    <w:rsid w:val="00276A04"/>
    <w:rsid w:val="00276B78"/>
    <w:rsid w:val="00277289"/>
    <w:rsid w:val="0027752B"/>
    <w:rsid w:val="00277628"/>
    <w:rsid w:val="00277EBE"/>
    <w:rsid w:val="002809B2"/>
    <w:rsid w:val="00281F83"/>
    <w:rsid w:val="00282C76"/>
    <w:rsid w:val="00283486"/>
    <w:rsid w:val="00283A66"/>
    <w:rsid w:val="0028451F"/>
    <w:rsid w:val="002850CE"/>
    <w:rsid w:val="002852DC"/>
    <w:rsid w:val="00285EA7"/>
    <w:rsid w:val="00286AC1"/>
    <w:rsid w:val="00286D3E"/>
    <w:rsid w:val="002871F0"/>
    <w:rsid w:val="00287DFC"/>
    <w:rsid w:val="00290AA0"/>
    <w:rsid w:val="00290AC3"/>
    <w:rsid w:val="00290D36"/>
    <w:rsid w:val="00290E92"/>
    <w:rsid w:val="00291854"/>
    <w:rsid w:val="00291C7F"/>
    <w:rsid w:val="00292647"/>
    <w:rsid w:val="00292906"/>
    <w:rsid w:val="00292AB9"/>
    <w:rsid w:val="00293FAD"/>
    <w:rsid w:val="00294235"/>
    <w:rsid w:val="00294B81"/>
    <w:rsid w:val="00294EA2"/>
    <w:rsid w:val="00294F60"/>
    <w:rsid w:val="00295028"/>
    <w:rsid w:val="002957F0"/>
    <w:rsid w:val="00295F11"/>
    <w:rsid w:val="002960A8"/>
    <w:rsid w:val="00297196"/>
    <w:rsid w:val="002A0246"/>
    <w:rsid w:val="002A0E10"/>
    <w:rsid w:val="002A105D"/>
    <w:rsid w:val="002A1086"/>
    <w:rsid w:val="002A15CD"/>
    <w:rsid w:val="002A2175"/>
    <w:rsid w:val="002A346E"/>
    <w:rsid w:val="002A3A69"/>
    <w:rsid w:val="002A3B5E"/>
    <w:rsid w:val="002A445D"/>
    <w:rsid w:val="002A4680"/>
    <w:rsid w:val="002A4694"/>
    <w:rsid w:val="002A49F5"/>
    <w:rsid w:val="002A4D4F"/>
    <w:rsid w:val="002A4DE8"/>
    <w:rsid w:val="002A514B"/>
    <w:rsid w:val="002A51D0"/>
    <w:rsid w:val="002A5C96"/>
    <w:rsid w:val="002A606A"/>
    <w:rsid w:val="002A61FB"/>
    <w:rsid w:val="002A67CA"/>
    <w:rsid w:val="002A74E3"/>
    <w:rsid w:val="002A7F97"/>
    <w:rsid w:val="002B07C5"/>
    <w:rsid w:val="002B0AFF"/>
    <w:rsid w:val="002B189C"/>
    <w:rsid w:val="002B2340"/>
    <w:rsid w:val="002B2BE2"/>
    <w:rsid w:val="002B2EDA"/>
    <w:rsid w:val="002B37F1"/>
    <w:rsid w:val="002B3BFC"/>
    <w:rsid w:val="002B3D64"/>
    <w:rsid w:val="002B4092"/>
    <w:rsid w:val="002B4814"/>
    <w:rsid w:val="002B48D1"/>
    <w:rsid w:val="002B5313"/>
    <w:rsid w:val="002B5A54"/>
    <w:rsid w:val="002B6253"/>
    <w:rsid w:val="002B62A9"/>
    <w:rsid w:val="002B6E5D"/>
    <w:rsid w:val="002B7D40"/>
    <w:rsid w:val="002C018C"/>
    <w:rsid w:val="002C04A4"/>
    <w:rsid w:val="002C0717"/>
    <w:rsid w:val="002C0BEB"/>
    <w:rsid w:val="002C1191"/>
    <w:rsid w:val="002C16CB"/>
    <w:rsid w:val="002C1FBC"/>
    <w:rsid w:val="002C2899"/>
    <w:rsid w:val="002C31F2"/>
    <w:rsid w:val="002C31FA"/>
    <w:rsid w:val="002C388A"/>
    <w:rsid w:val="002C4075"/>
    <w:rsid w:val="002C7283"/>
    <w:rsid w:val="002C77F5"/>
    <w:rsid w:val="002C7B2E"/>
    <w:rsid w:val="002D01AC"/>
    <w:rsid w:val="002D085D"/>
    <w:rsid w:val="002D1314"/>
    <w:rsid w:val="002D1D30"/>
    <w:rsid w:val="002D283F"/>
    <w:rsid w:val="002D2E0B"/>
    <w:rsid w:val="002D3CF5"/>
    <w:rsid w:val="002D3E3D"/>
    <w:rsid w:val="002D40F9"/>
    <w:rsid w:val="002D499E"/>
    <w:rsid w:val="002D50B4"/>
    <w:rsid w:val="002D5AC7"/>
    <w:rsid w:val="002D5C52"/>
    <w:rsid w:val="002D6931"/>
    <w:rsid w:val="002D7829"/>
    <w:rsid w:val="002E03AE"/>
    <w:rsid w:val="002E0841"/>
    <w:rsid w:val="002E0AF6"/>
    <w:rsid w:val="002E0B67"/>
    <w:rsid w:val="002E1060"/>
    <w:rsid w:val="002E15A5"/>
    <w:rsid w:val="002E2862"/>
    <w:rsid w:val="002E3250"/>
    <w:rsid w:val="002E3A84"/>
    <w:rsid w:val="002E3BCA"/>
    <w:rsid w:val="002E4244"/>
    <w:rsid w:val="002E5A6A"/>
    <w:rsid w:val="002E70C6"/>
    <w:rsid w:val="002E70D3"/>
    <w:rsid w:val="002E7303"/>
    <w:rsid w:val="002E7E8B"/>
    <w:rsid w:val="002E7FF6"/>
    <w:rsid w:val="002F02E3"/>
    <w:rsid w:val="002F049F"/>
    <w:rsid w:val="002F134C"/>
    <w:rsid w:val="002F159F"/>
    <w:rsid w:val="002F1E33"/>
    <w:rsid w:val="002F1FCA"/>
    <w:rsid w:val="002F24BB"/>
    <w:rsid w:val="002F34AD"/>
    <w:rsid w:val="002F36B1"/>
    <w:rsid w:val="002F3DC6"/>
    <w:rsid w:val="002F3E25"/>
    <w:rsid w:val="002F4274"/>
    <w:rsid w:val="002F4B9B"/>
    <w:rsid w:val="002F5BDF"/>
    <w:rsid w:val="002F6CC3"/>
    <w:rsid w:val="002F6E0D"/>
    <w:rsid w:val="002F7C65"/>
    <w:rsid w:val="002F7D60"/>
    <w:rsid w:val="002F7E1D"/>
    <w:rsid w:val="0030019B"/>
    <w:rsid w:val="0030217E"/>
    <w:rsid w:val="003023C4"/>
    <w:rsid w:val="003025E6"/>
    <w:rsid w:val="003028A7"/>
    <w:rsid w:val="00303558"/>
    <w:rsid w:val="00303A25"/>
    <w:rsid w:val="00304B17"/>
    <w:rsid w:val="00304C5F"/>
    <w:rsid w:val="00304FD4"/>
    <w:rsid w:val="003069C7"/>
    <w:rsid w:val="003069CD"/>
    <w:rsid w:val="00306EC6"/>
    <w:rsid w:val="00306F55"/>
    <w:rsid w:val="0030767F"/>
    <w:rsid w:val="00310D87"/>
    <w:rsid w:val="003119DF"/>
    <w:rsid w:val="003119FA"/>
    <w:rsid w:val="00312664"/>
    <w:rsid w:val="00313C0B"/>
    <w:rsid w:val="00315EEE"/>
    <w:rsid w:val="0031657B"/>
    <w:rsid w:val="00316840"/>
    <w:rsid w:val="00316949"/>
    <w:rsid w:val="00317F9F"/>
    <w:rsid w:val="00320C86"/>
    <w:rsid w:val="0032112F"/>
    <w:rsid w:val="00321386"/>
    <w:rsid w:val="0032221B"/>
    <w:rsid w:val="0032246C"/>
    <w:rsid w:val="003226AC"/>
    <w:rsid w:val="00323F9B"/>
    <w:rsid w:val="003242AB"/>
    <w:rsid w:val="00324F89"/>
    <w:rsid w:val="0032539C"/>
    <w:rsid w:val="0032578D"/>
    <w:rsid w:val="00325C3D"/>
    <w:rsid w:val="00327784"/>
    <w:rsid w:val="00327B08"/>
    <w:rsid w:val="00327E2A"/>
    <w:rsid w:val="0033011F"/>
    <w:rsid w:val="003301B9"/>
    <w:rsid w:val="0033073A"/>
    <w:rsid w:val="00330B9E"/>
    <w:rsid w:val="00331142"/>
    <w:rsid w:val="003312EB"/>
    <w:rsid w:val="00332915"/>
    <w:rsid w:val="003341D8"/>
    <w:rsid w:val="00334338"/>
    <w:rsid w:val="00334BD3"/>
    <w:rsid w:val="0033520E"/>
    <w:rsid w:val="0033599B"/>
    <w:rsid w:val="00335E53"/>
    <w:rsid w:val="003368A8"/>
    <w:rsid w:val="00336B03"/>
    <w:rsid w:val="00340030"/>
    <w:rsid w:val="00340760"/>
    <w:rsid w:val="00340AF2"/>
    <w:rsid w:val="00340EA4"/>
    <w:rsid w:val="00340F33"/>
    <w:rsid w:val="0034118D"/>
    <w:rsid w:val="003427A9"/>
    <w:rsid w:val="00342ADC"/>
    <w:rsid w:val="00342D34"/>
    <w:rsid w:val="003430E5"/>
    <w:rsid w:val="003431BA"/>
    <w:rsid w:val="00343E23"/>
    <w:rsid w:val="00343EE0"/>
    <w:rsid w:val="00344A1B"/>
    <w:rsid w:val="00345DAC"/>
    <w:rsid w:val="00346190"/>
    <w:rsid w:val="0034636D"/>
    <w:rsid w:val="003466C9"/>
    <w:rsid w:val="00346CD5"/>
    <w:rsid w:val="00347CEF"/>
    <w:rsid w:val="00350333"/>
    <w:rsid w:val="0035156C"/>
    <w:rsid w:val="00351B19"/>
    <w:rsid w:val="0035397F"/>
    <w:rsid w:val="00353A43"/>
    <w:rsid w:val="003545B7"/>
    <w:rsid w:val="003545BF"/>
    <w:rsid w:val="003549CB"/>
    <w:rsid w:val="00354BFE"/>
    <w:rsid w:val="00354E2F"/>
    <w:rsid w:val="00354F4F"/>
    <w:rsid w:val="003560D5"/>
    <w:rsid w:val="00356153"/>
    <w:rsid w:val="00356278"/>
    <w:rsid w:val="0035693D"/>
    <w:rsid w:val="00356A29"/>
    <w:rsid w:val="0035705F"/>
    <w:rsid w:val="00357E72"/>
    <w:rsid w:val="00360375"/>
    <w:rsid w:val="00360F41"/>
    <w:rsid w:val="00361646"/>
    <w:rsid w:val="00361DB1"/>
    <w:rsid w:val="00362195"/>
    <w:rsid w:val="0036301A"/>
    <w:rsid w:val="00363520"/>
    <w:rsid w:val="00364094"/>
    <w:rsid w:val="00364561"/>
    <w:rsid w:val="0036567E"/>
    <w:rsid w:val="00365DA0"/>
    <w:rsid w:val="00366494"/>
    <w:rsid w:val="003667D7"/>
    <w:rsid w:val="00366928"/>
    <w:rsid w:val="0036758E"/>
    <w:rsid w:val="00370150"/>
    <w:rsid w:val="00370471"/>
    <w:rsid w:val="003707EE"/>
    <w:rsid w:val="003713E0"/>
    <w:rsid w:val="0037168B"/>
    <w:rsid w:val="003731A5"/>
    <w:rsid w:val="00373261"/>
    <w:rsid w:val="0037398B"/>
    <w:rsid w:val="00374B3F"/>
    <w:rsid w:val="00374EDA"/>
    <w:rsid w:val="00375A50"/>
    <w:rsid w:val="00376157"/>
    <w:rsid w:val="003769EB"/>
    <w:rsid w:val="00377D65"/>
    <w:rsid w:val="0038018C"/>
    <w:rsid w:val="00380444"/>
    <w:rsid w:val="003809D8"/>
    <w:rsid w:val="00381087"/>
    <w:rsid w:val="003813F3"/>
    <w:rsid w:val="003815E9"/>
    <w:rsid w:val="00381F18"/>
    <w:rsid w:val="00382113"/>
    <w:rsid w:val="0038237D"/>
    <w:rsid w:val="0038258D"/>
    <w:rsid w:val="003828F2"/>
    <w:rsid w:val="00382D72"/>
    <w:rsid w:val="003836DB"/>
    <w:rsid w:val="00383BC7"/>
    <w:rsid w:val="00384299"/>
    <w:rsid w:val="003844EC"/>
    <w:rsid w:val="00384E35"/>
    <w:rsid w:val="00385924"/>
    <w:rsid w:val="00386197"/>
    <w:rsid w:val="00386936"/>
    <w:rsid w:val="00386A89"/>
    <w:rsid w:val="00386D83"/>
    <w:rsid w:val="00386F2C"/>
    <w:rsid w:val="00387C3A"/>
    <w:rsid w:val="0039023E"/>
    <w:rsid w:val="00390B60"/>
    <w:rsid w:val="00390EF2"/>
    <w:rsid w:val="0039244A"/>
    <w:rsid w:val="00392B8F"/>
    <w:rsid w:val="003931A6"/>
    <w:rsid w:val="003952E2"/>
    <w:rsid w:val="00395B31"/>
    <w:rsid w:val="00395E0F"/>
    <w:rsid w:val="003962EC"/>
    <w:rsid w:val="0039738F"/>
    <w:rsid w:val="003A0FC4"/>
    <w:rsid w:val="003A1D36"/>
    <w:rsid w:val="003A1E85"/>
    <w:rsid w:val="003A1F51"/>
    <w:rsid w:val="003A2762"/>
    <w:rsid w:val="003A2912"/>
    <w:rsid w:val="003A2973"/>
    <w:rsid w:val="003A37E9"/>
    <w:rsid w:val="003A415B"/>
    <w:rsid w:val="003A4D42"/>
    <w:rsid w:val="003A50D1"/>
    <w:rsid w:val="003A5478"/>
    <w:rsid w:val="003A5DA4"/>
    <w:rsid w:val="003A6A67"/>
    <w:rsid w:val="003A79A8"/>
    <w:rsid w:val="003A7C53"/>
    <w:rsid w:val="003A7E88"/>
    <w:rsid w:val="003B0012"/>
    <w:rsid w:val="003B0309"/>
    <w:rsid w:val="003B1284"/>
    <w:rsid w:val="003B13DB"/>
    <w:rsid w:val="003B1534"/>
    <w:rsid w:val="003B1A56"/>
    <w:rsid w:val="003B1B0C"/>
    <w:rsid w:val="003B1EA5"/>
    <w:rsid w:val="003B2B55"/>
    <w:rsid w:val="003B33AF"/>
    <w:rsid w:val="003B39CC"/>
    <w:rsid w:val="003B5693"/>
    <w:rsid w:val="003B57E1"/>
    <w:rsid w:val="003B67E3"/>
    <w:rsid w:val="003C00EF"/>
    <w:rsid w:val="003C0131"/>
    <w:rsid w:val="003C0608"/>
    <w:rsid w:val="003C08BB"/>
    <w:rsid w:val="003C0B08"/>
    <w:rsid w:val="003C3022"/>
    <w:rsid w:val="003C4D0B"/>
    <w:rsid w:val="003C5BCC"/>
    <w:rsid w:val="003C5DB3"/>
    <w:rsid w:val="003C666D"/>
    <w:rsid w:val="003C6E73"/>
    <w:rsid w:val="003C6F3F"/>
    <w:rsid w:val="003D05F3"/>
    <w:rsid w:val="003D07E8"/>
    <w:rsid w:val="003D0A0C"/>
    <w:rsid w:val="003D108B"/>
    <w:rsid w:val="003D1340"/>
    <w:rsid w:val="003D18E5"/>
    <w:rsid w:val="003D1B32"/>
    <w:rsid w:val="003D20E1"/>
    <w:rsid w:val="003D212F"/>
    <w:rsid w:val="003D2172"/>
    <w:rsid w:val="003D2D4E"/>
    <w:rsid w:val="003D3C20"/>
    <w:rsid w:val="003D4C3E"/>
    <w:rsid w:val="003D5A15"/>
    <w:rsid w:val="003D5F2D"/>
    <w:rsid w:val="003D649A"/>
    <w:rsid w:val="003D6651"/>
    <w:rsid w:val="003D6E58"/>
    <w:rsid w:val="003D7673"/>
    <w:rsid w:val="003D7BB9"/>
    <w:rsid w:val="003E0076"/>
    <w:rsid w:val="003E050C"/>
    <w:rsid w:val="003E162D"/>
    <w:rsid w:val="003E3C54"/>
    <w:rsid w:val="003E3C7C"/>
    <w:rsid w:val="003E3CA4"/>
    <w:rsid w:val="003E41DB"/>
    <w:rsid w:val="003E4421"/>
    <w:rsid w:val="003E6AA2"/>
    <w:rsid w:val="003E721B"/>
    <w:rsid w:val="003E7B18"/>
    <w:rsid w:val="003F01B0"/>
    <w:rsid w:val="003F0D97"/>
    <w:rsid w:val="003F1B87"/>
    <w:rsid w:val="003F3213"/>
    <w:rsid w:val="003F3CF5"/>
    <w:rsid w:val="003F4956"/>
    <w:rsid w:val="003F61A8"/>
    <w:rsid w:val="003F61FC"/>
    <w:rsid w:val="003F6EFA"/>
    <w:rsid w:val="003F7BCA"/>
    <w:rsid w:val="0040016E"/>
    <w:rsid w:val="00400700"/>
    <w:rsid w:val="00400822"/>
    <w:rsid w:val="004009FA"/>
    <w:rsid w:val="004011EF"/>
    <w:rsid w:val="00401987"/>
    <w:rsid w:val="004028DA"/>
    <w:rsid w:val="00404133"/>
    <w:rsid w:val="00404DEA"/>
    <w:rsid w:val="0040503F"/>
    <w:rsid w:val="00405115"/>
    <w:rsid w:val="004057B6"/>
    <w:rsid w:val="00406534"/>
    <w:rsid w:val="00406A62"/>
    <w:rsid w:val="00407A6B"/>
    <w:rsid w:val="00407D47"/>
    <w:rsid w:val="0041039E"/>
    <w:rsid w:val="00411724"/>
    <w:rsid w:val="00411E66"/>
    <w:rsid w:val="00411EE2"/>
    <w:rsid w:val="004121E0"/>
    <w:rsid w:val="004136D7"/>
    <w:rsid w:val="00413822"/>
    <w:rsid w:val="00413F4B"/>
    <w:rsid w:val="004143B2"/>
    <w:rsid w:val="00414440"/>
    <w:rsid w:val="004169D2"/>
    <w:rsid w:val="004170A0"/>
    <w:rsid w:val="0041722D"/>
    <w:rsid w:val="00417CFB"/>
    <w:rsid w:val="0042099A"/>
    <w:rsid w:val="00420A34"/>
    <w:rsid w:val="00421842"/>
    <w:rsid w:val="00421D50"/>
    <w:rsid w:val="00422667"/>
    <w:rsid w:val="00422A68"/>
    <w:rsid w:val="00424006"/>
    <w:rsid w:val="00425248"/>
    <w:rsid w:val="004252B0"/>
    <w:rsid w:val="004258E1"/>
    <w:rsid w:val="00425B9C"/>
    <w:rsid w:val="00425FDE"/>
    <w:rsid w:val="00426088"/>
    <w:rsid w:val="00426DE2"/>
    <w:rsid w:val="00427E1E"/>
    <w:rsid w:val="00427FC2"/>
    <w:rsid w:val="00430030"/>
    <w:rsid w:val="0043005B"/>
    <w:rsid w:val="00430A09"/>
    <w:rsid w:val="004310D1"/>
    <w:rsid w:val="00431A1D"/>
    <w:rsid w:val="00432421"/>
    <w:rsid w:val="0043339E"/>
    <w:rsid w:val="00433D16"/>
    <w:rsid w:val="00433D4A"/>
    <w:rsid w:val="004340F3"/>
    <w:rsid w:val="0043441C"/>
    <w:rsid w:val="004345E1"/>
    <w:rsid w:val="00434EE2"/>
    <w:rsid w:val="00435327"/>
    <w:rsid w:val="00435667"/>
    <w:rsid w:val="00436342"/>
    <w:rsid w:val="00437408"/>
    <w:rsid w:val="004401A0"/>
    <w:rsid w:val="00440FA5"/>
    <w:rsid w:val="0044129B"/>
    <w:rsid w:val="00441A86"/>
    <w:rsid w:val="00443018"/>
    <w:rsid w:val="004434C7"/>
    <w:rsid w:val="00443738"/>
    <w:rsid w:val="004438C1"/>
    <w:rsid w:val="00443B02"/>
    <w:rsid w:val="004444FC"/>
    <w:rsid w:val="00444888"/>
    <w:rsid w:val="004449E3"/>
    <w:rsid w:val="00444CD3"/>
    <w:rsid w:val="004458F9"/>
    <w:rsid w:val="00445CD5"/>
    <w:rsid w:val="00447240"/>
    <w:rsid w:val="004479FA"/>
    <w:rsid w:val="004507DC"/>
    <w:rsid w:val="00450FAE"/>
    <w:rsid w:val="004511A0"/>
    <w:rsid w:val="00451AC6"/>
    <w:rsid w:val="00451E53"/>
    <w:rsid w:val="00453877"/>
    <w:rsid w:val="00453A84"/>
    <w:rsid w:val="004543F2"/>
    <w:rsid w:val="004547B4"/>
    <w:rsid w:val="00455681"/>
    <w:rsid w:val="00455E19"/>
    <w:rsid w:val="00456B0D"/>
    <w:rsid w:val="00460392"/>
    <w:rsid w:val="00460C3B"/>
    <w:rsid w:val="004615E0"/>
    <w:rsid w:val="0046325D"/>
    <w:rsid w:val="004642DF"/>
    <w:rsid w:val="00464387"/>
    <w:rsid w:val="004646FC"/>
    <w:rsid w:val="004653AB"/>
    <w:rsid w:val="00465B8A"/>
    <w:rsid w:val="00466260"/>
    <w:rsid w:val="0046653F"/>
    <w:rsid w:val="00466921"/>
    <w:rsid w:val="00466C99"/>
    <w:rsid w:val="00467271"/>
    <w:rsid w:val="004673EE"/>
    <w:rsid w:val="00467679"/>
    <w:rsid w:val="00467A83"/>
    <w:rsid w:val="004701AB"/>
    <w:rsid w:val="004708CB"/>
    <w:rsid w:val="00470B11"/>
    <w:rsid w:val="004720B7"/>
    <w:rsid w:val="004723B4"/>
    <w:rsid w:val="0047417C"/>
    <w:rsid w:val="0047420B"/>
    <w:rsid w:val="0047463F"/>
    <w:rsid w:val="004763A9"/>
    <w:rsid w:val="00476A0F"/>
    <w:rsid w:val="00476E7A"/>
    <w:rsid w:val="004772A8"/>
    <w:rsid w:val="00477639"/>
    <w:rsid w:val="00481005"/>
    <w:rsid w:val="0048129B"/>
    <w:rsid w:val="00482179"/>
    <w:rsid w:val="00482AFC"/>
    <w:rsid w:val="00482B84"/>
    <w:rsid w:val="00483F2D"/>
    <w:rsid w:val="004840F5"/>
    <w:rsid w:val="004842F4"/>
    <w:rsid w:val="00484DA9"/>
    <w:rsid w:val="0048568B"/>
    <w:rsid w:val="00485D88"/>
    <w:rsid w:val="0048620E"/>
    <w:rsid w:val="004864E4"/>
    <w:rsid w:val="00490F11"/>
    <w:rsid w:val="004911FD"/>
    <w:rsid w:val="00493508"/>
    <w:rsid w:val="004935ED"/>
    <w:rsid w:val="004936A5"/>
    <w:rsid w:val="00494815"/>
    <w:rsid w:val="00495957"/>
    <w:rsid w:val="00497084"/>
    <w:rsid w:val="004A0231"/>
    <w:rsid w:val="004A07E0"/>
    <w:rsid w:val="004A0FCF"/>
    <w:rsid w:val="004A115A"/>
    <w:rsid w:val="004A1935"/>
    <w:rsid w:val="004A1B3A"/>
    <w:rsid w:val="004A21AA"/>
    <w:rsid w:val="004A23A8"/>
    <w:rsid w:val="004A325D"/>
    <w:rsid w:val="004A39D4"/>
    <w:rsid w:val="004A4514"/>
    <w:rsid w:val="004A4D7B"/>
    <w:rsid w:val="004A5CAE"/>
    <w:rsid w:val="004A7C3A"/>
    <w:rsid w:val="004A7EB7"/>
    <w:rsid w:val="004B081E"/>
    <w:rsid w:val="004B08E1"/>
    <w:rsid w:val="004B1408"/>
    <w:rsid w:val="004B3A10"/>
    <w:rsid w:val="004B3B3D"/>
    <w:rsid w:val="004B3EE2"/>
    <w:rsid w:val="004B3F62"/>
    <w:rsid w:val="004B46D3"/>
    <w:rsid w:val="004B4A8F"/>
    <w:rsid w:val="004B5B22"/>
    <w:rsid w:val="004B7FA5"/>
    <w:rsid w:val="004C128A"/>
    <w:rsid w:val="004C158B"/>
    <w:rsid w:val="004C1F53"/>
    <w:rsid w:val="004C2174"/>
    <w:rsid w:val="004C2425"/>
    <w:rsid w:val="004C294E"/>
    <w:rsid w:val="004C33C6"/>
    <w:rsid w:val="004C484E"/>
    <w:rsid w:val="004C5424"/>
    <w:rsid w:val="004C5BE9"/>
    <w:rsid w:val="004C5FFE"/>
    <w:rsid w:val="004C763A"/>
    <w:rsid w:val="004D0BCD"/>
    <w:rsid w:val="004D1472"/>
    <w:rsid w:val="004D1FDE"/>
    <w:rsid w:val="004D2344"/>
    <w:rsid w:val="004D26CE"/>
    <w:rsid w:val="004D2B59"/>
    <w:rsid w:val="004D37C1"/>
    <w:rsid w:val="004D46A9"/>
    <w:rsid w:val="004D601A"/>
    <w:rsid w:val="004D7197"/>
    <w:rsid w:val="004D7404"/>
    <w:rsid w:val="004D7B5D"/>
    <w:rsid w:val="004E1867"/>
    <w:rsid w:val="004E20C5"/>
    <w:rsid w:val="004E3241"/>
    <w:rsid w:val="004E4662"/>
    <w:rsid w:val="004E4C58"/>
    <w:rsid w:val="004E55ED"/>
    <w:rsid w:val="004E65B5"/>
    <w:rsid w:val="004E6E23"/>
    <w:rsid w:val="004F0244"/>
    <w:rsid w:val="004F08C3"/>
    <w:rsid w:val="004F1283"/>
    <w:rsid w:val="004F13FC"/>
    <w:rsid w:val="004F2200"/>
    <w:rsid w:val="004F2D83"/>
    <w:rsid w:val="004F3204"/>
    <w:rsid w:val="004F3651"/>
    <w:rsid w:val="004F40F8"/>
    <w:rsid w:val="004F45AD"/>
    <w:rsid w:val="004F523A"/>
    <w:rsid w:val="004F53E6"/>
    <w:rsid w:val="004F5C43"/>
    <w:rsid w:val="004F63FF"/>
    <w:rsid w:val="004F6540"/>
    <w:rsid w:val="004F68D0"/>
    <w:rsid w:val="004F6EA6"/>
    <w:rsid w:val="004F746B"/>
    <w:rsid w:val="00501689"/>
    <w:rsid w:val="0050305A"/>
    <w:rsid w:val="00503C69"/>
    <w:rsid w:val="00506053"/>
    <w:rsid w:val="00506673"/>
    <w:rsid w:val="00507032"/>
    <w:rsid w:val="0050707A"/>
    <w:rsid w:val="005070D5"/>
    <w:rsid w:val="005101C9"/>
    <w:rsid w:val="005104CA"/>
    <w:rsid w:val="00510A0A"/>
    <w:rsid w:val="00510FBA"/>
    <w:rsid w:val="0051101E"/>
    <w:rsid w:val="0051105A"/>
    <w:rsid w:val="00511910"/>
    <w:rsid w:val="00512A33"/>
    <w:rsid w:val="00512AB4"/>
    <w:rsid w:val="00512CC1"/>
    <w:rsid w:val="00512F32"/>
    <w:rsid w:val="0051316D"/>
    <w:rsid w:val="00513305"/>
    <w:rsid w:val="00513C17"/>
    <w:rsid w:val="0051442A"/>
    <w:rsid w:val="00514804"/>
    <w:rsid w:val="00514A32"/>
    <w:rsid w:val="00514DF7"/>
    <w:rsid w:val="0051760D"/>
    <w:rsid w:val="00517D0C"/>
    <w:rsid w:val="005202CA"/>
    <w:rsid w:val="00520386"/>
    <w:rsid w:val="00520C26"/>
    <w:rsid w:val="00521161"/>
    <w:rsid w:val="0052150E"/>
    <w:rsid w:val="005222A3"/>
    <w:rsid w:val="00522B8C"/>
    <w:rsid w:val="00522E91"/>
    <w:rsid w:val="0052301A"/>
    <w:rsid w:val="00523908"/>
    <w:rsid w:val="00523E52"/>
    <w:rsid w:val="00524F61"/>
    <w:rsid w:val="005260CC"/>
    <w:rsid w:val="00526EA3"/>
    <w:rsid w:val="00531922"/>
    <w:rsid w:val="0053243A"/>
    <w:rsid w:val="00532A4A"/>
    <w:rsid w:val="00532B20"/>
    <w:rsid w:val="0053317C"/>
    <w:rsid w:val="00533B3F"/>
    <w:rsid w:val="005354FA"/>
    <w:rsid w:val="00535553"/>
    <w:rsid w:val="00535732"/>
    <w:rsid w:val="0053578C"/>
    <w:rsid w:val="0053641B"/>
    <w:rsid w:val="005367D0"/>
    <w:rsid w:val="00537199"/>
    <w:rsid w:val="00537E2C"/>
    <w:rsid w:val="00540110"/>
    <w:rsid w:val="005408AD"/>
    <w:rsid w:val="005408F0"/>
    <w:rsid w:val="00540D45"/>
    <w:rsid w:val="00541377"/>
    <w:rsid w:val="00541952"/>
    <w:rsid w:val="00542DF8"/>
    <w:rsid w:val="005438EB"/>
    <w:rsid w:val="005439A7"/>
    <w:rsid w:val="00543B23"/>
    <w:rsid w:val="00543CC7"/>
    <w:rsid w:val="00545704"/>
    <w:rsid w:val="00547A40"/>
    <w:rsid w:val="00547AEB"/>
    <w:rsid w:val="00547F87"/>
    <w:rsid w:val="00550AFB"/>
    <w:rsid w:val="00551BC4"/>
    <w:rsid w:val="0055260A"/>
    <w:rsid w:val="00552664"/>
    <w:rsid w:val="00553AC7"/>
    <w:rsid w:val="00553B95"/>
    <w:rsid w:val="0055420C"/>
    <w:rsid w:val="00554F4C"/>
    <w:rsid w:val="00555CDF"/>
    <w:rsid w:val="00556543"/>
    <w:rsid w:val="00556696"/>
    <w:rsid w:val="0055694D"/>
    <w:rsid w:val="00561EA3"/>
    <w:rsid w:val="00562EE7"/>
    <w:rsid w:val="00563843"/>
    <w:rsid w:val="00563B9C"/>
    <w:rsid w:val="00563D04"/>
    <w:rsid w:val="00563F64"/>
    <w:rsid w:val="00564B96"/>
    <w:rsid w:val="00564F0A"/>
    <w:rsid w:val="00564F7A"/>
    <w:rsid w:val="00565124"/>
    <w:rsid w:val="005661A1"/>
    <w:rsid w:val="00566BC3"/>
    <w:rsid w:val="00567281"/>
    <w:rsid w:val="00567A51"/>
    <w:rsid w:val="00567FB2"/>
    <w:rsid w:val="00570A83"/>
    <w:rsid w:val="0057102B"/>
    <w:rsid w:val="005710AE"/>
    <w:rsid w:val="00571A23"/>
    <w:rsid w:val="005722F6"/>
    <w:rsid w:val="00572346"/>
    <w:rsid w:val="0057409D"/>
    <w:rsid w:val="0057465A"/>
    <w:rsid w:val="0057520E"/>
    <w:rsid w:val="00575529"/>
    <w:rsid w:val="00575EC3"/>
    <w:rsid w:val="005762AD"/>
    <w:rsid w:val="005777C5"/>
    <w:rsid w:val="00580340"/>
    <w:rsid w:val="005803FD"/>
    <w:rsid w:val="00580A99"/>
    <w:rsid w:val="00580B24"/>
    <w:rsid w:val="00581571"/>
    <w:rsid w:val="005816EA"/>
    <w:rsid w:val="00581C69"/>
    <w:rsid w:val="00581E62"/>
    <w:rsid w:val="00582180"/>
    <w:rsid w:val="005822B7"/>
    <w:rsid w:val="005826DC"/>
    <w:rsid w:val="0058280C"/>
    <w:rsid w:val="00582CDA"/>
    <w:rsid w:val="00583651"/>
    <w:rsid w:val="00583FC8"/>
    <w:rsid w:val="005859DB"/>
    <w:rsid w:val="00586A42"/>
    <w:rsid w:val="005874B0"/>
    <w:rsid w:val="0058758C"/>
    <w:rsid w:val="00587D86"/>
    <w:rsid w:val="0059028E"/>
    <w:rsid w:val="00590F73"/>
    <w:rsid w:val="00591067"/>
    <w:rsid w:val="005916C0"/>
    <w:rsid w:val="0059171F"/>
    <w:rsid w:val="00591D28"/>
    <w:rsid w:val="00592443"/>
    <w:rsid w:val="00592C9D"/>
    <w:rsid w:val="0059337C"/>
    <w:rsid w:val="00594881"/>
    <w:rsid w:val="0059541E"/>
    <w:rsid w:val="005963E0"/>
    <w:rsid w:val="00596B22"/>
    <w:rsid w:val="00596EBE"/>
    <w:rsid w:val="005A0AB5"/>
    <w:rsid w:val="005A0F6E"/>
    <w:rsid w:val="005A12A8"/>
    <w:rsid w:val="005A1552"/>
    <w:rsid w:val="005A1BD1"/>
    <w:rsid w:val="005A2329"/>
    <w:rsid w:val="005A3F8D"/>
    <w:rsid w:val="005A5B38"/>
    <w:rsid w:val="005A5F73"/>
    <w:rsid w:val="005A6DB8"/>
    <w:rsid w:val="005B05BD"/>
    <w:rsid w:val="005B0734"/>
    <w:rsid w:val="005B242F"/>
    <w:rsid w:val="005B2CC9"/>
    <w:rsid w:val="005B2FD4"/>
    <w:rsid w:val="005B38F6"/>
    <w:rsid w:val="005B643C"/>
    <w:rsid w:val="005B6806"/>
    <w:rsid w:val="005B779C"/>
    <w:rsid w:val="005C02F2"/>
    <w:rsid w:val="005C123B"/>
    <w:rsid w:val="005C271A"/>
    <w:rsid w:val="005C39BE"/>
    <w:rsid w:val="005C3BE6"/>
    <w:rsid w:val="005C40A3"/>
    <w:rsid w:val="005C439F"/>
    <w:rsid w:val="005C46D6"/>
    <w:rsid w:val="005C5A9F"/>
    <w:rsid w:val="005C5D29"/>
    <w:rsid w:val="005C66CD"/>
    <w:rsid w:val="005D0149"/>
    <w:rsid w:val="005D1707"/>
    <w:rsid w:val="005D33B4"/>
    <w:rsid w:val="005D3BA7"/>
    <w:rsid w:val="005D453D"/>
    <w:rsid w:val="005D5982"/>
    <w:rsid w:val="005D5AB8"/>
    <w:rsid w:val="005D6A25"/>
    <w:rsid w:val="005D6CC6"/>
    <w:rsid w:val="005D76D3"/>
    <w:rsid w:val="005D7965"/>
    <w:rsid w:val="005E021E"/>
    <w:rsid w:val="005E06C8"/>
    <w:rsid w:val="005E1327"/>
    <w:rsid w:val="005E153B"/>
    <w:rsid w:val="005E2C85"/>
    <w:rsid w:val="005E39AF"/>
    <w:rsid w:val="005E3AFE"/>
    <w:rsid w:val="005E3EB3"/>
    <w:rsid w:val="005E4622"/>
    <w:rsid w:val="005E68E9"/>
    <w:rsid w:val="005E69E4"/>
    <w:rsid w:val="005E72F4"/>
    <w:rsid w:val="005F088A"/>
    <w:rsid w:val="005F0E27"/>
    <w:rsid w:val="005F117D"/>
    <w:rsid w:val="005F1579"/>
    <w:rsid w:val="005F30BC"/>
    <w:rsid w:val="005F3524"/>
    <w:rsid w:val="005F3680"/>
    <w:rsid w:val="005F43DA"/>
    <w:rsid w:val="005F5A2C"/>
    <w:rsid w:val="005F693B"/>
    <w:rsid w:val="005F6CAD"/>
    <w:rsid w:val="005F6DBF"/>
    <w:rsid w:val="005F726B"/>
    <w:rsid w:val="005F7C07"/>
    <w:rsid w:val="005F7C69"/>
    <w:rsid w:val="00600D4E"/>
    <w:rsid w:val="00601633"/>
    <w:rsid w:val="00602176"/>
    <w:rsid w:val="00602947"/>
    <w:rsid w:val="00603091"/>
    <w:rsid w:val="006030DD"/>
    <w:rsid w:val="00603CB4"/>
    <w:rsid w:val="00604999"/>
    <w:rsid w:val="006053C2"/>
    <w:rsid w:val="006058C7"/>
    <w:rsid w:val="00606A6F"/>
    <w:rsid w:val="006071A7"/>
    <w:rsid w:val="00607F79"/>
    <w:rsid w:val="006102AE"/>
    <w:rsid w:val="006103B7"/>
    <w:rsid w:val="00610BFB"/>
    <w:rsid w:val="0061178D"/>
    <w:rsid w:val="00611DA1"/>
    <w:rsid w:val="00611E68"/>
    <w:rsid w:val="0061254F"/>
    <w:rsid w:val="006127C5"/>
    <w:rsid w:val="006129AA"/>
    <w:rsid w:val="00612EB7"/>
    <w:rsid w:val="006131E4"/>
    <w:rsid w:val="00615147"/>
    <w:rsid w:val="00615D1F"/>
    <w:rsid w:val="00616502"/>
    <w:rsid w:val="0061739B"/>
    <w:rsid w:val="0061755B"/>
    <w:rsid w:val="00617D45"/>
    <w:rsid w:val="0062050A"/>
    <w:rsid w:val="0062072A"/>
    <w:rsid w:val="00621B1F"/>
    <w:rsid w:val="00622B15"/>
    <w:rsid w:val="006234E5"/>
    <w:rsid w:val="00623F69"/>
    <w:rsid w:val="0062411D"/>
    <w:rsid w:val="00625845"/>
    <w:rsid w:val="00626128"/>
    <w:rsid w:val="00626DE2"/>
    <w:rsid w:val="006306D0"/>
    <w:rsid w:val="00630A65"/>
    <w:rsid w:val="00630C43"/>
    <w:rsid w:val="00630CCE"/>
    <w:rsid w:val="0063141F"/>
    <w:rsid w:val="00631ECA"/>
    <w:rsid w:val="006321DE"/>
    <w:rsid w:val="0063289C"/>
    <w:rsid w:val="006330D3"/>
    <w:rsid w:val="00634F4B"/>
    <w:rsid w:val="006356AB"/>
    <w:rsid w:val="006356BF"/>
    <w:rsid w:val="0063627D"/>
    <w:rsid w:val="00636414"/>
    <w:rsid w:val="006364F9"/>
    <w:rsid w:val="0063735A"/>
    <w:rsid w:val="006407A7"/>
    <w:rsid w:val="00641057"/>
    <w:rsid w:val="006422A1"/>
    <w:rsid w:val="0064231C"/>
    <w:rsid w:val="0064264B"/>
    <w:rsid w:val="00644740"/>
    <w:rsid w:val="00644AF6"/>
    <w:rsid w:val="006450E4"/>
    <w:rsid w:val="006454E3"/>
    <w:rsid w:val="00645DF0"/>
    <w:rsid w:val="006460DB"/>
    <w:rsid w:val="0064643F"/>
    <w:rsid w:val="0064717C"/>
    <w:rsid w:val="00647DB3"/>
    <w:rsid w:val="00650524"/>
    <w:rsid w:val="00650AEA"/>
    <w:rsid w:val="00652653"/>
    <w:rsid w:val="00652ACC"/>
    <w:rsid w:val="00652CE0"/>
    <w:rsid w:val="00653857"/>
    <w:rsid w:val="006540C2"/>
    <w:rsid w:val="00654C32"/>
    <w:rsid w:val="00655A5D"/>
    <w:rsid w:val="00655C54"/>
    <w:rsid w:val="006567F3"/>
    <w:rsid w:val="00656978"/>
    <w:rsid w:val="0065757C"/>
    <w:rsid w:val="00657746"/>
    <w:rsid w:val="00657A7A"/>
    <w:rsid w:val="00657C85"/>
    <w:rsid w:val="00662126"/>
    <w:rsid w:val="00663D9B"/>
    <w:rsid w:val="00664B20"/>
    <w:rsid w:val="00665DDE"/>
    <w:rsid w:val="0066718A"/>
    <w:rsid w:val="006675AB"/>
    <w:rsid w:val="0067022C"/>
    <w:rsid w:val="0067072D"/>
    <w:rsid w:val="00670A3B"/>
    <w:rsid w:val="00670F3B"/>
    <w:rsid w:val="00671412"/>
    <w:rsid w:val="00671804"/>
    <w:rsid w:val="006732A7"/>
    <w:rsid w:val="006736DE"/>
    <w:rsid w:val="00673BED"/>
    <w:rsid w:val="006757CA"/>
    <w:rsid w:val="00675D64"/>
    <w:rsid w:val="0067631C"/>
    <w:rsid w:val="00676AC4"/>
    <w:rsid w:val="00676F10"/>
    <w:rsid w:val="006808A4"/>
    <w:rsid w:val="00680968"/>
    <w:rsid w:val="00680F48"/>
    <w:rsid w:val="006812F6"/>
    <w:rsid w:val="006813B8"/>
    <w:rsid w:val="00683FF1"/>
    <w:rsid w:val="00684469"/>
    <w:rsid w:val="006846B7"/>
    <w:rsid w:val="006847FA"/>
    <w:rsid w:val="006877F0"/>
    <w:rsid w:val="00691495"/>
    <w:rsid w:val="0069157B"/>
    <w:rsid w:val="00691F9D"/>
    <w:rsid w:val="0069233C"/>
    <w:rsid w:val="00692AAB"/>
    <w:rsid w:val="00692B6C"/>
    <w:rsid w:val="006930CC"/>
    <w:rsid w:val="006933D3"/>
    <w:rsid w:val="00694C8A"/>
    <w:rsid w:val="006954FE"/>
    <w:rsid w:val="00695D0B"/>
    <w:rsid w:val="00696945"/>
    <w:rsid w:val="00697070"/>
    <w:rsid w:val="00697FCE"/>
    <w:rsid w:val="006A09C3"/>
    <w:rsid w:val="006A1559"/>
    <w:rsid w:val="006A17F4"/>
    <w:rsid w:val="006A1879"/>
    <w:rsid w:val="006A25E2"/>
    <w:rsid w:val="006A2D2A"/>
    <w:rsid w:val="006A2E9B"/>
    <w:rsid w:val="006A3878"/>
    <w:rsid w:val="006A45D0"/>
    <w:rsid w:val="006A55C8"/>
    <w:rsid w:val="006A5AFD"/>
    <w:rsid w:val="006A5F90"/>
    <w:rsid w:val="006A7BFE"/>
    <w:rsid w:val="006A7CD7"/>
    <w:rsid w:val="006A7DFA"/>
    <w:rsid w:val="006B04D0"/>
    <w:rsid w:val="006B0777"/>
    <w:rsid w:val="006B0EC9"/>
    <w:rsid w:val="006B123D"/>
    <w:rsid w:val="006B2B36"/>
    <w:rsid w:val="006B31B5"/>
    <w:rsid w:val="006B3408"/>
    <w:rsid w:val="006B37DD"/>
    <w:rsid w:val="006B3D05"/>
    <w:rsid w:val="006B51F1"/>
    <w:rsid w:val="006B6112"/>
    <w:rsid w:val="006B6C33"/>
    <w:rsid w:val="006B7553"/>
    <w:rsid w:val="006C018C"/>
    <w:rsid w:val="006C0667"/>
    <w:rsid w:val="006C10DC"/>
    <w:rsid w:val="006C1BF9"/>
    <w:rsid w:val="006C1CB0"/>
    <w:rsid w:val="006C3440"/>
    <w:rsid w:val="006C3A78"/>
    <w:rsid w:val="006C414C"/>
    <w:rsid w:val="006C4671"/>
    <w:rsid w:val="006C4A6A"/>
    <w:rsid w:val="006C4AA2"/>
    <w:rsid w:val="006C512D"/>
    <w:rsid w:val="006C6784"/>
    <w:rsid w:val="006C6E9C"/>
    <w:rsid w:val="006C783F"/>
    <w:rsid w:val="006D0CB7"/>
    <w:rsid w:val="006D13CB"/>
    <w:rsid w:val="006D1729"/>
    <w:rsid w:val="006D172B"/>
    <w:rsid w:val="006D2089"/>
    <w:rsid w:val="006D2A8D"/>
    <w:rsid w:val="006D366F"/>
    <w:rsid w:val="006D3866"/>
    <w:rsid w:val="006D3A18"/>
    <w:rsid w:val="006D3B88"/>
    <w:rsid w:val="006D3C9D"/>
    <w:rsid w:val="006D4332"/>
    <w:rsid w:val="006D49FF"/>
    <w:rsid w:val="006D4AC5"/>
    <w:rsid w:val="006D4E16"/>
    <w:rsid w:val="006D55E4"/>
    <w:rsid w:val="006D5C3D"/>
    <w:rsid w:val="006D63F5"/>
    <w:rsid w:val="006D67DA"/>
    <w:rsid w:val="006D7BE7"/>
    <w:rsid w:val="006E004E"/>
    <w:rsid w:val="006E0A8E"/>
    <w:rsid w:val="006E1749"/>
    <w:rsid w:val="006E29D8"/>
    <w:rsid w:val="006E4013"/>
    <w:rsid w:val="006E4E3C"/>
    <w:rsid w:val="006E53C6"/>
    <w:rsid w:val="006E6E44"/>
    <w:rsid w:val="006F00D2"/>
    <w:rsid w:val="006F0572"/>
    <w:rsid w:val="006F06A1"/>
    <w:rsid w:val="006F194E"/>
    <w:rsid w:val="006F1C3C"/>
    <w:rsid w:val="006F1CC1"/>
    <w:rsid w:val="006F36B3"/>
    <w:rsid w:val="006F3A82"/>
    <w:rsid w:val="006F4073"/>
    <w:rsid w:val="006F547B"/>
    <w:rsid w:val="006F6C11"/>
    <w:rsid w:val="006F7555"/>
    <w:rsid w:val="006F76CE"/>
    <w:rsid w:val="00700014"/>
    <w:rsid w:val="00701576"/>
    <w:rsid w:val="007015E0"/>
    <w:rsid w:val="00704577"/>
    <w:rsid w:val="007057BC"/>
    <w:rsid w:val="00705D28"/>
    <w:rsid w:val="00705E3B"/>
    <w:rsid w:val="00710562"/>
    <w:rsid w:val="0071089F"/>
    <w:rsid w:val="00710FF7"/>
    <w:rsid w:val="00711CE2"/>
    <w:rsid w:val="00712313"/>
    <w:rsid w:val="0071282F"/>
    <w:rsid w:val="00712C3E"/>
    <w:rsid w:val="007131BB"/>
    <w:rsid w:val="007143DB"/>
    <w:rsid w:val="00714855"/>
    <w:rsid w:val="00715368"/>
    <w:rsid w:val="0071576B"/>
    <w:rsid w:val="00715880"/>
    <w:rsid w:val="0071609D"/>
    <w:rsid w:val="007165AC"/>
    <w:rsid w:val="00716D75"/>
    <w:rsid w:val="00717C09"/>
    <w:rsid w:val="00721EC7"/>
    <w:rsid w:val="00721F35"/>
    <w:rsid w:val="00722D38"/>
    <w:rsid w:val="00722DE0"/>
    <w:rsid w:val="00723227"/>
    <w:rsid w:val="00723CB9"/>
    <w:rsid w:val="00725F1D"/>
    <w:rsid w:val="00727BEC"/>
    <w:rsid w:val="00727C31"/>
    <w:rsid w:val="0073183A"/>
    <w:rsid w:val="00732488"/>
    <w:rsid w:val="00732FE1"/>
    <w:rsid w:val="007336F7"/>
    <w:rsid w:val="007342F4"/>
    <w:rsid w:val="0073462F"/>
    <w:rsid w:val="00734784"/>
    <w:rsid w:val="00735297"/>
    <w:rsid w:val="007355A9"/>
    <w:rsid w:val="0073603C"/>
    <w:rsid w:val="00736724"/>
    <w:rsid w:val="00736848"/>
    <w:rsid w:val="00736FE0"/>
    <w:rsid w:val="00737406"/>
    <w:rsid w:val="00737D96"/>
    <w:rsid w:val="00737DD8"/>
    <w:rsid w:val="0074076C"/>
    <w:rsid w:val="00741E3D"/>
    <w:rsid w:val="0074208F"/>
    <w:rsid w:val="00743130"/>
    <w:rsid w:val="007438E5"/>
    <w:rsid w:val="0074447C"/>
    <w:rsid w:val="0074509B"/>
    <w:rsid w:val="00745A96"/>
    <w:rsid w:val="0074628E"/>
    <w:rsid w:val="007468E9"/>
    <w:rsid w:val="00747E8C"/>
    <w:rsid w:val="00750860"/>
    <w:rsid w:val="00750878"/>
    <w:rsid w:val="00750F23"/>
    <w:rsid w:val="00750F8C"/>
    <w:rsid w:val="007512C3"/>
    <w:rsid w:val="007513D1"/>
    <w:rsid w:val="007535BB"/>
    <w:rsid w:val="00754865"/>
    <w:rsid w:val="007554F7"/>
    <w:rsid w:val="00755660"/>
    <w:rsid w:val="00755868"/>
    <w:rsid w:val="00755F22"/>
    <w:rsid w:val="007561A5"/>
    <w:rsid w:val="00756841"/>
    <w:rsid w:val="00756D4C"/>
    <w:rsid w:val="00757625"/>
    <w:rsid w:val="0075786E"/>
    <w:rsid w:val="00760649"/>
    <w:rsid w:val="007609C0"/>
    <w:rsid w:val="00760EF2"/>
    <w:rsid w:val="00760F68"/>
    <w:rsid w:val="00761064"/>
    <w:rsid w:val="007620CC"/>
    <w:rsid w:val="00762B27"/>
    <w:rsid w:val="00762C57"/>
    <w:rsid w:val="007633F6"/>
    <w:rsid w:val="00764708"/>
    <w:rsid w:val="00765952"/>
    <w:rsid w:val="00765FEA"/>
    <w:rsid w:val="0076613D"/>
    <w:rsid w:val="0076628A"/>
    <w:rsid w:val="0076674A"/>
    <w:rsid w:val="00766EAF"/>
    <w:rsid w:val="00770803"/>
    <w:rsid w:val="00770FEE"/>
    <w:rsid w:val="00772033"/>
    <w:rsid w:val="0077205E"/>
    <w:rsid w:val="00772555"/>
    <w:rsid w:val="00772766"/>
    <w:rsid w:val="00772A0D"/>
    <w:rsid w:val="00772AC8"/>
    <w:rsid w:val="00773411"/>
    <w:rsid w:val="00774114"/>
    <w:rsid w:val="00774275"/>
    <w:rsid w:val="00775E32"/>
    <w:rsid w:val="00776AF6"/>
    <w:rsid w:val="00780061"/>
    <w:rsid w:val="00780504"/>
    <w:rsid w:val="00780969"/>
    <w:rsid w:val="00780A9F"/>
    <w:rsid w:val="00782A78"/>
    <w:rsid w:val="00783062"/>
    <w:rsid w:val="00783AE6"/>
    <w:rsid w:val="00783E9A"/>
    <w:rsid w:val="00784155"/>
    <w:rsid w:val="00784438"/>
    <w:rsid w:val="007844BE"/>
    <w:rsid w:val="00784F60"/>
    <w:rsid w:val="00785196"/>
    <w:rsid w:val="0078565F"/>
    <w:rsid w:val="0078571F"/>
    <w:rsid w:val="007870E2"/>
    <w:rsid w:val="007870FF"/>
    <w:rsid w:val="007874CF"/>
    <w:rsid w:val="00787714"/>
    <w:rsid w:val="00791286"/>
    <w:rsid w:val="007915A6"/>
    <w:rsid w:val="00791995"/>
    <w:rsid w:val="00792858"/>
    <w:rsid w:val="00792E6B"/>
    <w:rsid w:val="00793B8B"/>
    <w:rsid w:val="00794162"/>
    <w:rsid w:val="0079458B"/>
    <w:rsid w:val="00794919"/>
    <w:rsid w:val="00794D17"/>
    <w:rsid w:val="0079544A"/>
    <w:rsid w:val="00795687"/>
    <w:rsid w:val="00796BBF"/>
    <w:rsid w:val="00796F64"/>
    <w:rsid w:val="00797CEF"/>
    <w:rsid w:val="00797FAE"/>
    <w:rsid w:val="00797FB2"/>
    <w:rsid w:val="007A00D9"/>
    <w:rsid w:val="007A0806"/>
    <w:rsid w:val="007A1DB7"/>
    <w:rsid w:val="007A20F4"/>
    <w:rsid w:val="007A20F6"/>
    <w:rsid w:val="007A2FD4"/>
    <w:rsid w:val="007A3F03"/>
    <w:rsid w:val="007A402B"/>
    <w:rsid w:val="007A443C"/>
    <w:rsid w:val="007A48B0"/>
    <w:rsid w:val="007A49CD"/>
    <w:rsid w:val="007A5306"/>
    <w:rsid w:val="007A64FA"/>
    <w:rsid w:val="007A657D"/>
    <w:rsid w:val="007A6BC9"/>
    <w:rsid w:val="007A6CF4"/>
    <w:rsid w:val="007A70F9"/>
    <w:rsid w:val="007A7D50"/>
    <w:rsid w:val="007B1157"/>
    <w:rsid w:val="007B225A"/>
    <w:rsid w:val="007B2593"/>
    <w:rsid w:val="007B266A"/>
    <w:rsid w:val="007B2813"/>
    <w:rsid w:val="007B444F"/>
    <w:rsid w:val="007B521A"/>
    <w:rsid w:val="007B558F"/>
    <w:rsid w:val="007B6417"/>
    <w:rsid w:val="007B6A8B"/>
    <w:rsid w:val="007B73AE"/>
    <w:rsid w:val="007B7E90"/>
    <w:rsid w:val="007C067B"/>
    <w:rsid w:val="007C1237"/>
    <w:rsid w:val="007C172A"/>
    <w:rsid w:val="007C2553"/>
    <w:rsid w:val="007C30E9"/>
    <w:rsid w:val="007C405F"/>
    <w:rsid w:val="007C5432"/>
    <w:rsid w:val="007C564C"/>
    <w:rsid w:val="007C5B00"/>
    <w:rsid w:val="007D0049"/>
    <w:rsid w:val="007D049E"/>
    <w:rsid w:val="007D0CC4"/>
    <w:rsid w:val="007D0E8E"/>
    <w:rsid w:val="007D308B"/>
    <w:rsid w:val="007D40D9"/>
    <w:rsid w:val="007D41A6"/>
    <w:rsid w:val="007D42F2"/>
    <w:rsid w:val="007D4A33"/>
    <w:rsid w:val="007D65CB"/>
    <w:rsid w:val="007D6E4C"/>
    <w:rsid w:val="007D74FE"/>
    <w:rsid w:val="007D779B"/>
    <w:rsid w:val="007D7890"/>
    <w:rsid w:val="007E0B40"/>
    <w:rsid w:val="007E0C20"/>
    <w:rsid w:val="007E1EDD"/>
    <w:rsid w:val="007E2828"/>
    <w:rsid w:val="007E292E"/>
    <w:rsid w:val="007E320F"/>
    <w:rsid w:val="007E3FE9"/>
    <w:rsid w:val="007E4095"/>
    <w:rsid w:val="007E50CE"/>
    <w:rsid w:val="007E52BC"/>
    <w:rsid w:val="007E5A69"/>
    <w:rsid w:val="007E5B29"/>
    <w:rsid w:val="007E67C4"/>
    <w:rsid w:val="007E7396"/>
    <w:rsid w:val="007E78F6"/>
    <w:rsid w:val="007F0B92"/>
    <w:rsid w:val="007F0F39"/>
    <w:rsid w:val="007F1491"/>
    <w:rsid w:val="007F247E"/>
    <w:rsid w:val="007F3220"/>
    <w:rsid w:val="007F3E3F"/>
    <w:rsid w:val="007F4C0A"/>
    <w:rsid w:val="007F4F9F"/>
    <w:rsid w:val="007F5345"/>
    <w:rsid w:val="007F54A7"/>
    <w:rsid w:val="007F5CC8"/>
    <w:rsid w:val="007F6890"/>
    <w:rsid w:val="007F7392"/>
    <w:rsid w:val="007F7D13"/>
    <w:rsid w:val="007F7E05"/>
    <w:rsid w:val="00800B2D"/>
    <w:rsid w:val="008017EB"/>
    <w:rsid w:val="00801BC8"/>
    <w:rsid w:val="00802D65"/>
    <w:rsid w:val="00803337"/>
    <w:rsid w:val="008033A2"/>
    <w:rsid w:val="008035F7"/>
    <w:rsid w:val="00803E8B"/>
    <w:rsid w:val="008047E1"/>
    <w:rsid w:val="00807E30"/>
    <w:rsid w:val="0081073F"/>
    <w:rsid w:val="00811692"/>
    <w:rsid w:val="00811DF4"/>
    <w:rsid w:val="008122C5"/>
    <w:rsid w:val="00812AA3"/>
    <w:rsid w:val="00813E8E"/>
    <w:rsid w:val="00814061"/>
    <w:rsid w:val="00815C94"/>
    <w:rsid w:val="008173FE"/>
    <w:rsid w:val="00817BAE"/>
    <w:rsid w:val="008208C6"/>
    <w:rsid w:val="00820B8C"/>
    <w:rsid w:val="0082152B"/>
    <w:rsid w:val="00821C0B"/>
    <w:rsid w:val="0082225C"/>
    <w:rsid w:val="00822408"/>
    <w:rsid w:val="008230FF"/>
    <w:rsid w:val="008232FE"/>
    <w:rsid w:val="00823907"/>
    <w:rsid w:val="00824000"/>
    <w:rsid w:val="0082404D"/>
    <w:rsid w:val="00824DFD"/>
    <w:rsid w:val="00825088"/>
    <w:rsid w:val="00826010"/>
    <w:rsid w:val="00826B37"/>
    <w:rsid w:val="008305EB"/>
    <w:rsid w:val="008307E7"/>
    <w:rsid w:val="00830931"/>
    <w:rsid w:val="008314D5"/>
    <w:rsid w:val="00832CBB"/>
    <w:rsid w:val="0083351E"/>
    <w:rsid w:val="008342DD"/>
    <w:rsid w:val="0083472E"/>
    <w:rsid w:val="00836216"/>
    <w:rsid w:val="00836270"/>
    <w:rsid w:val="0083726E"/>
    <w:rsid w:val="00840635"/>
    <w:rsid w:val="00840929"/>
    <w:rsid w:val="00840D1C"/>
    <w:rsid w:val="00841480"/>
    <w:rsid w:val="00841FDC"/>
    <w:rsid w:val="00842F85"/>
    <w:rsid w:val="00843807"/>
    <w:rsid w:val="0084399F"/>
    <w:rsid w:val="00844CAE"/>
    <w:rsid w:val="00845672"/>
    <w:rsid w:val="00846C0B"/>
    <w:rsid w:val="00846CDF"/>
    <w:rsid w:val="00847D98"/>
    <w:rsid w:val="00847F8B"/>
    <w:rsid w:val="0085018E"/>
    <w:rsid w:val="0085041E"/>
    <w:rsid w:val="00850ECD"/>
    <w:rsid w:val="00852AD9"/>
    <w:rsid w:val="00852E3C"/>
    <w:rsid w:val="00852E80"/>
    <w:rsid w:val="00853088"/>
    <w:rsid w:val="00853424"/>
    <w:rsid w:val="00853B71"/>
    <w:rsid w:val="00853D3B"/>
    <w:rsid w:val="00854371"/>
    <w:rsid w:val="00854403"/>
    <w:rsid w:val="008545F3"/>
    <w:rsid w:val="008554E6"/>
    <w:rsid w:val="0085671F"/>
    <w:rsid w:val="00857594"/>
    <w:rsid w:val="0085776B"/>
    <w:rsid w:val="00857791"/>
    <w:rsid w:val="008579B5"/>
    <w:rsid w:val="00860224"/>
    <w:rsid w:val="008603D9"/>
    <w:rsid w:val="008603FE"/>
    <w:rsid w:val="00860A5C"/>
    <w:rsid w:val="00860CA4"/>
    <w:rsid w:val="0086106B"/>
    <w:rsid w:val="00861783"/>
    <w:rsid w:val="00861A6A"/>
    <w:rsid w:val="00862421"/>
    <w:rsid w:val="00862944"/>
    <w:rsid w:val="00864266"/>
    <w:rsid w:val="008648B2"/>
    <w:rsid w:val="00865DD8"/>
    <w:rsid w:val="00866749"/>
    <w:rsid w:val="00866C39"/>
    <w:rsid w:val="00866F89"/>
    <w:rsid w:val="0087080B"/>
    <w:rsid w:val="00870D1C"/>
    <w:rsid w:val="00871404"/>
    <w:rsid w:val="0087158D"/>
    <w:rsid w:val="00872487"/>
    <w:rsid w:val="00872CAC"/>
    <w:rsid w:val="008734A2"/>
    <w:rsid w:val="00873E0B"/>
    <w:rsid w:val="0087438D"/>
    <w:rsid w:val="00874E93"/>
    <w:rsid w:val="0087559B"/>
    <w:rsid w:val="008765F5"/>
    <w:rsid w:val="00876D83"/>
    <w:rsid w:val="008771AE"/>
    <w:rsid w:val="00877B7C"/>
    <w:rsid w:val="00877F72"/>
    <w:rsid w:val="00880167"/>
    <w:rsid w:val="00880BA9"/>
    <w:rsid w:val="00881041"/>
    <w:rsid w:val="0088119D"/>
    <w:rsid w:val="00882752"/>
    <w:rsid w:val="00882B60"/>
    <w:rsid w:val="00882C59"/>
    <w:rsid w:val="00883EBE"/>
    <w:rsid w:val="00885D88"/>
    <w:rsid w:val="008870D7"/>
    <w:rsid w:val="00887741"/>
    <w:rsid w:val="00887843"/>
    <w:rsid w:val="00887AFB"/>
    <w:rsid w:val="00891D2B"/>
    <w:rsid w:val="008927EB"/>
    <w:rsid w:val="00894124"/>
    <w:rsid w:val="0089430B"/>
    <w:rsid w:val="008967C5"/>
    <w:rsid w:val="00896952"/>
    <w:rsid w:val="00896C60"/>
    <w:rsid w:val="00897812"/>
    <w:rsid w:val="008A01C5"/>
    <w:rsid w:val="008A1243"/>
    <w:rsid w:val="008A2792"/>
    <w:rsid w:val="008A2D4C"/>
    <w:rsid w:val="008A2D63"/>
    <w:rsid w:val="008A379A"/>
    <w:rsid w:val="008A4370"/>
    <w:rsid w:val="008A4374"/>
    <w:rsid w:val="008A46B5"/>
    <w:rsid w:val="008A46F6"/>
    <w:rsid w:val="008A47ED"/>
    <w:rsid w:val="008A562E"/>
    <w:rsid w:val="008A75E3"/>
    <w:rsid w:val="008B0730"/>
    <w:rsid w:val="008B0ABA"/>
    <w:rsid w:val="008B1272"/>
    <w:rsid w:val="008B1992"/>
    <w:rsid w:val="008B4828"/>
    <w:rsid w:val="008B4B93"/>
    <w:rsid w:val="008B4C6E"/>
    <w:rsid w:val="008B57E3"/>
    <w:rsid w:val="008B5CD5"/>
    <w:rsid w:val="008B5DF4"/>
    <w:rsid w:val="008B6725"/>
    <w:rsid w:val="008B6FFF"/>
    <w:rsid w:val="008B7350"/>
    <w:rsid w:val="008B7844"/>
    <w:rsid w:val="008B7BD0"/>
    <w:rsid w:val="008C00A9"/>
    <w:rsid w:val="008C020B"/>
    <w:rsid w:val="008C0E95"/>
    <w:rsid w:val="008C1402"/>
    <w:rsid w:val="008C1541"/>
    <w:rsid w:val="008C1A92"/>
    <w:rsid w:val="008C333F"/>
    <w:rsid w:val="008C3AA4"/>
    <w:rsid w:val="008C3D16"/>
    <w:rsid w:val="008C3F53"/>
    <w:rsid w:val="008C4151"/>
    <w:rsid w:val="008C4EB5"/>
    <w:rsid w:val="008C5A9E"/>
    <w:rsid w:val="008C5C93"/>
    <w:rsid w:val="008C65F6"/>
    <w:rsid w:val="008C6F1E"/>
    <w:rsid w:val="008C7002"/>
    <w:rsid w:val="008C7271"/>
    <w:rsid w:val="008C738D"/>
    <w:rsid w:val="008C7992"/>
    <w:rsid w:val="008D0A41"/>
    <w:rsid w:val="008D107F"/>
    <w:rsid w:val="008D1D33"/>
    <w:rsid w:val="008D363A"/>
    <w:rsid w:val="008D3F13"/>
    <w:rsid w:val="008D53B9"/>
    <w:rsid w:val="008D5C0B"/>
    <w:rsid w:val="008D5C6C"/>
    <w:rsid w:val="008D6348"/>
    <w:rsid w:val="008D6C83"/>
    <w:rsid w:val="008D7FFE"/>
    <w:rsid w:val="008E06E3"/>
    <w:rsid w:val="008E0C27"/>
    <w:rsid w:val="008E2C2B"/>
    <w:rsid w:val="008E3490"/>
    <w:rsid w:val="008E44BB"/>
    <w:rsid w:val="008E51C4"/>
    <w:rsid w:val="008E5402"/>
    <w:rsid w:val="008E6024"/>
    <w:rsid w:val="008E60C8"/>
    <w:rsid w:val="008E656D"/>
    <w:rsid w:val="008E7557"/>
    <w:rsid w:val="008E7D9F"/>
    <w:rsid w:val="008F03AD"/>
    <w:rsid w:val="008F048D"/>
    <w:rsid w:val="008F1302"/>
    <w:rsid w:val="008F1D0D"/>
    <w:rsid w:val="008F1EBF"/>
    <w:rsid w:val="008F21E4"/>
    <w:rsid w:val="008F2227"/>
    <w:rsid w:val="008F2AED"/>
    <w:rsid w:val="008F2ECA"/>
    <w:rsid w:val="008F2F81"/>
    <w:rsid w:val="008F32AC"/>
    <w:rsid w:val="008F3E58"/>
    <w:rsid w:val="008F4249"/>
    <w:rsid w:val="008F45A1"/>
    <w:rsid w:val="008F5072"/>
    <w:rsid w:val="008F65BB"/>
    <w:rsid w:val="008F6803"/>
    <w:rsid w:val="008F6BD6"/>
    <w:rsid w:val="008F78AE"/>
    <w:rsid w:val="00900123"/>
    <w:rsid w:val="009005B2"/>
    <w:rsid w:val="00900748"/>
    <w:rsid w:val="009010F2"/>
    <w:rsid w:val="009041F3"/>
    <w:rsid w:val="00904267"/>
    <w:rsid w:val="00904CC5"/>
    <w:rsid w:val="00904D96"/>
    <w:rsid w:val="00905021"/>
    <w:rsid w:val="009053DF"/>
    <w:rsid w:val="0090553E"/>
    <w:rsid w:val="00905EAD"/>
    <w:rsid w:val="009068CE"/>
    <w:rsid w:val="00906ADA"/>
    <w:rsid w:val="0090746D"/>
    <w:rsid w:val="00907793"/>
    <w:rsid w:val="009105B1"/>
    <w:rsid w:val="00910EC1"/>
    <w:rsid w:val="009114B5"/>
    <w:rsid w:val="009115B2"/>
    <w:rsid w:val="009122ED"/>
    <w:rsid w:val="00915F5B"/>
    <w:rsid w:val="0091644B"/>
    <w:rsid w:val="00916843"/>
    <w:rsid w:val="00917D90"/>
    <w:rsid w:val="00917F4D"/>
    <w:rsid w:val="009243A8"/>
    <w:rsid w:val="00924A17"/>
    <w:rsid w:val="00924B08"/>
    <w:rsid w:val="00924DE2"/>
    <w:rsid w:val="00924FF4"/>
    <w:rsid w:val="00925459"/>
    <w:rsid w:val="00925AE3"/>
    <w:rsid w:val="00925EF0"/>
    <w:rsid w:val="009260AB"/>
    <w:rsid w:val="009279D0"/>
    <w:rsid w:val="00927F7C"/>
    <w:rsid w:val="009300E1"/>
    <w:rsid w:val="009306A2"/>
    <w:rsid w:val="009306E5"/>
    <w:rsid w:val="009309D3"/>
    <w:rsid w:val="00930AF2"/>
    <w:rsid w:val="009310B3"/>
    <w:rsid w:val="00931E90"/>
    <w:rsid w:val="009324BC"/>
    <w:rsid w:val="00932C6F"/>
    <w:rsid w:val="00933799"/>
    <w:rsid w:val="00933BA9"/>
    <w:rsid w:val="00933C9B"/>
    <w:rsid w:val="0093404B"/>
    <w:rsid w:val="0093508D"/>
    <w:rsid w:val="00935E71"/>
    <w:rsid w:val="009360BE"/>
    <w:rsid w:val="009367A0"/>
    <w:rsid w:val="00936AF1"/>
    <w:rsid w:val="00936E7D"/>
    <w:rsid w:val="00937C93"/>
    <w:rsid w:val="00940642"/>
    <w:rsid w:val="0094073F"/>
    <w:rsid w:val="00941BD7"/>
    <w:rsid w:val="00942B32"/>
    <w:rsid w:val="00942FD0"/>
    <w:rsid w:val="00943630"/>
    <w:rsid w:val="0094378B"/>
    <w:rsid w:val="0094382D"/>
    <w:rsid w:val="00943A7D"/>
    <w:rsid w:val="0094403C"/>
    <w:rsid w:val="0094409F"/>
    <w:rsid w:val="0094462E"/>
    <w:rsid w:val="009455D6"/>
    <w:rsid w:val="00945710"/>
    <w:rsid w:val="00945F0F"/>
    <w:rsid w:val="0094650F"/>
    <w:rsid w:val="00946ECA"/>
    <w:rsid w:val="00946EEA"/>
    <w:rsid w:val="00947848"/>
    <w:rsid w:val="00947AAC"/>
    <w:rsid w:val="00950399"/>
    <w:rsid w:val="00950C16"/>
    <w:rsid w:val="00950F23"/>
    <w:rsid w:val="0095373F"/>
    <w:rsid w:val="00953808"/>
    <w:rsid w:val="00953BA8"/>
    <w:rsid w:val="00954D80"/>
    <w:rsid w:val="00955175"/>
    <w:rsid w:val="009551F8"/>
    <w:rsid w:val="0095574B"/>
    <w:rsid w:val="00957058"/>
    <w:rsid w:val="009575DF"/>
    <w:rsid w:val="00957716"/>
    <w:rsid w:val="00957995"/>
    <w:rsid w:val="009600E6"/>
    <w:rsid w:val="00960B0E"/>
    <w:rsid w:val="00960D77"/>
    <w:rsid w:val="00962295"/>
    <w:rsid w:val="0096277C"/>
    <w:rsid w:val="00962B41"/>
    <w:rsid w:val="009633B4"/>
    <w:rsid w:val="009654BA"/>
    <w:rsid w:val="00965786"/>
    <w:rsid w:val="009665BC"/>
    <w:rsid w:val="00966A6C"/>
    <w:rsid w:val="00966EA3"/>
    <w:rsid w:val="00967B3E"/>
    <w:rsid w:val="00970150"/>
    <w:rsid w:val="00970ABF"/>
    <w:rsid w:val="00971EC8"/>
    <w:rsid w:val="00971FC9"/>
    <w:rsid w:val="00972F6D"/>
    <w:rsid w:val="00973517"/>
    <w:rsid w:val="00973899"/>
    <w:rsid w:val="00973C04"/>
    <w:rsid w:val="00973E27"/>
    <w:rsid w:val="009747A6"/>
    <w:rsid w:val="0097481F"/>
    <w:rsid w:val="0097512B"/>
    <w:rsid w:val="0097558D"/>
    <w:rsid w:val="00976547"/>
    <w:rsid w:val="0098053B"/>
    <w:rsid w:val="009808CA"/>
    <w:rsid w:val="00980C16"/>
    <w:rsid w:val="00981408"/>
    <w:rsid w:val="00981881"/>
    <w:rsid w:val="00982641"/>
    <w:rsid w:val="009828C7"/>
    <w:rsid w:val="00983196"/>
    <w:rsid w:val="00983288"/>
    <w:rsid w:val="00984AEF"/>
    <w:rsid w:val="00984F94"/>
    <w:rsid w:val="0098569C"/>
    <w:rsid w:val="0098607C"/>
    <w:rsid w:val="009862E9"/>
    <w:rsid w:val="00987A45"/>
    <w:rsid w:val="00987F9F"/>
    <w:rsid w:val="00990437"/>
    <w:rsid w:val="00990FC1"/>
    <w:rsid w:val="009916E1"/>
    <w:rsid w:val="009916FA"/>
    <w:rsid w:val="00993E40"/>
    <w:rsid w:val="00994218"/>
    <w:rsid w:val="009949F7"/>
    <w:rsid w:val="00994B04"/>
    <w:rsid w:val="00995A07"/>
    <w:rsid w:val="00995D52"/>
    <w:rsid w:val="00995D66"/>
    <w:rsid w:val="0099691E"/>
    <w:rsid w:val="009969C7"/>
    <w:rsid w:val="00997813"/>
    <w:rsid w:val="009A03FE"/>
    <w:rsid w:val="009A073B"/>
    <w:rsid w:val="009A0B25"/>
    <w:rsid w:val="009A0FF3"/>
    <w:rsid w:val="009A10C1"/>
    <w:rsid w:val="009A12F4"/>
    <w:rsid w:val="009A2209"/>
    <w:rsid w:val="009A48C5"/>
    <w:rsid w:val="009A5B7E"/>
    <w:rsid w:val="009A605D"/>
    <w:rsid w:val="009A6677"/>
    <w:rsid w:val="009A72E2"/>
    <w:rsid w:val="009B2343"/>
    <w:rsid w:val="009B2353"/>
    <w:rsid w:val="009B2E10"/>
    <w:rsid w:val="009B3056"/>
    <w:rsid w:val="009B3A61"/>
    <w:rsid w:val="009B3D0B"/>
    <w:rsid w:val="009B3E9E"/>
    <w:rsid w:val="009B49A5"/>
    <w:rsid w:val="009B4E66"/>
    <w:rsid w:val="009B4F17"/>
    <w:rsid w:val="009B5445"/>
    <w:rsid w:val="009B755C"/>
    <w:rsid w:val="009C0061"/>
    <w:rsid w:val="009C16BF"/>
    <w:rsid w:val="009C175F"/>
    <w:rsid w:val="009C287F"/>
    <w:rsid w:val="009C3957"/>
    <w:rsid w:val="009C3A4F"/>
    <w:rsid w:val="009C3E70"/>
    <w:rsid w:val="009C4461"/>
    <w:rsid w:val="009C57C3"/>
    <w:rsid w:val="009C59B2"/>
    <w:rsid w:val="009D009D"/>
    <w:rsid w:val="009D066E"/>
    <w:rsid w:val="009D080E"/>
    <w:rsid w:val="009D25AE"/>
    <w:rsid w:val="009D367F"/>
    <w:rsid w:val="009D41C2"/>
    <w:rsid w:val="009D519A"/>
    <w:rsid w:val="009D57E2"/>
    <w:rsid w:val="009D67A4"/>
    <w:rsid w:val="009D7C7B"/>
    <w:rsid w:val="009E04D4"/>
    <w:rsid w:val="009E3835"/>
    <w:rsid w:val="009E3986"/>
    <w:rsid w:val="009E50D4"/>
    <w:rsid w:val="009E512D"/>
    <w:rsid w:val="009E603E"/>
    <w:rsid w:val="009E63BD"/>
    <w:rsid w:val="009E6EBD"/>
    <w:rsid w:val="009E716C"/>
    <w:rsid w:val="009E7241"/>
    <w:rsid w:val="009F0274"/>
    <w:rsid w:val="009F0BF0"/>
    <w:rsid w:val="009F1659"/>
    <w:rsid w:val="009F2515"/>
    <w:rsid w:val="009F3020"/>
    <w:rsid w:val="009F3252"/>
    <w:rsid w:val="009F3BB2"/>
    <w:rsid w:val="009F44A1"/>
    <w:rsid w:val="009F488A"/>
    <w:rsid w:val="009F48F6"/>
    <w:rsid w:val="009F4D12"/>
    <w:rsid w:val="009F5028"/>
    <w:rsid w:val="009F5A06"/>
    <w:rsid w:val="009F6AC4"/>
    <w:rsid w:val="009F7C71"/>
    <w:rsid w:val="009F7E0E"/>
    <w:rsid w:val="00A00136"/>
    <w:rsid w:val="00A0023F"/>
    <w:rsid w:val="00A01476"/>
    <w:rsid w:val="00A02451"/>
    <w:rsid w:val="00A02C2F"/>
    <w:rsid w:val="00A036D6"/>
    <w:rsid w:val="00A038E3"/>
    <w:rsid w:val="00A04501"/>
    <w:rsid w:val="00A0464C"/>
    <w:rsid w:val="00A05348"/>
    <w:rsid w:val="00A06EBE"/>
    <w:rsid w:val="00A0735C"/>
    <w:rsid w:val="00A07B82"/>
    <w:rsid w:val="00A1105A"/>
    <w:rsid w:val="00A11A39"/>
    <w:rsid w:val="00A12190"/>
    <w:rsid w:val="00A1224E"/>
    <w:rsid w:val="00A12E98"/>
    <w:rsid w:val="00A1316E"/>
    <w:rsid w:val="00A1323D"/>
    <w:rsid w:val="00A13F18"/>
    <w:rsid w:val="00A14B6B"/>
    <w:rsid w:val="00A14DA9"/>
    <w:rsid w:val="00A157A4"/>
    <w:rsid w:val="00A16404"/>
    <w:rsid w:val="00A16B18"/>
    <w:rsid w:val="00A17714"/>
    <w:rsid w:val="00A17831"/>
    <w:rsid w:val="00A200CF"/>
    <w:rsid w:val="00A213A7"/>
    <w:rsid w:val="00A21632"/>
    <w:rsid w:val="00A21EE5"/>
    <w:rsid w:val="00A23E11"/>
    <w:rsid w:val="00A2438F"/>
    <w:rsid w:val="00A24B04"/>
    <w:rsid w:val="00A24EDD"/>
    <w:rsid w:val="00A24EDE"/>
    <w:rsid w:val="00A25386"/>
    <w:rsid w:val="00A2592D"/>
    <w:rsid w:val="00A26067"/>
    <w:rsid w:val="00A261E8"/>
    <w:rsid w:val="00A266B5"/>
    <w:rsid w:val="00A268A0"/>
    <w:rsid w:val="00A26CD7"/>
    <w:rsid w:val="00A27267"/>
    <w:rsid w:val="00A27284"/>
    <w:rsid w:val="00A305AA"/>
    <w:rsid w:val="00A306D3"/>
    <w:rsid w:val="00A32BE2"/>
    <w:rsid w:val="00A32CC3"/>
    <w:rsid w:val="00A3352A"/>
    <w:rsid w:val="00A3509E"/>
    <w:rsid w:val="00A3528D"/>
    <w:rsid w:val="00A355D6"/>
    <w:rsid w:val="00A3564E"/>
    <w:rsid w:val="00A35C67"/>
    <w:rsid w:val="00A35FEA"/>
    <w:rsid w:val="00A36958"/>
    <w:rsid w:val="00A370D5"/>
    <w:rsid w:val="00A41C9C"/>
    <w:rsid w:val="00A41E64"/>
    <w:rsid w:val="00A41EA5"/>
    <w:rsid w:val="00A454E7"/>
    <w:rsid w:val="00A45C8A"/>
    <w:rsid w:val="00A46692"/>
    <w:rsid w:val="00A4700D"/>
    <w:rsid w:val="00A478B3"/>
    <w:rsid w:val="00A47B2F"/>
    <w:rsid w:val="00A50A55"/>
    <w:rsid w:val="00A51700"/>
    <w:rsid w:val="00A52825"/>
    <w:rsid w:val="00A53029"/>
    <w:rsid w:val="00A53AC2"/>
    <w:rsid w:val="00A53E6B"/>
    <w:rsid w:val="00A53EF3"/>
    <w:rsid w:val="00A540E1"/>
    <w:rsid w:val="00A55E0A"/>
    <w:rsid w:val="00A561FA"/>
    <w:rsid w:val="00A5677F"/>
    <w:rsid w:val="00A56F90"/>
    <w:rsid w:val="00A57E49"/>
    <w:rsid w:val="00A60D96"/>
    <w:rsid w:val="00A616E0"/>
    <w:rsid w:val="00A61C92"/>
    <w:rsid w:val="00A6285A"/>
    <w:rsid w:val="00A62A8E"/>
    <w:rsid w:val="00A62EBD"/>
    <w:rsid w:val="00A63328"/>
    <w:rsid w:val="00A63F78"/>
    <w:rsid w:val="00A6539D"/>
    <w:rsid w:val="00A65862"/>
    <w:rsid w:val="00A662BE"/>
    <w:rsid w:val="00A67148"/>
    <w:rsid w:val="00A67846"/>
    <w:rsid w:val="00A6795B"/>
    <w:rsid w:val="00A70716"/>
    <w:rsid w:val="00A70BF0"/>
    <w:rsid w:val="00A70D41"/>
    <w:rsid w:val="00A722FC"/>
    <w:rsid w:val="00A72A41"/>
    <w:rsid w:val="00A74D7A"/>
    <w:rsid w:val="00A74EBA"/>
    <w:rsid w:val="00A7508E"/>
    <w:rsid w:val="00A75451"/>
    <w:rsid w:val="00A755EA"/>
    <w:rsid w:val="00A7610E"/>
    <w:rsid w:val="00A76C5F"/>
    <w:rsid w:val="00A771C4"/>
    <w:rsid w:val="00A7790E"/>
    <w:rsid w:val="00A80387"/>
    <w:rsid w:val="00A80A5F"/>
    <w:rsid w:val="00A81664"/>
    <w:rsid w:val="00A81F0D"/>
    <w:rsid w:val="00A82B7B"/>
    <w:rsid w:val="00A82E08"/>
    <w:rsid w:val="00A836DB"/>
    <w:rsid w:val="00A83902"/>
    <w:rsid w:val="00A83B9D"/>
    <w:rsid w:val="00A83D7D"/>
    <w:rsid w:val="00A846A0"/>
    <w:rsid w:val="00A84B50"/>
    <w:rsid w:val="00A84BAC"/>
    <w:rsid w:val="00A84CF2"/>
    <w:rsid w:val="00A8551B"/>
    <w:rsid w:val="00A85970"/>
    <w:rsid w:val="00A87246"/>
    <w:rsid w:val="00A87EC7"/>
    <w:rsid w:val="00A90903"/>
    <w:rsid w:val="00A915BE"/>
    <w:rsid w:val="00A92F5C"/>
    <w:rsid w:val="00A932F7"/>
    <w:rsid w:val="00A9343D"/>
    <w:rsid w:val="00A93535"/>
    <w:rsid w:val="00A93592"/>
    <w:rsid w:val="00A9393D"/>
    <w:rsid w:val="00A94978"/>
    <w:rsid w:val="00A94ABE"/>
    <w:rsid w:val="00A9639D"/>
    <w:rsid w:val="00A96D8E"/>
    <w:rsid w:val="00A971C3"/>
    <w:rsid w:val="00A97D35"/>
    <w:rsid w:val="00AA04B1"/>
    <w:rsid w:val="00AA0C10"/>
    <w:rsid w:val="00AA0FD0"/>
    <w:rsid w:val="00AA151C"/>
    <w:rsid w:val="00AA1630"/>
    <w:rsid w:val="00AA3267"/>
    <w:rsid w:val="00AA37DB"/>
    <w:rsid w:val="00AA46C1"/>
    <w:rsid w:val="00AA4ABD"/>
    <w:rsid w:val="00AA5290"/>
    <w:rsid w:val="00AA530E"/>
    <w:rsid w:val="00AA5E9D"/>
    <w:rsid w:val="00AA67A1"/>
    <w:rsid w:val="00AA67B3"/>
    <w:rsid w:val="00AA6DB8"/>
    <w:rsid w:val="00AA71FF"/>
    <w:rsid w:val="00AA7411"/>
    <w:rsid w:val="00AA780D"/>
    <w:rsid w:val="00AB1786"/>
    <w:rsid w:val="00AB242F"/>
    <w:rsid w:val="00AB270F"/>
    <w:rsid w:val="00AB314D"/>
    <w:rsid w:val="00AB3601"/>
    <w:rsid w:val="00AB363B"/>
    <w:rsid w:val="00AB3C56"/>
    <w:rsid w:val="00AB4BE2"/>
    <w:rsid w:val="00AB591E"/>
    <w:rsid w:val="00AB5DE4"/>
    <w:rsid w:val="00AC0C42"/>
    <w:rsid w:val="00AC192E"/>
    <w:rsid w:val="00AC2105"/>
    <w:rsid w:val="00AC2AF3"/>
    <w:rsid w:val="00AC307F"/>
    <w:rsid w:val="00AC33DB"/>
    <w:rsid w:val="00AC3E2A"/>
    <w:rsid w:val="00AC454A"/>
    <w:rsid w:val="00AC485B"/>
    <w:rsid w:val="00AC4C39"/>
    <w:rsid w:val="00AC598E"/>
    <w:rsid w:val="00AC5DFC"/>
    <w:rsid w:val="00AC6184"/>
    <w:rsid w:val="00AC6200"/>
    <w:rsid w:val="00AC662D"/>
    <w:rsid w:val="00AC7E1E"/>
    <w:rsid w:val="00AD0230"/>
    <w:rsid w:val="00AD0236"/>
    <w:rsid w:val="00AD059D"/>
    <w:rsid w:val="00AD0714"/>
    <w:rsid w:val="00AD085B"/>
    <w:rsid w:val="00AD0C5A"/>
    <w:rsid w:val="00AD35CD"/>
    <w:rsid w:val="00AD480A"/>
    <w:rsid w:val="00AD4997"/>
    <w:rsid w:val="00AD5068"/>
    <w:rsid w:val="00AD58C8"/>
    <w:rsid w:val="00AD67E6"/>
    <w:rsid w:val="00AD75B7"/>
    <w:rsid w:val="00AD7EF8"/>
    <w:rsid w:val="00AE0602"/>
    <w:rsid w:val="00AE061D"/>
    <w:rsid w:val="00AE1A97"/>
    <w:rsid w:val="00AE3B05"/>
    <w:rsid w:val="00AE3B35"/>
    <w:rsid w:val="00AE3D9E"/>
    <w:rsid w:val="00AE4380"/>
    <w:rsid w:val="00AE44E9"/>
    <w:rsid w:val="00AE4518"/>
    <w:rsid w:val="00AE47CF"/>
    <w:rsid w:val="00AE4B78"/>
    <w:rsid w:val="00AE596C"/>
    <w:rsid w:val="00AE678E"/>
    <w:rsid w:val="00AE6C80"/>
    <w:rsid w:val="00AE6D57"/>
    <w:rsid w:val="00AF006B"/>
    <w:rsid w:val="00AF0C20"/>
    <w:rsid w:val="00AF31B8"/>
    <w:rsid w:val="00AF3258"/>
    <w:rsid w:val="00AF3953"/>
    <w:rsid w:val="00AF40F8"/>
    <w:rsid w:val="00AF48DD"/>
    <w:rsid w:val="00AF54FE"/>
    <w:rsid w:val="00AF585A"/>
    <w:rsid w:val="00AF6618"/>
    <w:rsid w:val="00B00058"/>
    <w:rsid w:val="00B001FD"/>
    <w:rsid w:val="00B003B9"/>
    <w:rsid w:val="00B01245"/>
    <w:rsid w:val="00B01FFB"/>
    <w:rsid w:val="00B027DE"/>
    <w:rsid w:val="00B02C3D"/>
    <w:rsid w:val="00B0357A"/>
    <w:rsid w:val="00B03921"/>
    <w:rsid w:val="00B04D03"/>
    <w:rsid w:val="00B05A92"/>
    <w:rsid w:val="00B062F3"/>
    <w:rsid w:val="00B063BB"/>
    <w:rsid w:val="00B06C6F"/>
    <w:rsid w:val="00B06FC2"/>
    <w:rsid w:val="00B07297"/>
    <w:rsid w:val="00B10CCE"/>
    <w:rsid w:val="00B1199F"/>
    <w:rsid w:val="00B13637"/>
    <w:rsid w:val="00B13FFA"/>
    <w:rsid w:val="00B15349"/>
    <w:rsid w:val="00B15B46"/>
    <w:rsid w:val="00B16CB3"/>
    <w:rsid w:val="00B172DC"/>
    <w:rsid w:val="00B1745A"/>
    <w:rsid w:val="00B1747F"/>
    <w:rsid w:val="00B207FB"/>
    <w:rsid w:val="00B20897"/>
    <w:rsid w:val="00B21D50"/>
    <w:rsid w:val="00B2254A"/>
    <w:rsid w:val="00B226D8"/>
    <w:rsid w:val="00B23F12"/>
    <w:rsid w:val="00B24804"/>
    <w:rsid w:val="00B25359"/>
    <w:rsid w:val="00B259D4"/>
    <w:rsid w:val="00B263B0"/>
    <w:rsid w:val="00B26D0D"/>
    <w:rsid w:val="00B27CEF"/>
    <w:rsid w:val="00B304EE"/>
    <w:rsid w:val="00B3053B"/>
    <w:rsid w:val="00B30C61"/>
    <w:rsid w:val="00B31B69"/>
    <w:rsid w:val="00B3227E"/>
    <w:rsid w:val="00B333D0"/>
    <w:rsid w:val="00B34B7B"/>
    <w:rsid w:val="00B34D6A"/>
    <w:rsid w:val="00B3555C"/>
    <w:rsid w:val="00B36A0E"/>
    <w:rsid w:val="00B36CC9"/>
    <w:rsid w:val="00B3708A"/>
    <w:rsid w:val="00B37A01"/>
    <w:rsid w:val="00B37FAE"/>
    <w:rsid w:val="00B40BB3"/>
    <w:rsid w:val="00B42868"/>
    <w:rsid w:val="00B42CB5"/>
    <w:rsid w:val="00B432B1"/>
    <w:rsid w:val="00B4345A"/>
    <w:rsid w:val="00B43B39"/>
    <w:rsid w:val="00B4412C"/>
    <w:rsid w:val="00B446EB"/>
    <w:rsid w:val="00B44E8F"/>
    <w:rsid w:val="00B44EF1"/>
    <w:rsid w:val="00B45B18"/>
    <w:rsid w:val="00B45EC4"/>
    <w:rsid w:val="00B46374"/>
    <w:rsid w:val="00B4653B"/>
    <w:rsid w:val="00B465F7"/>
    <w:rsid w:val="00B46FE3"/>
    <w:rsid w:val="00B473D3"/>
    <w:rsid w:val="00B477EE"/>
    <w:rsid w:val="00B47F9D"/>
    <w:rsid w:val="00B50328"/>
    <w:rsid w:val="00B50CCA"/>
    <w:rsid w:val="00B50DBC"/>
    <w:rsid w:val="00B51A3C"/>
    <w:rsid w:val="00B52F32"/>
    <w:rsid w:val="00B52F7C"/>
    <w:rsid w:val="00B532F7"/>
    <w:rsid w:val="00B539B5"/>
    <w:rsid w:val="00B53E0F"/>
    <w:rsid w:val="00B5424F"/>
    <w:rsid w:val="00B54C14"/>
    <w:rsid w:val="00B55ABA"/>
    <w:rsid w:val="00B55C04"/>
    <w:rsid w:val="00B566A5"/>
    <w:rsid w:val="00B56DBC"/>
    <w:rsid w:val="00B57BE8"/>
    <w:rsid w:val="00B600D1"/>
    <w:rsid w:val="00B6040B"/>
    <w:rsid w:val="00B61513"/>
    <w:rsid w:val="00B62385"/>
    <w:rsid w:val="00B6263A"/>
    <w:rsid w:val="00B627F4"/>
    <w:rsid w:val="00B64117"/>
    <w:rsid w:val="00B64978"/>
    <w:rsid w:val="00B64B8B"/>
    <w:rsid w:val="00B64C17"/>
    <w:rsid w:val="00B64E40"/>
    <w:rsid w:val="00B660CB"/>
    <w:rsid w:val="00B66B83"/>
    <w:rsid w:val="00B66C5F"/>
    <w:rsid w:val="00B67EE5"/>
    <w:rsid w:val="00B70384"/>
    <w:rsid w:val="00B7041D"/>
    <w:rsid w:val="00B706FB"/>
    <w:rsid w:val="00B70893"/>
    <w:rsid w:val="00B714BC"/>
    <w:rsid w:val="00B71935"/>
    <w:rsid w:val="00B728A2"/>
    <w:rsid w:val="00B73141"/>
    <w:rsid w:val="00B7442E"/>
    <w:rsid w:val="00B74435"/>
    <w:rsid w:val="00B7694E"/>
    <w:rsid w:val="00B77441"/>
    <w:rsid w:val="00B77CF0"/>
    <w:rsid w:val="00B806C5"/>
    <w:rsid w:val="00B80839"/>
    <w:rsid w:val="00B80897"/>
    <w:rsid w:val="00B80E51"/>
    <w:rsid w:val="00B81AD5"/>
    <w:rsid w:val="00B81CD8"/>
    <w:rsid w:val="00B82396"/>
    <w:rsid w:val="00B82B1D"/>
    <w:rsid w:val="00B82E28"/>
    <w:rsid w:val="00B83393"/>
    <w:rsid w:val="00B83AAD"/>
    <w:rsid w:val="00B843B5"/>
    <w:rsid w:val="00B848A9"/>
    <w:rsid w:val="00B85847"/>
    <w:rsid w:val="00B858ED"/>
    <w:rsid w:val="00B85A89"/>
    <w:rsid w:val="00B87500"/>
    <w:rsid w:val="00B876BF"/>
    <w:rsid w:val="00B87700"/>
    <w:rsid w:val="00B87C24"/>
    <w:rsid w:val="00B87E24"/>
    <w:rsid w:val="00B87F70"/>
    <w:rsid w:val="00B900B2"/>
    <w:rsid w:val="00B908AF"/>
    <w:rsid w:val="00B909FB"/>
    <w:rsid w:val="00B90CEB"/>
    <w:rsid w:val="00B90FCB"/>
    <w:rsid w:val="00B91508"/>
    <w:rsid w:val="00B922E0"/>
    <w:rsid w:val="00B926FC"/>
    <w:rsid w:val="00B92799"/>
    <w:rsid w:val="00B93757"/>
    <w:rsid w:val="00B9424E"/>
    <w:rsid w:val="00B94304"/>
    <w:rsid w:val="00B94399"/>
    <w:rsid w:val="00B94666"/>
    <w:rsid w:val="00B94677"/>
    <w:rsid w:val="00B970B7"/>
    <w:rsid w:val="00B97EDD"/>
    <w:rsid w:val="00B97FCE"/>
    <w:rsid w:val="00BA0225"/>
    <w:rsid w:val="00BA02AC"/>
    <w:rsid w:val="00BA15A4"/>
    <w:rsid w:val="00BA1BC8"/>
    <w:rsid w:val="00BA26D1"/>
    <w:rsid w:val="00BA2BFE"/>
    <w:rsid w:val="00BA2FEF"/>
    <w:rsid w:val="00BA330A"/>
    <w:rsid w:val="00BA34E7"/>
    <w:rsid w:val="00BA487E"/>
    <w:rsid w:val="00BA4A8F"/>
    <w:rsid w:val="00BA58C6"/>
    <w:rsid w:val="00BA5D0D"/>
    <w:rsid w:val="00BA618C"/>
    <w:rsid w:val="00BA651F"/>
    <w:rsid w:val="00BA6DD1"/>
    <w:rsid w:val="00BA6E95"/>
    <w:rsid w:val="00BA6FF0"/>
    <w:rsid w:val="00BB0260"/>
    <w:rsid w:val="00BB0DE8"/>
    <w:rsid w:val="00BB15C2"/>
    <w:rsid w:val="00BB172B"/>
    <w:rsid w:val="00BB197A"/>
    <w:rsid w:val="00BB2003"/>
    <w:rsid w:val="00BB2D11"/>
    <w:rsid w:val="00BB370D"/>
    <w:rsid w:val="00BB41A6"/>
    <w:rsid w:val="00BB48B3"/>
    <w:rsid w:val="00BB5EB0"/>
    <w:rsid w:val="00BB663D"/>
    <w:rsid w:val="00BC0964"/>
    <w:rsid w:val="00BC09A3"/>
    <w:rsid w:val="00BC17C1"/>
    <w:rsid w:val="00BC1A40"/>
    <w:rsid w:val="00BC1FA6"/>
    <w:rsid w:val="00BC28A5"/>
    <w:rsid w:val="00BC2D6D"/>
    <w:rsid w:val="00BC4D39"/>
    <w:rsid w:val="00BC5B00"/>
    <w:rsid w:val="00BC76AC"/>
    <w:rsid w:val="00BD0969"/>
    <w:rsid w:val="00BD0C20"/>
    <w:rsid w:val="00BD1624"/>
    <w:rsid w:val="00BD22CB"/>
    <w:rsid w:val="00BD2BE5"/>
    <w:rsid w:val="00BD34BD"/>
    <w:rsid w:val="00BD3829"/>
    <w:rsid w:val="00BD3F6D"/>
    <w:rsid w:val="00BD5436"/>
    <w:rsid w:val="00BD5E7D"/>
    <w:rsid w:val="00BD696C"/>
    <w:rsid w:val="00BD707E"/>
    <w:rsid w:val="00BD76EE"/>
    <w:rsid w:val="00BD771A"/>
    <w:rsid w:val="00BE01AB"/>
    <w:rsid w:val="00BE0536"/>
    <w:rsid w:val="00BE110B"/>
    <w:rsid w:val="00BE16C0"/>
    <w:rsid w:val="00BE1927"/>
    <w:rsid w:val="00BE20FD"/>
    <w:rsid w:val="00BE280F"/>
    <w:rsid w:val="00BE2D2F"/>
    <w:rsid w:val="00BE2DC0"/>
    <w:rsid w:val="00BE346E"/>
    <w:rsid w:val="00BE36CC"/>
    <w:rsid w:val="00BE3FA6"/>
    <w:rsid w:val="00BE478B"/>
    <w:rsid w:val="00BE560D"/>
    <w:rsid w:val="00BE5866"/>
    <w:rsid w:val="00BE6AC9"/>
    <w:rsid w:val="00BE6E2E"/>
    <w:rsid w:val="00BE7037"/>
    <w:rsid w:val="00BE72A2"/>
    <w:rsid w:val="00BE796C"/>
    <w:rsid w:val="00BF038F"/>
    <w:rsid w:val="00BF12A4"/>
    <w:rsid w:val="00BF228B"/>
    <w:rsid w:val="00BF433D"/>
    <w:rsid w:val="00BF4371"/>
    <w:rsid w:val="00BF4F55"/>
    <w:rsid w:val="00BF5126"/>
    <w:rsid w:val="00BF514B"/>
    <w:rsid w:val="00BF53EB"/>
    <w:rsid w:val="00BF5A7F"/>
    <w:rsid w:val="00BF5B12"/>
    <w:rsid w:val="00BF6D4A"/>
    <w:rsid w:val="00BF6F09"/>
    <w:rsid w:val="00BF7D98"/>
    <w:rsid w:val="00BF7E9B"/>
    <w:rsid w:val="00C003B0"/>
    <w:rsid w:val="00C015EA"/>
    <w:rsid w:val="00C01BAE"/>
    <w:rsid w:val="00C02363"/>
    <w:rsid w:val="00C0285E"/>
    <w:rsid w:val="00C0320B"/>
    <w:rsid w:val="00C03D6A"/>
    <w:rsid w:val="00C04007"/>
    <w:rsid w:val="00C0435B"/>
    <w:rsid w:val="00C04417"/>
    <w:rsid w:val="00C04CD2"/>
    <w:rsid w:val="00C052EC"/>
    <w:rsid w:val="00C05971"/>
    <w:rsid w:val="00C06B77"/>
    <w:rsid w:val="00C070B4"/>
    <w:rsid w:val="00C071D4"/>
    <w:rsid w:val="00C10101"/>
    <w:rsid w:val="00C10A80"/>
    <w:rsid w:val="00C10D39"/>
    <w:rsid w:val="00C1153C"/>
    <w:rsid w:val="00C115DB"/>
    <w:rsid w:val="00C12FA3"/>
    <w:rsid w:val="00C13498"/>
    <w:rsid w:val="00C134FD"/>
    <w:rsid w:val="00C1469B"/>
    <w:rsid w:val="00C15CF1"/>
    <w:rsid w:val="00C16D50"/>
    <w:rsid w:val="00C16FC9"/>
    <w:rsid w:val="00C178E9"/>
    <w:rsid w:val="00C20717"/>
    <w:rsid w:val="00C20F5D"/>
    <w:rsid w:val="00C212D9"/>
    <w:rsid w:val="00C2215B"/>
    <w:rsid w:val="00C2277C"/>
    <w:rsid w:val="00C23AE8"/>
    <w:rsid w:val="00C23D7F"/>
    <w:rsid w:val="00C2441F"/>
    <w:rsid w:val="00C26358"/>
    <w:rsid w:val="00C272ED"/>
    <w:rsid w:val="00C27802"/>
    <w:rsid w:val="00C3018D"/>
    <w:rsid w:val="00C303C8"/>
    <w:rsid w:val="00C3090A"/>
    <w:rsid w:val="00C30D6C"/>
    <w:rsid w:val="00C317F3"/>
    <w:rsid w:val="00C31EE5"/>
    <w:rsid w:val="00C320AD"/>
    <w:rsid w:val="00C32615"/>
    <w:rsid w:val="00C34830"/>
    <w:rsid w:val="00C34D3A"/>
    <w:rsid w:val="00C35491"/>
    <w:rsid w:val="00C366FB"/>
    <w:rsid w:val="00C3684C"/>
    <w:rsid w:val="00C36DC6"/>
    <w:rsid w:val="00C37E90"/>
    <w:rsid w:val="00C400CE"/>
    <w:rsid w:val="00C40F14"/>
    <w:rsid w:val="00C41424"/>
    <w:rsid w:val="00C41EE6"/>
    <w:rsid w:val="00C42120"/>
    <w:rsid w:val="00C430AE"/>
    <w:rsid w:val="00C43610"/>
    <w:rsid w:val="00C43649"/>
    <w:rsid w:val="00C4401A"/>
    <w:rsid w:val="00C44C84"/>
    <w:rsid w:val="00C44E5C"/>
    <w:rsid w:val="00C45263"/>
    <w:rsid w:val="00C45846"/>
    <w:rsid w:val="00C45F2E"/>
    <w:rsid w:val="00C46C75"/>
    <w:rsid w:val="00C50BAE"/>
    <w:rsid w:val="00C50E60"/>
    <w:rsid w:val="00C5188F"/>
    <w:rsid w:val="00C51A76"/>
    <w:rsid w:val="00C51BEB"/>
    <w:rsid w:val="00C51CFF"/>
    <w:rsid w:val="00C522F1"/>
    <w:rsid w:val="00C537EC"/>
    <w:rsid w:val="00C540D9"/>
    <w:rsid w:val="00C545CE"/>
    <w:rsid w:val="00C546E3"/>
    <w:rsid w:val="00C54DC7"/>
    <w:rsid w:val="00C554B1"/>
    <w:rsid w:val="00C557C9"/>
    <w:rsid w:val="00C55C03"/>
    <w:rsid w:val="00C56192"/>
    <w:rsid w:val="00C5637C"/>
    <w:rsid w:val="00C566CA"/>
    <w:rsid w:val="00C57002"/>
    <w:rsid w:val="00C60306"/>
    <w:rsid w:val="00C60A87"/>
    <w:rsid w:val="00C61081"/>
    <w:rsid w:val="00C618A1"/>
    <w:rsid w:val="00C61AFB"/>
    <w:rsid w:val="00C61FDB"/>
    <w:rsid w:val="00C62600"/>
    <w:rsid w:val="00C62B2F"/>
    <w:rsid w:val="00C649BF"/>
    <w:rsid w:val="00C64A08"/>
    <w:rsid w:val="00C654BC"/>
    <w:rsid w:val="00C66055"/>
    <w:rsid w:val="00C67574"/>
    <w:rsid w:val="00C6780C"/>
    <w:rsid w:val="00C678B4"/>
    <w:rsid w:val="00C67F98"/>
    <w:rsid w:val="00C701B4"/>
    <w:rsid w:val="00C71A8D"/>
    <w:rsid w:val="00C720D3"/>
    <w:rsid w:val="00C72E58"/>
    <w:rsid w:val="00C7333B"/>
    <w:rsid w:val="00C73A07"/>
    <w:rsid w:val="00C75558"/>
    <w:rsid w:val="00C76417"/>
    <w:rsid w:val="00C7651C"/>
    <w:rsid w:val="00C76B7F"/>
    <w:rsid w:val="00C76C15"/>
    <w:rsid w:val="00C77362"/>
    <w:rsid w:val="00C7737B"/>
    <w:rsid w:val="00C77383"/>
    <w:rsid w:val="00C7770F"/>
    <w:rsid w:val="00C77ED2"/>
    <w:rsid w:val="00C806A8"/>
    <w:rsid w:val="00C808F8"/>
    <w:rsid w:val="00C80C79"/>
    <w:rsid w:val="00C81FD9"/>
    <w:rsid w:val="00C81FED"/>
    <w:rsid w:val="00C83471"/>
    <w:rsid w:val="00C835F3"/>
    <w:rsid w:val="00C84366"/>
    <w:rsid w:val="00C84487"/>
    <w:rsid w:val="00C848F2"/>
    <w:rsid w:val="00C85340"/>
    <w:rsid w:val="00C85ECF"/>
    <w:rsid w:val="00C86488"/>
    <w:rsid w:val="00C8663B"/>
    <w:rsid w:val="00C867FC"/>
    <w:rsid w:val="00C86B9F"/>
    <w:rsid w:val="00C907D6"/>
    <w:rsid w:val="00C910FF"/>
    <w:rsid w:val="00C91662"/>
    <w:rsid w:val="00C925BC"/>
    <w:rsid w:val="00C92B01"/>
    <w:rsid w:val="00C93363"/>
    <w:rsid w:val="00C936BF"/>
    <w:rsid w:val="00C93F59"/>
    <w:rsid w:val="00C9579E"/>
    <w:rsid w:val="00C97627"/>
    <w:rsid w:val="00C97ABD"/>
    <w:rsid w:val="00C97F42"/>
    <w:rsid w:val="00CA06BE"/>
    <w:rsid w:val="00CA13AD"/>
    <w:rsid w:val="00CA1D11"/>
    <w:rsid w:val="00CA44A0"/>
    <w:rsid w:val="00CA4759"/>
    <w:rsid w:val="00CA49F5"/>
    <w:rsid w:val="00CA4AB2"/>
    <w:rsid w:val="00CA6026"/>
    <w:rsid w:val="00CA65CD"/>
    <w:rsid w:val="00CA669E"/>
    <w:rsid w:val="00CA69AA"/>
    <w:rsid w:val="00CA6B77"/>
    <w:rsid w:val="00CA7006"/>
    <w:rsid w:val="00CA7C31"/>
    <w:rsid w:val="00CA7F15"/>
    <w:rsid w:val="00CB068B"/>
    <w:rsid w:val="00CB0DB5"/>
    <w:rsid w:val="00CB18FB"/>
    <w:rsid w:val="00CB1A0C"/>
    <w:rsid w:val="00CB2CE1"/>
    <w:rsid w:val="00CB31FA"/>
    <w:rsid w:val="00CB3320"/>
    <w:rsid w:val="00CB36B0"/>
    <w:rsid w:val="00CB557D"/>
    <w:rsid w:val="00CB59AA"/>
    <w:rsid w:val="00CB6738"/>
    <w:rsid w:val="00CB680F"/>
    <w:rsid w:val="00CB6C85"/>
    <w:rsid w:val="00CB7287"/>
    <w:rsid w:val="00CC000C"/>
    <w:rsid w:val="00CC0BC8"/>
    <w:rsid w:val="00CC1974"/>
    <w:rsid w:val="00CC1AFF"/>
    <w:rsid w:val="00CC1DBD"/>
    <w:rsid w:val="00CC235F"/>
    <w:rsid w:val="00CC33B3"/>
    <w:rsid w:val="00CC3927"/>
    <w:rsid w:val="00CC3A07"/>
    <w:rsid w:val="00CC4CAB"/>
    <w:rsid w:val="00CC5615"/>
    <w:rsid w:val="00CC5CF5"/>
    <w:rsid w:val="00CC6E6A"/>
    <w:rsid w:val="00CC7F7E"/>
    <w:rsid w:val="00CD0BC2"/>
    <w:rsid w:val="00CD0BCF"/>
    <w:rsid w:val="00CD0BEE"/>
    <w:rsid w:val="00CD17F2"/>
    <w:rsid w:val="00CD1C4C"/>
    <w:rsid w:val="00CD3242"/>
    <w:rsid w:val="00CD32C3"/>
    <w:rsid w:val="00CD330B"/>
    <w:rsid w:val="00CD3966"/>
    <w:rsid w:val="00CD40DF"/>
    <w:rsid w:val="00CD42F8"/>
    <w:rsid w:val="00CD469C"/>
    <w:rsid w:val="00CD4F12"/>
    <w:rsid w:val="00CD541B"/>
    <w:rsid w:val="00CD6F0F"/>
    <w:rsid w:val="00CD712B"/>
    <w:rsid w:val="00CD74FD"/>
    <w:rsid w:val="00CD79CB"/>
    <w:rsid w:val="00CE1345"/>
    <w:rsid w:val="00CE176A"/>
    <w:rsid w:val="00CE2360"/>
    <w:rsid w:val="00CE23CC"/>
    <w:rsid w:val="00CE3BBA"/>
    <w:rsid w:val="00CE5868"/>
    <w:rsid w:val="00CE5F7C"/>
    <w:rsid w:val="00CE67E1"/>
    <w:rsid w:val="00CE6837"/>
    <w:rsid w:val="00CE6900"/>
    <w:rsid w:val="00CE7954"/>
    <w:rsid w:val="00CE795A"/>
    <w:rsid w:val="00CF0251"/>
    <w:rsid w:val="00CF02CA"/>
    <w:rsid w:val="00CF1A56"/>
    <w:rsid w:val="00CF25FE"/>
    <w:rsid w:val="00CF3500"/>
    <w:rsid w:val="00CF3581"/>
    <w:rsid w:val="00CF3999"/>
    <w:rsid w:val="00CF4716"/>
    <w:rsid w:val="00CF4987"/>
    <w:rsid w:val="00CF4E47"/>
    <w:rsid w:val="00CF57DA"/>
    <w:rsid w:val="00CF613D"/>
    <w:rsid w:val="00CF63E9"/>
    <w:rsid w:val="00CF6442"/>
    <w:rsid w:val="00CF6CD8"/>
    <w:rsid w:val="00CF7521"/>
    <w:rsid w:val="00D008F1"/>
    <w:rsid w:val="00D00924"/>
    <w:rsid w:val="00D00CE7"/>
    <w:rsid w:val="00D01C92"/>
    <w:rsid w:val="00D01F2D"/>
    <w:rsid w:val="00D02064"/>
    <w:rsid w:val="00D02738"/>
    <w:rsid w:val="00D02DDB"/>
    <w:rsid w:val="00D02F1A"/>
    <w:rsid w:val="00D03382"/>
    <w:rsid w:val="00D03792"/>
    <w:rsid w:val="00D03972"/>
    <w:rsid w:val="00D03BF2"/>
    <w:rsid w:val="00D042BA"/>
    <w:rsid w:val="00D0434C"/>
    <w:rsid w:val="00D04717"/>
    <w:rsid w:val="00D063D1"/>
    <w:rsid w:val="00D07075"/>
    <w:rsid w:val="00D07659"/>
    <w:rsid w:val="00D07947"/>
    <w:rsid w:val="00D07DC6"/>
    <w:rsid w:val="00D1052C"/>
    <w:rsid w:val="00D10D06"/>
    <w:rsid w:val="00D11330"/>
    <w:rsid w:val="00D1166D"/>
    <w:rsid w:val="00D11763"/>
    <w:rsid w:val="00D117FB"/>
    <w:rsid w:val="00D119DE"/>
    <w:rsid w:val="00D12808"/>
    <w:rsid w:val="00D1287E"/>
    <w:rsid w:val="00D12F30"/>
    <w:rsid w:val="00D13605"/>
    <w:rsid w:val="00D139D6"/>
    <w:rsid w:val="00D14530"/>
    <w:rsid w:val="00D146BC"/>
    <w:rsid w:val="00D149FC"/>
    <w:rsid w:val="00D14A6B"/>
    <w:rsid w:val="00D14A82"/>
    <w:rsid w:val="00D14C23"/>
    <w:rsid w:val="00D1519F"/>
    <w:rsid w:val="00D152B6"/>
    <w:rsid w:val="00D16CF1"/>
    <w:rsid w:val="00D177CE"/>
    <w:rsid w:val="00D17963"/>
    <w:rsid w:val="00D17BED"/>
    <w:rsid w:val="00D206B6"/>
    <w:rsid w:val="00D21346"/>
    <w:rsid w:val="00D216B6"/>
    <w:rsid w:val="00D21770"/>
    <w:rsid w:val="00D22E4A"/>
    <w:rsid w:val="00D23C87"/>
    <w:rsid w:val="00D2463E"/>
    <w:rsid w:val="00D249F4"/>
    <w:rsid w:val="00D24AD4"/>
    <w:rsid w:val="00D25264"/>
    <w:rsid w:val="00D2531D"/>
    <w:rsid w:val="00D27992"/>
    <w:rsid w:val="00D30378"/>
    <w:rsid w:val="00D308BD"/>
    <w:rsid w:val="00D30935"/>
    <w:rsid w:val="00D30CA5"/>
    <w:rsid w:val="00D30FEA"/>
    <w:rsid w:val="00D31482"/>
    <w:rsid w:val="00D31896"/>
    <w:rsid w:val="00D325C9"/>
    <w:rsid w:val="00D32BC3"/>
    <w:rsid w:val="00D331F7"/>
    <w:rsid w:val="00D3493D"/>
    <w:rsid w:val="00D34985"/>
    <w:rsid w:val="00D356D3"/>
    <w:rsid w:val="00D35F42"/>
    <w:rsid w:val="00D35FAC"/>
    <w:rsid w:val="00D3635E"/>
    <w:rsid w:val="00D37E1E"/>
    <w:rsid w:val="00D41C28"/>
    <w:rsid w:val="00D42A62"/>
    <w:rsid w:val="00D43300"/>
    <w:rsid w:val="00D43575"/>
    <w:rsid w:val="00D435D3"/>
    <w:rsid w:val="00D44B8E"/>
    <w:rsid w:val="00D45F3F"/>
    <w:rsid w:val="00D46606"/>
    <w:rsid w:val="00D46A54"/>
    <w:rsid w:val="00D46ABD"/>
    <w:rsid w:val="00D471F0"/>
    <w:rsid w:val="00D507BD"/>
    <w:rsid w:val="00D5108A"/>
    <w:rsid w:val="00D51ABF"/>
    <w:rsid w:val="00D51E83"/>
    <w:rsid w:val="00D52F09"/>
    <w:rsid w:val="00D53164"/>
    <w:rsid w:val="00D53FE1"/>
    <w:rsid w:val="00D561DD"/>
    <w:rsid w:val="00D56201"/>
    <w:rsid w:val="00D56745"/>
    <w:rsid w:val="00D57946"/>
    <w:rsid w:val="00D6029D"/>
    <w:rsid w:val="00D606EE"/>
    <w:rsid w:val="00D60A2F"/>
    <w:rsid w:val="00D60A79"/>
    <w:rsid w:val="00D61268"/>
    <w:rsid w:val="00D62C0E"/>
    <w:rsid w:val="00D636DF"/>
    <w:rsid w:val="00D637E2"/>
    <w:rsid w:val="00D646DF"/>
    <w:rsid w:val="00D6484E"/>
    <w:rsid w:val="00D64C16"/>
    <w:rsid w:val="00D65049"/>
    <w:rsid w:val="00D65EB5"/>
    <w:rsid w:val="00D65FC1"/>
    <w:rsid w:val="00D66179"/>
    <w:rsid w:val="00D6624F"/>
    <w:rsid w:val="00D6744C"/>
    <w:rsid w:val="00D70719"/>
    <w:rsid w:val="00D70CC8"/>
    <w:rsid w:val="00D72B87"/>
    <w:rsid w:val="00D72D4B"/>
    <w:rsid w:val="00D7399C"/>
    <w:rsid w:val="00D73C84"/>
    <w:rsid w:val="00D73CA3"/>
    <w:rsid w:val="00D74250"/>
    <w:rsid w:val="00D74643"/>
    <w:rsid w:val="00D74749"/>
    <w:rsid w:val="00D757FA"/>
    <w:rsid w:val="00D7587F"/>
    <w:rsid w:val="00D761DD"/>
    <w:rsid w:val="00D80029"/>
    <w:rsid w:val="00D8089B"/>
    <w:rsid w:val="00D808C0"/>
    <w:rsid w:val="00D81481"/>
    <w:rsid w:val="00D817CA"/>
    <w:rsid w:val="00D81987"/>
    <w:rsid w:val="00D81B1C"/>
    <w:rsid w:val="00D83A5B"/>
    <w:rsid w:val="00D8498B"/>
    <w:rsid w:val="00D84CC1"/>
    <w:rsid w:val="00D852BA"/>
    <w:rsid w:val="00D858C6"/>
    <w:rsid w:val="00D85B4B"/>
    <w:rsid w:val="00D865FC"/>
    <w:rsid w:val="00D86B41"/>
    <w:rsid w:val="00D86F28"/>
    <w:rsid w:val="00D87025"/>
    <w:rsid w:val="00D900D3"/>
    <w:rsid w:val="00D909F3"/>
    <w:rsid w:val="00D90B2F"/>
    <w:rsid w:val="00D91616"/>
    <w:rsid w:val="00D91746"/>
    <w:rsid w:val="00D929F4"/>
    <w:rsid w:val="00D92D76"/>
    <w:rsid w:val="00D93674"/>
    <w:rsid w:val="00D93B95"/>
    <w:rsid w:val="00D94240"/>
    <w:rsid w:val="00D9442D"/>
    <w:rsid w:val="00D94BBE"/>
    <w:rsid w:val="00D94F7C"/>
    <w:rsid w:val="00D95364"/>
    <w:rsid w:val="00D956EA"/>
    <w:rsid w:val="00D95C1A"/>
    <w:rsid w:val="00D95F39"/>
    <w:rsid w:val="00D96213"/>
    <w:rsid w:val="00D964E3"/>
    <w:rsid w:val="00D9684B"/>
    <w:rsid w:val="00D96B80"/>
    <w:rsid w:val="00D975C5"/>
    <w:rsid w:val="00D97E16"/>
    <w:rsid w:val="00DA05AC"/>
    <w:rsid w:val="00DA062B"/>
    <w:rsid w:val="00DA0742"/>
    <w:rsid w:val="00DA1B57"/>
    <w:rsid w:val="00DA2473"/>
    <w:rsid w:val="00DA255A"/>
    <w:rsid w:val="00DA2662"/>
    <w:rsid w:val="00DA279F"/>
    <w:rsid w:val="00DA3B1C"/>
    <w:rsid w:val="00DA5FEF"/>
    <w:rsid w:val="00DA672C"/>
    <w:rsid w:val="00DB1151"/>
    <w:rsid w:val="00DB2934"/>
    <w:rsid w:val="00DB2C22"/>
    <w:rsid w:val="00DB2CAC"/>
    <w:rsid w:val="00DB461B"/>
    <w:rsid w:val="00DB4988"/>
    <w:rsid w:val="00DB4A07"/>
    <w:rsid w:val="00DB5A69"/>
    <w:rsid w:val="00DB5C03"/>
    <w:rsid w:val="00DB65B1"/>
    <w:rsid w:val="00DB6C28"/>
    <w:rsid w:val="00DB6F48"/>
    <w:rsid w:val="00DB7B43"/>
    <w:rsid w:val="00DC049A"/>
    <w:rsid w:val="00DC112D"/>
    <w:rsid w:val="00DC1523"/>
    <w:rsid w:val="00DC2920"/>
    <w:rsid w:val="00DC2A4E"/>
    <w:rsid w:val="00DC3E33"/>
    <w:rsid w:val="00DC5056"/>
    <w:rsid w:val="00DC51D5"/>
    <w:rsid w:val="00DC5479"/>
    <w:rsid w:val="00DC5565"/>
    <w:rsid w:val="00DC677A"/>
    <w:rsid w:val="00DC6824"/>
    <w:rsid w:val="00DD040A"/>
    <w:rsid w:val="00DD13AE"/>
    <w:rsid w:val="00DD26FB"/>
    <w:rsid w:val="00DD4B17"/>
    <w:rsid w:val="00DD4CB9"/>
    <w:rsid w:val="00DD5AD1"/>
    <w:rsid w:val="00DE1164"/>
    <w:rsid w:val="00DE12E5"/>
    <w:rsid w:val="00DE18C8"/>
    <w:rsid w:val="00DE2022"/>
    <w:rsid w:val="00DE2703"/>
    <w:rsid w:val="00DE30E3"/>
    <w:rsid w:val="00DE3231"/>
    <w:rsid w:val="00DE3F49"/>
    <w:rsid w:val="00DE4434"/>
    <w:rsid w:val="00DE4BD1"/>
    <w:rsid w:val="00DE4E85"/>
    <w:rsid w:val="00DE5236"/>
    <w:rsid w:val="00DE63E3"/>
    <w:rsid w:val="00DE6DE3"/>
    <w:rsid w:val="00DE6F91"/>
    <w:rsid w:val="00DF021F"/>
    <w:rsid w:val="00DF09DF"/>
    <w:rsid w:val="00DF0DB1"/>
    <w:rsid w:val="00DF207B"/>
    <w:rsid w:val="00DF23AA"/>
    <w:rsid w:val="00DF3176"/>
    <w:rsid w:val="00DF3BBE"/>
    <w:rsid w:val="00DF3D73"/>
    <w:rsid w:val="00DF43BF"/>
    <w:rsid w:val="00DF517A"/>
    <w:rsid w:val="00DF624A"/>
    <w:rsid w:val="00DF6658"/>
    <w:rsid w:val="00DF717F"/>
    <w:rsid w:val="00DF72C5"/>
    <w:rsid w:val="00DF741E"/>
    <w:rsid w:val="00DF756F"/>
    <w:rsid w:val="00DF7BCF"/>
    <w:rsid w:val="00E00282"/>
    <w:rsid w:val="00E00352"/>
    <w:rsid w:val="00E0091E"/>
    <w:rsid w:val="00E017DE"/>
    <w:rsid w:val="00E02509"/>
    <w:rsid w:val="00E02F51"/>
    <w:rsid w:val="00E0354A"/>
    <w:rsid w:val="00E0434C"/>
    <w:rsid w:val="00E05ECB"/>
    <w:rsid w:val="00E0613B"/>
    <w:rsid w:val="00E06705"/>
    <w:rsid w:val="00E10063"/>
    <w:rsid w:val="00E1051E"/>
    <w:rsid w:val="00E10CA3"/>
    <w:rsid w:val="00E10F75"/>
    <w:rsid w:val="00E12095"/>
    <w:rsid w:val="00E134DE"/>
    <w:rsid w:val="00E13A17"/>
    <w:rsid w:val="00E13E0E"/>
    <w:rsid w:val="00E13F84"/>
    <w:rsid w:val="00E140A7"/>
    <w:rsid w:val="00E148DA"/>
    <w:rsid w:val="00E14EFD"/>
    <w:rsid w:val="00E15064"/>
    <w:rsid w:val="00E155DD"/>
    <w:rsid w:val="00E15942"/>
    <w:rsid w:val="00E16E60"/>
    <w:rsid w:val="00E17FE6"/>
    <w:rsid w:val="00E20A79"/>
    <w:rsid w:val="00E2177A"/>
    <w:rsid w:val="00E222FB"/>
    <w:rsid w:val="00E22D95"/>
    <w:rsid w:val="00E232E4"/>
    <w:rsid w:val="00E2358F"/>
    <w:rsid w:val="00E23A8C"/>
    <w:rsid w:val="00E24EF5"/>
    <w:rsid w:val="00E24F07"/>
    <w:rsid w:val="00E30F0C"/>
    <w:rsid w:val="00E32B2F"/>
    <w:rsid w:val="00E3478E"/>
    <w:rsid w:val="00E36B2B"/>
    <w:rsid w:val="00E3776B"/>
    <w:rsid w:val="00E401C9"/>
    <w:rsid w:val="00E403BE"/>
    <w:rsid w:val="00E423A6"/>
    <w:rsid w:val="00E42C9E"/>
    <w:rsid w:val="00E43599"/>
    <w:rsid w:val="00E43E06"/>
    <w:rsid w:val="00E43EA1"/>
    <w:rsid w:val="00E4458C"/>
    <w:rsid w:val="00E4464A"/>
    <w:rsid w:val="00E45164"/>
    <w:rsid w:val="00E46A73"/>
    <w:rsid w:val="00E46C8F"/>
    <w:rsid w:val="00E46CB6"/>
    <w:rsid w:val="00E47B26"/>
    <w:rsid w:val="00E5006C"/>
    <w:rsid w:val="00E50489"/>
    <w:rsid w:val="00E51608"/>
    <w:rsid w:val="00E51E77"/>
    <w:rsid w:val="00E51EEA"/>
    <w:rsid w:val="00E53790"/>
    <w:rsid w:val="00E53A16"/>
    <w:rsid w:val="00E53ECF"/>
    <w:rsid w:val="00E544E2"/>
    <w:rsid w:val="00E54A89"/>
    <w:rsid w:val="00E55701"/>
    <w:rsid w:val="00E56F79"/>
    <w:rsid w:val="00E57301"/>
    <w:rsid w:val="00E574A5"/>
    <w:rsid w:val="00E577A6"/>
    <w:rsid w:val="00E57986"/>
    <w:rsid w:val="00E60A4E"/>
    <w:rsid w:val="00E617CB"/>
    <w:rsid w:val="00E62B71"/>
    <w:rsid w:val="00E63A85"/>
    <w:rsid w:val="00E63D81"/>
    <w:rsid w:val="00E659FD"/>
    <w:rsid w:val="00E65E1F"/>
    <w:rsid w:val="00E66213"/>
    <w:rsid w:val="00E66843"/>
    <w:rsid w:val="00E66D4A"/>
    <w:rsid w:val="00E66FA0"/>
    <w:rsid w:val="00E675B1"/>
    <w:rsid w:val="00E679A3"/>
    <w:rsid w:val="00E67D04"/>
    <w:rsid w:val="00E67FB9"/>
    <w:rsid w:val="00E70407"/>
    <w:rsid w:val="00E7128C"/>
    <w:rsid w:val="00E715A2"/>
    <w:rsid w:val="00E719DA"/>
    <w:rsid w:val="00E723EA"/>
    <w:rsid w:val="00E72409"/>
    <w:rsid w:val="00E72B4A"/>
    <w:rsid w:val="00E732D9"/>
    <w:rsid w:val="00E73776"/>
    <w:rsid w:val="00E74851"/>
    <w:rsid w:val="00E75A0D"/>
    <w:rsid w:val="00E75ADA"/>
    <w:rsid w:val="00E765C4"/>
    <w:rsid w:val="00E76655"/>
    <w:rsid w:val="00E7794B"/>
    <w:rsid w:val="00E77E60"/>
    <w:rsid w:val="00E77E9A"/>
    <w:rsid w:val="00E80098"/>
    <w:rsid w:val="00E809C6"/>
    <w:rsid w:val="00E80DD6"/>
    <w:rsid w:val="00E81C65"/>
    <w:rsid w:val="00E82CB3"/>
    <w:rsid w:val="00E8317C"/>
    <w:rsid w:val="00E83444"/>
    <w:rsid w:val="00E836D1"/>
    <w:rsid w:val="00E83A45"/>
    <w:rsid w:val="00E83C77"/>
    <w:rsid w:val="00E8574A"/>
    <w:rsid w:val="00E860E0"/>
    <w:rsid w:val="00E872CE"/>
    <w:rsid w:val="00E87F43"/>
    <w:rsid w:val="00E9171E"/>
    <w:rsid w:val="00E9177D"/>
    <w:rsid w:val="00E92EB6"/>
    <w:rsid w:val="00E93AF7"/>
    <w:rsid w:val="00E93EB5"/>
    <w:rsid w:val="00E94546"/>
    <w:rsid w:val="00E94599"/>
    <w:rsid w:val="00E94B6C"/>
    <w:rsid w:val="00E95273"/>
    <w:rsid w:val="00E95E9B"/>
    <w:rsid w:val="00E95F89"/>
    <w:rsid w:val="00E969CC"/>
    <w:rsid w:val="00E97C91"/>
    <w:rsid w:val="00EA20C2"/>
    <w:rsid w:val="00EA2256"/>
    <w:rsid w:val="00EA2546"/>
    <w:rsid w:val="00EA3E6A"/>
    <w:rsid w:val="00EA4140"/>
    <w:rsid w:val="00EA4305"/>
    <w:rsid w:val="00EA5DC3"/>
    <w:rsid w:val="00EA7961"/>
    <w:rsid w:val="00EB0513"/>
    <w:rsid w:val="00EB06E4"/>
    <w:rsid w:val="00EB18EF"/>
    <w:rsid w:val="00EB2177"/>
    <w:rsid w:val="00EB223A"/>
    <w:rsid w:val="00EB2938"/>
    <w:rsid w:val="00EB2DCA"/>
    <w:rsid w:val="00EB2DFF"/>
    <w:rsid w:val="00EB332A"/>
    <w:rsid w:val="00EB4553"/>
    <w:rsid w:val="00EB55ED"/>
    <w:rsid w:val="00EB595C"/>
    <w:rsid w:val="00EB65A1"/>
    <w:rsid w:val="00EB6796"/>
    <w:rsid w:val="00EB6A07"/>
    <w:rsid w:val="00EB6F73"/>
    <w:rsid w:val="00EB735D"/>
    <w:rsid w:val="00EB7AB1"/>
    <w:rsid w:val="00EC05EE"/>
    <w:rsid w:val="00EC0709"/>
    <w:rsid w:val="00EC0AD8"/>
    <w:rsid w:val="00EC0F1A"/>
    <w:rsid w:val="00EC0FFA"/>
    <w:rsid w:val="00EC1BE2"/>
    <w:rsid w:val="00EC1FBD"/>
    <w:rsid w:val="00EC2118"/>
    <w:rsid w:val="00EC39F0"/>
    <w:rsid w:val="00EC3CEB"/>
    <w:rsid w:val="00EC3F91"/>
    <w:rsid w:val="00EC5107"/>
    <w:rsid w:val="00EC6DF6"/>
    <w:rsid w:val="00EC6E8E"/>
    <w:rsid w:val="00EC6EDD"/>
    <w:rsid w:val="00EC7AA4"/>
    <w:rsid w:val="00EC7AE9"/>
    <w:rsid w:val="00EC7CBE"/>
    <w:rsid w:val="00ED0E4F"/>
    <w:rsid w:val="00ED305E"/>
    <w:rsid w:val="00ED3547"/>
    <w:rsid w:val="00ED3F35"/>
    <w:rsid w:val="00ED4331"/>
    <w:rsid w:val="00ED52DF"/>
    <w:rsid w:val="00ED557E"/>
    <w:rsid w:val="00ED56A3"/>
    <w:rsid w:val="00ED625A"/>
    <w:rsid w:val="00ED63C0"/>
    <w:rsid w:val="00ED6AD5"/>
    <w:rsid w:val="00ED7896"/>
    <w:rsid w:val="00ED7AFD"/>
    <w:rsid w:val="00EE0A2D"/>
    <w:rsid w:val="00EE1034"/>
    <w:rsid w:val="00EE17EA"/>
    <w:rsid w:val="00EE1B04"/>
    <w:rsid w:val="00EE1EAA"/>
    <w:rsid w:val="00EE2824"/>
    <w:rsid w:val="00EE2BE4"/>
    <w:rsid w:val="00EE2C97"/>
    <w:rsid w:val="00EE2D4B"/>
    <w:rsid w:val="00EE38DA"/>
    <w:rsid w:val="00EE3B5C"/>
    <w:rsid w:val="00EE4F4D"/>
    <w:rsid w:val="00EE51AC"/>
    <w:rsid w:val="00EE53A4"/>
    <w:rsid w:val="00EE626B"/>
    <w:rsid w:val="00EE627A"/>
    <w:rsid w:val="00EE68F9"/>
    <w:rsid w:val="00EE6B90"/>
    <w:rsid w:val="00EE6BE1"/>
    <w:rsid w:val="00EE6C2E"/>
    <w:rsid w:val="00EE6CEE"/>
    <w:rsid w:val="00EF0472"/>
    <w:rsid w:val="00EF0756"/>
    <w:rsid w:val="00EF0E7D"/>
    <w:rsid w:val="00EF1BD7"/>
    <w:rsid w:val="00EF1FCC"/>
    <w:rsid w:val="00EF2880"/>
    <w:rsid w:val="00EF29F8"/>
    <w:rsid w:val="00EF34EC"/>
    <w:rsid w:val="00EF3B14"/>
    <w:rsid w:val="00EF3DA7"/>
    <w:rsid w:val="00EF4916"/>
    <w:rsid w:val="00EF4DD5"/>
    <w:rsid w:val="00EF5D36"/>
    <w:rsid w:val="00EF6A70"/>
    <w:rsid w:val="00EF7942"/>
    <w:rsid w:val="00F001FB"/>
    <w:rsid w:val="00F002DB"/>
    <w:rsid w:val="00F0157B"/>
    <w:rsid w:val="00F01C43"/>
    <w:rsid w:val="00F025F5"/>
    <w:rsid w:val="00F032C7"/>
    <w:rsid w:val="00F037A6"/>
    <w:rsid w:val="00F03FB6"/>
    <w:rsid w:val="00F0420B"/>
    <w:rsid w:val="00F04575"/>
    <w:rsid w:val="00F048DB"/>
    <w:rsid w:val="00F04E97"/>
    <w:rsid w:val="00F0503D"/>
    <w:rsid w:val="00F05183"/>
    <w:rsid w:val="00F05575"/>
    <w:rsid w:val="00F063DA"/>
    <w:rsid w:val="00F064E9"/>
    <w:rsid w:val="00F06E88"/>
    <w:rsid w:val="00F06FA5"/>
    <w:rsid w:val="00F079BF"/>
    <w:rsid w:val="00F1042D"/>
    <w:rsid w:val="00F118BB"/>
    <w:rsid w:val="00F11DAB"/>
    <w:rsid w:val="00F12749"/>
    <w:rsid w:val="00F12CC0"/>
    <w:rsid w:val="00F13AAA"/>
    <w:rsid w:val="00F14DB5"/>
    <w:rsid w:val="00F15ECB"/>
    <w:rsid w:val="00F1647F"/>
    <w:rsid w:val="00F16CB2"/>
    <w:rsid w:val="00F16F04"/>
    <w:rsid w:val="00F17526"/>
    <w:rsid w:val="00F17F1E"/>
    <w:rsid w:val="00F20276"/>
    <w:rsid w:val="00F205BF"/>
    <w:rsid w:val="00F22341"/>
    <w:rsid w:val="00F233F9"/>
    <w:rsid w:val="00F2472B"/>
    <w:rsid w:val="00F25855"/>
    <w:rsid w:val="00F26A60"/>
    <w:rsid w:val="00F26C21"/>
    <w:rsid w:val="00F26F51"/>
    <w:rsid w:val="00F271B6"/>
    <w:rsid w:val="00F27208"/>
    <w:rsid w:val="00F2733C"/>
    <w:rsid w:val="00F3023C"/>
    <w:rsid w:val="00F30885"/>
    <w:rsid w:val="00F317E5"/>
    <w:rsid w:val="00F3191E"/>
    <w:rsid w:val="00F31F6E"/>
    <w:rsid w:val="00F32151"/>
    <w:rsid w:val="00F354FF"/>
    <w:rsid w:val="00F3560B"/>
    <w:rsid w:val="00F35D43"/>
    <w:rsid w:val="00F35F5D"/>
    <w:rsid w:val="00F360ED"/>
    <w:rsid w:val="00F365BD"/>
    <w:rsid w:val="00F36E22"/>
    <w:rsid w:val="00F37D93"/>
    <w:rsid w:val="00F41B19"/>
    <w:rsid w:val="00F41FC5"/>
    <w:rsid w:val="00F42277"/>
    <w:rsid w:val="00F430BE"/>
    <w:rsid w:val="00F432D2"/>
    <w:rsid w:val="00F44157"/>
    <w:rsid w:val="00F4419A"/>
    <w:rsid w:val="00F44522"/>
    <w:rsid w:val="00F4557C"/>
    <w:rsid w:val="00F455FE"/>
    <w:rsid w:val="00F45C82"/>
    <w:rsid w:val="00F460A2"/>
    <w:rsid w:val="00F462C5"/>
    <w:rsid w:val="00F46375"/>
    <w:rsid w:val="00F46FFD"/>
    <w:rsid w:val="00F472E7"/>
    <w:rsid w:val="00F51706"/>
    <w:rsid w:val="00F517AC"/>
    <w:rsid w:val="00F51DB0"/>
    <w:rsid w:val="00F5372F"/>
    <w:rsid w:val="00F5394A"/>
    <w:rsid w:val="00F541C7"/>
    <w:rsid w:val="00F5513F"/>
    <w:rsid w:val="00F55669"/>
    <w:rsid w:val="00F556EC"/>
    <w:rsid w:val="00F56C5D"/>
    <w:rsid w:val="00F56DC2"/>
    <w:rsid w:val="00F56E3E"/>
    <w:rsid w:val="00F57635"/>
    <w:rsid w:val="00F578FB"/>
    <w:rsid w:val="00F57A74"/>
    <w:rsid w:val="00F57DCE"/>
    <w:rsid w:val="00F61546"/>
    <w:rsid w:val="00F61D73"/>
    <w:rsid w:val="00F62539"/>
    <w:rsid w:val="00F62C19"/>
    <w:rsid w:val="00F62F75"/>
    <w:rsid w:val="00F635E8"/>
    <w:rsid w:val="00F64094"/>
    <w:rsid w:val="00F64270"/>
    <w:rsid w:val="00F64554"/>
    <w:rsid w:val="00F6455A"/>
    <w:rsid w:val="00F64912"/>
    <w:rsid w:val="00F65622"/>
    <w:rsid w:val="00F65A82"/>
    <w:rsid w:val="00F65E5E"/>
    <w:rsid w:val="00F65F29"/>
    <w:rsid w:val="00F65F93"/>
    <w:rsid w:val="00F670FE"/>
    <w:rsid w:val="00F67852"/>
    <w:rsid w:val="00F67877"/>
    <w:rsid w:val="00F707BC"/>
    <w:rsid w:val="00F70818"/>
    <w:rsid w:val="00F709FC"/>
    <w:rsid w:val="00F70E77"/>
    <w:rsid w:val="00F71112"/>
    <w:rsid w:val="00F72273"/>
    <w:rsid w:val="00F72688"/>
    <w:rsid w:val="00F73675"/>
    <w:rsid w:val="00F73898"/>
    <w:rsid w:val="00F754B0"/>
    <w:rsid w:val="00F75534"/>
    <w:rsid w:val="00F75D63"/>
    <w:rsid w:val="00F75F7B"/>
    <w:rsid w:val="00F7606B"/>
    <w:rsid w:val="00F765A7"/>
    <w:rsid w:val="00F773F7"/>
    <w:rsid w:val="00F77E9D"/>
    <w:rsid w:val="00F80544"/>
    <w:rsid w:val="00F80577"/>
    <w:rsid w:val="00F811CD"/>
    <w:rsid w:val="00F8353E"/>
    <w:rsid w:val="00F836FF"/>
    <w:rsid w:val="00F842B1"/>
    <w:rsid w:val="00F853E8"/>
    <w:rsid w:val="00F854BB"/>
    <w:rsid w:val="00F85677"/>
    <w:rsid w:val="00F8602F"/>
    <w:rsid w:val="00F86A4D"/>
    <w:rsid w:val="00F86F8B"/>
    <w:rsid w:val="00F901D0"/>
    <w:rsid w:val="00F903D9"/>
    <w:rsid w:val="00F90608"/>
    <w:rsid w:val="00F90F1B"/>
    <w:rsid w:val="00F91CAD"/>
    <w:rsid w:val="00F91E4A"/>
    <w:rsid w:val="00F92573"/>
    <w:rsid w:val="00F93101"/>
    <w:rsid w:val="00F93AD4"/>
    <w:rsid w:val="00F93C8E"/>
    <w:rsid w:val="00F953B3"/>
    <w:rsid w:val="00F9571F"/>
    <w:rsid w:val="00F96175"/>
    <w:rsid w:val="00F96ACD"/>
    <w:rsid w:val="00F97013"/>
    <w:rsid w:val="00F970CB"/>
    <w:rsid w:val="00F970CD"/>
    <w:rsid w:val="00F9725C"/>
    <w:rsid w:val="00FA09BF"/>
    <w:rsid w:val="00FA11F9"/>
    <w:rsid w:val="00FA1252"/>
    <w:rsid w:val="00FA40B3"/>
    <w:rsid w:val="00FA41AD"/>
    <w:rsid w:val="00FA421A"/>
    <w:rsid w:val="00FA4421"/>
    <w:rsid w:val="00FA566F"/>
    <w:rsid w:val="00FA5805"/>
    <w:rsid w:val="00FA66BA"/>
    <w:rsid w:val="00FA693E"/>
    <w:rsid w:val="00FA6D36"/>
    <w:rsid w:val="00FA73CB"/>
    <w:rsid w:val="00FA776C"/>
    <w:rsid w:val="00FA7D40"/>
    <w:rsid w:val="00FB0AF9"/>
    <w:rsid w:val="00FB0F89"/>
    <w:rsid w:val="00FB0FFA"/>
    <w:rsid w:val="00FB1FEC"/>
    <w:rsid w:val="00FB223A"/>
    <w:rsid w:val="00FB22A6"/>
    <w:rsid w:val="00FB245C"/>
    <w:rsid w:val="00FB2738"/>
    <w:rsid w:val="00FB2EF0"/>
    <w:rsid w:val="00FB37D5"/>
    <w:rsid w:val="00FB3A9F"/>
    <w:rsid w:val="00FB449F"/>
    <w:rsid w:val="00FB48A9"/>
    <w:rsid w:val="00FB4D88"/>
    <w:rsid w:val="00FB64DA"/>
    <w:rsid w:val="00FB6AD7"/>
    <w:rsid w:val="00FB752C"/>
    <w:rsid w:val="00FB76DF"/>
    <w:rsid w:val="00FB7A63"/>
    <w:rsid w:val="00FB7C72"/>
    <w:rsid w:val="00FC0D32"/>
    <w:rsid w:val="00FC1228"/>
    <w:rsid w:val="00FC1B36"/>
    <w:rsid w:val="00FC1B8C"/>
    <w:rsid w:val="00FC2D5B"/>
    <w:rsid w:val="00FC3061"/>
    <w:rsid w:val="00FC37CE"/>
    <w:rsid w:val="00FC5963"/>
    <w:rsid w:val="00FC5E84"/>
    <w:rsid w:val="00FC658A"/>
    <w:rsid w:val="00FC6AE6"/>
    <w:rsid w:val="00FC6B49"/>
    <w:rsid w:val="00FD0892"/>
    <w:rsid w:val="00FD0B76"/>
    <w:rsid w:val="00FD0D50"/>
    <w:rsid w:val="00FD1129"/>
    <w:rsid w:val="00FD2084"/>
    <w:rsid w:val="00FD248F"/>
    <w:rsid w:val="00FD25B4"/>
    <w:rsid w:val="00FD2A85"/>
    <w:rsid w:val="00FD2C3E"/>
    <w:rsid w:val="00FD2F70"/>
    <w:rsid w:val="00FD3353"/>
    <w:rsid w:val="00FD33EE"/>
    <w:rsid w:val="00FD4B5B"/>
    <w:rsid w:val="00FD4CE5"/>
    <w:rsid w:val="00FD52DD"/>
    <w:rsid w:val="00FD54D5"/>
    <w:rsid w:val="00FD665C"/>
    <w:rsid w:val="00FD6CD5"/>
    <w:rsid w:val="00FD6DED"/>
    <w:rsid w:val="00FE0C19"/>
    <w:rsid w:val="00FE0CB3"/>
    <w:rsid w:val="00FE0EEA"/>
    <w:rsid w:val="00FE1BE1"/>
    <w:rsid w:val="00FE1E44"/>
    <w:rsid w:val="00FE29F3"/>
    <w:rsid w:val="00FE6DA6"/>
    <w:rsid w:val="00FF131E"/>
    <w:rsid w:val="00FF1CB7"/>
    <w:rsid w:val="00FF2B3C"/>
    <w:rsid w:val="00FF38EB"/>
    <w:rsid w:val="00FF3995"/>
    <w:rsid w:val="00FF3E91"/>
    <w:rsid w:val="00FF4471"/>
    <w:rsid w:val="00FF4573"/>
    <w:rsid w:val="00FF4D67"/>
    <w:rsid w:val="00FF6895"/>
    <w:rsid w:val="00FF7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footer" w:uiPriority="99"/>
    <w:lsdException w:name="index heading" w:semiHidden="1"/>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5D0D"/>
    <w:pPr>
      <w:spacing w:before="60"/>
      <w:ind w:left="567" w:hanging="567"/>
      <w:jc w:val="both"/>
    </w:pPr>
    <w:rPr>
      <w:rFonts w:ascii="Calibri" w:hAnsi="Calibri"/>
      <w:sz w:val="22"/>
      <w:lang w:val="en-AU" w:eastAsia="en-US"/>
    </w:rPr>
  </w:style>
  <w:style w:type="paragraph" w:styleId="Heading1">
    <w:name w:val="heading 1"/>
    <w:next w:val="BodyText"/>
    <w:qFormat/>
    <w:rsid w:val="00BA5D0D"/>
    <w:pPr>
      <w:keepNext/>
      <w:keepLines/>
      <w:pageBreakBefore/>
      <w:numPr>
        <w:numId w:val="9"/>
      </w:numPr>
      <w:spacing w:before="360"/>
      <w:jc w:val="both"/>
      <w:outlineLvl w:val="0"/>
    </w:pPr>
    <w:rPr>
      <w:rFonts w:ascii="Calibri" w:hAnsi="Calibri"/>
      <w:b/>
      <w:color w:val="002776"/>
      <w:kern w:val="28"/>
      <w:sz w:val="56"/>
      <w:lang w:val="en-AU" w:eastAsia="en-US"/>
    </w:rPr>
  </w:style>
  <w:style w:type="paragraph" w:styleId="Heading2">
    <w:name w:val="heading 2"/>
    <w:basedOn w:val="Normal"/>
    <w:next w:val="BodyText"/>
    <w:qFormat/>
    <w:rsid w:val="00BA5D0D"/>
    <w:pPr>
      <w:keepNext/>
      <w:numPr>
        <w:ilvl w:val="1"/>
        <w:numId w:val="9"/>
      </w:numPr>
      <w:tabs>
        <w:tab w:val="left" w:pos="851"/>
      </w:tabs>
      <w:spacing w:before="240"/>
      <w:outlineLvl w:val="1"/>
    </w:pPr>
    <w:rPr>
      <w:b/>
      <w:color w:val="00A1DE"/>
      <w:sz w:val="40"/>
      <w:szCs w:val="28"/>
    </w:rPr>
  </w:style>
  <w:style w:type="paragraph" w:styleId="Heading3">
    <w:name w:val="heading 3"/>
    <w:basedOn w:val="Normal"/>
    <w:next w:val="BodyText"/>
    <w:qFormat/>
    <w:rsid w:val="00BA5D0D"/>
    <w:pPr>
      <w:keepNext/>
      <w:numPr>
        <w:ilvl w:val="2"/>
        <w:numId w:val="9"/>
      </w:numPr>
      <w:spacing w:before="240"/>
      <w:outlineLvl w:val="2"/>
    </w:pPr>
    <w:rPr>
      <w:color w:val="00A1DE"/>
      <w:sz w:val="28"/>
    </w:rPr>
  </w:style>
  <w:style w:type="paragraph" w:styleId="Heading4">
    <w:name w:val="heading 4"/>
    <w:basedOn w:val="Normal"/>
    <w:next w:val="BodyText"/>
    <w:qFormat/>
    <w:rsid w:val="00BA5D0D"/>
    <w:pPr>
      <w:keepNext/>
      <w:numPr>
        <w:ilvl w:val="3"/>
        <w:numId w:val="9"/>
      </w:numPr>
      <w:spacing w:before="180" w:after="60"/>
      <w:outlineLvl w:val="3"/>
    </w:pPr>
    <w:rPr>
      <w:b/>
      <w:color w:val="00A1DE"/>
      <w:sz w:val="24"/>
      <w:szCs w:val="24"/>
    </w:rPr>
  </w:style>
  <w:style w:type="paragraph" w:styleId="Heading5">
    <w:name w:val="heading 5"/>
    <w:basedOn w:val="Normal"/>
    <w:next w:val="BodyText"/>
    <w:qFormat/>
    <w:rsid w:val="00BA5D0D"/>
    <w:pPr>
      <w:keepNext/>
      <w:numPr>
        <w:ilvl w:val="4"/>
        <w:numId w:val="9"/>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BA5D0D"/>
    <w:pPr>
      <w:outlineLvl w:val="5"/>
    </w:pPr>
    <w:rPr>
      <w:rFonts w:ascii="Arial Bold" w:hAnsi="Arial Bold"/>
      <w:b/>
      <w:color w:val="931638"/>
      <w:szCs w:val="22"/>
    </w:rPr>
  </w:style>
  <w:style w:type="paragraph" w:styleId="Heading7">
    <w:name w:val="heading 7"/>
    <w:basedOn w:val="Normal"/>
    <w:next w:val="BodyText"/>
    <w:qFormat/>
    <w:rsid w:val="00BA5D0D"/>
    <w:pPr>
      <w:outlineLvl w:val="6"/>
    </w:pPr>
    <w:rPr>
      <w:color w:val="931638"/>
      <w:szCs w:val="24"/>
    </w:rPr>
  </w:style>
  <w:style w:type="paragraph" w:styleId="Heading8">
    <w:name w:val="heading 8"/>
    <w:basedOn w:val="Normal"/>
    <w:next w:val="BodyText"/>
    <w:qFormat/>
    <w:rsid w:val="00BA5D0D"/>
    <w:pPr>
      <w:spacing w:before="180"/>
      <w:outlineLvl w:val="7"/>
    </w:pPr>
    <w:rPr>
      <w:color w:val="931638"/>
    </w:rPr>
  </w:style>
  <w:style w:type="paragraph" w:styleId="Heading9">
    <w:name w:val="heading 9"/>
    <w:basedOn w:val="Normal"/>
    <w:next w:val="BodyText"/>
    <w:qFormat/>
    <w:rsid w:val="00BA5D0D"/>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466921"/>
    <w:pPr>
      <w:spacing w:before="240"/>
      <w:ind w:left="0" w:firstLine="0"/>
    </w:pPr>
  </w:style>
  <w:style w:type="paragraph" w:customStyle="1" w:styleId="TableHeadingLeft">
    <w:name w:val="Table Heading Left"/>
    <w:basedOn w:val="Normal"/>
    <w:qFormat/>
    <w:rsid w:val="00BA5D0D"/>
    <w:pPr>
      <w:keepNext/>
      <w:keepLines/>
      <w:spacing w:before="20" w:after="20"/>
    </w:pPr>
    <w:rPr>
      <w:b/>
      <w:color w:val="002776"/>
    </w:rPr>
  </w:style>
  <w:style w:type="paragraph" w:customStyle="1" w:styleId="TableHeadingRight">
    <w:name w:val="Table Heading Right"/>
    <w:basedOn w:val="Normal"/>
    <w:qFormat/>
    <w:rsid w:val="00BA5D0D"/>
    <w:pPr>
      <w:keepNext/>
      <w:keepLines/>
      <w:spacing w:before="20" w:after="20"/>
      <w:jc w:val="right"/>
    </w:pPr>
    <w:rPr>
      <w:b/>
      <w:color w:val="002776"/>
    </w:rPr>
  </w:style>
  <w:style w:type="paragraph" w:customStyle="1" w:styleId="SingleLeft">
    <w:name w:val="Single Left"/>
    <w:basedOn w:val="Normal"/>
    <w:qFormat/>
    <w:rsid w:val="00BA5D0D"/>
  </w:style>
  <w:style w:type="paragraph" w:customStyle="1" w:styleId="TabletextCentre">
    <w:name w:val="Table text Centre"/>
    <w:basedOn w:val="Normal"/>
    <w:qFormat/>
    <w:rsid w:val="00BA5D0D"/>
    <w:pPr>
      <w:jc w:val="center"/>
    </w:pPr>
    <w:rPr>
      <w:rFonts w:cs="Arial"/>
      <w:sz w:val="20"/>
    </w:rPr>
  </w:style>
  <w:style w:type="paragraph" w:customStyle="1" w:styleId="TabletextRight">
    <w:name w:val="Table text Right"/>
    <w:basedOn w:val="Normal"/>
    <w:qFormat/>
    <w:rsid w:val="00BA5D0D"/>
    <w:pPr>
      <w:jc w:val="right"/>
    </w:pPr>
    <w:rPr>
      <w:sz w:val="20"/>
    </w:rPr>
  </w:style>
  <w:style w:type="paragraph" w:customStyle="1" w:styleId="IndentParaGreySource">
    <w:name w:val="Indent Para Grey Source"/>
    <w:basedOn w:val="IndentParaGrey"/>
    <w:qFormat/>
    <w:rsid w:val="00BA5D0D"/>
    <w:pPr>
      <w:keepNext w:val="0"/>
    </w:pPr>
    <w:rPr>
      <w:rFonts w:cs="Arial"/>
      <w:sz w:val="18"/>
    </w:rPr>
  </w:style>
  <w:style w:type="paragraph" w:customStyle="1" w:styleId="IndentParaGrey">
    <w:name w:val="Indent Para Grey"/>
    <w:basedOn w:val="IndentPara"/>
    <w:next w:val="Normal"/>
    <w:rsid w:val="00BA5D0D"/>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BA5D0D"/>
    <w:pPr>
      <w:spacing w:before="240"/>
      <w:ind w:right="567"/>
    </w:pPr>
  </w:style>
  <w:style w:type="paragraph" w:customStyle="1" w:styleId="IndentParaGreyBullet">
    <w:name w:val="Indent Para Grey Bullet"/>
    <w:basedOn w:val="IndentParaGrey"/>
    <w:qFormat/>
    <w:rsid w:val="00BA5D0D"/>
    <w:pPr>
      <w:numPr>
        <w:numId w:val="12"/>
      </w:numPr>
      <w:tabs>
        <w:tab w:val="left" w:pos="1134"/>
      </w:tabs>
      <w:spacing w:after="60"/>
    </w:pPr>
    <w:rPr>
      <w:rFonts w:cs="Arial"/>
    </w:rPr>
  </w:style>
  <w:style w:type="paragraph" w:styleId="Header">
    <w:name w:val="header"/>
    <w:basedOn w:val="Normal"/>
    <w:link w:val="HeaderChar"/>
    <w:rsid w:val="00BA5D0D"/>
    <w:pPr>
      <w:jc w:val="right"/>
    </w:pPr>
    <w:rPr>
      <w:color w:val="595959"/>
    </w:rPr>
  </w:style>
  <w:style w:type="paragraph" w:customStyle="1" w:styleId="BoldPara">
    <w:name w:val="Bold Para"/>
    <w:basedOn w:val="Normal"/>
    <w:next w:val="BodyText"/>
    <w:rsid w:val="00BA5D0D"/>
    <w:pPr>
      <w:spacing w:before="240"/>
    </w:pPr>
    <w:rPr>
      <w:b/>
      <w:color w:val="002776"/>
      <w:szCs w:val="24"/>
    </w:rPr>
  </w:style>
  <w:style w:type="character" w:styleId="PageNumber">
    <w:name w:val="page number"/>
    <w:rsid w:val="00BA5D0D"/>
    <w:rPr>
      <w:rFonts w:ascii="Calibri" w:hAnsi="Calibri"/>
      <w:color w:val="auto"/>
      <w:sz w:val="18"/>
      <w:szCs w:val="18"/>
    </w:rPr>
  </w:style>
  <w:style w:type="paragraph" w:customStyle="1" w:styleId="Bullet1">
    <w:name w:val="Bullet 1"/>
    <w:basedOn w:val="Normal"/>
    <w:rsid w:val="00B34B7B"/>
    <w:pPr>
      <w:numPr>
        <w:numId w:val="3"/>
      </w:numPr>
      <w:ind w:left="567" w:hanging="567"/>
    </w:pPr>
    <w:rPr>
      <w:rFonts w:cs="Arial"/>
      <w:lang w:eastAsia="en-AU"/>
    </w:rPr>
  </w:style>
  <w:style w:type="paragraph" w:customStyle="1" w:styleId="BoxedHighlight">
    <w:name w:val="Boxed Highlight"/>
    <w:basedOn w:val="IndentPara"/>
    <w:next w:val="BodyText"/>
    <w:rsid w:val="00BA5D0D"/>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BA5D0D"/>
    <w:rPr>
      <w:rFonts w:ascii="Swis721 Md BT" w:hAnsi="Swis721 Md BT"/>
      <w:b/>
      <w:color w:val="000000"/>
      <w:sz w:val="16"/>
      <w:szCs w:val="16"/>
    </w:rPr>
  </w:style>
  <w:style w:type="character" w:styleId="FootnoteReference">
    <w:name w:val="footnote reference"/>
    <w:semiHidden/>
    <w:rsid w:val="00BA5D0D"/>
    <w:rPr>
      <w:rFonts w:ascii="Arial" w:hAnsi="Arial"/>
      <w:sz w:val="18"/>
      <w:szCs w:val="24"/>
      <w:vertAlign w:val="superscript"/>
    </w:rPr>
  </w:style>
  <w:style w:type="table" w:customStyle="1" w:styleId="TableAE">
    <w:name w:val="Table AE"/>
    <w:basedOn w:val="TableNormal"/>
    <w:uiPriority w:val="99"/>
    <w:rsid w:val="00BA5D0D"/>
    <w:rPr>
      <w:rFonts w:ascii="Arial" w:hAnsi="Arial"/>
    </w:rPr>
    <w:tblPr>
      <w:jc w:val="center"/>
      <w:tblInd w:w="0" w:type="dxa"/>
      <w:tblBorders>
        <w:bottom w:val="single" w:sz="12" w:space="0" w:color="00277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BA5D0D"/>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BA5D0D"/>
    <w:pPr>
      <w:tabs>
        <w:tab w:val="left" w:pos="1134"/>
      </w:tabs>
      <w:spacing w:before="240"/>
      <w:ind w:right="567"/>
    </w:pPr>
    <w:rPr>
      <w:i/>
      <w:color w:val="595959"/>
    </w:rPr>
  </w:style>
  <w:style w:type="paragraph" w:customStyle="1" w:styleId="TableHeadingCentre">
    <w:name w:val="Table Heading Centre"/>
    <w:basedOn w:val="Normal"/>
    <w:rsid w:val="00BA5D0D"/>
    <w:pPr>
      <w:keepNext/>
      <w:keepLines/>
      <w:spacing w:before="20" w:after="20"/>
      <w:jc w:val="center"/>
    </w:pPr>
    <w:rPr>
      <w:b/>
      <w:color w:val="002776"/>
      <w:szCs w:val="22"/>
    </w:rPr>
  </w:style>
  <w:style w:type="paragraph" w:customStyle="1" w:styleId="Equation">
    <w:name w:val="Equation"/>
    <w:basedOn w:val="Normal"/>
    <w:next w:val="Normal"/>
    <w:rsid w:val="00BA5D0D"/>
    <w:pPr>
      <w:spacing w:before="240"/>
      <w:jc w:val="center"/>
    </w:pPr>
    <w:rPr>
      <w:rFonts w:ascii="Times New Roman" w:hAnsi="Times New Roman"/>
      <w:i/>
      <w:sz w:val="24"/>
      <w:szCs w:val="24"/>
    </w:rPr>
  </w:style>
  <w:style w:type="paragraph" w:customStyle="1" w:styleId="Contents-Major">
    <w:name w:val="Contents - Major"/>
    <w:basedOn w:val="Normal"/>
    <w:rsid w:val="00BA5D0D"/>
    <w:pPr>
      <w:keepNext/>
      <w:spacing w:after="200"/>
    </w:pPr>
    <w:rPr>
      <w:color w:val="002776"/>
      <w:sz w:val="56"/>
      <w:szCs w:val="32"/>
    </w:rPr>
  </w:style>
  <w:style w:type="paragraph" w:customStyle="1" w:styleId="Reference">
    <w:name w:val="Reference"/>
    <w:basedOn w:val="Normal"/>
    <w:rsid w:val="00BA5D0D"/>
    <w:pPr>
      <w:spacing w:before="240" w:after="240"/>
    </w:pPr>
  </w:style>
  <w:style w:type="paragraph" w:styleId="TOC1">
    <w:name w:val="toc 1"/>
    <w:basedOn w:val="Normal"/>
    <w:next w:val="Normal"/>
    <w:uiPriority w:val="39"/>
    <w:rsid w:val="00BA5D0D"/>
    <w:pPr>
      <w:tabs>
        <w:tab w:val="left" w:pos="567"/>
        <w:tab w:val="right" w:leader="dot" w:pos="8505"/>
      </w:tabs>
      <w:spacing w:before="120"/>
    </w:pPr>
    <w:rPr>
      <w:rFonts w:cs="Arial"/>
      <w:szCs w:val="22"/>
    </w:rPr>
  </w:style>
  <w:style w:type="paragraph" w:styleId="TOC2">
    <w:name w:val="toc 2"/>
    <w:basedOn w:val="Normal"/>
    <w:next w:val="Normal"/>
    <w:uiPriority w:val="39"/>
    <w:rsid w:val="00BA5D0D"/>
    <w:pPr>
      <w:tabs>
        <w:tab w:val="left" w:pos="1134"/>
        <w:tab w:val="right" w:leader="dot" w:pos="8505"/>
      </w:tabs>
      <w:ind w:left="1134" w:right="567"/>
    </w:pPr>
    <w:rPr>
      <w:noProof/>
      <w:sz w:val="20"/>
    </w:rPr>
  </w:style>
  <w:style w:type="paragraph" w:styleId="TOC3">
    <w:name w:val="toc 3"/>
    <w:basedOn w:val="Normal"/>
    <w:next w:val="Normal"/>
    <w:autoRedefine/>
    <w:uiPriority w:val="39"/>
    <w:unhideWhenUsed/>
    <w:rsid w:val="00BA5D0D"/>
    <w:pPr>
      <w:tabs>
        <w:tab w:val="left" w:pos="1985"/>
        <w:tab w:val="right" w:leader="dot" w:pos="8505"/>
      </w:tabs>
      <w:spacing w:after="100" w:line="276" w:lineRule="auto"/>
      <w:ind w:left="2268" w:hanging="1134"/>
    </w:pPr>
    <w:rPr>
      <w:rFonts w:eastAsia="Calibri"/>
      <w:sz w:val="20"/>
      <w:szCs w:val="22"/>
    </w:rPr>
  </w:style>
  <w:style w:type="character" w:styleId="Hyperlink">
    <w:name w:val="Hyperlink"/>
    <w:basedOn w:val="DefaultParagraphFont"/>
    <w:uiPriority w:val="99"/>
    <w:rsid w:val="00BA5D0D"/>
  </w:style>
  <w:style w:type="paragraph" w:customStyle="1" w:styleId="FooterOdd">
    <w:name w:val="Footer Odd"/>
    <w:basedOn w:val="Normal"/>
    <w:qFormat/>
    <w:rsid w:val="00BA5D0D"/>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BA5D0D"/>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BA5D0D"/>
    <w:pPr>
      <w:numPr>
        <w:numId w:val="14"/>
      </w:numPr>
    </w:pPr>
    <w:rPr>
      <w:rFonts w:cs="Arial"/>
    </w:rPr>
  </w:style>
  <w:style w:type="paragraph" w:styleId="Caption">
    <w:name w:val="caption"/>
    <w:basedOn w:val="Normal"/>
    <w:next w:val="Normal"/>
    <w:qFormat/>
    <w:rsid w:val="00BA5D0D"/>
    <w:pPr>
      <w:keepNext/>
      <w:keepLines/>
      <w:spacing w:before="240" w:after="240"/>
      <w:jc w:val="center"/>
    </w:pPr>
    <w:rPr>
      <w:b/>
      <w:bCs/>
      <w:color w:val="931638"/>
      <w:szCs w:val="22"/>
    </w:rPr>
  </w:style>
  <w:style w:type="paragraph" w:customStyle="1" w:styleId="Note">
    <w:name w:val="Note"/>
    <w:basedOn w:val="Normal"/>
    <w:rsid w:val="00BA5D0D"/>
    <w:pPr>
      <w:spacing w:after="120"/>
    </w:pPr>
    <w:rPr>
      <w:sz w:val="18"/>
    </w:rPr>
  </w:style>
  <w:style w:type="paragraph" w:customStyle="1" w:styleId="MajorHeading">
    <w:name w:val="Major Heading"/>
    <w:basedOn w:val="Normal"/>
    <w:next w:val="Normal"/>
    <w:rsid w:val="00BA5D0D"/>
    <w:pPr>
      <w:pageBreakBefore/>
      <w:numPr>
        <w:numId w:val="13"/>
      </w:numPr>
      <w:spacing w:after="120"/>
    </w:pPr>
    <w:rPr>
      <w:rFonts w:cs="Arial"/>
      <w:b/>
      <w:color w:val="002776"/>
      <w:sz w:val="56"/>
    </w:rPr>
  </w:style>
  <w:style w:type="paragraph" w:styleId="TableofFigures">
    <w:name w:val="table of figures"/>
    <w:basedOn w:val="Normal"/>
    <w:next w:val="Normal"/>
    <w:uiPriority w:val="99"/>
    <w:rsid w:val="00BA5D0D"/>
    <w:pPr>
      <w:tabs>
        <w:tab w:val="right" w:leader="dot" w:pos="8505"/>
      </w:tabs>
      <w:ind w:right="567"/>
    </w:pPr>
    <w:rPr>
      <w:szCs w:val="22"/>
    </w:rPr>
  </w:style>
  <w:style w:type="paragraph" w:customStyle="1" w:styleId="TabletextLeft">
    <w:name w:val="Table text Left"/>
    <w:basedOn w:val="Normal"/>
    <w:rsid w:val="00BA5D0D"/>
    <w:rPr>
      <w:sz w:val="20"/>
    </w:rPr>
  </w:style>
  <w:style w:type="table" w:customStyle="1" w:styleId="TableGridWithoutTotals">
    <w:name w:val="Table Grid Without Totals"/>
    <w:basedOn w:val="TableNormal"/>
    <w:rsid w:val="00BA5D0D"/>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BA5D0D"/>
    <w:tblPr>
      <w:tblInd w:w="0" w:type="dxa"/>
      <w:tblCellMar>
        <w:top w:w="0" w:type="dxa"/>
        <w:left w:w="108" w:type="dxa"/>
        <w:bottom w:w="0" w:type="dxa"/>
        <w:right w:w="108" w:type="dxa"/>
      </w:tblCellMar>
    </w:tblPr>
    <w:trPr>
      <w:cantSplit/>
    </w:trPr>
  </w:style>
  <w:style w:type="paragraph" w:customStyle="1" w:styleId="Tabletotals">
    <w:name w:val="Table totals"/>
    <w:basedOn w:val="Normal"/>
    <w:rsid w:val="00BA5D0D"/>
    <w:pPr>
      <w:keepNext/>
      <w:keepLines/>
      <w:ind w:left="142"/>
    </w:pPr>
  </w:style>
  <w:style w:type="table" w:customStyle="1" w:styleId="TableTwoHeadingRows">
    <w:name w:val="Table Two Heading Rows"/>
    <w:basedOn w:val="TableNormal"/>
    <w:rsid w:val="00BA5D0D"/>
    <w:rPr>
      <w:rFonts w:ascii="Arial" w:hAnsi="Arial"/>
    </w:rPr>
    <w:tblPr>
      <w:tblInd w:w="0" w:type="dxa"/>
      <w:tblCellMar>
        <w:top w:w="0" w:type="dxa"/>
        <w:left w:w="108" w:type="dxa"/>
        <w:bottom w:w="0" w:type="dxa"/>
        <w:right w:w="108" w:type="dxa"/>
      </w:tblCellMa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BA5D0D"/>
    <w:pPr>
      <w:ind w:left="-227" w:right="357"/>
    </w:pPr>
    <w:rPr>
      <w:sz w:val="18"/>
    </w:rPr>
  </w:style>
  <w:style w:type="paragraph" w:customStyle="1" w:styleId="Appendix">
    <w:name w:val="Appendix"/>
    <w:basedOn w:val="Normal"/>
    <w:next w:val="Normal"/>
    <w:rsid w:val="00BA5D0D"/>
    <w:pPr>
      <w:keepNext/>
      <w:pageBreakBefore/>
      <w:numPr>
        <w:numId w:val="2"/>
      </w:numPr>
      <w:spacing w:before="360" w:after="180"/>
    </w:pPr>
    <w:rPr>
      <w:b/>
      <w:color w:val="002776"/>
      <w:sz w:val="56"/>
      <w:szCs w:val="28"/>
    </w:rPr>
  </w:style>
  <w:style w:type="paragraph" w:customStyle="1" w:styleId="Source">
    <w:name w:val="Source"/>
    <w:basedOn w:val="Note"/>
    <w:qFormat/>
    <w:rsid w:val="00BA5D0D"/>
    <w:pPr>
      <w:spacing w:before="0"/>
    </w:pPr>
    <w:rPr>
      <w:rFonts w:cs="Arial"/>
    </w:rPr>
  </w:style>
  <w:style w:type="paragraph" w:customStyle="1" w:styleId="HeaderLine2">
    <w:name w:val="Header Line 2"/>
    <w:basedOn w:val="Header"/>
    <w:qFormat/>
    <w:rsid w:val="00BA5D0D"/>
    <w:pPr>
      <w:pBdr>
        <w:top w:val="single" w:sz="4" w:space="1" w:color="931638"/>
      </w:pBdr>
    </w:pPr>
  </w:style>
  <w:style w:type="paragraph" w:customStyle="1" w:styleId="DisclaimerText">
    <w:name w:val="DisclaimerText"/>
    <w:basedOn w:val="Normal"/>
    <w:rsid w:val="00BA5D0D"/>
    <w:pPr>
      <w:spacing w:before="20"/>
    </w:pPr>
    <w:rPr>
      <w:rFonts w:ascii="Swis721 Md BT" w:hAnsi="Swis721 Md BT"/>
      <w:color w:val="000000"/>
      <w:sz w:val="16"/>
      <w:szCs w:val="16"/>
    </w:rPr>
  </w:style>
  <w:style w:type="paragraph" w:customStyle="1" w:styleId="FooterLandscape">
    <w:name w:val="FooterLandscape"/>
    <w:basedOn w:val="Normal"/>
    <w:rsid w:val="00BA5D0D"/>
    <w:pPr>
      <w:tabs>
        <w:tab w:val="right" w:pos="14031"/>
      </w:tabs>
      <w:ind w:left="-454" w:right="142"/>
    </w:pPr>
    <w:rPr>
      <w:rFonts w:ascii="Swis721 LtCn BT" w:hAnsi="Swis721 LtCn BT"/>
      <w:sz w:val="18"/>
    </w:rPr>
  </w:style>
  <w:style w:type="paragraph" w:customStyle="1" w:styleId="ReportTitle">
    <w:name w:val="Report Title"/>
    <w:basedOn w:val="Normal"/>
    <w:qFormat/>
    <w:rsid w:val="00BA5D0D"/>
    <w:pPr>
      <w:framePr w:hSpace="181" w:wrap="around" w:vAnchor="page" w:hAnchor="margin" w:y="3403"/>
      <w:suppressOverlap/>
    </w:pPr>
    <w:rPr>
      <w:color w:val="002776"/>
      <w:sz w:val="72"/>
      <w:szCs w:val="56"/>
    </w:rPr>
  </w:style>
  <w:style w:type="paragraph" w:customStyle="1" w:styleId="SubHeading">
    <w:name w:val="Sub Heading"/>
    <w:basedOn w:val="Normal"/>
    <w:qFormat/>
    <w:rsid w:val="00BA5D0D"/>
    <w:pPr>
      <w:keepNext/>
      <w:spacing w:before="360" w:after="60"/>
    </w:pPr>
    <w:rPr>
      <w:rFonts w:cs="Arial"/>
      <w:b/>
      <w:color w:val="931638"/>
    </w:rPr>
  </w:style>
  <w:style w:type="character" w:styleId="Strong">
    <w:name w:val="Strong"/>
    <w:uiPriority w:val="22"/>
    <w:qFormat/>
    <w:rsid w:val="00BA5D0D"/>
    <w:rPr>
      <w:b/>
      <w:bCs/>
    </w:rPr>
  </w:style>
  <w:style w:type="character" w:styleId="Emphasis">
    <w:name w:val="Emphasis"/>
    <w:qFormat/>
    <w:rsid w:val="00BA5D0D"/>
    <w:rPr>
      <w:i/>
      <w:iCs/>
    </w:rPr>
  </w:style>
  <w:style w:type="paragraph" w:styleId="CommentSubject">
    <w:name w:val="annotation subject"/>
    <w:basedOn w:val="Normal"/>
    <w:semiHidden/>
    <w:rsid w:val="00BA5D0D"/>
    <w:rPr>
      <w:b/>
      <w:bCs/>
      <w:sz w:val="20"/>
    </w:rPr>
  </w:style>
  <w:style w:type="paragraph" w:styleId="Revision">
    <w:name w:val="Revision"/>
    <w:hidden/>
    <w:uiPriority w:val="99"/>
    <w:semiHidden/>
    <w:rsid w:val="00721EC7"/>
    <w:pPr>
      <w:spacing w:before="240"/>
      <w:ind w:left="567" w:hanging="567"/>
      <w:jc w:val="both"/>
    </w:pPr>
    <w:rPr>
      <w:rFonts w:ascii="Arial" w:hAnsi="Arial"/>
      <w:sz w:val="22"/>
      <w:lang w:val="en-AU" w:eastAsia="en-US"/>
    </w:rPr>
  </w:style>
  <w:style w:type="paragraph" w:customStyle="1" w:styleId="Bullet2">
    <w:name w:val="Bullet 2"/>
    <w:basedOn w:val="Normal"/>
    <w:qFormat/>
    <w:rsid w:val="00B34B7B"/>
    <w:pPr>
      <w:numPr>
        <w:numId w:val="4"/>
      </w:numPr>
      <w:ind w:left="1134" w:hanging="567"/>
    </w:pPr>
  </w:style>
  <w:style w:type="paragraph" w:customStyle="1" w:styleId="Bullet3">
    <w:name w:val="Bullet 3"/>
    <w:basedOn w:val="Normal"/>
    <w:qFormat/>
    <w:rsid w:val="00B34B7B"/>
    <w:pPr>
      <w:numPr>
        <w:numId w:val="5"/>
      </w:numPr>
      <w:ind w:left="1701" w:hanging="567"/>
    </w:pPr>
  </w:style>
  <w:style w:type="paragraph" w:customStyle="1" w:styleId="FooterSecurity">
    <w:name w:val="Footer Security"/>
    <w:basedOn w:val="Normal"/>
    <w:qFormat/>
    <w:rsid w:val="00BA5D0D"/>
    <w:pPr>
      <w:jc w:val="center"/>
    </w:pPr>
    <w:rPr>
      <w:rFonts w:cs="Arial"/>
      <w:color w:val="7A7A78"/>
      <w:sz w:val="24"/>
      <w:szCs w:val="16"/>
    </w:rPr>
  </w:style>
  <w:style w:type="paragraph" w:customStyle="1" w:styleId="ReportDate">
    <w:name w:val="Report Date"/>
    <w:basedOn w:val="Normal"/>
    <w:qFormat/>
    <w:rsid w:val="00BA5D0D"/>
    <w:rPr>
      <w:color w:val="92D400"/>
      <w:sz w:val="28"/>
      <w:szCs w:val="28"/>
    </w:rPr>
  </w:style>
  <w:style w:type="paragraph" w:customStyle="1" w:styleId="ReportBy">
    <w:name w:val="Report By"/>
    <w:basedOn w:val="Normal"/>
    <w:qFormat/>
    <w:rsid w:val="00BA5D0D"/>
    <w:pPr>
      <w:spacing w:line="360" w:lineRule="auto"/>
    </w:pPr>
    <w:rPr>
      <w:rFonts w:cs="Arial"/>
      <w:color w:val="931638"/>
      <w:sz w:val="24"/>
      <w:szCs w:val="28"/>
    </w:rPr>
  </w:style>
  <w:style w:type="paragraph" w:customStyle="1" w:styleId="ReportCompany">
    <w:name w:val="Report Company"/>
    <w:basedOn w:val="Normal"/>
    <w:qFormat/>
    <w:rsid w:val="00BA5D0D"/>
    <w:rPr>
      <w:rFonts w:cs="Arial"/>
      <w:color w:val="92D400"/>
      <w:sz w:val="56"/>
      <w:szCs w:val="56"/>
    </w:rPr>
  </w:style>
  <w:style w:type="paragraph" w:customStyle="1" w:styleId="BodyText-Centred">
    <w:name w:val="BodyText - Centred"/>
    <w:basedOn w:val="Normal"/>
    <w:qFormat/>
    <w:rsid w:val="00BA5D0D"/>
    <w:pPr>
      <w:spacing w:before="240"/>
      <w:jc w:val="center"/>
    </w:pPr>
    <w:rPr>
      <w:noProof/>
      <w:sz w:val="24"/>
      <w:lang w:eastAsia="en-AU"/>
    </w:rPr>
  </w:style>
  <w:style w:type="paragraph" w:customStyle="1" w:styleId="FooterLine1">
    <w:name w:val="Footer Line 1"/>
    <w:basedOn w:val="Normal"/>
    <w:qFormat/>
    <w:rsid w:val="00BA5D0D"/>
    <w:pPr>
      <w:jc w:val="right"/>
    </w:pPr>
    <w:rPr>
      <w:sz w:val="18"/>
    </w:rPr>
  </w:style>
  <w:style w:type="paragraph" w:customStyle="1" w:styleId="Glossarytext">
    <w:name w:val="Glossary text"/>
    <w:basedOn w:val="Normal"/>
    <w:qFormat/>
    <w:rsid w:val="00BA5D0D"/>
    <w:pPr>
      <w:spacing w:before="120"/>
      <w:contextualSpacing/>
    </w:pPr>
    <w:rPr>
      <w:rFonts w:cs="Arial"/>
    </w:rPr>
  </w:style>
  <w:style w:type="paragraph" w:customStyle="1" w:styleId="GlossaryAbbreviation">
    <w:name w:val="Glossary Abbreviation"/>
    <w:basedOn w:val="Normal"/>
    <w:qFormat/>
    <w:rsid w:val="00BA5D0D"/>
    <w:pPr>
      <w:spacing w:before="120"/>
    </w:pPr>
    <w:rPr>
      <w:rFonts w:cs="Arial"/>
      <w:caps/>
    </w:rPr>
  </w:style>
  <w:style w:type="table" w:customStyle="1" w:styleId="TableAEGrey">
    <w:name w:val="Table AE Grey"/>
    <w:basedOn w:val="TableAE"/>
    <w:rsid w:val="00BA5D0D"/>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A5D0D"/>
    <w:rPr>
      <w:color w:val="931638"/>
    </w:rPr>
  </w:style>
  <w:style w:type="table" w:customStyle="1" w:styleId="TableAEGreyTotals">
    <w:name w:val="Table AE Grey Totals"/>
    <w:basedOn w:val="TableAEGrey"/>
    <w:rsid w:val="00BA5D0D"/>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BA5D0D"/>
    <w:pPr>
      <w:keepNext/>
      <w:spacing w:after="200"/>
    </w:pPr>
    <w:rPr>
      <w:b/>
      <w:color w:val="002776"/>
      <w:sz w:val="56"/>
    </w:rPr>
  </w:style>
  <w:style w:type="table" w:customStyle="1" w:styleId="TableAEGlossary">
    <w:name w:val="Table AE Glossary"/>
    <w:basedOn w:val="TableNormal"/>
    <w:uiPriority w:val="99"/>
    <w:qFormat/>
    <w:rsid w:val="00BA5D0D"/>
    <w:tblPr>
      <w:tblInd w:w="0" w:type="dxa"/>
      <w:tblBorders>
        <w:top w:val="single" w:sz="4" w:space="0" w:color="931638"/>
        <w:bottom w:val="single" w:sz="4" w:space="0" w:color="931638"/>
      </w:tblBorders>
      <w:tblCellMar>
        <w:top w:w="0" w:type="dxa"/>
        <w:left w:w="108" w:type="dxa"/>
        <w:bottom w:w="0" w:type="dxa"/>
        <w:right w:w="108" w:type="dxa"/>
      </w:tblCellMar>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BA5D0D"/>
    <w:pPr>
      <w:spacing w:before="400"/>
    </w:pPr>
  </w:style>
  <w:style w:type="paragraph" w:customStyle="1" w:styleId="ReportBy0">
    <w:name w:val="ReportBy"/>
    <w:basedOn w:val="Normal"/>
    <w:qFormat/>
    <w:rsid w:val="00BA5D0D"/>
    <w:pPr>
      <w:spacing w:line="360" w:lineRule="auto"/>
    </w:pPr>
    <w:rPr>
      <w:rFonts w:cs="Arial"/>
      <w:color w:val="000000"/>
      <w:sz w:val="28"/>
      <w:szCs w:val="28"/>
    </w:rPr>
  </w:style>
  <w:style w:type="paragraph" w:customStyle="1" w:styleId="ReportDate0">
    <w:name w:val="ReportDate"/>
    <w:basedOn w:val="Normal"/>
    <w:rsid w:val="00BA5D0D"/>
    <w:pPr>
      <w:spacing w:before="300"/>
      <w:ind w:right="1429"/>
    </w:pPr>
    <w:rPr>
      <w:color w:val="92D400"/>
      <w:sz w:val="52"/>
      <w:szCs w:val="24"/>
    </w:rPr>
  </w:style>
  <w:style w:type="paragraph" w:customStyle="1" w:styleId="Security">
    <w:name w:val="Security"/>
    <w:basedOn w:val="Normal"/>
    <w:qFormat/>
    <w:rsid w:val="00BA5D0D"/>
    <w:pPr>
      <w:jc w:val="center"/>
    </w:pPr>
    <w:rPr>
      <w:rFonts w:cs="Arial"/>
      <w:color w:val="7A7A78"/>
      <w:sz w:val="16"/>
      <w:szCs w:val="16"/>
    </w:rPr>
  </w:style>
  <w:style w:type="paragraph" w:customStyle="1" w:styleId="TableofContents">
    <w:name w:val="Table of Contents"/>
    <w:basedOn w:val="Normal"/>
    <w:rsid w:val="00BA5D0D"/>
    <w:pPr>
      <w:keepNext/>
      <w:spacing w:before="400" w:after="200"/>
    </w:pPr>
    <w:rPr>
      <w:b/>
      <w:color w:val="002776"/>
      <w:sz w:val="32"/>
      <w:szCs w:val="32"/>
    </w:rPr>
  </w:style>
  <w:style w:type="paragraph" w:styleId="Footer">
    <w:name w:val="footer"/>
    <w:basedOn w:val="Normal"/>
    <w:link w:val="FooterChar"/>
    <w:uiPriority w:val="99"/>
    <w:rsid w:val="00BA5D0D"/>
    <w:pPr>
      <w:tabs>
        <w:tab w:val="center" w:pos="4513"/>
        <w:tab w:val="right" w:pos="9026"/>
      </w:tabs>
    </w:pPr>
  </w:style>
  <w:style w:type="character" w:customStyle="1" w:styleId="FooterChar">
    <w:name w:val="Footer Char"/>
    <w:link w:val="Footer"/>
    <w:uiPriority w:val="99"/>
    <w:rsid w:val="00F002DB"/>
    <w:rPr>
      <w:rFonts w:ascii="Calibri" w:hAnsi="Calibri"/>
      <w:sz w:val="22"/>
      <w:lang w:eastAsia="en-US"/>
    </w:rPr>
  </w:style>
  <w:style w:type="paragraph" w:customStyle="1" w:styleId="HeadingA">
    <w:name w:val="Heading A"/>
    <w:next w:val="BodyText"/>
    <w:rsid w:val="00BA5D0D"/>
    <w:pPr>
      <w:keepNext/>
      <w:keepLines/>
      <w:spacing w:before="120" w:after="60"/>
      <w:ind w:left="567" w:hanging="567"/>
      <w:jc w:val="both"/>
    </w:pPr>
    <w:rPr>
      <w:rFonts w:ascii="Calibri" w:hAnsi="Calibri"/>
      <w:b/>
      <w:color w:val="002776"/>
      <w:sz w:val="32"/>
      <w:szCs w:val="28"/>
      <w:lang w:val="en-AU" w:eastAsia="en-US"/>
    </w:rPr>
  </w:style>
  <w:style w:type="paragraph" w:customStyle="1" w:styleId="HeadingB">
    <w:name w:val="Heading B"/>
    <w:basedOn w:val="HeadingA"/>
    <w:next w:val="BodyText"/>
    <w:uiPriority w:val="99"/>
    <w:rsid w:val="00BA5D0D"/>
    <w:pPr>
      <w:spacing w:before="240" w:after="0"/>
    </w:pPr>
    <w:rPr>
      <w:sz w:val="28"/>
      <w:szCs w:val="26"/>
    </w:rPr>
  </w:style>
  <w:style w:type="paragraph" w:customStyle="1" w:styleId="HeadingC">
    <w:name w:val="Heading C"/>
    <w:basedOn w:val="Normal"/>
    <w:next w:val="BodyText"/>
    <w:link w:val="HeadingCChar"/>
    <w:rsid w:val="00BA5D0D"/>
    <w:pPr>
      <w:keepNext/>
      <w:keepLines/>
      <w:spacing w:before="240"/>
    </w:pPr>
    <w:rPr>
      <w:b/>
      <w:color w:val="002776"/>
      <w:sz w:val="24"/>
      <w:szCs w:val="28"/>
    </w:rPr>
  </w:style>
  <w:style w:type="paragraph" w:customStyle="1" w:styleId="AlphabeticList">
    <w:name w:val="Alphabetic List"/>
    <w:basedOn w:val="Normal"/>
    <w:rsid w:val="00BA5D0D"/>
    <w:pPr>
      <w:numPr>
        <w:numId w:val="1"/>
      </w:numPr>
      <w:spacing w:before="120"/>
    </w:pPr>
  </w:style>
  <w:style w:type="paragraph" w:customStyle="1" w:styleId="DashList">
    <w:name w:val="Dash List"/>
    <w:basedOn w:val="Normal"/>
    <w:rsid w:val="00BA5D0D"/>
    <w:pPr>
      <w:numPr>
        <w:ilvl w:val="1"/>
        <w:numId w:val="6"/>
      </w:numPr>
    </w:pPr>
  </w:style>
  <w:style w:type="paragraph" w:customStyle="1" w:styleId="TableNote">
    <w:name w:val="Table Note"/>
    <w:basedOn w:val="Normal"/>
    <w:rsid w:val="00BA5D0D"/>
    <w:pPr>
      <w:tabs>
        <w:tab w:val="left" w:pos="425"/>
      </w:tabs>
      <w:jc w:val="center"/>
    </w:pPr>
    <w:rPr>
      <w:sz w:val="18"/>
    </w:rPr>
  </w:style>
  <w:style w:type="paragraph" w:customStyle="1" w:styleId="IndentNumberedList">
    <w:name w:val="Indent Numbered List"/>
    <w:basedOn w:val="Normal"/>
    <w:rsid w:val="00B34B7B"/>
    <w:pPr>
      <w:numPr>
        <w:numId w:val="11"/>
      </w:numPr>
    </w:pPr>
  </w:style>
  <w:style w:type="paragraph" w:customStyle="1" w:styleId="IndentAlphabeticList">
    <w:name w:val="Indent Alphabetic List"/>
    <w:basedOn w:val="Normal"/>
    <w:rsid w:val="00B34B7B"/>
    <w:pPr>
      <w:numPr>
        <w:numId w:val="10"/>
      </w:numPr>
      <w:tabs>
        <w:tab w:val="left" w:pos="1134"/>
      </w:tabs>
      <w:ind w:left="1134" w:hanging="567"/>
    </w:pPr>
  </w:style>
  <w:style w:type="paragraph" w:styleId="FootnoteText">
    <w:name w:val="footnote text"/>
    <w:basedOn w:val="Normal"/>
    <w:link w:val="FootnoteTextChar"/>
    <w:rsid w:val="00BA5D0D"/>
    <w:pPr>
      <w:spacing w:before="120" w:after="60"/>
    </w:pPr>
    <w:rPr>
      <w:sz w:val="18"/>
    </w:rPr>
  </w:style>
  <w:style w:type="character" w:customStyle="1" w:styleId="FootnoteTextChar">
    <w:name w:val="Footnote Text Char"/>
    <w:link w:val="FootnoteText"/>
    <w:rsid w:val="00D929F4"/>
    <w:rPr>
      <w:rFonts w:ascii="Calibri" w:hAnsi="Calibri"/>
      <w:sz w:val="18"/>
      <w:lang w:eastAsia="en-US"/>
    </w:rPr>
  </w:style>
  <w:style w:type="character" w:customStyle="1" w:styleId="HeaderChar">
    <w:name w:val="Header Char"/>
    <w:link w:val="Header"/>
    <w:rsid w:val="003D4C3E"/>
    <w:rPr>
      <w:rFonts w:ascii="Calibri" w:hAnsi="Calibri"/>
      <w:color w:val="595959"/>
      <w:sz w:val="22"/>
      <w:lang w:eastAsia="en-US"/>
    </w:rPr>
  </w:style>
  <w:style w:type="table" w:customStyle="1" w:styleId="TableAETotals">
    <w:name w:val="Table AE Totals"/>
    <w:basedOn w:val="TableNormal"/>
    <w:rsid w:val="00BA5D0D"/>
    <w:rPr>
      <w:rFonts w:ascii="Arial" w:hAnsi="Arial"/>
    </w:rPr>
    <w:tblPr>
      <w:tblInd w:w="0" w:type="dxa"/>
      <w:tblBorders>
        <w:top w:val="single" w:sz="12" w:space="0" w:color="002776"/>
        <w:bottom w:val="single" w:sz="12" w:space="0" w:color="002776"/>
      </w:tblBorders>
      <w:tblCellMar>
        <w:top w:w="0" w:type="dxa"/>
        <w:left w:w="108" w:type="dxa"/>
        <w:bottom w:w="0" w:type="dxa"/>
        <w:right w:w="108" w:type="dxa"/>
      </w:tblCellMar>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BA5D0D"/>
    <w:pPr>
      <w:numPr>
        <w:ilvl w:val="1"/>
        <w:numId w:val="2"/>
      </w:numPr>
    </w:pPr>
    <w:rPr>
      <w:color w:val="002776"/>
    </w:rPr>
  </w:style>
  <w:style w:type="paragraph" w:customStyle="1" w:styleId="AppendixChartCaption">
    <w:name w:val="Appendix Chart Caption"/>
    <w:basedOn w:val="CaptionAE"/>
    <w:next w:val="BodyText"/>
    <w:qFormat/>
    <w:rsid w:val="00BA5D0D"/>
    <w:pPr>
      <w:numPr>
        <w:ilvl w:val="2"/>
        <w:numId w:val="2"/>
      </w:numPr>
    </w:pPr>
    <w:rPr>
      <w:color w:val="002776"/>
    </w:rPr>
  </w:style>
  <w:style w:type="paragraph" w:customStyle="1" w:styleId="AppendixFigureCaption">
    <w:name w:val="Appendix Figure Caption"/>
    <w:basedOn w:val="CaptionAE"/>
    <w:next w:val="BodyText"/>
    <w:qFormat/>
    <w:rsid w:val="00BA5D0D"/>
    <w:pPr>
      <w:numPr>
        <w:ilvl w:val="3"/>
        <w:numId w:val="2"/>
      </w:numPr>
    </w:pPr>
    <w:rPr>
      <w:color w:val="002776"/>
    </w:rPr>
  </w:style>
  <w:style w:type="paragraph" w:customStyle="1" w:styleId="CaptionTable">
    <w:name w:val="Caption_Table"/>
    <w:basedOn w:val="CaptionAE"/>
    <w:next w:val="BodyText"/>
    <w:qFormat/>
    <w:rsid w:val="00BA5D0D"/>
    <w:pPr>
      <w:numPr>
        <w:ilvl w:val="6"/>
        <w:numId w:val="9"/>
      </w:numPr>
    </w:pPr>
    <w:rPr>
      <w:color w:val="002776"/>
    </w:rPr>
  </w:style>
  <w:style w:type="paragraph" w:customStyle="1" w:styleId="CaptionFigure">
    <w:name w:val="Caption_Figure"/>
    <w:basedOn w:val="CaptionTable"/>
    <w:next w:val="BodyText"/>
    <w:qFormat/>
    <w:rsid w:val="00BA5D0D"/>
    <w:pPr>
      <w:numPr>
        <w:ilvl w:val="8"/>
      </w:numPr>
    </w:pPr>
    <w:rPr>
      <w:bCs/>
      <w:szCs w:val="22"/>
    </w:rPr>
  </w:style>
  <w:style w:type="paragraph" w:customStyle="1" w:styleId="CaptionChart">
    <w:name w:val="Caption_Chart"/>
    <w:basedOn w:val="CaptionFigure"/>
    <w:next w:val="BodyText"/>
    <w:qFormat/>
    <w:rsid w:val="00BA5D0D"/>
    <w:pPr>
      <w:numPr>
        <w:ilvl w:val="7"/>
      </w:numPr>
    </w:pPr>
  </w:style>
  <w:style w:type="paragraph" w:customStyle="1" w:styleId="ExecChartCaption">
    <w:name w:val="Exec Chart Caption"/>
    <w:basedOn w:val="CaptionAE"/>
    <w:next w:val="BodyText"/>
    <w:qFormat/>
    <w:rsid w:val="00BA5D0D"/>
    <w:pPr>
      <w:numPr>
        <w:ilvl w:val="2"/>
        <w:numId w:val="13"/>
      </w:numPr>
    </w:pPr>
    <w:rPr>
      <w:color w:val="002776"/>
    </w:rPr>
  </w:style>
  <w:style w:type="paragraph" w:customStyle="1" w:styleId="ExecFigureCaption">
    <w:name w:val="Exec Figure Caption"/>
    <w:basedOn w:val="CaptionAE"/>
    <w:next w:val="BodyText"/>
    <w:qFormat/>
    <w:rsid w:val="00BA5D0D"/>
    <w:pPr>
      <w:numPr>
        <w:ilvl w:val="3"/>
        <w:numId w:val="13"/>
      </w:numPr>
    </w:pPr>
    <w:rPr>
      <w:color w:val="002776"/>
    </w:rPr>
  </w:style>
  <w:style w:type="paragraph" w:customStyle="1" w:styleId="ExecTableCaption">
    <w:name w:val="Exec Table Caption"/>
    <w:basedOn w:val="CaptionAE"/>
    <w:next w:val="BodyText"/>
    <w:qFormat/>
    <w:rsid w:val="00BA5D0D"/>
    <w:pPr>
      <w:numPr>
        <w:ilvl w:val="1"/>
        <w:numId w:val="13"/>
      </w:numPr>
    </w:pPr>
    <w:rPr>
      <w:color w:val="002776"/>
    </w:rPr>
  </w:style>
  <w:style w:type="paragraph" w:customStyle="1" w:styleId="IndentParaDarkGrey">
    <w:name w:val="Indent Para Dark Grey"/>
    <w:basedOn w:val="IndentPara"/>
    <w:next w:val="Normal"/>
    <w:rsid w:val="00BA5D0D"/>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CaptionAE">
    <w:name w:val="Caption AE"/>
    <w:basedOn w:val="Normal"/>
    <w:next w:val="BodyText"/>
    <w:rsid w:val="00BA5D0D"/>
    <w:pPr>
      <w:keepNext/>
      <w:keepLines/>
      <w:spacing w:before="240" w:after="240"/>
      <w:jc w:val="center"/>
    </w:pPr>
    <w:rPr>
      <w:b/>
      <w:color w:val="931638"/>
    </w:rPr>
  </w:style>
  <w:style w:type="paragraph" w:customStyle="1" w:styleId="CVaddress">
    <w:name w:val="CV address"/>
    <w:rsid w:val="00BA5D0D"/>
    <w:pPr>
      <w:spacing w:before="60"/>
      <w:ind w:left="567" w:hanging="567"/>
      <w:jc w:val="both"/>
    </w:pPr>
    <w:rPr>
      <w:rFonts w:ascii="Calibri" w:hAnsi="Calibri"/>
      <w:color w:val="404040"/>
      <w:lang w:val="en-AU" w:eastAsia="en-US"/>
    </w:rPr>
  </w:style>
  <w:style w:type="paragraph" w:customStyle="1" w:styleId="CVbullet">
    <w:name w:val="CV bullet"/>
    <w:basedOn w:val="Normal"/>
    <w:qFormat/>
    <w:rsid w:val="00BA5D0D"/>
    <w:pPr>
      <w:spacing w:after="60"/>
    </w:pPr>
  </w:style>
  <w:style w:type="paragraph" w:customStyle="1" w:styleId="CVbulletindent">
    <w:name w:val="CV bullet indent"/>
    <w:basedOn w:val="Normal"/>
    <w:qFormat/>
    <w:rsid w:val="00BA5D0D"/>
    <w:pPr>
      <w:spacing w:after="60"/>
    </w:pPr>
  </w:style>
  <w:style w:type="paragraph" w:customStyle="1" w:styleId="CVDate">
    <w:name w:val="CV Date"/>
    <w:basedOn w:val="CVaddress"/>
    <w:next w:val="Normal"/>
    <w:rsid w:val="00BA5D0D"/>
    <w:pPr>
      <w:keepNext/>
      <w:spacing w:after="60"/>
    </w:pPr>
    <w:rPr>
      <w:b/>
      <w:color w:val="931638"/>
      <w:sz w:val="22"/>
    </w:rPr>
  </w:style>
  <w:style w:type="paragraph" w:customStyle="1" w:styleId="CVDateExperience">
    <w:name w:val="CV Date Experience"/>
    <w:basedOn w:val="CVDate"/>
    <w:rsid w:val="00BA5D0D"/>
    <w:pPr>
      <w:spacing w:before="120" w:after="0"/>
    </w:pPr>
    <w:rPr>
      <w:sz w:val="24"/>
    </w:rPr>
  </w:style>
  <w:style w:type="paragraph" w:customStyle="1" w:styleId="CVHeadingB">
    <w:name w:val="CV Heading B"/>
    <w:basedOn w:val="HeadingA"/>
    <w:next w:val="Normal"/>
    <w:rsid w:val="00BA5D0D"/>
    <w:rPr>
      <w:sz w:val="28"/>
      <w:szCs w:val="26"/>
    </w:rPr>
  </w:style>
  <w:style w:type="paragraph" w:customStyle="1" w:styleId="CVHeadingC">
    <w:name w:val="CV Heading C"/>
    <w:basedOn w:val="Normal"/>
    <w:next w:val="Normal"/>
    <w:rsid w:val="00BA5D0D"/>
    <w:pPr>
      <w:keepNext/>
      <w:keepLines/>
      <w:spacing w:before="180"/>
    </w:pPr>
    <w:rPr>
      <w:b/>
      <w:color w:val="931638"/>
      <w:sz w:val="24"/>
      <w:szCs w:val="28"/>
    </w:rPr>
  </w:style>
  <w:style w:type="paragraph" w:customStyle="1" w:styleId="CVHeadingExperience">
    <w:name w:val="CV Heading Experience"/>
    <w:basedOn w:val="CVDate"/>
    <w:rsid w:val="00BA5D0D"/>
    <w:pPr>
      <w:spacing w:before="120" w:after="0"/>
    </w:pPr>
    <w:rPr>
      <w:sz w:val="24"/>
    </w:rPr>
  </w:style>
  <w:style w:type="paragraph" w:customStyle="1" w:styleId="CVHeadingqualifications">
    <w:name w:val="CV Heading qualifications"/>
    <w:basedOn w:val="CVHeadingC"/>
    <w:rsid w:val="00BA5D0D"/>
    <w:pPr>
      <w:spacing w:before="0"/>
      <w:ind w:left="142"/>
    </w:pPr>
    <w:rPr>
      <w:bCs/>
      <w:szCs w:val="20"/>
    </w:rPr>
  </w:style>
  <w:style w:type="paragraph" w:customStyle="1" w:styleId="CVqualificationsawards">
    <w:name w:val="CV qualifications/awards"/>
    <w:basedOn w:val="CVaddress"/>
    <w:rsid w:val="00BA5D0D"/>
    <w:pPr>
      <w:ind w:left="142"/>
    </w:pPr>
    <w:rPr>
      <w:color w:val="auto"/>
    </w:rPr>
  </w:style>
  <w:style w:type="paragraph" w:customStyle="1" w:styleId="CVtabledate">
    <w:name w:val="CV table date"/>
    <w:basedOn w:val="Normal"/>
    <w:rsid w:val="00BA5D0D"/>
    <w:rPr>
      <w:b/>
      <w:color w:val="262626"/>
    </w:rPr>
  </w:style>
  <w:style w:type="paragraph" w:customStyle="1" w:styleId="CVTableText">
    <w:name w:val="CV Table Text"/>
    <w:basedOn w:val="CVaddress"/>
    <w:rsid w:val="00BA5D0D"/>
    <w:rPr>
      <w:color w:val="auto"/>
      <w:sz w:val="22"/>
    </w:rPr>
  </w:style>
  <w:style w:type="character" w:customStyle="1" w:styleId="Boldword">
    <w:name w:val="Bold word"/>
    <w:uiPriority w:val="1"/>
    <w:qFormat/>
    <w:rsid w:val="00BA5D0D"/>
    <w:rPr>
      <w:rFonts w:ascii="Calibri" w:hAnsi="Calibri"/>
      <w:b/>
      <w:color w:val="931638"/>
      <w:sz w:val="22"/>
      <w:lang w:eastAsia="en-AU"/>
    </w:rPr>
  </w:style>
  <w:style w:type="paragraph" w:customStyle="1" w:styleId="Addressdetails">
    <w:name w:val="Address details"/>
    <w:basedOn w:val="Normal"/>
    <w:link w:val="AddressdetailsChar"/>
    <w:rsid w:val="00BA5D0D"/>
    <w:pPr>
      <w:spacing w:before="85" w:line="180" w:lineRule="atLeast"/>
    </w:pPr>
    <w:rPr>
      <w:rFonts w:ascii="Arial" w:hAnsi="Arial"/>
      <w:sz w:val="15"/>
      <w:szCs w:val="24"/>
    </w:rPr>
  </w:style>
  <w:style w:type="paragraph" w:customStyle="1" w:styleId="BSubheading-Bluedk">
    <w:name w:val="B Subheading - Blue dk"/>
    <w:basedOn w:val="Normal"/>
    <w:qFormat/>
    <w:rsid w:val="00BA5D0D"/>
    <w:pPr>
      <w:spacing w:before="320" w:after="120"/>
      <w:outlineLvl w:val="1"/>
    </w:pPr>
    <w:rPr>
      <w:rFonts w:ascii="Arial" w:eastAsia="Times" w:hAnsi="Arial"/>
      <w:b/>
      <w:noProof/>
      <w:color w:val="002776"/>
      <w:sz w:val="24"/>
      <w:szCs w:val="24"/>
      <w:lang w:val="en-US"/>
    </w:rPr>
  </w:style>
  <w:style w:type="paragraph" w:styleId="BalloonText">
    <w:name w:val="Balloon Text"/>
    <w:basedOn w:val="Normal"/>
    <w:link w:val="BalloonTextChar"/>
    <w:rsid w:val="00BA5D0D"/>
    <w:rPr>
      <w:rFonts w:ascii="Tahoma" w:hAnsi="Tahoma" w:cs="Tahoma"/>
      <w:sz w:val="16"/>
      <w:szCs w:val="16"/>
    </w:rPr>
  </w:style>
  <w:style w:type="character" w:customStyle="1" w:styleId="BalloonTextChar">
    <w:name w:val="Balloon Text Char"/>
    <w:link w:val="BalloonText"/>
    <w:rsid w:val="00BA5D0D"/>
    <w:rPr>
      <w:rFonts w:ascii="Tahoma" w:hAnsi="Tahoma" w:cs="Tahoma"/>
      <w:sz w:val="16"/>
      <w:szCs w:val="16"/>
      <w:lang w:eastAsia="en-US"/>
    </w:rPr>
  </w:style>
  <w:style w:type="paragraph" w:customStyle="1" w:styleId="Bodycopy">
    <w:name w:val="Body copy"/>
    <w:basedOn w:val="Normal"/>
    <w:rsid w:val="00BA5D0D"/>
    <w:pPr>
      <w:spacing w:after="113" w:line="240" w:lineRule="atLeast"/>
    </w:pPr>
    <w:rPr>
      <w:rFonts w:ascii="Arial" w:hAnsi="Arial"/>
      <w:sz w:val="20"/>
      <w:szCs w:val="24"/>
    </w:rPr>
  </w:style>
  <w:style w:type="paragraph" w:customStyle="1" w:styleId="BodycopyBold">
    <w:name w:val="Body copy Bold"/>
    <w:basedOn w:val="Normal"/>
    <w:semiHidden/>
    <w:rsid w:val="00BA5D0D"/>
    <w:pPr>
      <w:spacing w:after="113" w:line="240" w:lineRule="atLeast"/>
    </w:pPr>
    <w:rPr>
      <w:rFonts w:ascii="Times New Roman" w:hAnsi="Times New Roman"/>
      <w:b/>
      <w:sz w:val="20"/>
      <w:szCs w:val="24"/>
    </w:rPr>
  </w:style>
  <w:style w:type="paragraph" w:customStyle="1" w:styleId="Box">
    <w:name w:val="Box"/>
    <w:basedOn w:val="Bodycopy"/>
    <w:next w:val="Bodycopy"/>
    <w:qFormat/>
    <w:rsid w:val="00BA5D0D"/>
    <w:pPr>
      <w:spacing w:before="240" w:after="0" w:line="240" w:lineRule="auto"/>
      <w:ind w:left="851"/>
    </w:pPr>
    <w:rPr>
      <w:rFonts w:ascii="Calibri" w:hAnsi="Calibri"/>
      <w:b/>
      <w:sz w:val="22"/>
    </w:rPr>
  </w:style>
  <w:style w:type="character" w:styleId="CommentReference">
    <w:name w:val="annotation reference"/>
    <w:rsid w:val="00BA5D0D"/>
    <w:rPr>
      <w:sz w:val="16"/>
      <w:szCs w:val="16"/>
    </w:rPr>
  </w:style>
  <w:style w:type="paragraph" w:customStyle="1" w:styleId="DBluedk">
    <w:name w:val="D Blue dk"/>
    <w:basedOn w:val="Normal"/>
    <w:qFormat/>
    <w:rsid w:val="00BA5D0D"/>
    <w:pPr>
      <w:spacing w:before="320" w:after="120"/>
      <w:outlineLvl w:val="1"/>
    </w:pPr>
    <w:rPr>
      <w:rFonts w:ascii="Arial" w:eastAsia="Times" w:hAnsi="Arial"/>
      <w:b/>
      <w:noProof/>
      <w:color w:val="002776"/>
      <w:sz w:val="24"/>
      <w:szCs w:val="24"/>
      <w:lang w:val="en-US"/>
    </w:rPr>
  </w:style>
  <w:style w:type="paragraph" w:customStyle="1" w:styleId="DBody">
    <w:name w:val="DBody"/>
    <w:basedOn w:val="Normal"/>
    <w:rsid w:val="00BA5D0D"/>
    <w:pPr>
      <w:spacing w:after="113"/>
    </w:pPr>
    <w:rPr>
      <w:rFonts w:ascii="Arial" w:eastAsia="Times" w:hAnsi="Arial"/>
      <w:color w:val="333F7F"/>
      <w:sz w:val="20"/>
      <w:lang w:val="en-GB"/>
    </w:rPr>
  </w:style>
  <w:style w:type="paragraph" w:styleId="ListBullet">
    <w:name w:val="List Bullet"/>
    <w:basedOn w:val="Normal"/>
    <w:rsid w:val="00BA5D0D"/>
    <w:pPr>
      <w:numPr>
        <w:numId w:val="7"/>
      </w:numPr>
      <w:contextualSpacing/>
    </w:pPr>
  </w:style>
  <w:style w:type="paragraph" w:customStyle="1" w:styleId="DBullet">
    <w:name w:val="DBullet"/>
    <w:basedOn w:val="ListBullet"/>
    <w:rsid w:val="00BA5D0D"/>
    <w:pPr>
      <w:numPr>
        <w:numId w:val="8"/>
      </w:numPr>
      <w:spacing w:before="40" w:after="40"/>
      <w:contextualSpacing w:val="0"/>
    </w:pPr>
    <w:rPr>
      <w:rFonts w:ascii="Arial" w:hAnsi="Arial"/>
      <w:color w:val="333D7F"/>
      <w:szCs w:val="24"/>
    </w:rPr>
  </w:style>
  <w:style w:type="paragraph" w:customStyle="1" w:styleId="DHeading">
    <w:name w:val="DHeading"/>
    <w:basedOn w:val="Normal"/>
    <w:rsid w:val="00BA5D0D"/>
    <w:pPr>
      <w:autoSpaceDE w:val="0"/>
      <w:autoSpaceDN w:val="0"/>
      <w:adjustRightInd w:val="0"/>
      <w:spacing w:before="360" w:after="120"/>
      <w:ind w:firstLine="11"/>
    </w:pPr>
    <w:rPr>
      <w:rFonts w:eastAsia="Times"/>
      <w:color w:val="333F7F"/>
      <w:sz w:val="44"/>
      <w:szCs w:val="44"/>
      <w:lang w:val="en-GB"/>
    </w:rPr>
  </w:style>
  <w:style w:type="paragraph" w:customStyle="1" w:styleId="Keypoint">
    <w:name w:val="Keypoint"/>
    <w:basedOn w:val="Normal"/>
    <w:qFormat/>
    <w:rsid w:val="00BA5D0D"/>
    <w:pPr>
      <w:spacing w:before="600"/>
    </w:pPr>
    <w:rPr>
      <w:rFonts w:ascii="Times New Roman" w:hAnsi="Times New Roman"/>
      <w:color w:val="72C7E7"/>
      <w:sz w:val="32"/>
      <w:szCs w:val="24"/>
    </w:rPr>
  </w:style>
  <w:style w:type="paragraph" w:customStyle="1" w:styleId="Legalstatement">
    <w:name w:val="Legal statement"/>
    <w:basedOn w:val="Footer"/>
    <w:rsid w:val="00BA5D0D"/>
    <w:pPr>
      <w:tabs>
        <w:tab w:val="clear" w:pos="4513"/>
        <w:tab w:val="clear" w:pos="9026"/>
        <w:tab w:val="right" w:pos="9356"/>
      </w:tabs>
      <w:spacing w:before="120"/>
    </w:pPr>
    <w:rPr>
      <w:rFonts w:ascii="Arial" w:hAnsi="Arial" w:cs="Arial"/>
      <w:color w:val="000000"/>
      <w:sz w:val="14"/>
      <w:szCs w:val="16"/>
    </w:rPr>
  </w:style>
  <w:style w:type="paragraph" w:styleId="ListParagraph">
    <w:name w:val="List Paragraph"/>
    <w:basedOn w:val="Normal"/>
    <w:uiPriority w:val="34"/>
    <w:qFormat/>
    <w:rsid w:val="00BA5D0D"/>
    <w:pPr>
      <w:ind w:left="720"/>
      <w:contextualSpacing/>
    </w:pPr>
    <w:rPr>
      <w:rFonts w:ascii="Times New Roman" w:hAnsi="Times New Roman"/>
      <w:sz w:val="24"/>
      <w:szCs w:val="24"/>
    </w:rPr>
  </w:style>
  <w:style w:type="paragraph" w:customStyle="1" w:styleId="SignOffText">
    <w:name w:val="SignOff Text"/>
    <w:basedOn w:val="Normal"/>
    <w:next w:val="Normal"/>
    <w:rsid w:val="00BA5D0D"/>
    <w:pPr>
      <w:spacing w:before="480" w:after="1120"/>
    </w:pPr>
  </w:style>
  <w:style w:type="paragraph" w:customStyle="1" w:styleId="SignOffTextwithImage">
    <w:name w:val="SignOff Text with Image"/>
    <w:basedOn w:val="Normal"/>
    <w:rsid w:val="00BA5D0D"/>
    <w:pPr>
      <w:spacing w:before="480"/>
    </w:pPr>
  </w:style>
  <w:style w:type="paragraph" w:customStyle="1" w:styleId="Table">
    <w:name w:val="Table"/>
    <w:basedOn w:val="Bodycopy"/>
    <w:next w:val="Bodycopy"/>
    <w:qFormat/>
    <w:rsid w:val="00BA5D0D"/>
    <w:pPr>
      <w:spacing w:before="240" w:after="0" w:line="240" w:lineRule="auto"/>
      <w:ind w:left="851"/>
    </w:pPr>
    <w:rPr>
      <w:rFonts w:ascii="Calibri" w:hAnsi="Calibri"/>
      <w:b/>
      <w:sz w:val="22"/>
    </w:rPr>
  </w:style>
  <w:style w:type="character" w:customStyle="1" w:styleId="BodyTextChar">
    <w:name w:val="Body Text Char"/>
    <w:aliases w:val="bt Char"/>
    <w:link w:val="BodyText"/>
    <w:rsid w:val="00466921"/>
    <w:rPr>
      <w:rFonts w:ascii="Calibri" w:hAnsi="Calibri"/>
      <w:sz w:val="22"/>
      <w:lang w:eastAsia="en-US"/>
    </w:rPr>
  </w:style>
  <w:style w:type="paragraph" w:customStyle="1" w:styleId="ClientAddress">
    <w:name w:val="Client Address"/>
    <w:basedOn w:val="Heading2"/>
    <w:rsid w:val="00263D7B"/>
    <w:pPr>
      <w:numPr>
        <w:ilvl w:val="0"/>
        <w:numId w:val="0"/>
      </w:numPr>
      <w:spacing w:before="0"/>
      <w:outlineLvl w:val="9"/>
    </w:pPr>
    <w:rPr>
      <w:b w:val="0"/>
      <w:caps/>
      <w:color w:val="auto"/>
      <w:sz w:val="22"/>
      <w:szCs w:val="22"/>
    </w:rPr>
  </w:style>
  <w:style w:type="paragraph" w:customStyle="1" w:styleId="DocumentType">
    <w:name w:val="Document Type"/>
    <w:basedOn w:val="Normal"/>
    <w:rsid w:val="00263D7B"/>
    <w:pPr>
      <w:keepNext/>
      <w:keepLines/>
      <w:spacing w:before="120" w:after="120"/>
      <w:ind w:left="0" w:firstLine="0"/>
      <w:jc w:val="left"/>
      <w:outlineLvl w:val="0"/>
    </w:pPr>
    <w:rPr>
      <w:b/>
      <w:color w:val="002776"/>
      <w:kern w:val="28"/>
      <w:sz w:val="28"/>
      <w:szCs w:val="28"/>
    </w:rPr>
  </w:style>
  <w:style w:type="character" w:customStyle="1" w:styleId="AddressdetailsChar">
    <w:name w:val="Address details Char"/>
    <w:link w:val="Addressdetails"/>
    <w:rsid w:val="00263D7B"/>
    <w:rPr>
      <w:rFonts w:ascii="Arial" w:hAnsi="Arial"/>
      <w:sz w:val="15"/>
      <w:szCs w:val="24"/>
      <w:lang w:eastAsia="en-US"/>
    </w:rPr>
  </w:style>
  <w:style w:type="paragraph" w:customStyle="1" w:styleId="FooterDocName">
    <w:name w:val="Footer Doc Name"/>
    <w:basedOn w:val="Footer"/>
    <w:rsid w:val="00263D7B"/>
    <w:pPr>
      <w:tabs>
        <w:tab w:val="clear" w:pos="4513"/>
        <w:tab w:val="clear" w:pos="9026"/>
      </w:tabs>
      <w:spacing w:before="0"/>
      <w:ind w:left="0" w:firstLine="0"/>
      <w:jc w:val="left"/>
    </w:pPr>
    <w:rPr>
      <w:rFonts w:ascii="Arial Narrow" w:hAnsi="Arial Narrow"/>
      <w:noProof/>
      <w:sz w:val="9"/>
      <w:szCs w:val="9"/>
    </w:rPr>
  </w:style>
  <w:style w:type="character" w:customStyle="1" w:styleId="fieldvalue">
    <w:name w:val="fieldvalue"/>
    <w:basedOn w:val="DefaultParagraphFont"/>
    <w:rsid w:val="00A87246"/>
  </w:style>
  <w:style w:type="character" w:customStyle="1" w:styleId="HeadingCChar">
    <w:name w:val="Heading C Char"/>
    <w:link w:val="HeadingC"/>
    <w:rsid w:val="00100871"/>
    <w:rPr>
      <w:rFonts w:ascii="Calibri" w:hAnsi="Calibri"/>
      <w:b/>
      <w:color w:val="002776"/>
      <w:sz w:val="24"/>
      <w:szCs w:val="28"/>
      <w:lang w:eastAsia="en-US"/>
    </w:rPr>
  </w:style>
  <w:style w:type="paragraph" w:customStyle="1" w:styleId="BoxHeading">
    <w:name w:val="Box Heading"/>
    <w:basedOn w:val="Normal"/>
    <w:next w:val="Normal"/>
    <w:rsid w:val="00100871"/>
    <w:pPr>
      <w:keepNext/>
      <w:spacing w:before="120" w:after="120"/>
      <w:ind w:left="0" w:firstLine="0"/>
      <w:jc w:val="left"/>
    </w:pPr>
    <w:rPr>
      <w:rFonts w:ascii="Arial" w:hAnsi="Arial"/>
      <w:b/>
      <w:color w:val="000000"/>
      <w:lang w:eastAsia="en-AU"/>
    </w:rPr>
  </w:style>
  <w:style w:type="paragraph" w:styleId="BodyTextIndent3">
    <w:name w:val="Body Text Indent 3"/>
    <w:basedOn w:val="Normal"/>
    <w:rsid w:val="00E54A89"/>
    <w:pPr>
      <w:spacing w:after="120"/>
      <w:ind w:left="283"/>
    </w:pPr>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Calibri" w:hAnsi="Calibri"/>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footer" w:uiPriority="99"/>
    <w:lsdException w:name="index heading" w:semiHidden="1"/>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5D0D"/>
    <w:pPr>
      <w:spacing w:before="60"/>
      <w:ind w:left="567" w:hanging="567"/>
      <w:jc w:val="both"/>
    </w:pPr>
    <w:rPr>
      <w:rFonts w:ascii="Calibri" w:hAnsi="Calibri"/>
      <w:sz w:val="22"/>
      <w:lang w:val="en-AU" w:eastAsia="en-US"/>
    </w:rPr>
  </w:style>
  <w:style w:type="paragraph" w:styleId="Heading1">
    <w:name w:val="heading 1"/>
    <w:next w:val="BodyText"/>
    <w:qFormat/>
    <w:rsid w:val="00BA5D0D"/>
    <w:pPr>
      <w:keepNext/>
      <w:keepLines/>
      <w:pageBreakBefore/>
      <w:numPr>
        <w:numId w:val="9"/>
      </w:numPr>
      <w:spacing w:before="360"/>
      <w:jc w:val="both"/>
      <w:outlineLvl w:val="0"/>
    </w:pPr>
    <w:rPr>
      <w:rFonts w:ascii="Calibri" w:hAnsi="Calibri"/>
      <w:b/>
      <w:color w:val="002776"/>
      <w:kern w:val="28"/>
      <w:sz w:val="56"/>
      <w:lang w:val="en-AU" w:eastAsia="en-US"/>
    </w:rPr>
  </w:style>
  <w:style w:type="paragraph" w:styleId="Heading2">
    <w:name w:val="heading 2"/>
    <w:basedOn w:val="Normal"/>
    <w:next w:val="BodyText"/>
    <w:qFormat/>
    <w:rsid w:val="00BA5D0D"/>
    <w:pPr>
      <w:keepNext/>
      <w:numPr>
        <w:ilvl w:val="1"/>
        <w:numId w:val="9"/>
      </w:numPr>
      <w:tabs>
        <w:tab w:val="left" w:pos="851"/>
      </w:tabs>
      <w:spacing w:before="240"/>
      <w:outlineLvl w:val="1"/>
    </w:pPr>
    <w:rPr>
      <w:b/>
      <w:color w:val="00A1DE"/>
      <w:sz w:val="40"/>
      <w:szCs w:val="28"/>
    </w:rPr>
  </w:style>
  <w:style w:type="paragraph" w:styleId="Heading3">
    <w:name w:val="heading 3"/>
    <w:basedOn w:val="Normal"/>
    <w:next w:val="BodyText"/>
    <w:qFormat/>
    <w:rsid w:val="00BA5D0D"/>
    <w:pPr>
      <w:keepNext/>
      <w:numPr>
        <w:ilvl w:val="2"/>
        <w:numId w:val="9"/>
      </w:numPr>
      <w:spacing w:before="240"/>
      <w:outlineLvl w:val="2"/>
    </w:pPr>
    <w:rPr>
      <w:color w:val="00A1DE"/>
      <w:sz w:val="28"/>
    </w:rPr>
  </w:style>
  <w:style w:type="paragraph" w:styleId="Heading4">
    <w:name w:val="heading 4"/>
    <w:basedOn w:val="Normal"/>
    <w:next w:val="BodyText"/>
    <w:qFormat/>
    <w:rsid w:val="00BA5D0D"/>
    <w:pPr>
      <w:keepNext/>
      <w:numPr>
        <w:ilvl w:val="3"/>
        <w:numId w:val="9"/>
      </w:numPr>
      <w:spacing w:before="180" w:after="60"/>
      <w:outlineLvl w:val="3"/>
    </w:pPr>
    <w:rPr>
      <w:b/>
      <w:color w:val="00A1DE"/>
      <w:sz w:val="24"/>
      <w:szCs w:val="24"/>
    </w:rPr>
  </w:style>
  <w:style w:type="paragraph" w:styleId="Heading5">
    <w:name w:val="heading 5"/>
    <w:basedOn w:val="Normal"/>
    <w:next w:val="BodyText"/>
    <w:qFormat/>
    <w:rsid w:val="00BA5D0D"/>
    <w:pPr>
      <w:keepNext/>
      <w:numPr>
        <w:ilvl w:val="4"/>
        <w:numId w:val="9"/>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BA5D0D"/>
    <w:pPr>
      <w:outlineLvl w:val="5"/>
    </w:pPr>
    <w:rPr>
      <w:rFonts w:ascii="Arial Bold" w:hAnsi="Arial Bold"/>
      <w:b/>
      <w:color w:val="931638"/>
      <w:szCs w:val="22"/>
    </w:rPr>
  </w:style>
  <w:style w:type="paragraph" w:styleId="Heading7">
    <w:name w:val="heading 7"/>
    <w:basedOn w:val="Normal"/>
    <w:next w:val="BodyText"/>
    <w:qFormat/>
    <w:rsid w:val="00BA5D0D"/>
    <w:pPr>
      <w:outlineLvl w:val="6"/>
    </w:pPr>
    <w:rPr>
      <w:color w:val="931638"/>
      <w:szCs w:val="24"/>
    </w:rPr>
  </w:style>
  <w:style w:type="paragraph" w:styleId="Heading8">
    <w:name w:val="heading 8"/>
    <w:basedOn w:val="Normal"/>
    <w:next w:val="BodyText"/>
    <w:qFormat/>
    <w:rsid w:val="00BA5D0D"/>
    <w:pPr>
      <w:spacing w:before="180"/>
      <w:outlineLvl w:val="7"/>
    </w:pPr>
    <w:rPr>
      <w:color w:val="931638"/>
    </w:rPr>
  </w:style>
  <w:style w:type="paragraph" w:styleId="Heading9">
    <w:name w:val="heading 9"/>
    <w:basedOn w:val="Normal"/>
    <w:next w:val="BodyText"/>
    <w:qFormat/>
    <w:rsid w:val="00BA5D0D"/>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466921"/>
    <w:pPr>
      <w:spacing w:before="240"/>
      <w:ind w:left="0" w:firstLine="0"/>
    </w:pPr>
  </w:style>
  <w:style w:type="paragraph" w:customStyle="1" w:styleId="TableHeadingLeft">
    <w:name w:val="Table Heading Left"/>
    <w:basedOn w:val="Normal"/>
    <w:qFormat/>
    <w:rsid w:val="00BA5D0D"/>
    <w:pPr>
      <w:keepNext/>
      <w:keepLines/>
      <w:spacing w:before="20" w:after="20"/>
    </w:pPr>
    <w:rPr>
      <w:b/>
      <w:color w:val="002776"/>
    </w:rPr>
  </w:style>
  <w:style w:type="paragraph" w:customStyle="1" w:styleId="TableHeadingRight">
    <w:name w:val="Table Heading Right"/>
    <w:basedOn w:val="Normal"/>
    <w:qFormat/>
    <w:rsid w:val="00BA5D0D"/>
    <w:pPr>
      <w:keepNext/>
      <w:keepLines/>
      <w:spacing w:before="20" w:after="20"/>
      <w:jc w:val="right"/>
    </w:pPr>
    <w:rPr>
      <w:b/>
      <w:color w:val="002776"/>
    </w:rPr>
  </w:style>
  <w:style w:type="paragraph" w:customStyle="1" w:styleId="SingleLeft">
    <w:name w:val="Single Left"/>
    <w:basedOn w:val="Normal"/>
    <w:qFormat/>
    <w:rsid w:val="00BA5D0D"/>
  </w:style>
  <w:style w:type="paragraph" w:customStyle="1" w:styleId="TabletextCentre">
    <w:name w:val="Table text Centre"/>
    <w:basedOn w:val="Normal"/>
    <w:qFormat/>
    <w:rsid w:val="00BA5D0D"/>
    <w:pPr>
      <w:jc w:val="center"/>
    </w:pPr>
    <w:rPr>
      <w:rFonts w:cs="Arial"/>
      <w:sz w:val="20"/>
    </w:rPr>
  </w:style>
  <w:style w:type="paragraph" w:customStyle="1" w:styleId="TabletextRight">
    <w:name w:val="Table text Right"/>
    <w:basedOn w:val="Normal"/>
    <w:qFormat/>
    <w:rsid w:val="00BA5D0D"/>
    <w:pPr>
      <w:jc w:val="right"/>
    </w:pPr>
    <w:rPr>
      <w:sz w:val="20"/>
    </w:rPr>
  </w:style>
  <w:style w:type="paragraph" w:customStyle="1" w:styleId="IndentParaGreySource">
    <w:name w:val="Indent Para Grey Source"/>
    <w:basedOn w:val="IndentParaGrey"/>
    <w:qFormat/>
    <w:rsid w:val="00BA5D0D"/>
    <w:pPr>
      <w:keepNext w:val="0"/>
    </w:pPr>
    <w:rPr>
      <w:rFonts w:cs="Arial"/>
      <w:sz w:val="18"/>
    </w:rPr>
  </w:style>
  <w:style w:type="paragraph" w:customStyle="1" w:styleId="IndentParaGrey">
    <w:name w:val="Indent Para Grey"/>
    <w:basedOn w:val="IndentPara"/>
    <w:next w:val="Normal"/>
    <w:rsid w:val="00BA5D0D"/>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BA5D0D"/>
    <w:pPr>
      <w:spacing w:before="240"/>
      <w:ind w:right="567"/>
    </w:pPr>
  </w:style>
  <w:style w:type="paragraph" w:customStyle="1" w:styleId="IndentParaGreyBullet">
    <w:name w:val="Indent Para Grey Bullet"/>
    <w:basedOn w:val="IndentParaGrey"/>
    <w:qFormat/>
    <w:rsid w:val="00BA5D0D"/>
    <w:pPr>
      <w:numPr>
        <w:numId w:val="12"/>
      </w:numPr>
      <w:tabs>
        <w:tab w:val="left" w:pos="1134"/>
      </w:tabs>
      <w:spacing w:after="60"/>
    </w:pPr>
    <w:rPr>
      <w:rFonts w:cs="Arial"/>
    </w:rPr>
  </w:style>
  <w:style w:type="paragraph" w:styleId="Header">
    <w:name w:val="header"/>
    <w:basedOn w:val="Normal"/>
    <w:link w:val="HeaderChar"/>
    <w:rsid w:val="00BA5D0D"/>
    <w:pPr>
      <w:jc w:val="right"/>
    </w:pPr>
    <w:rPr>
      <w:color w:val="595959"/>
    </w:rPr>
  </w:style>
  <w:style w:type="paragraph" w:customStyle="1" w:styleId="BoldPara">
    <w:name w:val="Bold Para"/>
    <w:basedOn w:val="Normal"/>
    <w:next w:val="BodyText"/>
    <w:rsid w:val="00BA5D0D"/>
    <w:pPr>
      <w:spacing w:before="240"/>
    </w:pPr>
    <w:rPr>
      <w:b/>
      <w:color w:val="002776"/>
      <w:szCs w:val="24"/>
    </w:rPr>
  </w:style>
  <w:style w:type="character" w:styleId="PageNumber">
    <w:name w:val="page number"/>
    <w:rsid w:val="00BA5D0D"/>
    <w:rPr>
      <w:rFonts w:ascii="Calibri" w:hAnsi="Calibri"/>
      <w:color w:val="auto"/>
      <w:sz w:val="18"/>
      <w:szCs w:val="18"/>
    </w:rPr>
  </w:style>
  <w:style w:type="paragraph" w:customStyle="1" w:styleId="Bullet1">
    <w:name w:val="Bullet 1"/>
    <w:basedOn w:val="Normal"/>
    <w:rsid w:val="00B34B7B"/>
    <w:pPr>
      <w:numPr>
        <w:numId w:val="3"/>
      </w:numPr>
      <w:ind w:left="567" w:hanging="567"/>
    </w:pPr>
    <w:rPr>
      <w:rFonts w:cs="Arial"/>
      <w:lang w:eastAsia="en-AU"/>
    </w:rPr>
  </w:style>
  <w:style w:type="paragraph" w:customStyle="1" w:styleId="BoxedHighlight">
    <w:name w:val="Boxed Highlight"/>
    <w:basedOn w:val="IndentPara"/>
    <w:next w:val="BodyText"/>
    <w:rsid w:val="00BA5D0D"/>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BA5D0D"/>
    <w:rPr>
      <w:rFonts w:ascii="Swis721 Md BT" w:hAnsi="Swis721 Md BT"/>
      <w:b/>
      <w:color w:val="000000"/>
      <w:sz w:val="16"/>
      <w:szCs w:val="16"/>
    </w:rPr>
  </w:style>
  <w:style w:type="character" w:styleId="FootnoteReference">
    <w:name w:val="footnote reference"/>
    <w:semiHidden/>
    <w:rsid w:val="00BA5D0D"/>
    <w:rPr>
      <w:rFonts w:ascii="Arial" w:hAnsi="Arial"/>
      <w:sz w:val="18"/>
      <w:szCs w:val="24"/>
      <w:vertAlign w:val="superscript"/>
    </w:rPr>
  </w:style>
  <w:style w:type="table" w:customStyle="1" w:styleId="TableAE">
    <w:name w:val="Table AE"/>
    <w:basedOn w:val="TableNormal"/>
    <w:uiPriority w:val="99"/>
    <w:rsid w:val="00BA5D0D"/>
    <w:rPr>
      <w:rFonts w:ascii="Arial" w:hAnsi="Arial"/>
    </w:rPr>
    <w:tblPr>
      <w:jc w:val="center"/>
      <w:tblInd w:w="0" w:type="dxa"/>
      <w:tblBorders>
        <w:bottom w:val="single" w:sz="12" w:space="0" w:color="00277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BA5D0D"/>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BA5D0D"/>
    <w:pPr>
      <w:tabs>
        <w:tab w:val="left" w:pos="1134"/>
      </w:tabs>
      <w:spacing w:before="240"/>
      <w:ind w:right="567"/>
    </w:pPr>
    <w:rPr>
      <w:i/>
      <w:color w:val="595959"/>
    </w:rPr>
  </w:style>
  <w:style w:type="paragraph" w:customStyle="1" w:styleId="TableHeadingCentre">
    <w:name w:val="Table Heading Centre"/>
    <w:basedOn w:val="Normal"/>
    <w:rsid w:val="00BA5D0D"/>
    <w:pPr>
      <w:keepNext/>
      <w:keepLines/>
      <w:spacing w:before="20" w:after="20"/>
      <w:jc w:val="center"/>
    </w:pPr>
    <w:rPr>
      <w:b/>
      <w:color w:val="002776"/>
      <w:szCs w:val="22"/>
    </w:rPr>
  </w:style>
  <w:style w:type="paragraph" w:customStyle="1" w:styleId="Equation">
    <w:name w:val="Equation"/>
    <w:basedOn w:val="Normal"/>
    <w:next w:val="Normal"/>
    <w:rsid w:val="00BA5D0D"/>
    <w:pPr>
      <w:spacing w:before="240"/>
      <w:jc w:val="center"/>
    </w:pPr>
    <w:rPr>
      <w:rFonts w:ascii="Times New Roman" w:hAnsi="Times New Roman"/>
      <w:i/>
      <w:sz w:val="24"/>
      <w:szCs w:val="24"/>
    </w:rPr>
  </w:style>
  <w:style w:type="paragraph" w:customStyle="1" w:styleId="Contents-Major">
    <w:name w:val="Contents - Major"/>
    <w:basedOn w:val="Normal"/>
    <w:rsid w:val="00BA5D0D"/>
    <w:pPr>
      <w:keepNext/>
      <w:spacing w:after="200"/>
    </w:pPr>
    <w:rPr>
      <w:color w:val="002776"/>
      <w:sz w:val="56"/>
      <w:szCs w:val="32"/>
    </w:rPr>
  </w:style>
  <w:style w:type="paragraph" w:customStyle="1" w:styleId="Reference">
    <w:name w:val="Reference"/>
    <w:basedOn w:val="Normal"/>
    <w:rsid w:val="00BA5D0D"/>
    <w:pPr>
      <w:spacing w:before="240" w:after="240"/>
    </w:pPr>
  </w:style>
  <w:style w:type="paragraph" w:styleId="TOC1">
    <w:name w:val="toc 1"/>
    <w:basedOn w:val="Normal"/>
    <w:next w:val="Normal"/>
    <w:uiPriority w:val="39"/>
    <w:rsid w:val="00BA5D0D"/>
    <w:pPr>
      <w:tabs>
        <w:tab w:val="left" w:pos="567"/>
        <w:tab w:val="right" w:leader="dot" w:pos="8505"/>
      </w:tabs>
      <w:spacing w:before="120"/>
    </w:pPr>
    <w:rPr>
      <w:rFonts w:cs="Arial"/>
      <w:szCs w:val="22"/>
    </w:rPr>
  </w:style>
  <w:style w:type="paragraph" w:styleId="TOC2">
    <w:name w:val="toc 2"/>
    <w:basedOn w:val="Normal"/>
    <w:next w:val="Normal"/>
    <w:uiPriority w:val="39"/>
    <w:rsid w:val="00BA5D0D"/>
    <w:pPr>
      <w:tabs>
        <w:tab w:val="left" w:pos="1134"/>
        <w:tab w:val="right" w:leader="dot" w:pos="8505"/>
      </w:tabs>
      <w:ind w:left="1134" w:right="567"/>
    </w:pPr>
    <w:rPr>
      <w:noProof/>
      <w:sz w:val="20"/>
    </w:rPr>
  </w:style>
  <w:style w:type="paragraph" w:styleId="TOC3">
    <w:name w:val="toc 3"/>
    <w:basedOn w:val="Normal"/>
    <w:next w:val="Normal"/>
    <w:autoRedefine/>
    <w:uiPriority w:val="39"/>
    <w:unhideWhenUsed/>
    <w:rsid w:val="00BA5D0D"/>
    <w:pPr>
      <w:tabs>
        <w:tab w:val="left" w:pos="1985"/>
        <w:tab w:val="right" w:leader="dot" w:pos="8505"/>
      </w:tabs>
      <w:spacing w:after="100" w:line="276" w:lineRule="auto"/>
      <w:ind w:left="2268" w:hanging="1134"/>
    </w:pPr>
    <w:rPr>
      <w:rFonts w:eastAsia="Calibri"/>
      <w:sz w:val="20"/>
      <w:szCs w:val="22"/>
    </w:rPr>
  </w:style>
  <w:style w:type="character" w:styleId="Hyperlink">
    <w:name w:val="Hyperlink"/>
    <w:basedOn w:val="DefaultParagraphFont"/>
    <w:uiPriority w:val="99"/>
    <w:rsid w:val="00BA5D0D"/>
  </w:style>
  <w:style w:type="paragraph" w:customStyle="1" w:styleId="FooterOdd">
    <w:name w:val="Footer Odd"/>
    <w:basedOn w:val="Normal"/>
    <w:qFormat/>
    <w:rsid w:val="00BA5D0D"/>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BA5D0D"/>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BA5D0D"/>
    <w:pPr>
      <w:numPr>
        <w:numId w:val="14"/>
      </w:numPr>
    </w:pPr>
    <w:rPr>
      <w:rFonts w:cs="Arial"/>
    </w:rPr>
  </w:style>
  <w:style w:type="paragraph" w:styleId="Caption">
    <w:name w:val="caption"/>
    <w:basedOn w:val="Normal"/>
    <w:next w:val="Normal"/>
    <w:qFormat/>
    <w:rsid w:val="00BA5D0D"/>
    <w:pPr>
      <w:keepNext/>
      <w:keepLines/>
      <w:spacing w:before="240" w:after="240"/>
      <w:jc w:val="center"/>
    </w:pPr>
    <w:rPr>
      <w:b/>
      <w:bCs/>
      <w:color w:val="931638"/>
      <w:szCs w:val="22"/>
    </w:rPr>
  </w:style>
  <w:style w:type="paragraph" w:customStyle="1" w:styleId="Note">
    <w:name w:val="Note"/>
    <w:basedOn w:val="Normal"/>
    <w:rsid w:val="00BA5D0D"/>
    <w:pPr>
      <w:spacing w:after="120"/>
    </w:pPr>
    <w:rPr>
      <w:sz w:val="18"/>
    </w:rPr>
  </w:style>
  <w:style w:type="paragraph" w:customStyle="1" w:styleId="MajorHeading">
    <w:name w:val="Major Heading"/>
    <w:basedOn w:val="Normal"/>
    <w:next w:val="Normal"/>
    <w:rsid w:val="00BA5D0D"/>
    <w:pPr>
      <w:pageBreakBefore/>
      <w:numPr>
        <w:numId w:val="13"/>
      </w:numPr>
      <w:spacing w:after="120"/>
    </w:pPr>
    <w:rPr>
      <w:rFonts w:cs="Arial"/>
      <w:b/>
      <w:color w:val="002776"/>
      <w:sz w:val="56"/>
    </w:rPr>
  </w:style>
  <w:style w:type="paragraph" w:styleId="TableofFigures">
    <w:name w:val="table of figures"/>
    <w:basedOn w:val="Normal"/>
    <w:next w:val="Normal"/>
    <w:uiPriority w:val="99"/>
    <w:rsid w:val="00BA5D0D"/>
    <w:pPr>
      <w:tabs>
        <w:tab w:val="right" w:leader="dot" w:pos="8505"/>
      </w:tabs>
      <w:ind w:right="567"/>
    </w:pPr>
    <w:rPr>
      <w:szCs w:val="22"/>
    </w:rPr>
  </w:style>
  <w:style w:type="paragraph" w:customStyle="1" w:styleId="TabletextLeft">
    <w:name w:val="Table text Left"/>
    <w:basedOn w:val="Normal"/>
    <w:rsid w:val="00BA5D0D"/>
    <w:rPr>
      <w:sz w:val="20"/>
    </w:rPr>
  </w:style>
  <w:style w:type="table" w:customStyle="1" w:styleId="TableGridWithoutTotals">
    <w:name w:val="Table Grid Without Totals"/>
    <w:basedOn w:val="TableNormal"/>
    <w:rsid w:val="00BA5D0D"/>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BA5D0D"/>
    <w:tblPr>
      <w:tblInd w:w="0" w:type="dxa"/>
      <w:tblCellMar>
        <w:top w:w="0" w:type="dxa"/>
        <w:left w:w="108" w:type="dxa"/>
        <w:bottom w:w="0" w:type="dxa"/>
        <w:right w:w="108" w:type="dxa"/>
      </w:tblCellMar>
    </w:tblPr>
    <w:trPr>
      <w:cantSplit/>
    </w:trPr>
  </w:style>
  <w:style w:type="paragraph" w:customStyle="1" w:styleId="Tabletotals">
    <w:name w:val="Table totals"/>
    <w:basedOn w:val="Normal"/>
    <w:rsid w:val="00BA5D0D"/>
    <w:pPr>
      <w:keepNext/>
      <w:keepLines/>
      <w:ind w:left="142"/>
    </w:pPr>
  </w:style>
  <w:style w:type="table" w:customStyle="1" w:styleId="TableTwoHeadingRows">
    <w:name w:val="Table Two Heading Rows"/>
    <w:basedOn w:val="TableNormal"/>
    <w:rsid w:val="00BA5D0D"/>
    <w:rPr>
      <w:rFonts w:ascii="Arial" w:hAnsi="Arial"/>
    </w:rPr>
    <w:tblPr>
      <w:tblInd w:w="0" w:type="dxa"/>
      <w:tblCellMar>
        <w:top w:w="0" w:type="dxa"/>
        <w:left w:w="108" w:type="dxa"/>
        <w:bottom w:w="0" w:type="dxa"/>
        <w:right w:w="108" w:type="dxa"/>
      </w:tblCellMa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BA5D0D"/>
    <w:pPr>
      <w:ind w:left="-227" w:right="357"/>
    </w:pPr>
    <w:rPr>
      <w:sz w:val="18"/>
    </w:rPr>
  </w:style>
  <w:style w:type="paragraph" w:customStyle="1" w:styleId="Appendix">
    <w:name w:val="Appendix"/>
    <w:basedOn w:val="Normal"/>
    <w:next w:val="Normal"/>
    <w:rsid w:val="00BA5D0D"/>
    <w:pPr>
      <w:keepNext/>
      <w:pageBreakBefore/>
      <w:numPr>
        <w:numId w:val="2"/>
      </w:numPr>
      <w:spacing w:before="360" w:after="180"/>
    </w:pPr>
    <w:rPr>
      <w:b/>
      <w:color w:val="002776"/>
      <w:sz w:val="56"/>
      <w:szCs w:val="28"/>
    </w:rPr>
  </w:style>
  <w:style w:type="paragraph" w:customStyle="1" w:styleId="Source">
    <w:name w:val="Source"/>
    <w:basedOn w:val="Note"/>
    <w:qFormat/>
    <w:rsid w:val="00BA5D0D"/>
    <w:pPr>
      <w:spacing w:before="0"/>
    </w:pPr>
    <w:rPr>
      <w:rFonts w:cs="Arial"/>
    </w:rPr>
  </w:style>
  <w:style w:type="paragraph" w:customStyle="1" w:styleId="HeaderLine2">
    <w:name w:val="Header Line 2"/>
    <w:basedOn w:val="Header"/>
    <w:qFormat/>
    <w:rsid w:val="00BA5D0D"/>
    <w:pPr>
      <w:pBdr>
        <w:top w:val="single" w:sz="4" w:space="1" w:color="931638"/>
      </w:pBdr>
    </w:pPr>
  </w:style>
  <w:style w:type="paragraph" w:customStyle="1" w:styleId="DisclaimerText">
    <w:name w:val="DisclaimerText"/>
    <w:basedOn w:val="Normal"/>
    <w:rsid w:val="00BA5D0D"/>
    <w:pPr>
      <w:spacing w:before="20"/>
    </w:pPr>
    <w:rPr>
      <w:rFonts w:ascii="Swis721 Md BT" w:hAnsi="Swis721 Md BT"/>
      <w:color w:val="000000"/>
      <w:sz w:val="16"/>
      <w:szCs w:val="16"/>
    </w:rPr>
  </w:style>
  <w:style w:type="paragraph" w:customStyle="1" w:styleId="FooterLandscape">
    <w:name w:val="FooterLandscape"/>
    <w:basedOn w:val="Normal"/>
    <w:rsid w:val="00BA5D0D"/>
    <w:pPr>
      <w:tabs>
        <w:tab w:val="right" w:pos="14031"/>
      </w:tabs>
      <w:ind w:left="-454" w:right="142"/>
    </w:pPr>
    <w:rPr>
      <w:rFonts w:ascii="Swis721 LtCn BT" w:hAnsi="Swis721 LtCn BT"/>
      <w:sz w:val="18"/>
    </w:rPr>
  </w:style>
  <w:style w:type="paragraph" w:customStyle="1" w:styleId="ReportTitle">
    <w:name w:val="Report Title"/>
    <w:basedOn w:val="Normal"/>
    <w:qFormat/>
    <w:rsid w:val="00BA5D0D"/>
    <w:pPr>
      <w:framePr w:hSpace="181" w:wrap="around" w:vAnchor="page" w:hAnchor="margin" w:y="3403"/>
      <w:suppressOverlap/>
    </w:pPr>
    <w:rPr>
      <w:color w:val="002776"/>
      <w:sz w:val="72"/>
      <w:szCs w:val="56"/>
    </w:rPr>
  </w:style>
  <w:style w:type="paragraph" w:customStyle="1" w:styleId="SubHeading">
    <w:name w:val="Sub Heading"/>
    <w:basedOn w:val="Normal"/>
    <w:qFormat/>
    <w:rsid w:val="00BA5D0D"/>
    <w:pPr>
      <w:keepNext/>
      <w:spacing w:before="360" w:after="60"/>
    </w:pPr>
    <w:rPr>
      <w:rFonts w:cs="Arial"/>
      <w:b/>
      <w:color w:val="931638"/>
    </w:rPr>
  </w:style>
  <w:style w:type="character" w:styleId="Strong">
    <w:name w:val="Strong"/>
    <w:uiPriority w:val="22"/>
    <w:qFormat/>
    <w:rsid w:val="00BA5D0D"/>
    <w:rPr>
      <w:b/>
      <w:bCs/>
    </w:rPr>
  </w:style>
  <w:style w:type="character" w:styleId="Emphasis">
    <w:name w:val="Emphasis"/>
    <w:qFormat/>
    <w:rsid w:val="00BA5D0D"/>
    <w:rPr>
      <w:i/>
      <w:iCs/>
    </w:rPr>
  </w:style>
  <w:style w:type="paragraph" w:styleId="CommentSubject">
    <w:name w:val="annotation subject"/>
    <w:basedOn w:val="Normal"/>
    <w:semiHidden/>
    <w:rsid w:val="00BA5D0D"/>
    <w:rPr>
      <w:b/>
      <w:bCs/>
      <w:sz w:val="20"/>
    </w:rPr>
  </w:style>
  <w:style w:type="paragraph" w:styleId="Revision">
    <w:name w:val="Revision"/>
    <w:hidden/>
    <w:uiPriority w:val="99"/>
    <w:semiHidden/>
    <w:rsid w:val="00721EC7"/>
    <w:pPr>
      <w:spacing w:before="240"/>
      <w:ind w:left="567" w:hanging="567"/>
      <w:jc w:val="both"/>
    </w:pPr>
    <w:rPr>
      <w:rFonts w:ascii="Arial" w:hAnsi="Arial"/>
      <w:sz w:val="22"/>
      <w:lang w:val="en-AU" w:eastAsia="en-US"/>
    </w:rPr>
  </w:style>
  <w:style w:type="paragraph" w:customStyle="1" w:styleId="Bullet2">
    <w:name w:val="Bullet 2"/>
    <w:basedOn w:val="Normal"/>
    <w:qFormat/>
    <w:rsid w:val="00B34B7B"/>
    <w:pPr>
      <w:numPr>
        <w:numId w:val="4"/>
      </w:numPr>
      <w:ind w:left="1134" w:hanging="567"/>
    </w:pPr>
  </w:style>
  <w:style w:type="paragraph" w:customStyle="1" w:styleId="Bullet3">
    <w:name w:val="Bullet 3"/>
    <w:basedOn w:val="Normal"/>
    <w:qFormat/>
    <w:rsid w:val="00B34B7B"/>
    <w:pPr>
      <w:numPr>
        <w:numId w:val="5"/>
      </w:numPr>
      <w:ind w:left="1701" w:hanging="567"/>
    </w:pPr>
  </w:style>
  <w:style w:type="paragraph" w:customStyle="1" w:styleId="FooterSecurity">
    <w:name w:val="Footer Security"/>
    <w:basedOn w:val="Normal"/>
    <w:qFormat/>
    <w:rsid w:val="00BA5D0D"/>
    <w:pPr>
      <w:jc w:val="center"/>
    </w:pPr>
    <w:rPr>
      <w:rFonts w:cs="Arial"/>
      <w:color w:val="7A7A78"/>
      <w:sz w:val="24"/>
      <w:szCs w:val="16"/>
    </w:rPr>
  </w:style>
  <w:style w:type="paragraph" w:customStyle="1" w:styleId="ReportDate">
    <w:name w:val="Report Date"/>
    <w:basedOn w:val="Normal"/>
    <w:qFormat/>
    <w:rsid w:val="00BA5D0D"/>
    <w:rPr>
      <w:color w:val="92D400"/>
      <w:sz w:val="28"/>
      <w:szCs w:val="28"/>
    </w:rPr>
  </w:style>
  <w:style w:type="paragraph" w:customStyle="1" w:styleId="ReportBy">
    <w:name w:val="Report By"/>
    <w:basedOn w:val="Normal"/>
    <w:qFormat/>
    <w:rsid w:val="00BA5D0D"/>
    <w:pPr>
      <w:spacing w:line="360" w:lineRule="auto"/>
    </w:pPr>
    <w:rPr>
      <w:rFonts w:cs="Arial"/>
      <w:color w:val="931638"/>
      <w:sz w:val="24"/>
      <w:szCs w:val="28"/>
    </w:rPr>
  </w:style>
  <w:style w:type="paragraph" w:customStyle="1" w:styleId="ReportCompany">
    <w:name w:val="Report Company"/>
    <w:basedOn w:val="Normal"/>
    <w:qFormat/>
    <w:rsid w:val="00BA5D0D"/>
    <w:rPr>
      <w:rFonts w:cs="Arial"/>
      <w:color w:val="92D400"/>
      <w:sz w:val="56"/>
      <w:szCs w:val="56"/>
    </w:rPr>
  </w:style>
  <w:style w:type="paragraph" w:customStyle="1" w:styleId="BodyText-Centred">
    <w:name w:val="BodyText - Centred"/>
    <w:basedOn w:val="Normal"/>
    <w:qFormat/>
    <w:rsid w:val="00BA5D0D"/>
    <w:pPr>
      <w:spacing w:before="240"/>
      <w:jc w:val="center"/>
    </w:pPr>
    <w:rPr>
      <w:noProof/>
      <w:sz w:val="24"/>
      <w:lang w:eastAsia="en-AU"/>
    </w:rPr>
  </w:style>
  <w:style w:type="paragraph" w:customStyle="1" w:styleId="FooterLine1">
    <w:name w:val="Footer Line 1"/>
    <w:basedOn w:val="Normal"/>
    <w:qFormat/>
    <w:rsid w:val="00BA5D0D"/>
    <w:pPr>
      <w:jc w:val="right"/>
    </w:pPr>
    <w:rPr>
      <w:sz w:val="18"/>
    </w:rPr>
  </w:style>
  <w:style w:type="paragraph" w:customStyle="1" w:styleId="Glossarytext">
    <w:name w:val="Glossary text"/>
    <w:basedOn w:val="Normal"/>
    <w:qFormat/>
    <w:rsid w:val="00BA5D0D"/>
    <w:pPr>
      <w:spacing w:before="120"/>
      <w:contextualSpacing/>
    </w:pPr>
    <w:rPr>
      <w:rFonts w:cs="Arial"/>
    </w:rPr>
  </w:style>
  <w:style w:type="paragraph" w:customStyle="1" w:styleId="GlossaryAbbreviation">
    <w:name w:val="Glossary Abbreviation"/>
    <w:basedOn w:val="Normal"/>
    <w:qFormat/>
    <w:rsid w:val="00BA5D0D"/>
    <w:pPr>
      <w:spacing w:before="120"/>
    </w:pPr>
    <w:rPr>
      <w:rFonts w:cs="Arial"/>
      <w:caps/>
    </w:rPr>
  </w:style>
  <w:style w:type="table" w:customStyle="1" w:styleId="TableAEGrey">
    <w:name w:val="Table AE Grey"/>
    <w:basedOn w:val="TableAE"/>
    <w:rsid w:val="00BA5D0D"/>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A5D0D"/>
    <w:rPr>
      <w:color w:val="931638"/>
    </w:rPr>
  </w:style>
  <w:style w:type="table" w:customStyle="1" w:styleId="TableAEGreyTotals">
    <w:name w:val="Table AE Grey Totals"/>
    <w:basedOn w:val="TableAEGrey"/>
    <w:rsid w:val="00BA5D0D"/>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BA5D0D"/>
    <w:pPr>
      <w:keepNext/>
      <w:spacing w:after="200"/>
    </w:pPr>
    <w:rPr>
      <w:b/>
      <w:color w:val="002776"/>
      <w:sz w:val="56"/>
    </w:rPr>
  </w:style>
  <w:style w:type="table" w:customStyle="1" w:styleId="TableAEGlossary">
    <w:name w:val="Table AE Glossary"/>
    <w:basedOn w:val="TableNormal"/>
    <w:uiPriority w:val="99"/>
    <w:qFormat/>
    <w:rsid w:val="00BA5D0D"/>
    <w:tblPr>
      <w:tblInd w:w="0" w:type="dxa"/>
      <w:tblBorders>
        <w:top w:val="single" w:sz="4" w:space="0" w:color="931638"/>
        <w:bottom w:val="single" w:sz="4" w:space="0" w:color="931638"/>
      </w:tblBorders>
      <w:tblCellMar>
        <w:top w:w="0" w:type="dxa"/>
        <w:left w:w="108" w:type="dxa"/>
        <w:bottom w:w="0" w:type="dxa"/>
        <w:right w:w="108" w:type="dxa"/>
      </w:tblCellMar>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BA5D0D"/>
    <w:pPr>
      <w:spacing w:before="400"/>
    </w:pPr>
  </w:style>
  <w:style w:type="paragraph" w:customStyle="1" w:styleId="ReportBy0">
    <w:name w:val="ReportBy"/>
    <w:basedOn w:val="Normal"/>
    <w:qFormat/>
    <w:rsid w:val="00BA5D0D"/>
    <w:pPr>
      <w:spacing w:line="360" w:lineRule="auto"/>
    </w:pPr>
    <w:rPr>
      <w:rFonts w:cs="Arial"/>
      <w:color w:val="000000"/>
      <w:sz w:val="28"/>
      <w:szCs w:val="28"/>
    </w:rPr>
  </w:style>
  <w:style w:type="paragraph" w:customStyle="1" w:styleId="ReportDate0">
    <w:name w:val="ReportDate"/>
    <w:basedOn w:val="Normal"/>
    <w:rsid w:val="00BA5D0D"/>
    <w:pPr>
      <w:spacing w:before="300"/>
      <w:ind w:right="1429"/>
    </w:pPr>
    <w:rPr>
      <w:color w:val="92D400"/>
      <w:sz w:val="52"/>
      <w:szCs w:val="24"/>
    </w:rPr>
  </w:style>
  <w:style w:type="paragraph" w:customStyle="1" w:styleId="Security">
    <w:name w:val="Security"/>
    <w:basedOn w:val="Normal"/>
    <w:qFormat/>
    <w:rsid w:val="00BA5D0D"/>
    <w:pPr>
      <w:jc w:val="center"/>
    </w:pPr>
    <w:rPr>
      <w:rFonts w:cs="Arial"/>
      <w:color w:val="7A7A78"/>
      <w:sz w:val="16"/>
      <w:szCs w:val="16"/>
    </w:rPr>
  </w:style>
  <w:style w:type="paragraph" w:customStyle="1" w:styleId="TableofContents">
    <w:name w:val="Table of Contents"/>
    <w:basedOn w:val="Normal"/>
    <w:rsid w:val="00BA5D0D"/>
    <w:pPr>
      <w:keepNext/>
      <w:spacing w:before="400" w:after="200"/>
    </w:pPr>
    <w:rPr>
      <w:b/>
      <w:color w:val="002776"/>
      <w:sz w:val="32"/>
      <w:szCs w:val="32"/>
    </w:rPr>
  </w:style>
  <w:style w:type="paragraph" w:styleId="Footer">
    <w:name w:val="footer"/>
    <w:basedOn w:val="Normal"/>
    <w:link w:val="FooterChar"/>
    <w:uiPriority w:val="99"/>
    <w:rsid w:val="00BA5D0D"/>
    <w:pPr>
      <w:tabs>
        <w:tab w:val="center" w:pos="4513"/>
        <w:tab w:val="right" w:pos="9026"/>
      </w:tabs>
    </w:pPr>
  </w:style>
  <w:style w:type="character" w:customStyle="1" w:styleId="FooterChar">
    <w:name w:val="Footer Char"/>
    <w:link w:val="Footer"/>
    <w:uiPriority w:val="99"/>
    <w:rsid w:val="00F002DB"/>
    <w:rPr>
      <w:rFonts w:ascii="Calibri" w:hAnsi="Calibri"/>
      <w:sz w:val="22"/>
      <w:lang w:eastAsia="en-US"/>
    </w:rPr>
  </w:style>
  <w:style w:type="paragraph" w:customStyle="1" w:styleId="HeadingA">
    <w:name w:val="Heading A"/>
    <w:next w:val="BodyText"/>
    <w:rsid w:val="00BA5D0D"/>
    <w:pPr>
      <w:keepNext/>
      <w:keepLines/>
      <w:spacing w:before="120" w:after="60"/>
      <w:ind w:left="567" w:hanging="567"/>
      <w:jc w:val="both"/>
    </w:pPr>
    <w:rPr>
      <w:rFonts w:ascii="Calibri" w:hAnsi="Calibri"/>
      <w:b/>
      <w:color w:val="002776"/>
      <w:sz w:val="32"/>
      <w:szCs w:val="28"/>
      <w:lang w:val="en-AU" w:eastAsia="en-US"/>
    </w:rPr>
  </w:style>
  <w:style w:type="paragraph" w:customStyle="1" w:styleId="HeadingB">
    <w:name w:val="Heading B"/>
    <w:basedOn w:val="HeadingA"/>
    <w:next w:val="BodyText"/>
    <w:uiPriority w:val="99"/>
    <w:rsid w:val="00BA5D0D"/>
    <w:pPr>
      <w:spacing w:before="240" w:after="0"/>
    </w:pPr>
    <w:rPr>
      <w:sz w:val="28"/>
      <w:szCs w:val="26"/>
    </w:rPr>
  </w:style>
  <w:style w:type="paragraph" w:customStyle="1" w:styleId="HeadingC">
    <w:name w:val="Heading C"/>
    <w:basedOn w:val="Normal"/>
    <w:next w:val="BodyText"/>
    <w:link w:val="HeadingCChar"/>
    <w:rsid w:val="00BA5D0D"/>
    <w:pPr>
      <w:keepNext/>
      <w:keepLines/>
      <w:spacing w:before="240"/>
    </w:pPr>
    <w:rPr>
      <w:b/>
      <w:color w:val="002776"/>
      <w:sz w:val="24"/>
      <w:szCs w:val="28"/>
    </w:rPr>
  </w:style>
  <w:style w:type="paragraph" w:customStyle="1" w:styleId="AlphabeticList">
    <w:name w:val="Alphabetic List"/>
    <w:basedOn w:val="Normal"/>
    <w:rsid w:val="00BA5D0D"/>
    <w:pPr>
      <w:numPr>
        <w:numId w:val="1"/>
      </w:numPr>
      <w:spacing w:before="120"/>
    </w:pPr>
  </w:style>
  <w:style w:type="paragraph" w:customStyle="1" w:styleId="DashList">
    <w:name w:val="Dash List"/>
    <w:basedOn w:val="Normal"/>
    <w:rsid w:val="00BA5D0D"/>
    <w:pPr>
      <w:numPr>
        <w:ilvl w:val="1"/>
        <w:numId w:val="6"/>
      </w:numPr>
    </w:pPr>
  </w:style>
  <w:style w:type="paragraph" w:customStyle="1" w:styleId="TableNote">
    <w:name w:val="Table Note"/>
    <w:basedOn w:val="Normal"/>
    <w:rsid w:val="00BA5D0D"/>
    <w:pPr>
      <w:tabs>
        <w:tab w:val="left" w:pos="425"/>
      </w:tabs>
      <w:jc w:val="center"/>
    </w:pPr>
    <w:rPr>
      <w:sz w:val="18"/>
    </w:rPr>
  </w:style>
  <w:style w:type="paragraph" w:customStyle="1" w:styleId="IndentNumberedList">
    <w:name w:val="Indent Numbered List"/>
    <w:basedOn w:val="Normal"/>
    <w:rsid w:val="00B34B7B"/>
    <w:pPr>
      <w:numPr>
        <w:numId w:val="11"/>
      </w:numPr>
    </w:pPr>
  </w:style>
  <w:style w:type="paragraph" w:customStyle="1" w:styleId="IndentAlphabeticList">
    <w:name w:val="Indent Alphabetic List"/>
    <w:basedOn w:val="Normal"/>
    <w:rsid w:val="00B34B7B"/>
    <w:pPr>
      <w:numPr>
        <w:numId w:val="10"/>
      </w:numPr>
      <w:tabs>
        <w:tab w:val="left" w:pos="1134"/>
      </w:tabs>
      <w:ind w:left="1134" w:hanging="567"/>
    </w:pPr>
  </w:style>
  <w:style w:type="paragraph" w:styleId="FootnoteText">
    <w:name w:val="footnote text"/>
    <w:basedOn w:val="Normal"/>
    <w:link w:val="FootnoteTextChar"/>
    <w:rsid w:val="00BA5D0D"/>
    <w:pPr>
      <w:spacing w:before="120" w:after="60"/>
    </w:pPr>
    <w:rPr>
      <w:sz w:val="18"/>
    </w:rPr>
  </w:style>
  <w:style w:type="character" w:customStyle="1" w:styleId="FootnoteTextChar">
    <w:name w:val="Footnote Text Char"/>
    <w:link w:val="FootnoteText"/>
    <w:rsid w:val="00D929F4"/>
    <w:rPr>
      <w:rFonts w:ascii="Calibri" w:hAnsi="Calibri"/>
      <w:sz w:val="18"/>
      <w:lang w:eastAsia="en-US"/>
    </w:rPr>
  </w:style>
  <w:style w:type="character" w:customStyle="1" w:styleId="HeaderChar">
    <w:name w:val="Header Char"/>
    <w:link w:val="Header"/>
    <w:rsid w:val="003D4C3E"/>
    <w:rPr>
      <w:rFonts w:ascii="Calibri" w:hAnsi="Calibri"/>
      <w:color w:val="595959"/>
      <w:sz w:val="22"/>
      <w:lang w:eastAsia="en-US"/>
    </w:rPr>
  </w:style>
  <w:style w:type="table" w:customStyle="1" w:styleId="TableAETotals">
    <w:name w:val="Table AE Totals"/>
    <w:basedOn w:val="TableNormal"/>
    <w:rsid w:val="00BA5D0D"/>
    <w:rPr>
      <w:rFonts w:ascii="Arial" w:hAnsi="Arial"/>
    </w:rPr>
    <w:tblPr>
      <w:tblInd w:w="0" w:type="dxa"/>
      <w:tblBorders>
        <w:top w:val="single" w:sz="12" w:space="0" w:color="002776"/>
        <w:bottom w:val="single" w:sz="12" w:space="0" w:color="002776"/>
      </w:tblBorders>
      <w:tblCellMar>
        <w:top w:w="0" w:type="dxa"/>
        <w:left w:w="108" w:type="dxa"/>
        <w:bottom w:w="0" w:type="dxa"/>
        <w:right w:w="108" w:type="dxa"/>
      </w:tblCellMar>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BA5D0D"/>
    <w:pPr>
      <w:numPr>
        <w:ilvl w:val="1"/>
        <w:numId w:val="2"/>
      </w:numPr>
    </w:pPr>
    <w:rPr>
      <w:color w:val="002776"/>
    </w:rPr>
  </w:style>
  <w:style w:type="paragraph" w:customStyle="1" w:styleId="AppendixChartCaption">
    <w:name w:val="Appendix Chart Caption"/>
    <w:basedOn w:val="CaptionAE"/>
    <w:next w:val="BodyText"/>
    <w:qFormat/>
    <w:rsid w:val="00BA5D0D"/>
    <w:pPr>
      <w:numPr>
        <w:ilvl w:val="2"/>
        <w:numId w:val="2"/>
      </w:numPr>
    </w:pPr>
    <w:rPr>
      <w:color w:val="002776"/>
    </w:rPr>
  </w:style>
  <w:style w:type="paragraph" w:customStyle="1" w:styleId="AppendixFigureCaption">
    <w:name w:val="Appendix Figure Caption"/>
    <w:basedOn w:val="CaptionAE"/>
    <w:next w:val="BodyText"/>
    <w:qFormat/>
    <w:rsid w:val="00BA5D0D"/>
    <w:pPr>
      <w:numPr>
        <w:ilvl w:val="3"/>
        <w:numId w:val="2"/>
      </w:numPr>
    </w:pPr>
    <w:rPr>
      <w:color w:val="002776"/>
    </w:rPr>
  </w:style>
  <w:style w:type="paragraph" w:customStyle="1" w:styleId="CaptionTable">
    <w:name w:val="Caption_Table"/>
    <w:basedOn w:val="CaptionAE"/>
    <w:next w:val="BodyText"/>
    <w:qFormat/>
    <w:rsid w:val="00BA5D0D"/>
    <w:pPr>
      <w:numPr>
        <w:ilvl w:val="6"/>
        <w:numId w:val="9"/>
      </w:numPr>
    </w:pPr>
    <w:rPr>
      <w:color w:val="002776"/>
    </w:rPr>
  </w:style>
  <w:style w:type="paragraph" w:customStyle="1" w:styleId="CaptionFigure">
    <w:name w:val="Caption_Figure"/>
    <w:basedOn w:val="CaptionTable"/>
    <w:next w:val="BodyText"/>
    <w:qFormat/>
    <w:rsid w:val="00BA5D0D"/>
    <w:pPr>
      <w:numPr>
        <w:ilvl w:val="8"/>
      </w:numPr>
    </w:pPr>
    <w:rPr>
      <w:bCs/>
      <w:szCs w:val="22"/>
    </w:rPr>
  </w:style>
  <w:style w:type="paragraph" w:customStyle="1" w:styleId="CaptionChart">
    <w:name w:val="Caption_Chart"/>
    <w:basedOn w:val="CaptionFigure"/>
    <w:next w:val="BodyText"/>
    <w:qFormat/>
    <w:rsid w:val="00BA5D0D"/>
    <w:pPr>
      <w:numPr>
        <w:ilvl w:val="7"/>
      </w:numPr>
    </w:pPr>
  </w:style>
  <w:style w:type="paragraph" w:customStyle="1" w:styleId="ExecChartCaption">
    <w:name w:val="Exec Chart Caption"/>
    <w:basedOn w:val="CaptionAE"/>
    <w:next w:val="BodyText"/>
    <w:qFormat/>
    <w:rsid w:val="00BA5D0D"/>
    <w:pPr>
      <w:numPr>
        <w:ilvl w:val="2"/>
        <w:numId w:val="13"/>
      </w:numPr>
    </w:pPr>
    <w:rPr>
      <w:color w:val="002776"/>
    </w:rPr>
  </w:style>
  <w:style w:type="paragraph" w:customStyle="1" w:styleId="ExecFigureCaption">
    <w:name w:val="Exec Figure Caption"/>
    <w:basedOn w:val="CaptionAE"/>
    <w:next w:val="BodyText"/>
    <w:qFormat/>
    <w:rsid w:val="00BA5D0D"/>
    <w:pPr>
      <w:numPr>
        <w:ilvl w:val="3"/>
        <w:numId w:val="13"/>
      </w:numPr>
    </w:pPr>
    <w:rPr>
      <w:color w:val="002776"/>
    </w:rPr>
  </w:style>
  <w:style w:type="paragraph" w:customStyle="1" w:styleId="ExecTableCaption">
    <w:name w:val="Exec Table Caption"/>
    <w:basedOn w:val="CaptionAE"/>
    <w:next w:val="BodyText"/>
    <w:qFormat/>
    <w:rsid w:val="00BA5D0D"/>
    <w:pPr>
      <w:numPr>
        <w:ilvl w:val="1"/>
        <w:numId w:val="13"/>
      </w:numPr>
    </w:pPr>
    <w:rPr>
      <w:color w:val="002776"/>
    </w:rPr>
  </w:style>
  <w:style w:type="paragraph" w:customStyle="1" w:styleId="IndentParaDarkGrey">
    <w:name w:val="Indent Para Dark Grey"/>
    <w:basedOn w:val="IndentPara"/>
    <w:next w:val="Normal"/>
    <w:rsid w:val="00BA5D0D"/>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CaptionAE">
    <w:name w:val="Caption AE"/>
    <w:basedOn w:val="Normal"/>
    <w:next w:val="BodyText"/>
    <w:rsid w:val="00BA5D0D"/>
    <w:pPr>
      <w:keepNext/>
      <w:keepLines/>
      <w:spacing w:before="240" w:after="240"/>
      <w:jc w:val="center"/>
    </w:pPr>
    <w:rPr>
      <w:b/>
      <w:color w:val="931638"/>
    </w:rPr>
  </w:style>
  <w:style w:type="paragraph" w:customStyle="1" w:styleId="CVaddress">
    <w:name w:val="CV address"/>
    <w:rsid w:val="00BA5D0D"/>
    <w:pPr>
      <w:spacing w:before="60"/>
      <w:ind w:left="567" w:hanging="567"/>
      <w:jc w:val="both"/>
    </w:pPr>
    <w:rPr>
      <w:rFonts w:ascii="Calibri" w:hAnsi="Calibri"/>
      <w:color w:val="404040"/>
      <w:lang w:val="en-AU" w:eastAsia="en-US"/>
    </w:rPr>
  </w:style>
  <w:style w:type="paragraph" w:customStyle="1" w:styleId="CVbullet">
    <w:name w:val="CV bullet"/>
    <w:basedOn w:val="Normal"/>
    <w:qFormat/>
    <w:rsid w:val="00BA5D0D"/>
    <w:pPr>
      <w:spacing w:after="60"/>
    </w:pPr>
  </w:style>
  <w:style w:type="paragraph" w:customStyle="1" w:styleId="CVbulletindent">
    <w:name w:val="CV bullet indent"/>
    <w:basedOn w:val="Normal"/>
    <w:qFormat/>
    <w:rsid w:val="00BA5D0D"/>
    <w:pPr>
      <w:spacing w:after="60"/>
    </w:pPr>
  </w:style>
  <w:style w:type="paragraph" w:customStyle="1" w:styleId="CVDate">
    <w:name w:val="CV Date"/>
    <w:basedOn w:val="CVaddress"/>
    <w:next w:val="Normal"/>
    <w:rsid w:val="00BA5D0D"/>
    <w:pPr>
      <w:keepNext/>
      <w:spacing w:after="60"/>
    </w:pPr>
    <w:rPr>
      <w:b/>
      <w:color w:val="931638"/>
      <w:sz w:val="22"/>
    </w:rPr>
  </w:style>
  <w:style w:type="paragraph" w:customStyle="1" w:styleId="CVDateExperience">
    <w:name w:val="CV Date Experience"/>
    <w:basedOn w:val="CVDate"/>
    <w:rsid w:val="00BA5D0D"/>
    <w:pPr>
      <w:spacing w:before="120" w:after="0"/>
    </w:pPr>
    <w:rPr>
      <w:sz w:val="24"/>
    </w:rPr>
  </w:style>
  <w:style w:type="paragraph" w:customStyle="1" w:styleId="CVHeadingB">
    <w:name w:val="CV Heading B"/>
    <w:basedOn w:val="HeadingA"/>
    <w:next w:val="Normal"/>
    <w:rsid w:val="00BA5D0D"/>
    <w:rPr>
      <w:sz w:val="28"/>
      <w:szCs w:val="26"/>
    </w:rPr>
  </w:style>
  <w:style w:type="paragraph" w:customStyle="1" w:styleId="CVHeadingC">
    <w:name w:val="CV Heading C"/>
    <w:basedOn w:val="Normal"/>
    <w:next w:val="Normal"/>
    <w:rsid w:val="00BA5D0D"/>
    <w:pPr>
      <w:keepNext/>
      <w:keepLines/>
      <w:spacing w:before="180"/>
    </w:pPr>
    <w:rPr>
      <w:b/>
      <w:color w:val="931638"/>
      <w:sz w:val="24"/>
      <w:szCs w:val="28"/>
    </w:rPr>
  </w:style>
  <w:style w:type="paragraph" w:customStyle="1" w:styleId="CVHeadingExperience">
    <w:name w:val="CV Heading Experience"/>
    <w:basedOn w:val="CVDate"/>
    <w:rsid w:val="00BA5D0D"/>
    <w:pPr>
      <w:spacing w:before="120" w:after="0"/>
    </w:pPr>
    <w:rPr>
      <w:sz w:val="24"/>
    </w:rPr>
  </w:style>
  <w:style w:type="paragraph" w:customStyle="1" w:styleId="CVHeadingqualifications">
    <w:name w:val="CV Heading qualifications"/>
    <w:basedOn w:val="CVHeadingC"/>
    <w:rsid w:val="00BA5D0D"/>
    <w:pPr>
      <w:spacing w:before="0"/>
      <w:ind w:left="142"/>
    </w:pPr>
    <w:rPr>
      <w:bCs/>
      <w:szCs w:val="20"/>
    </w:rPr>
  </w:style>
  <w:style w:type="paragraph" w:customStyle="1" w:styleId="CVqualificationsawards">
    <w:name w:val="CV qualifications/awards"/>
    <w:basedOn w:val="CVaddress"/>
    <w:rsid w:val="00BA5D0D"/>
    <w:pPr>
      <w:ind w:left="142"/>
    </w:pPr>
    <w:rPr>
      <w:color w:val="auto"/>
    </w:rPr>
  </w:style>
  <w:style w:type="paragraph" w:customStyle="1" w:styleId="CVtabledate">
    <w:name w:val="CV table date"/>
    <w:basedOn w:val="Normal"/>
    <w:rsid w:val="00BA5D0D"/>
    <w:rPr>
      <w:b/>
      <w:color w:val="262626"/>
    </w:rPr>
  </w:style>
  <w:style w:type="paragraph" w:customStyle="1" w:styleId="CVTableText">
    <w:name w:val="CV Table Text"/>
    <w:basedOn w:val="CVaddress"/>
    <w:rsid w:val="00BA5D0D"/>
    <w:rPr>
      <w:color w:val="auto"/>
      <w:sz w:val="22"/>
    </w:rPr>
  </w:style>
  <w:style w:type="character" w:customStyle="1" w:styleId="Boldword">
    <w:name w:val="Bold word"/>
    <w:uiPriority w:val="1"/>
    <w:qFormat/>
    <w:rsid w:val="00BA5D0D"/>
    <w:rPr>
      <w:rFonts w:ascii="Calibri" w:hAnsi="Calibri"/>
      <w:b/>
      <w:color w:val="931638"/>
      <w:sz w:val="22"/>
      <w:lang w:eastAsia="en-AU"/>
    </w:rPr>
  </w:style>
  <w:style w:type="paragraph" w:customStyle="1" w:styleId="Addressdetails">
    <w:name w:val="Address details"/>
    <w:basedOn w:val="Normal"/>
    <w:link w:val="AddressdetailsChar"/>
    <w:rsid w:val="00BA5D0D"/>
    <w:pPr>
      <w:spacing w:before="85" w:line="180" w:lineRule="atLeast"/>
    </w:pPr>
    <w:rPr>
      <w:rFonts w:ascii="Arial" w:hAnsi="Arial"/>
      <w:sz w:val="15"/>
      <w:szCs w:val="24"/>
    </w:rPr>
  </w:style>
  <w:style w:type="paragraph" w:customStyle="1" w:styleId="BSubheading-Bluedk">
    <w:name w:val="B Subheading - Blue dk"/>
    <w:basedOn w:val="Normal"/>
    <w:qFormat/>
    <w:rsid w:val="00BA5D0D"/>
    <w:pPr>
      <w:spacing w:before="320" w:after="120"/>
      <w:outlineLvl w:val="1"/>
    </w:pPr>
    <w:rPr>
      <w:rFonts w:ascii="Arial" w:eastAsia="Times" w:hAnsi="Arial"/>
      <w:b/>
      <w:noProof/>
      <w:color w:val="002776"/>
      <w:sz w:val="24"/>
      <w:szCs w:val="24"/>
      <w:lang w:val="en-US"/>
    </w:rPr>
  </w:style>
  <w:style w:type="paragraph" w:styleId="BalloonText">
    <w:name w:val="Balloon Text"/>
    <w:basedOn w:val="Normal"/>
    <w:link w:val="BalloonTextChar"/>
    <w:rsid w:val="00BA5D0D"/>
    <w:rPr>
      <w:rFonts w:ascii="Tahoma" w:hAnsi="Tahoma" w:cs="Tahoma"/>
      <w:sz w:val="16"/>
      <w:szCs w:val="16"/>
    </w:rPr>
  </w:style>
  <w:style w:type="character" w:customStyle="1" w:styleId="BalloonTextChar">
    <w:name w:val="Balloon Text Char"/>
    <w:link w:val="BalloonText"/>
    <w:rsid w:val="00BA5D0D"/>
    <w:rPr>
      <w:rFonts w:ascii="Tahoma" w:hAnsi="Tahoma" w:cs="Tahoma"/>
      <w:sz w:val="16"/>
      <w:szCs w:val="16"/>
      <w:lang w:eastAsia="en-US"/>
    </w:rPr>
  </w:style>
  <w:style w:type="paragraph" w:customStyle="1" w:styleId="Bodycopy">
    <w:name w:val="Body copy"/>
    <w:basedOn w:val="Normal"/>
    <w:rsid w:val="00BA5D0D"/>
    <w:pPr>
      <w:spacing w:after="113" w:line="240" w:lineRule="atLeast"/>
    </w:pPr>
    <w:rPr>
      <w:rFonts w:ascii="Arial" w:hAnsi="Arial"/>
      <w:sz w:val="20"/>
      <w:szCs w:val="24"/>
    </w:rPr>
  </w:style>
  <w:style w:type="paragraph" w:customStyle="1" w:styleId="BodycopyBold">
    <w:name w:val="Body copy Bold"/>
    <w:basedOn w:val="Normal"/>
    <w:semiHidden/>
    <w:rsid w:val="00BA5D0D"/>
    <w:pPr>
      <w:spacing w:after="113" w:line="240" w:lineRule="atLeast"/>
    </w:pPr>
    <w:rPr>
      <w:rFonts w:ascii="Times New Roman" w:hAnsi="Times New Roman"/>
      <w:b/>
      <w:sz w:val="20"/>
      <w:szCs w:val="24"/>
    </w:rPr>
  </w:style>
  <w:style w:type="paragraph" w:customStyle="1" w:styleId="Box">
    <w:name w:val="Box"/>
    <w:basedOn w:val="Bodycopy"/>
    <w:next w:val="Bodycopy"/>
    <w:qFormat/>
    <w:rsid w:val="00BA5D0D"/>
    <w:pPr>
      <w:spacing w:before="240" w:after="0" w:line="240" w:lineRule="auto"/>
      <w:ind w:left="851"/>
    </w:pPr>
    <w:rPr>
      <w:rFonts w:ascii="Calibri" w:hAnsi="Calibri"/>
      <w:b/>
      <w:sz w:val="22"/>
    </w:rPr>
  </w:style>
  <w:style w:type="character" w:styleId="CommentReference">
    <w:name w:val="annotation reference"/>
    <w:rsid w:val="00BA5D0D"/>
    <w:rPr>
      <w:sz w:val="16"/>
      <w:szCs w:val="16"/>
    </w:rPr>
  </w:style>
  <w:style w:type="paragraph" w:customStyle="1" w:styleId="DBluedk">
    <w:name w:val="D Blue dk"/>
    <w:basedOn w:val="Normal"/>
    <w:qFormat/>
    <w:rsid w:val="00BA5D0D"/>
    <w:pPr>
      <w:spacing w:before="320" w:after="120"/>
      <w:outlineLvl w:val="1"/>
    </w:pPr>
    <w:rPr>
      <w:rFonts w:ascii="Arial" w:eastAsia="Times" w:hAnsi="Arial"/>
      <w:b/>
      <w:noProof/>
      <w:color w:val="002776"/>
      <w:sz w:val="24"/>
      <w:szCs w:val="24"/>
      <w:lang w:val="en-US"/>
    </w:rPr>
  </w:style>
  <w:style w:type="paragraph" w:customStyle="1" w:styleId="DBody">
    <w:name w:val="DBody"/>
    <w:basedOn w:val="Normal"/>
    <w:rsid w:val="00BA5D0D"/>
    <w:pPr>
      <w:spacing w:after="113"/>
    </w:pPr>
    <w:rPr>
      <w:rFonts w:ascii="Arial" w:eastAsia="Times" w:hAnsi="Arial"/>
      <w:color w:val="333F7F"/>
      <w:sz w:val="20"/>
      <w:lang w:val="en-GB"/>
    </w:rPr>
  </w:style>
  <w:style w:type="paragraph" w:styleId="ListBullet">
    <w:name w:val="List Bullet"/>
    <w:basedOn w:val="Normal"/>
    <w:rsid w:val="00BA5D0D"/>
    <w:pPr>
      <w:numPr>
        <w:numId w:val="7"/>
      </w:numPr>
      <w:contextualSpacing/>
    </w:pPr>
  </w:style>
  <w:style w:type="paragraph" w:customStyle="1" w:styleId="DBullet">
    <w:name w:val="DBullet"/>
    <w:basedOn w:val="ListBullet"/>
    <w:rsid w:val="00BA5D0D"/>
    <w:pPr>
      <w:numPr>
        <w:numId w:val="8"/>
      </w:numPr>
      <w:spacing w:before="40" w:after="40"/>
      <w:contextualSpacing w:val="0"/>
    </w:pPr>
    <w:rPr>
      <w:rFonts w:ascii="Arial" w:hAnsi="Arial"/>
      <w:color w:val="333D7F"/>
      <w:szCs w:val="24"/>
    </w:rPr>
  </w:style>
  <w:style w:type="paragraph" w:customStyle="1" w:styleId="DHeading">
    <w:name w:val="DHeading"/>
    <w:basedOn w:val="Normal"/>
    <w:rsid w:val="00BA5D0D"/>
    <w:pPr>
      <w:autoSpaceDE w:val="0"/>
      <w:autoSpaceDN w:val="0"/>
      <w:adjustRightInd w:val="0"/>
      <w:spacing w:before="360" w:after="120"/>
      <w:ind w:firstLine="11"/>
    </w:pPr>
    <w:rPr>
      <w:rFonts w:eastAsia="Times"/>
      <w:color w:val="333F7F"/>
      <w:sz w:val="44"/>
      <w:szCs w:val="44"/>
      <w:lang w:val="en-GB"/>
    </w:rPr>
  </w:style>
  <w:style w:type="paragraph" w:customStyle="1" w:styleId="Keypoint">
    <w:name w:val="Keypoint"/>
    <w:basedOn w:val="Normal"/>
    <w:qFormat/>
    <w:rsid w:val="00BA5D0D"/>
    <w:pPr>
      <w:spacing w:before="600"/>
    </w:pPr>
    <w:rPr>
      <w:rFonts w:ascii="Times New Roman" w:hAnsi="Times New Roman"/>
      <w:color w:val="72C7E7"/>
      <w:sz w:val="32"/>
      <w:szCs w:val="24"/>
    </w:rPr>
  </w:style>
  <w:style w:type="paragraph" w:customStyle="1" w:styleId="Legalstatement">
    <w:name w:val="Legal statement"/>
    <w:basedOn w:val="Footer"/>
    <w:rsid w:val="00BA5D0D"/>
    <w:pPr>
      <w:tabs>
        <w:tab w:val="clear" w:pos="4513"/>
        <w:tab w:val="clear" w:pos="9026"/>
        <w:tab w:val="right" w:pos="9356"/>
      </w:tabs>
      <w:spacing w:before="120"/>
    </w:pPr>
    <w:rPr>
      <w:rFonts w:ascii="Arial" w:hAnsi="Arial" w:cs="Arial"/>
      <w:color w:val="000000"/>
      <w:sz w:val="14"/>
      <w:szCs w:val="16"/>
    </w:rPr>
  </w:style>
  <w:style w:type="paragraph" w:styleId="ListParagraph">
    <w:name w:val="List Paragraph"/>
    <w:basedOn w:val="Normal"/>
    <w:uiPriority w:val="34"/>
    <w:qFormat/>
    <w:rsid w:val="00BA5D0D"/>
    <w:pPr>
      <w:ind w:left="720"/>
      <w:contextualSpacing/>
    </w:pPr>
    <w:rPr>
      <w:rFonts w:ascii="Times New Roman" w:hAnsi="Times New Roman"/>
      <w:sz w:val="24"/>
      <w:szCs w:val="24"/>
    </w:rPr>
  </w:style>
  <w:style w:type="paragraph" w:customStyle="1" w:styleId="SignOffText">
    <w:name w:val="SignOff Text"/>
    <w:basedOn w:val="Normal"/>
    <w:next w:val="Normal"/>
    <w:rsid w:val="00BA5D0D"/>
    <w:pPr>
      <w:spacing w:before="480" w:after="1120"/>
    </w:pPr>
  </w:style>
  <w:style w:type="paragraph" w:customStyle="1" w:styleId="SignOffTextwithImage">
    <w:name w:val="SignOff Text with Image"/>
    <w:basedOn w:val="Normal"/>
    <w:rsid w:val="00BA5D0D"/>
    <w:pPr>
      <w:spacing w:before="480"/>
    </w:pPr>
  </w:style>
  <w:style w:type="paragraph" w:customStyle="1" w:styleId="Table">
    <w:name w:val="Table"/>
    <w:basedOn w:val="Bodycopy"/>
    <w:next w:val="Bodycopy"/>
    <w:qFormat/>
    <w:rsid w:val="00BA5D0D"/>
    <w:pPr>
      <w:spacing w:before="240" w:after="0" w:line="240" w:lineRule="auto"/>
      <w:ind w:left="851"/>
    </w:pPr>
    <w:rPr>
      <w:rFonts w:ascii="Calibri" w:hAnsi="Calibri"/>
      <w:b/>
      <w:sz w:val="22"/>
    </w:rPr>
  </w:style>
  <w:style w:type="character" w:customStyle="1" w:styleId="BodyTextChar">
    <w:name w:val="Body Text Char"/>
    <w:aliases w:val="bt Char"/>
    <w:link w:val="BodyText"/>
    <w:rsid w:val="00466921"/>
    <w:rPr>
      <w:rFonts w:ascii="Calibri" w:hAnsi="Calibri"/>
      <w:sz w:val="22"/>
      <w:lang w:eastAsia="en-US"/>
    </w:rPr>
  </w:style>
  <w:style w:type="paragraph" w:customStyle="1" w:styleId="ClientAddress">
    <w:name w:val="Client Address"/>
    <w:basedOn w:val="Heading2"/>
    <w:rsid w:val="00263D7B"/>
    <w:pPr>
      <w:numPr>
        <w:ilvl w:val="0"/>
        <w:numId w:val="0"/>
      </w:numPr>
      <w:spacing w:before="0"/>
      <w:outlineLvl w:val="9"/>
    </w:pPr>
    <w:rPr>
      <w:b w:val="0"/>
      <w:caps/>
      <w:color w:val="auto"/>
      <w:sz w:val="22"/>
      <w:szCs w:val="22"/>
    </w:rPr>
  </w:style>
  <w:style w:type="paragraph" w:customStyle="1" w:styleId="DocumentType">
    <w:name w:val="Document Type"/>
    <w:basedOn w:val="Normal"/>
    <w:rsid w:val="00263D7B"/>
    <w:pPr>
      <w:keepNext/>
      <w:keepLines/>
      <w:spacing w:before="120" w:after="120"/>
      <w:ind w:left="0" w:firstLine="0"/>
      <w:jc w:val="left"/>
      <w:outlineLvl w:val="0"/>
    </w:pPr>
    <w:rPr>
      <w:b/>
      <w:color w:val="002776"/>
      <w:kern w:val="28"/>
      <w:sz w:val="28"/>
      <w:szCs w:val="28"/>
    </w:rPr>
  </w:style>
  <w:style w:type="character" w:customStyle="1" w:styleId="AddressdetailsChar">
    <w:name w:val="Address details Char"/>
    <w:link w:val="Addressdetails"/>
    <w:rsid w:val="00263D7B"/>
    <w:rPr>
      <w:rFonts w:ascii="Arial" w:hAnsi="Arial"/>
      <w:sz w:val="15"/>
      <w:szCs w:val="24"/>
      <w:lang w:eastAsia="en-US"/>
    </w:rPr>
  </w:style>
  <w:style w:type="paragraph" w:customStyle="1" w:styleId="FooterDocName">
    <w:name w:val="Footer Doc Name"/>
    <w:basedOn w:val="Footer"/>
    <w:rsid w:val="00263D7B"/>
    <w:pPr>
      <w:tabs>
        <w:tab w:val="clear" w:pos="4513"/>
        <w:tab w:val="clear" w:pos="9026"/>
      </w:tabs>
      <w:spacing w:before="0"/>
      <w:ind w:left="0" w:firstLine="0"/>
      <w:jc w:val="left"/>
    </w:pPr>
    <w:rPr>
      <w:rFonts w:ascii="Arial Narrow" w:hAnsi="Arial Narrow"/>
      <w:noProof/>
      <w:sz w:val="9"/>
      <w:szCs w:val="9"/>
    </w:rPr>
  </w:style>
  <w:style w:type="character" w:customStyle="1" w:styleId="fieldvalue">
    <w:name w:val="fieldvalue"/>
    <w:basedOn w:val="DefaultParagraphFont"/>
    <w:rsid w:val="00A87246"/>
  </w:style>
  <w:style w:type="character" w:customStyle="1" w:styleId="HeadingCChar">
    <w:name w:val="Heading C Char"/>
    <w:link w:val="HeadingC"/>
    <w:rsid w:val="00100871"/>
    <w:rPr>
      <w:rFonts w:ascii="Calibri" w:hAnsi="Calibri"/>
      <w:b/>
      <w:color w:val="002776"/>
      <w:sz w:val="24"/>
      <w:szCs w:val="28"/>
      <w:lang w:eastAsia="en-US"/>
    </w:rPr>
  </w:style>
  <w:style w:type="paragraph" w:customStyle="1" w:styleId="BoxHeading">
    <w:name w:val="Box Heading"/>
    <w:basedOn w:val="Normal"/>
    <w:next w:val="Normal"/>
    <w:rsid w:val="00100871"/>
    <w:pPr>
      <w:keepNext/>
      <w:spacing w:before="120" w:after="120"/>
      <w:ind w:left="0" w:firstLine="0"/>
      <w:jc w:val="left"/>
    </w:pPr>
    <w:rPr>
      <w:rFonts w:ascii="Arial" w:hAnsi="Arial"/>
      <w:b/>
      <w:color w:val="000000"/>
      <w:lang w:eastAsia="en-AU"/>
    </w:rPr>
  </w:style>
  <w:style w:type="paragraph" w:styleId="BodyTextIndent3">
    <w:name w:val="Body Text Indent 3"/>
    <w:basedOn w:val="Normal"/>
    <w:rsid w:val="00E54A89"/>
    <w:pPr>
      <w:spacing w:after="120"/>
      <w:ind w:left="283"/>
    </w:pPr>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Calibri" w:hAnsi="Calibri"/>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29178376">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590627575">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68642500">
      <w:bodyDiv w:val="1"/>
      <w:marLeft w:val="0"/>
      <w:marRight w:val="0"/>
      <w:marTop w:val="0"/>
      <w:marBottom w:val="0"/>
      <w:divBdr>
        <w:top w:val="none" w:sz="0" w:space="0" w:color="auto"/>
        <w:left w:val="none" w:sz="0" w:space="0" w:color="auto"/>
        <w:bottom w:val="none" w:sz="0" w:space="0" w:color="auto"/>
        <w:right w:val="none" w:sz="0" w:space="0" w:color="auto"/>
      </w:divBdr>
    </w:div>
    <w:div w:id="1183326707">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62402289">
      <w:bodyDiv w:val="1"/>
      <w:marLeft w:val="0"/>
      <w:marRight w:val="0"/>
      <w:marTop w:val="0"/>
      <w:marBottom w:val="0"/>
      <w:divBdr>
        <w:top w:val="none" w:sz="0" w:space="0" w:color="auto"/>
        <w:left w:val="none" w:sz="0" w:space="0" w:color="auto"/>
        <w:bottom w:val="none" w:sz="0" w:space="0" w:color="auto"/>
        <w:right w:val="none" w:sz="0" w:space="0" w:color="auto"/>
      </w:divBdr>
      <w:divsChild>
        <w:div w:id="779451543">
          <w:marLeft w:val="302"/>
          <w:marRight w:val="0"/>
          <w:marTop w:val="0"/>
          <w:marBottom w:val="120"/>
          <w:divBdr>
            <w:top w:val="none" w:sz="0" w:space="0" w:color="auto"/>
            <w:left w:val="none" w:sz="0" w:space="0" w:color="auto"/>
            <w:bottom w:val="none" w:sz="0" w:space="0" w:color="auto"/>
            <w:right w:val="none" w:sz="0" w:space="0" w:color="auto"/>
          </w:divBdr>
        </w:div>
        <w:div w:id="822695057">
          <w:marLeft w:val="605"/>
          <w:marRight w:val="0"/>
          <w:marTop w:val="0"/>
          <w:marBottom w:val="40"/>
          <w:divBdr>
            <w:top w:val="none" w:sz="0" w:space="0" w:color="auto"/>
            <w:left w:val="none" w:sz="0" w:space="0" w:color="auto"/>
            <w:bottom w:val="none" w:sz="0" w:space="0" w:color="auto"/>
            <w:right w:val="none" w:sz="0" w:space="0" w:color="auto"/>
          </w:divBdr>
        </w:div>
        <w:div w:id="2028870945">
          <w:marLeft w:val="302"/>
          <w:marRight w:val="0"/>
          <w:marTop w:val="0"/>
          <w:marBottom w:val="120"/>
          <w:divBdr>
            <w:top w:val="none" w:sz="0" w:space="0" w:color="auto"/>
            <w:left w:val="none" w:sz="0" w:space="0" w:color="auto"/>
            <w:bottom w:val="none" w:sz="0" w:space="0" w:color="auto"/>
            <w:right w:val="none" w:sz="0" w:space="0" w:color="auto"/>
          </w:divBdr>
        </w:div>
      </w:divsChild>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670675454">
      <w:bodyDiv w:val="1"/>
      <w:marLeft w:val="0"/>
      <w:marRight w:val="0"/>
      <w:marTop w:val="0"/>
      <w:marBottom w:val="0"/>
      <w:divBdr>
        <w:top w:val="none" w:sz="0" w:space="0" w:color="auto"/>
        <w:left w:val="none" w:sz="0" w:space="0" w:color="auto"/>
        <w:bottom w:val="none" w:sz="0" w:space="0" w:color="auto"/>
        <w:right w:val="none" w:sz="0" w:space="0" w:color="auto"/>
      </w:divBdr>
      <w:divsChild>
        <w:div w:id="55249668">
          <w:marLeft w:val="605"/>
          <w:marRight w:val="0"/>
          <w:marTop w:val="0"/>
          <w:marBottom w:val="0"/>
          <w:divBdr>
            <w:top w:val="none" w:sz="0" w:space="0" w:color="auto"/>
            <w:left w:val="none" w:sz="0" w:space="0" w:color="auto"/>
            <w:bottom w:val="none" w:sz="0" w:space="0" w:color="auto"/>
            <w:right w:val="none" w:sz="0" w:space="0" w:color="auto"/>
          </w:divBdr>
        </w:div>
        <w:div w:id="564413268">
          <w:marLeft w:val="605"/>
          <w:marRight w:val="0"/>
          <w:marTop w:val="0"/>
          <w:marBottom w:val="0"/>
          <w:divBdr>
            <w:top w:val="none" w:sz="0" w:space="0" w:color="auto"/>
            <w:left w:val="none" w:sz="0" w:space="0" w:color="auto"/>
            <w:bottom w:val="none" w:sz="0" w:space="0" w:color="auto"/>
            <w:right w:val="none" w:sz="0" w:space="0" w:color="auto"/>
          </w:divBdr>
        </w:div>
        <w:div w:id="1072121723">
          <w:marLeft w:val="302"/>
          <w:marRight w:val="0"/>
          <w:marTop w:val="0"/>
          <w:marBottom w:val="60"/>
          <w:divBdr>
            <w:top w:val="none" w:sz="0" w:space="0" w:color="auto"/>
            <w:left w:val="none" w:sz="0" w:space="0" w:color="auto"/>
            <w:bottom w:val="none" w:sz="0" w:space="0" w:color="auto"/>
            <w:right w:val="none" w:sz="0" w:space="0" w:color="auto"/>
          </w:divBdr>
        </w:div>
        <w:div w:id="1244607852">
          <w:marLeft w:val="302"/>
          <w:marRight w:val="0"/>
          <w:marTop w:val="0"/>
          <w:marBottom w:val="60"/>
          <w:divBdr>
            <w:top w:val="none" w:sz="0" w:space="0" w:color="auto"/>
            <w:left w:val="none" w:sz="0" w:space="0" w:color="auto"/>
            <w:bottom w:val="none" w:sz="0" w:space="0" w:color="auto"/>
            <w:right w:val="none" w:sz="0" w:space="0" w:color="auto"/>
          </w:divBdr>
        </w:div>
        <w:div w:id="1309088958">
          <w:marLeft w:val="605"/>
          <w:marRight w:val="0"/>
          <w:marTop w:val="0"/>
          <w:marBottom w:val="0"/>
          <w:divBdr>
            <w:top w:val="none" w:sz="0" w:space="0" w:color="auto"/>
            <w:left w:val="none" w:sz="0" w:space="0" w:color="auto"/>
            <w:bottom w:val="none" w:sz="0" w:space="0" w:color="auto"/>
            <w:right w:val="none" w:sz="0" w:space="0" w:color="auto"/>
          </w:divBdr>
        </w:div>
        <w:div w:id="1367408909">
          <w:marLeft w:val="605"/>
          <w:marRight w:val="0"/>
          <w:marTop w:val="0"/>
          <w:marBottom w:val="0"/>
          <w:divBdr>
            <w:top w:val="none" w:sz="0" w:space="0" w:color="auto"/>
            <w:left w:val="none" w:sz="0" w:space="0" w:color="auto"/>
            <w:bottom w:val="none" w:sz="0" w:space="0" w:color="auto"/>
            <w:right w:val="none" w:sz="0" w:space="0" w:color="auto"/>
          </w:divBdr>
        </w:div>
        <w:div w:id="1449202762">
          <w:marLeft w:val="605"/>
          <w:marRight w:val="0"/>
          <w:marTop w:val="0"/>
          <w:marBottom w:val="0"/>
          <w:divBdr>
            <w:top w:val="none" w:sz="0" w:space="0" w:color="auto"/>
            <w:left w:val="none" w:sz="0" w:space="0" w:color="auto"/>
            <w:bottom w:val="none" w:sz="0" w:space="0" w:color="auto"/>
            <w:right w:val="none" w:sz="0" w:space="0" w:color="auto"/>
          </w:divBdr>
        </w:div>
        <w:div w:id="1549145235">
          <w:marLeft w:val="605"/>
          <w:marRight w:val="0"/>
          <w:marTop w:val="0"/>
          <w:marBottom w:val="0"/>
          <w:divBdr>
            <w:top w:val="none" w:sz="0" w:space="0" w:color="auto"/>
            <w:left w:val="none" w:sz="0" w:space="0" w:color="auto"/>
            <w:bottom w:val="none" w:sz="0" w:space="0" w:color="auto"/>
            <w:right w:val="none" w:sz="0" w:space="0" w:color="auto"/>
          </w:divBdr>
        </w:div>
        <w:div w:id="1639605706">
          <w:marLeft w:val="605"/>
          <w:marRight w:val="0"/>
          <w:marTop w:val="0"/>
          <w:marBottom w:val="0"/>
          <w:divBdr>
            <w:top w:val="none" w:sz="0" w:space="0" w:color="auto"/>
            <w:left w:val="none" w:sz="0" w:space="0" w:color="auto"/>
            <w:bottom w:val="none" w:sz="0" w:space="0" w:color="auto"/>
            <w:right w:val="none" w:sz="0" w:space="0" w:color="auto"/>
          </w:divBdr>
        </w:div>
        <w:div w:id="1647903294">
          <w:marLeft w:val="605"/>
          <w:marRight w:val="0"/>
          <w:marTop w:val="0"/>
          <w:marBottom w:val="0"/>
          <w:divBdr>
            <w:top w:val="none" w:sz="0" w:space="0" w:color="auto"/>
            <w:left w:val="none" w:sz="0" w:space="0" w:color="auto"/>
            <w:bottom w:val="none" w:sz="0" w:space="0" w:color="auto"/>
            <w:right w:val="none" w:sz="0" w:space="0" w:color="auto"/>
          </w:divBdr>
        </w:div>
        <w:div w:id="1665930407">
          <w:marLeft w:val="605"/>
          <w:marRight w:val="0"/>
          <w:marTop w:val="0"/>
          <w:marBottom w:val="0"/>
          <w:divBdr>
            <w:top w:val="none" w:sz="0" w:space="0" w:color="auto"/>
            <w:left w:val="none" w:sz="0" w:space="0" w:color="auto"/>
            <w:bottom w:val="none" w:sz="0" w:space="0" w:color="auto"/>
            <w:right w:val="none" w:sz="0" w:space="0" w:color="auto"/>
          </w:divBdr>
        </w:div>
        <w:div w:id="1676417946">
          <w:marLeft w:val="302"/>
          <w:marRight w:val="0"/>
          <w:marTop w:val="0"/>
          <w:marBottom w:val="60"/>
          <w:divBdr>
            <w:top w:val="none" w:sz="0" w:space="0" w:color="auto"/>
            <w:left w:val="none" w:sz="0" w:space="0" w:color="auto"/>
            <w:bottom w:val="none" w:sz="0" w:space="0" w:color="auto"/>
            <w:right w:val="none" w:sz="0" w:space="0" w:color="auto"/>
          </w:divBdr>
        </w:div>
        <w:div w:id="1788771914">
          <w:marLeft w:val="605"/>
          <w:marRight w:val="0"/>
          <w:marTop w:val="0"/>
          <w:marBottom w:val="0"/>
          <w:divBdr>
            <w:top w:val="none" w:sz="0" w:space="0" w:color="auto"/>
            <w:left w:val="none" w:sz="0" w:space="0" w:color="auto"/>
            <w:bottom w:val="none" w:sz="0" w:space="0" w:color="auto"/>
            <w:right w:val="none" w:sz="0" w:space="0" w:color="auto"/>
          </w:divBdr>
        </w:div>
        <w:div w:id="1963538310">
          <w:marLeft w:val="605"/>
          <w:marRight w:val="0"/>
          <w:marTop w:val="0"/>
          <w:marBottom w:val="0"/>
          <w:divBdr>
            <w:top w:val="none" w:sz="0" w:space="0" w:color="auto"/>
            <w:left w:val="none" w:sz="0" w:space="0" w:color="auto"/>
            <w:bottom w:val="none" w:sz="0" w:space="0" w:color="auto"/>
            <w:right w:val="none" w:sz="0" w:space="0" w:color="auto"/>
          </w:divBdr>
        </w:div>
      </w:divsChild>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 w:id="2134445751">
      <w:bodyDiv w:val="1"/>
      <w:marLeft w:val="0"/>
      <w:marRight w:val="0"/>
      <w:marTop w:val="0"/>
      <w:marBottom w:val="0"/>
      <w:divBdr>
        <w:top w:val="none" w:sz="0" w:space="0" w:color="auto"/>
        <w:left w:val="none" w:sz="0" w:space="0" w:color="auto"/>
        <w:bottom w:val="none" w:sz="0" w:space="0" w:color="auto"/>
        <w:right w:val="none" w:sz="0" w:space="0" w:color="auto"/>
      </w:divBdr>
      <w:divsChild>
        <w:div w:id="156965217">
          <w:marLeft w:val="605"/>
          <w:marRight w:val="0"/>
          <w:marTop w:val="0"/>
          <w:marBottom w:val="40"/>
          <w:divBdr>
            <w:top w:val="none" w:sz="0" w:space="0" w:color="auto"/>
            <w:left w:val="none" w:sz="0" w:space="0" w:color="auto"/>
            <w:bottom w:val="none" w:sz="0" w:space="0" w:color="auto"/>
            <w:right w:val="none" w:sz="0" w:space="0" w:color="auto"/>
          </w:divBdr>
        </w:div>
        <w:div w:id="460611109">
          <w:marLeft w:val="605"/>
          <w:marRight w:val="0"/>
          <w:marTop w:val="0"/>
          <w:marBottom w:val="40"/>
          <w:divBdr>
            <w:top w:val="none" w:sz="0" w:space="0" w:color="auto"/>
            <w:left w:val="none" w:sz="0" w:space="0" w:color="auto"/>
            <w:bottom w:val="none" w:sz="0" w:space="0" w:color="auto"/>
            <w:right w:val="none" w:sz="0" w:space="0" w:color="auto"/>
          </w:divBdr>
        </w:div>
        <w:div w:id="703405281">
          <w:marLeft w:val="302"/>
          <w:marRight w:val="0"/>
          <w:marTop w:val="0"/>
          <w:marBottom w:val="60"/>
          <w:divBdr>
            <w:top w:val="none" w:sz="0" w:space="0" w:color="auto"/>
            <w:left w:val="none" w:sz="0" w:space="0" w:color="auto"/>
            <w:bottom w:val="none" w:sz="0" w:space="0" w:color="auto"/>
            <w:right w:val="none" w:sz="0" w:space="0" w:color="auto"/>
          </w:divBdr>
        </w:div>
        <w:div w:id="1874152142">
          <w:marLeft w:val="302"/>
          <w:marRight w:val="0"/>
          <w:marTop w:val="0"/>
          <w:marBottom w:val="60"/>
          <w:divBdr>
            <w:top w:val="none" w:sz="0" w:space="0" w:color="auto"/>
            <w:left w:val="none" w:sz="0" w:space="0" w:color="auto"/>
            <w:bottom w:val="none" w:sz="0" w:space="0" w:color="auto"/>
            <w:right w:val="none" w:sz="0" w:space="0" w:color="auto"/>
          </w:divBdr>
        </w:div>
        <w:div w:id="2049523866">
          <w:marLeft w:val="302"/>
          <w:marRight w:val="0"/>
          <w:marTop w:val="0"/>
          <w:marBottom w:val="60"/>
          <w:divBdr>
            <w:top w:val="none" w:sz="0" w:space="0" w:color="auto"/>
            <w:left w:val="none" w:sz="0" w:space="0" w:color="auto"/>
            <w:bottom w:val="none" w:sz="0" w:space="0" w:color="auto"/>
            <w:right w:val="none" w:sz="0" w:space="0" w:color="auto"/>
          </w:divBdr>
        </w:div>
        <w:div w:id="2089958854">
          <w:marLeft w:val="605"/>
          <w:marRight w:val="0"/>
          <w:marTop w:val="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cid:image002.png@01CE86E8.1BBA6C6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cannedfood.org" TargetMode="Externa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Blank.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Joe\Dropbox\PC%20Safeguards%20Inquiry\Processed%20tomato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57742782152305E-2"/>
          <c:y val="7.4548702245552628E-2"/>
          <c:w val="0.85927559055118152"/>
          <c:h val="0.80947142023913676"/>
        </c:manualLayout>
      </c:layout>
      <c:lineChart>
        <c:grouping val="standard"/>
        <c:varyColors val="0"/>
        <c:ser>
          <c:idx val="0"/>
          <c:order val="0"/>
          <c:spPr>
            <a:ln>
              <a:solidFill>
                <a:schemeClr val="accent2"/>
              </a:solidFill>
            </a:ln>
          </c:spPr>
          <c:marker>
            <c:symbol val="none"/>
          </c:marker>
          <c:trendline>
            <c:trendlineType val="linear"/>
            <c:dispRSqr val="0"/>
            <c:dispEq val="0"/>
          </c:trendline>
          <c:cat>
            <c:strRef>
              <c:f>('Processed tomatoes - Australia'!$C$2,'Processed tomatoes - Australia'!$E$2,'Processed tomatoes - Australia'!$G$2,'Processed tomatoes - Australia'!$I$2,'Processed tomatoes - Australia'!$K$2,'Processed tomatoes - Australia'!$M$2,'Processed tomatoes - Australia'!$O$2)</c:f>
              <c:strCache>
                <c:ptCount val="7"/>
                <c:pt idx="0">
                  <c:v>2005-06</c:v>
                </c:pt>
                <c:pt idx="1">
                  <c:v>2006-07</c:v>
                </c:pt>
                <c:pt idx="2">
                  <c:v>2007-08</c:v>
                </c:pt>
                <c:pt idx="3">
                  <c:v>2008-09</c:v>
                </c:pt>
                <c:pt idx="4">
                  <c:v>2009-10</c:v>
                </c:pt>
                <c:pt idx="5">
                  <c:v>2010-11</c:v>
                </c:pt>
                <c:pt idx="6">
                  <c:v>2011-12</c:v>
                </c:pt>
              </c:strCache>
            </c:strRef>
          </c:cat>
          <c:val>
            <c:numRef>
              <c:f>('Processed tomatoes - Australia'!$D$10,'Processed tomatoes - Australia'!$F$10,'Processed tomatoes - Australia'!$H$10,'Processed tomatoes - Australia'!$J$10,'Processed tomatoes - Australia'!$L$10,'Processed tomatoes - Australia'!$N$10,'Processed tomatoes - Australia'!$P$10)</c:f>
              <c:numCache>
                <c:formatCode>0.0%</c:formatCode>
                <c:ptCount val="7"/>
                <c:pt idx="0">
                  <c:v>0.77862474176259433</c:v>
                </c:pt>
                <c:pt idx="1">
                  <c:v>0.38167438325724568</c:v>
                </c:pt>
                <c:pt idx="2">
                  <c:v>0.35663438933083791</c:v>
                </c:pt>
                <c:pt idx="3">
                  <c:v>0.42698469680761347</c:v>
                </c:pt>
                <c:pt idx="4">
                  <c:v>0.34015367840643596</c:v>
                </c:pt>
                <c:pt idx="5">
                  <c:v>0.25332266000525844</c:v>
                </c:pt>
                <c:pt idx="6">
                  <c:v>0.36140907616250545</c:v>
                </c:pt>
              </c:numCache>
            </c:numRef>
          </c:val>
          <c:smooth val="0"/>
        </c:ser>
        <c:dLbls>
          <c:showLegendKey val="0"/>
          <c:showVal val="0"/>
          <c:showCatName val="0"/>
          <c:showSerName val="0"/>
          <c:showPercent val="0"/>
          <c:showBubbleSize val="0"/>
        </c:dLbls>
        <c:marker val="1"/>
        <c:smooth val="0"/>
        <c:axId val="162973184"/>
        <c:axId val="162974720"/>
      </c:lineChart>
      <c:catAx>
        <c:axId val="162973184"/>
        <c:scaling>
          <c:orientation val="minMax"/>
        </c:scaling>
        <c:delete val="0"/>
        <c:axPos val="b"/>
        <c:majorTickMark val="cross"/>
        <c:minorTickMark val="none"/>
        <c:tickLblPos val="nextTo"/>
        <c:txPr>
          <a:bodyPr/>
          <a:lstStyle/>
          <a:p>
            <a:pPr>
              <a:defRPr sz="800"/>
            </a:pPr>
            <a:endParaRPr lang="en-US"/>
          </a:p>
        </c:txPr>
        <c:crossAx val="162974720"/>
        <c:crosses val="autoZero"/>
        <c:auto val="1"/>
        <c:lblAlgn val="ctr"/>
        <c:lblOffset val="100"/>
        <c:noMultiLvlLbl val="0"/>
      </c:catAx>
      <c:valAx>
        <c:axId val="162974720"/>
        <c:scaling>
          <c:orientation val="minMax"/>
        </c:scaling>
        <c:delete val="0"/>
        <c:axPos val="l"/>
        <c:majorGridlines/>
        <c:numFmt formatCode="0%" sourceLinked="0"/>
        <c:majorTickMark val="in"/>
        <c:minorTickMark val="none"/>
        <c:tickLblPos val="nextTo"/>
        <c:txPr>
          <a:bodyPr/>
          <a:lstStyle/>
          <a:p>
            <a:pPr>
              <a:defRPr sz="800"/>
            </a:pPr>
            <a:endParaRPr lang="en-US"/>
          </a:p>
        </c:txPr>
        <c:crossAx val="16297318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67140208872495"/>
          <c:y val="5.5227798782810804E-2"/>
          <c:w val="0.76377310353688421"/>
          <c:h val="0.77616272645602036"/>
        </c:manualLayout>
      </c:layout>
      <c:lineChart>
        <c:grouping val="standard"/>
        <c:varyColors val="0"/>
        <c:ser>
          <c:idx val="0"/>
          <c:order val="0"/>
          <c:spPr>
            <a:ln>
              <a:solidFill>
                <a:schemeClr val="accent2"/>
              </a:solidFill>
            </a:ln>
          </c:spPr>
          <c:marker>
            <c:symbol val="none"/>
          </c:marker>
          <c:trendline>
            <c:trendlineType val="linear"/>
            <c:dispRSqr val="0"/>
            <c:dispEq val="0"/>
          </c:trendline>
          <c:cat>
            <c:strRef>
              <c:f>'Imports - by commodity'!$C$5:$L$5</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'Imports - by commodity'!$C$7:$L$7</c:f>
              <c:numCache>
                <c:formatCode>_-* #,##0_-;\-* #,##0_-;_-* "-"??_-;_-@_-</c:formatCode>
                <c:ptCount val="10"/>
                <c:pt idx="0">
                  <c:v>25990308</c:v>
                </c:pt>
                <c:pt idx="1">
                  <c:v>34719163</c:v>
                </c:pt>
                <c:pt idx="2">
                  <c:v>29827546</c:v>
                </c:pt>
                <c:pt idx="3">
                  <c:v>38635772</c:v>
                </c:pt>
                <c:pt idx="4">
                  <c:v>40267624</c:v>
                </c:pt>
                <c:pt idx="5">
                  <c:v>53956196</c:v>
                </c:pt>
                <c:pt idx="6">
                  <c:v>53003912</c:v>
                </c:pt>
                <c:pt idx="7">
                  <c:v>53136405</c:v>
                </c:pt>
                <c:pt idx="8">
                  <c:v>57687514</c:v>
                </c:pt>
                <c:pt idx="9">
                  <c:v>63310098</c:v>
                </c:pt>
              </c:numCache>
            </c:numRef>
          </c:val>
          <c:smooth val="0"/>
        </c:ser>
        <c:dLbls>
          <c:showLegendKey val="0"/>
          <c:showVal val="0"/>
          <c:showCatName val="0"/>
          <c:showSerName val="0"/>
          <c:showPercent val="0"/>
          <c:showBubbleSize val="0"/>
        </c:dLbls>
        <c:marker val="1"/>
        <c:smooth val="0"/>
        <c:axId val="158653440"/>
        <c:axId val="163185408"/>
      </c:lineChart>
      <c:catAx>
        <c:axId val="158653440"/>
        <c:scaling>
          <c:orientation val="minMax"/>
        </c:scaling>
        <c:delete val="0"/>
        <c:axPos val="b"/>
        <c:majorTickMark val="cross"/>
        <c:minorTickMark val="none"/>
        <c:tickLblPos val="nextTo"/>
        <c:txPr>
          <a:bodyPr/>
          <a:lstStyle/>
          <a:p>
            <a:pPr>
              <a:defRPr sz="800"/>
            </a:pPr>
            <a:endParaRPr lang="en-US"/>
          </a:p>
        </c:txPr>
        <c:crossAx val="163185408"/>
        <c:crosses val="autoZero"/>
        <c:auto val="1"/>
        <c:lblAlgn val="ctr"/>
        <c:lblOffset val="100"/>
        <c:noMultiLvlLbl val="0"/>
      </c:catAx>
      <c:valAx>
        <c:axId val="163185408"/>
        <c:scaling>
          <c:orientation val="minMax"/>
        </c:scaling>
        <c:delete val="0"/>
        <c:axPos val="l"/>
        <c:majorGridlines/>
        <c:numFmt formatCode="_-* #,##0_-;\-* #,##0_-;_-* &quot;-&quot;??_-;_-@_-" sourceLinked="1"/>
        <c:majorTickMark val="in"/>
        <c:minorTickMark val="none"/>
        <c:tickLblPos val="nextTo"/>
        <c:txPr>
          <a:bodyPr/>
          <a:lstStyle/>
          <a:p>
            <a:pPr>
              <a:defRPr sz="800"/>
            </a:pPr>
            <a:endParaRPr lang="en-US"/>
          </a:p>
        </c:txPr>
        <c:crossAx val="15865344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67140208872495"/>
          <c:y val="5.0453600845064575E-2"/>
          <c:w val="0.76377310353688377"/>
          <c:h val="0.78111514301554597"/>
        </c:manualLayout>
      </c:layout>
      <c:lineChart>
        <c:grouping val="standard"/>
        <c:varyColors val="0"/>
        <c:ser>
          <c:idx val="0"/>
          <c:order val="0"/>
          <c:marker>
            <c:symbol val="none"/>
          </c:marker>
          <c:trendline>
            <c:trendlineType val="linear"/>
            <c:dispRSqr val="0"/>
            <c:dispEq val="0"/>
          </c:trendline>
          <c:cat>
            <c:strRef>
              <c:f>'Imports - by commodity'!$C$5:$L$5</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'Imports - by commodity'!$C$8:$L$8</c:f>
              <c:numCache>
                <c:formatCode>_-* #,##0_-;\-* #,##0_-;_-* "-"??_-;_-@_-</c:formatCode>
                <c:ptCount val="10"/>
                <c:pt idx="0">
                  <c:v>30708890</c:v>
                </c:pt>
                <c:pt idx="1">
                  <c:v>33392779</c:v>
                </c:pt>
                <c:pt idx="2">
                  <c:v>30143237</c:v>
                </c:pt>
                <c:pt idx="3">
                  <c:v>34792113</c:v>
                </c:pt>
                <c:pt idx="4">
                  <c:v>37283089</c:v>
                </c:pt>
                <c:pt idx="5">
                  <c:v>51986013</c:v>
                </c:pt>
                <c:pt idx="6">
                  <c:v>69018867</c:v>
                </c:pt>
                <c:pt idx="7">
                  <c:v>60107349</c:v>
                </c:pt>
                <c:pt idx="8">
                  <c:v>52502212</c:v>
                </c:pt>
                <c:pt idx="9">
                  <c:v>58105901</c:v>
                </c:pt>
              </c:numCache>
            </c:numRef>
          </c:val>
          <c:smooth val="0"/>
        </c:ser>
        <c:dLbls>
          <c:showLegendKey val="0"/>
          <c:showVal val="0"/>
          <c:showCatName val="0"/>
          <c:showSerName val="0"/>
          <c:showPercent val="0"/>
          <c:showBubbleSize val="0"/>
        </c:dLbls>
        <c:marker val="1"/>
        <c:smooth val="0"/>
        <c:axId val="163603200"/>
        <c:axId val="163604736"/>
      </c:lineChart>
      <c:catAx>
        <c:axId val="163603200"/>
        <c:scaling>
          <c:orientation val="minMax"/>
        </c:scaling>
        <c:delete val="0"/>
        <c:axPos val="b"/>
        <c:majorTickMark val="cross"/>
        <c:minorTickMark val="none"/>
        <c:tickLblPos val="nextTo"/>
        <c:txPr>
          <a:bodyPr/>
          <a:lstStyle/>
          <a:p>
            <a:pPr>
              <a:defRPr sz="800"/>
            </a:pPr>
            <a:endParaRPr lang="en-US"/>
          </a:p>
        </c:txPr>
        <c:crossAx val="163604736"/>
        <c:crosses val="autoZero"/>
        <c:auto val="1"/>
        <c:lblAlgn val="ctr"/>
        <c:lblOffset val="100"/>
        <c:noMultiLvlLbl val="0"/>
      </c:catAx>
      <c:valAx>
        <c:axId val="163604736"/>
        <c:scaling>
          <c:orientation val="minMax"/>
        </c:scaling>
        <c:delete val="0"/>
        <c:axPos val="l"/>
        <c:majorGridlines/>
        <c:numFmt formatCode="_-* #,##0_-;\-* #,##0_-;_-* &quot;-&quot;??_-;_-@_-" sourceLinked="1"/>
        <c:majorTickMark val="in"/>
        <c:minorTickMark val="none"/>
        <c:tickLblPos val="nextTo"/>
        <c:txPr>
          <a:bodyPr/>
          <a:lstStyle/>
          <a:p>
            <a:pPr>
              <a:defRPr sz="800"/>
            </a:pPr>
            <a:endParaRPr lang="en-US"/>
          </a:p>
        </c:txPr>
        <c:crossAx val="16360320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99BAB-E131-4D56-AB37-2427AC9CC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0</TotalTime>
  <Pages>13</Pages>
  <Words>3985</Words>
  <Characters>22186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Submission 18 - Senator Bridget McKenzie - Import of Processed Tomato Products - Public inquiry</vt:lpstr>
    </vt:vector>
  </TitlesOfParts>
  <Company>Senator Bridget McKenzie</Company>
  <LinksUpToDate>false</LinksUpToDate>
  <CharactersWithSpaces>26119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18 - Senator Bridget McKenzie - Import of Processed Tomato Products - Public inquiry</dc:title>
  <dc:creator>Senator Bridget McKenzie</dc:creator>
  <cp:lastModifiedBy>Productivity Commission</cp:lastModifiedBy>
  <cp:revision>2</cp:revision>
  <cp:lastPrinted>2013-07-22T06:08:00Z</cp:lastPrinted>
  <dcterms:created xsi:type="dcterms:W3CDTF">2013-07-23T05:56:00Z</dcterms:created>
  <dcterms:modified xsi:type="dcterms:W3CDTF">2013-07-23T05:56:00Z</dcterms:modified>
</cp:coreProperties>
</file>