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0F6695" w14:textId="31F873A7" w:rsidR="0073463B" w:rsidRPr="0073463B" w:rsidRDefault="00231A2E" w:rsidP="0073463B">
      <w:pPr>
        <w:pStyle w:val="Heading1"/>
        <w:rPr>
          <w:color w:val="FFFFFF" w:themeColor="background1"/>
          <w:sz w:val="12"/>
          <w:szCs w:val="12"/>
        </w:rPr>
      </w:pPr>
      <w:bookmarkStart w:id="0" w:name="_GoBack"/>
      <w:r>
        <w:rPr>
          <w:noProof/>
          <w:lang w:eastAsia="en-AU"/>
        </w:rPr>
        <w:drawing>
          <wp:anchor distT="0" distB="0" distL="114300" distR="114300" simplePos="0" relativeHeight="251658240" behindDoc="0" locked="0" layoutInCell="1" allowOverlap="1" wp14:anchorId="6DE81F67" wp14:editId="1CF7420C">
            <wp:simplePos x="830580" y="1021080"/>
            <wp:positionH relativeFrom="page">
              <wp:align>center</wp:align>
            </wp:positionH>
            <wp:positionV relativeFrom="page">
              <wp:align>center</wp:align>
            </wp:positionV>
            <wp:extent cx="7596000" cy="10744664"/>
            <wp:effectExtent l="0" t="0" r="508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tle-tre-dr-web.png"/>
                    <pic:cNvPicPr/>
                  </pic:nvPicPr>
                  <pic:blipFill>
                    <a:blip r:embed="rId9">
                      <a:extLst>
                        <a:ext uri="{28A0092B-C50C-407E-A947-70E740481C1C}">
                          <a14:useLocalDpi xmlns:a14="http://schemas.microsoft.com/office/drawing/2010/main" val="0"/>
                        </a:ext>
                      </a:extLst>
                    </a:blip>
                    <a:stretch>
                      <a:fillRect/>
                    </a:stretch>
                  </pic:blipFill>
                  <pic:spPr>
                    <a:xfrm>
                      <a:off x="0" y="0"/>
                      <a:ext cx="7596000" cy="10744664"/>
                    </a:xfrm>
                    <a:prstGeom prst="rect">
                      <a:avLst/>
                    </a:prstGeom>
                  </pic:spPr>
                </pic:pic>
              </a:graphicData>
            </a:graphic>
            <wp14:sizeRelH relativeFrom="margin">
              <wp14:pctWidth>0</wp14:pctWidth>
            </wp14:sizeRelH>
            <wp14:sizeRelV relativeFrom="margin">
              <wp14:pctHeight>0</wp14:pctHeight>
            </wp14:sizeRelV>
          </wp:anchor>
        </w:drawing>
      </w:r>
      <w:bookmarkEnd w:id="0"/>
      <w:r w:rsidR="0073463B" w:rsidRPr="0073463B">
        <w:rPr>
          <w:color w:val="FFFFFF" w:themeColor="background1"/>
          <w:sz w:val="12"/>
          <w:szCs w:val="12"/>
        </w:rPr>
        <w:t>Transitioning Regional Economies</w:t>
      </w:r>
    </w:p>
    <w:p w14:paraId="2E751DAE" w14:textId="5287774C" w:rsidR="00B04D19" w:rsidRPr="0073463B" w:rsidRDefault="0073463B" w:rsidP="00CD5E6B">
      <w:pPr>
        <w:pStyle w:val="BodyText"/>
        <w:rPr>
          <w:b/>
          <w:szCs w:val="26"/>
        </w:rPr>
      </w:pPr>
      <w:r w:rsidRPr="0073463B">
        <w:rPr>
          <w:color w:val="FFFFFF" w:themeColor="background1"/>
          <w:sz w:val="12"/>
          <w:szCs w:val="12"/>
        </w:rPr>
        <w:t>Productivity Commission Initial Report</w:t>
      </w:r>
      <w:r w:rsidR="00B04D19" w:rsidRPr="0073463B">
        <w:br w:type="page"/>
      </w:r>
    </w:p>
    <w:p w14:paraId="2E751DAF" w14:textId="77777777"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E11C15">
        <w:t>7</w:t>
      </w:r>
    </w:p>
    <w:p w14:paraId="2E751DB0" w14:textId="77777777" w:rsidR="008A3857" w:rsidRDefault="008A3857" w:rsidP="008E242D">
      <w:pPr>
        <w:pStyle w:val="BodyText"/>
        <w:spacing w:after="120"/>
      </w:pPr>
      <w:bookmarkStart w:id="1" w:name="ISSN"/>
      <w:bookmarkEnd w:id="1"/>
      <w:r w:rsidRPr="00862D8F">
        <w:rPr>
          <w:noProof/>
          <w:sz w:val="22"/>
          <w:szCs w:val="22"/>
        </w:rPr>
        <w:drawing>
          <wp:inline distT="0" distB="0" distL="0" distR="0" wp14:anchorId="2E751E12" wp14:editId="2E751E13">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14:paraId="2E751DB1" w14:textId="77777777"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hyperlink r:id="rId11" w:history="1">
        <w:hyperlink r:id="rId12" w:history="1">
          <w:r w:rsidRPr="00805FD7">
            <w:t>http://creativecommons.org/licenses/by/3.0/au</w:t>
          </w:r>
        </w:hyperlink>
      </w:hyperlink>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14:paraId="2E751DB2" w14:textId="77777777" w:rsidR="008A3857" w:rsidRPr="008A3857" w:rsidRDefault="008A3857" w:rsidP="008A3857">
      <w:pPr>
        <w:pStyle w:val="Copyrightsubtitle"/>
      </w:pPr>
      <w:r w:rsidRPr="008A3857">
        <w:t>Use of the Commonwealth Coat of Arms</w:t>
      </w:r>
    </w:p>
    <w:p w14:paraId="2E751DB3" w14:textId="77777777" w:rsidR="008A3857" w:rsidRPr="008A3857" w:rsidRDefault="008A3857" w:rsidP="00BA0B81">
      <w:pPr>
        <w:pStyle w:val="Copyrightbodytext"/>
      </w:pPr>
      <w:r w:rsidRPr="008A3857">
        <w:t>For terms of use of the Coat of Arms visit the ‘</w:t>
      </w:r>
      <w:hyperlink r:id="rId13" w:history="1">
        <w:r w:rsidRPr="00805FD7">
          <w:t>It’s an Honour</w:t>
        </w:r>
      </w:hyperlink>
      <w:r w:rsidRPr="008A3857">
        <w:t>’ website</w:t>
      </w:r>
      <w:r w:rsidR="00122FE9" w:rsidRPr="00BA0B81">
        <w:t>:</w:t>
      </w:r>
      <w:r w:rsidRPr="00BA0B81">
        <w:t xml:space="preserve"> </w:t>
      </w:r>
      <w:hyperlink r:id="rId14" w:history="1">
        <w:r w:rsidR="00BA0B81" w:rsidRPr="00805FD7">
          <w:t>http://</w:t>
        </w:r>
        <w:proofErr w:type="spellStart"/>
        <w:r w:rsidR="00BA0B81" w:rsidRPr="00805FD7">
          <w:t>www.itsanhonour.gov.au</w:t>
        </w:r>
        <w:proofErr w:type="spellEnd"/>
      </w:hyperlink>
    </w:p>
    <w:p w14:paraId="2E751DB4" w14:textId="77777777" w:rsidR="008A3857" w:rsidRPr="008A3857" w:rsidRDefault="008A3857" w:rsidP="008A3857">
      <w:pPr>
        <w:pStyle w:val="Copyrightsubtitle"/>
      </w:pPr>
      <w:r w:rsidRPr="008A3857">
        <w:t>Third party copyright</w:t>
      </w:r>
    </w:p>
    <w:p w14:paraId="2E751DB5" w14:textId="77777777"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14:paraId="2E751DB6" w14:textId="77777777" w:rsidR="008A3857" w:rsidRPr="008A3857" w:rsidRDefault="008A3857" w:rsidP="008A3857">
      <w:pPr>
        <w:pStyle w:val="Copyrightsubtitle"/>
      </w:pPr>
      <w:r w:rsidRPr="008A3857">
        <w:t>Attribution</w:t>
      </w:r>
    </w:p>
    <w:p w14:paraId="2E751DB7" w14:textId="3043264D" w:rsidR="008A3857" w:rsidRPr="008A3857" w:rsidRDefault="008A3857" w:rsidP="00BA0B81">
      <w:pPr>
        <w:pStyle w:val="Copyrightbodytext"/>
      </w:pPr>
      <w:r w:rsidRPr="008A3857">
        <w:t xml:space="preserve">This work should be attributed as follows, </w:t>
      </w:r>
      <w:r w:rsidRPr="008E242D">
        <w:rPr>
          <w:i/>
        </w:rPr>
        <w:t xml:space="preserve">Source: Productivity Commission, </w:t>
      </w:r>
      <w:r w:rsidR="00F74AE9">
        <w:rPr>
          <w:i/>
        </w:rPr>
        <w:t>Transitioning Regional Economie</w:t>
      </w:r>
      <w:r w:rsidR="00DB7FEC">
        <w:rPr>
          <w:i/>
        </w:rPr>
        <w:t>s, Initial Report</w:t>
      </w:r>
      <w:r w:rsidR="00F74AE9">
        <w:rPr>
          <w:i/>
        </w:rPr>
        <w:t>.</w:t>
      </w:r>
    </w:p>
    <w:p w14:paraId="2E751DB8" w14:textId="3CF78CA7"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sidR="00122FE9">
        <w:rPr>
          <w:i/>
        </w:rPr>
        <w:t xml:space="preserve"> </w:t>
      </w:r>
      <w:r w:rsidRPr="008E242D">
        <w:rPr>
          <w:i/>
        </w:rPr>
        <w:t>data</w:t>
      </w:r>
      <w:r w:rsidR="008E242D" w:rsidRPr="008E242D">
        <w:rPr>
          <w:i/>
        </w:rPr>
        <w:t xml:space="preserve">, </w:t>
      </w:r>
      <w:r w:rsidR="00CD13E0">
        <w:rPr>
          <w:i/>
        </w:rPr>
        <w:t>Transitioning Regional Economie</w:t>
      </w:r>
      <w:r w:rsidR="00DB7FEC">
        <w:rPr>
          <w:i/>
        </w:rPr>
        <w:t>s, Initial Report</w:t>
      </w:r>
      <w:r w:rsidR="00CD13E0">
        <w:rPr>
          <w:i/>
        </w:rPr>
        <w:t>.</w:t>
      </w:r>
    </w:p>
    <w:p w14:paraId="2E751DB9" w14:textId="77777777"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14:paraId="2E751DBA" w14:textId="0A9E7BC5" w:rsidR="008A3857" w:rsidRPr="008A3857" w:rsidRDefault="00A55813" w:rsidP="008A3857">
      <w:pPr>
        <w:pStyle w:val="Copyrightbodytext"/>
      </w:pPr>
      <w:r>
        <w:t>Productivity Commission 2017</w:t>
      </w:r>
      <w:r w:rsidR="00CD13E0">
        <w:t xml:space="preserve">, </w:t>
      </w:r>
      <w:r w:rsidR="00CD13E0" w:rsidRPr="00CD13E0">
        <w:rPr>
          <w:i/>
        </w:rPr>
        <w:t>Transitioning Regional Economies</w:t>
      </w:r>
      <w:r w:rsidR="00CD13E0" w:rsidRPr="008D5D2E">
        <w:t xml:space="preserve">, </w:t>
      </w:r>
      <w:r w:rsidR="00DB6A87" w:rsidRPr="008D5D2E">
        <w:t xml:space="preserve">Initial </w:t>
      </w:r>
      <w:r w:rsidR="00CD13E0" w:rsidRPr="008D5D2E">
        <w:t>Report,</w:t>
      </w:r>
      <w:r w:rsidR="00CD13E0">
        <w:t xml:space="preserve"> </w:t>
      </w:r>
      <w:r w:rsidR="008D5D2E">
        <w:t>Canberra</w:t>
      </w:r>
      <w:r w:rsidR="00DB7FEC">
        <w:t>.</w:t>
      </w:r>
    </w:p>
    <w:p w14:paraId="2E751DBB" w14:textId="77777777" w:rsidR="008A3857" w:rsidRPr="008A3857" w:rsidRDefault="008A3857" w:rsidP="008A3857">
      <w:pPr>
        <w:pStyle w:val="Copyrightsubtitle"/>
      </w:pPr>
      <w:bookmarkStart w:id="2" w:name="JEL"/>
      <w:bookmarkEnd w:id="2"/>
      <w:r w:rsidRPr="008A3857">
        <w:t>Publications enquiries</w:t>
      </w:r>
    </w:p>
    <w:p w14:paraId="2E751DBC" w14:textId="77777777"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w:t>
      </w:r>
      <w:proofErr w:type="spellStart"/>
      <w:r w:rsidR="00EC38C1" w:rsidRPr="00BB5DCF">
        <w:rPr>
          <w:szCs w:val="24"/>
        </w:rPr>
        <w:t>maps@pc.gov.au</w:t>
      </w:r>
      <w:proofErr w:type="spellEnd"/>
    </w:p>
    <w:p w14:paraId="2E751DBD" w14:textId="77777777"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8A3857" w14:paraId="2E751DBF" w14:textId="77777777" w:rsidTr="00C670DE">
        <w:tc>
          <w:tcPr>
            <w:tcW w:w="8771" w:type="dxa"/>
            <w:tcBorders>
              <w:top w:val="single" w:sz="6" w:space="0" w:color="78A22F"/>
              <w:left w:val="nil"/>
              <w:bottom w:val="nil"/>
              <w:right w:val="nil"/>
            </w:tcBorders>
            <w:shd w:val="clear" w:color="auto" w:fill="F2F2F2" w:themeFill="background1" w:themeFillShade="F2"/>
          </w:tcPr>
          <w:p w14:paraId="2E751DBE" w14:textId="77777777" w:rsidR="008A3857" w:rsidRPr="008A3857" w:rsidRDefault="008A3857" w:rsidP="00E72CAB">
            <w:pPr>
              <w:pStyle w:val="BoxTitle"/>
              <w:rPr>
                <w:sz w:val="22"/>
                <w:szCs w:val="22"/>
              </w:rPr>
            </w:pPr>
            <w:r w:rsidRPr="008A3857">
              <w:rPr>
                <w:sz w:val="22"/>
                <w:szCs w:val="22"/>
              </w:rPr>
              <w:t>The Productivity Commission</w:t>
            </w:r>
          </w:p>
        </w:tc>
      </w:tr>
      <w:tr w:rsidR="008A3857" w14:paraId="2E751DC3" w14:textId="77777777" w:rsidTr="00C670DE">
        <w:tc>
          <w:tcPr>
            <w:tcW w:w="8771" w:type="dxa"/>
            <w:tcBorders>
              <w:top w:val="nil"/>
              <w:left w:val="nil"/>
              <w:bottom w:val="nil"/>
              <w:right w:val="nil"/>
            </w:tcBorders>
            <w:shd w:val="clear" w:color="auto" w:fill="F2F2F2" w:themeFill="background1" w:themeFillShade="F2"/>
          </w:tcPr>
          <w:p w14:paraId="2E751DC0" w14:textId="77777777" w:rsidR="008A3857" w:rsidRDefault="008A3857" w:rsidP="00E72CAB">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14:paraId="2E751DC1" w14:textId="77777777" w:rsidR="008A3857" w:rsidRDefault="008A3857" w:rsidP="00E72CAB">
            <w:pPr>
              <w:pStyle w:val="Box"/>
            </w:pPr>
            <w:r w:rsidRPr="00BB5DCF">
              <w:t>The Commission’s independence is underpinned by an Act of Parliament. Its processes and outputs are open to public scrutiny and are driven by concern for the wellbeing of the community as a whole.</w:t>
            </w:r>
          </w:p>
          <w:p w14:paraId="2E751DC2" w14:textId="77777777" w:rsidR="008A3857" w:rsidRDefault="008A3857" w:rsidP="00EC38C1">
            <w:pPr>
              <w:pStyle w:val="Box"/>
            </w:pPr>
            <w:r w:rsidRPr="00BB5DCF">
              <w:rPr>
                <w:szCs w:val="24"/>
              </w:rPr>
              <w:t>Further information on the Productivity Commission can be obtained from the Commission’s website (</w:t>
            </w:r>
            <w:proofErr w:type="spellStart"/>
            <w:r w:rsidR="00716182">
              <w:fldChar w:fldCharType="begin"/>
            </w:r>
            <w:r w:rsidR="00716182">
              <w:instrText xml:space="preserve"> HYPERLINK "http://www.pc.gov.au/" </w:instrText>
            </w:r>
            <w:r w:rsidR="00716182">
              <w:fldChar w:fldCharType="separate"/>
            </w:r>
            <w:r w:rsidRPr="00805FD7">
              <w:t>www.pc.gov.au</w:t>
            </w:r>
            <w:proofErr w:type="spellEnd"/>
            <w:r w:rsidR="00716182">
              <w:fldChar w:fldCharType="end"/>
            </w:r>
            <w:r w:rsidRPr="00BB5DCF">
              <w:rPr>
                <w:szCs w:val="24"/>
              </w:rPr>
              <w:t>)</w:t>
            </w:r>
            <w:r w:rsidR="00EC38C1">
              <w:rPr>
                <w:szCs w:val="24"/>
              </w:rPr>
              <w:t>.</w:t>
            </w:r>
          </w:p>
        </w:tc>
      </w:tr>
      <w:tr w:rsidR="008A3857" w14:paraId="2E751DC5" w14:textId="77777777" w:rsidTr="00C670DE">
        <w:tc>
          <w:tcPr>
            <w:tcW w:w="8771" w:type="dxa"/>
            <w:tcBorders>
              <w:top w:val="nil"/>
              <w:left w:val="nil"/>
              <w:bottom w:val="single" w:sz="6" w:space="0" w:color="78A22F"/>
              <w:right w:val="nil"/>
            </w:tcBorders>
            <w:shd w:val="clear" w:color="auto" w:fill="F2F2F2" w:themeFill="background1" w:themeFillShade="F2"/>
          </w:tcPr>
          <w:p w14:paraId="2E751DC4" w14:textId="77777777" w:rsidR="008A3857" w:rsidRDefault="008A3857" w:rsidP="00E72CAB">
            <w:pPr>
              <w:pStyle w:val="Box"/>
              <w:spacing w:before="0" w:line="120" w:lineRule="exact"/>
            </w:pPr>
          </w:p>
        </w:tc>
      </w:tr>
    </w:tbl>
    <w:p w14:paraId="2E751DC6" w14:textId="77777777"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bookmarkStart w:id="3" w:name="cov"/>
      <w:bookmarkEnd w:id="3"/>
    </w:p>
    <w:p w14:paraId="2E751DC7" w14:textId="77777777" w:rsidR="005D4F83" w:rsidRDefault="005D4F83">
      <w:pPr>
        <w:pStyle w:val="Heading1"/>
      </w:pPr>
      <w:bookmarkStart w:id="4" w:name="_Toc479061017"/>
      <w:bookmarkStart w:id="5" w:name="_Toc479173523"/>
      <w:r>
        <w:lastRenderedPageBreak/>
        <w:t>Opportunity for further comment</w:t>
      </w:r>
      <w:bookmarkEnd w:id="4"/>
      <w:bookmarkEnd w:id="5"/>
    </w:p>
    <w:p w14:paraId="535AAA01" w14:textId="5875128C" w:rsidR="00881A1C" w:rsidRPr="003D58C7" w:rsidRDefault="00881A1C" w:rsidP="003D58C7">
      <w:pPr>
        <w:pStyle w:val="BodyText"/>
        <w:rPr>
          <w:rStyle w:val="Hyperlink"/>
          <w:color w:val="auto"/>
          <w:u w:val="none"/>
          <w:lang w:eastAsia="en-US"/>
        </w:rPr>
      </w:pPr>
      <w:r>
        <w:rPr>
          <w:lang w:eastAsia="en-US"/>
        </w:rPr>
        <w:t xml:space="preserve">You are invited to examine this </w:t>
      </w:r>
      <w:r w:rsidR="00BB7146">
        <w:rPr>
          <w:lang w:eastAsia="en-US"/>
        </w:rPr>
        <w:t xml:space="preserve">initial </w:t>
      </w:r>
      <w:r>
        <w:rPr>
          <w:lang w:eastAsia="en-US"/>
        </w:rPr>
        <w:t xml:space="preserve">report and comment on it by written submission to the Productivity Commission by </w:t>
      </w:r>
      <w:r w:rsidR="0049330D" w:rsidRPr="00663D69">
        <w:rPr>
          <w:lang w:eastAsia="en-US"/>
        </w:rPr>
        <w:t xml:space="preserve">Monday </w:t>
      </w:r>
      <w:r w:rsidR="00742360" w:rsidRPr="00663D69">
        <w:rPr>
          <w:lang w:eastAsia="en-US"/>
        </w:rPr>
        <w:t>31 July</w:t>
      </w:r>
      <w:r w:rsidRPr="00663D69">
        <w:rPr>
          <w:lang w:eastAsia="en-US"/>
        </w:rPr>
        <w:t xml:space="preserve"> 2017</w:t>
      </w:r>
      <w:r w:rsidR="008D5D2E">
        <w:rPr>
          <w:lang w:eastAsia="en-US"/>
        </w:rPr>
        <w:t xml:space="preserve">. </w:t>
      </w:r>
      <w:r>
        <w:rPr>
          <w:lang w:eastAsia="en-US"/>
        </w:rPr>
        <w:t>Further information on how to provide a submission is included on the study website</w:t>
      </w:r>
      <w:r w:rsidR="00B66BEB">
        <w:rPr>
          <w:lang w:eastAsia="en-US"/>
        </w:rPr>
        <w:t xml:space="preserve"> at</w:t>
      </w:r>
      <w:r w:rsidR="00663D69">
        <w:rPr>
          <w:lang w:eastAsia="en-US"/>
        </w:rPr>
        <w:t xml:space="preserve"> </w:t>
      </w:r>
      <w:hyperlink r:id="rId15" w:history="1">
        <w:proofErr w:type="spellStart"/>
        <w:r w:rsidR="00DF2BBF" w:rsidRPr="00DF2BBF">
          <w:rPr>
            <w:rStyle w:val="Hyperlink"/>
            <w:lang w:eastAsia="en-US"/>
          </w:rPr>
          <w:t>www.pc.gov.au</w:t>
        </w:r>
        <w:proofErr w:type="spellEnd"/>
        <w:r w:rsidR="00DF2BBF" w:rsidRPr="00DF2BBF">
          <w:rPr>
            <w:rStyle w:val="Hyperlink"/>
            <w:lang w:eastAsia="en-US"/>
          </w:rPr>
          <w:t>/inquiries/</w:t>
        </w:r>
        <w:r w:rsidR="00DF2BBF" w:rsidRPr="00DF2BBF">
          <w:rPr>
            <w:rStyle w:val="Hyperlink"/>
            <w:lang w:eastAsia="en-US"/>
          </w:rPr>
          <w:br/>
          <w:t>current/transitioning-regions/make-submission</w:t>
        </w:r>
      </w:hyperlink>
      <w:r w:rsidR="00DB7FEC" w:rsidRPr="00DB7FEC">
        <w:rPr>
          <w:rStyle w:val="Hyperlink"/>
          <w:u w:val="none"/>
          <w:lang w:eastAsia="en-US"/>
        </w:rPr>
        <w:t>.</w:t>
      </w:r>
    </w:p>
    <w:p w14:paraId="371AE5AD" w14:textId="50C20E44" w:rsidR="00881A1C" w:rsidRPr="00881A1C" w:rsidRDefault="00881A1C" w:rsidP="00881A1C">
      <w:pPr>
        <w:pStyle w:val="BodyText"/>
        <w:rPr>
          <w:lang w:eastAsia="en-US"/>
        </w:rPr>
      </w:pPr>
      <w:r>
        <w:rPr>
          <w:lang w:eastAsia="en-US"/>
        </w:rPr>
        <w:t>The final report will be prepared after further submissions have been received</w:t>
      </w:r>
      <w:r w:rsidR="00C65F7C">
        <w:rPr>
          <w:lang w:eastAsia="en-US"/>
        </w:rPr>
        <w:t xml:space="preserve"> and </w:t>
      </w:r>
      <w:r w:rsidR="001764C7">
        <w:rPr>
          <w:lang w:eastAsia="en-US"/>
        </w:rPr>
        <w:t>further</w:t>
      </w:r>
      <w:r w:rsidR="00C65F7C">
        <w:rPr>
          <w:lang w:eastAsia="en-US"/>
        </w:rPr>
        <w:t xml:space="preserve"> consultations have been undertaken,</w:t>
      </w:r>
      <w:r w:rsidR="00B66BEB">
        <w:rPr>
          <w:lang w:eastAsia="en-US"/>
        </w:rPr>
        <w:t xml:space="preserve"> and will be </w:t>
      </w:r>
      <w:r w:rsidR="003F7FD9">
        <w:rPr>
          <w:lang w:eastAsia="en-US"/>
        </w:rPr>
        <w:t>published in</w:t>
      </w:r>
      <w:r w:rsidR="00B66BEB">
        <w:rPr>
          <w:lang w:eastAsia="en-US"/>
        </w:rPr>
        <w:t xml:space="preserve"> December 2017</w:t>
      </w:r>
      <w:r>
        <w:rPr>
          <w:lang w:eastAsia="en-US"/>
        </w:rPr>
        <w:t>.</w:t>
      </w:r>
    </w:p>
    <w:p w14:paraId="2E751DE7" w14:textId="79E8BC5A" w:rsidR="005D4F83" w:rsidRPr="00683E2C" w:rsidRDefault="00625142" w:rsidP="00E72CAB">
      <w:pPr>
        <w:pStyle w:val="Heading3"/>
      </w:pPr>
      <w:r>
        <w:t>Commissioner</w:t>
      </w:r>
    </w:p>
    <w:p w14:paraId="2E751DF6" w14:textId="6571B40D" w:rsidR="005D4F83" w:rsidRPr="00DD35BF" w:rsidRDefault="005D4F83" w:rsidP="00DB6A87">
      <w:pPr>
        <w:pStyle w:val="BodyText"/>
        <w:rPr>
          <w:lang w:eastAsia="en-US"/>
        </w:rPr>
      </w:pPr>
      <w:r w:rsidRPr="007151C7">
        <w:t xml:space="preserve">For the purposes of this </w:t>
      </w:r>
      <w:r>
        <w:t>study</w:t>
      </w:r>
      <w:r w:rsidRPr="007151C7">
        <w:t xml:space="preserve"> the Commission</w:t>
      </w:r>
      <w:r>
        <w:t>er</w:t>
      </w:r>
      <w:r w:rsidR="00BB7146">
        <w:t xml:space="preserve"> </w:t>
      </w:r>
      <w:r>
        <w:t>is</w:t>
      </w:r>
      <w:r w:rsidR="00DB6A87">
        <w:t xml:space="preserve"> Paul Lindwall. </w:t>
      </w:r>
    </w:p>
    <w:p w14:paraId="2E751DF7" w14:textId="77777777" w:rsidR="005D4F83" w:rsidRPr="003C10D8" w:rsidRDefault="005D4F83" w:rsidP="00E72CAB">
      <w:pPr>
        <w:pStyle w:val="BodyText"/>
        <w:rPr>
          <w:lang w:eastAsia="en-US"/>
        </w:rPr>
        <w:sectPr w:rsidR="005D4F83" w:rsidRPr="003C10D8" w:rsidSect="00E72CAB">
          <w:headerReference w:type="even" r:id="rId16"/>
          <w:headerReference w:type="default" r:id="rId17"/>
          <w:footerReference w:type="even" r:id="rId18"/>
          <w:footerReference w:type="default" r:id="rId19"/>
          <w:type w:val="oddPage"/>
          <w:pgSz w:w="11907" w:h="16840" w:code="9"/>
          <w:pgMar w:top="1985" w:right="1304" w:bottom="1191" w:left="1814" w:header="1701" w:footer="397" w:gutter="0"/>
          <w:pgNumType w:fmt="lowerRoman"/>
          <w:cols w:space="720"/>
        </w:sectPr>
      </w:pPr>
    </w:p>
    <w:p w14:paraId="2E751DF8" w14:textId="77777777" w:rsidR="005D4F83" w:rsidRDefault="005D4F83" w:rsidP="00E72CAB">
      <w:pPr>
        <w:pStyle w:val="Heading1"/>
      </w:pPr>
      <w:bookmarkStart w:id="6" w:name="_Toc479061018"/>
      <w:bookmarkStart w:id="7" w:name="_Toc479173524"/>
      <w:r>
        <w:lastRenderedPageBreak/>
        <w:t>Terms of reference</w:t>
      </w:r>
      <w:bookmarkEnd w:id="6"/>
      <w:bookmarkEnd w:id="7"/>
    </w:p>
    <w:p w14:paraId="7A94CD77" w14:textId="560768FD" w:rsidR="00E60345" w:rsidRPr="008D5D2E" w:rsidRDefault="00CD13E0" w:rsidP="008D5D2E">
      <w:pPr>
        <w:pStyle w:val="Heading2"/>
        <w:ind w:left="0" w:firstLine="0"/>
        <w:rPr>
          <w:rFonts w:eastAsiaTheme="majorEastAsia"/>
          <w:sz w:val="26"/>
          <w:szCs w:val="26"/>
        </w:rPr>
      </w:pPr>
      <w:r w:rsidRPr="008D5D2E">
        <w:rPr>
          <w:rFonts w:eastAsiaTheme="majorEastAsia"/>
          <w:sz w:val="26"/>
          <w:szCs w:val="26"/>
        </w:rPr>
        <w:t>A study on the transition of regional economies following the resources boom</w:t>
      </w:r>
    </w:p>
    <w:p w14:paraId="79ACE13D" w14:textId="77777777" w:rsidR="00CD13E0" w:rsidRDefault="00CD13E0" w:rsidP="00582C4F">
      <w:pPr>
        <w:pStyle w:val="BodyText"/>
      </w:pPr>
      <w:r>
        <w:t>I, Scott Morrison, Treasurer, pursuant to Parts 2 and 4 of the Productivity Commission Act 1998, hereby request that the Productivity Commission undertake a study into the geographic impacts of the transition of the Australian economy following the resources investment boom.</w:t>
      </w:r>
    </w:p>
    <w:p w14:paraId="10A5AC03" w14:textId="667FC5AA" w:rsidR="00E60345" w:rsidRPr="00E60345" w:rsidRDefault="00CD13E0" w:rsidP="008D5D2E">
      <w:pPr>
        <w:pStyle w:val="Heading3"/>
      </w:pPr>
      <w:bookmarkStart w:id="8" w:name="_Toc479061019"/>
      <w:bookmarkStart w:id="9" w:name="_Toc479173525"/>
      <w:r w:rsidRPr="00B66D86">
        <w:t>Background</w:t>
      </w:r>
      <w:bookmarkEnd w:id="8"/>
      <w:bookmarkEnd w:id="9"/>
    </w:p>
    <w:p w14:paraId="795E0CDF" w14:textId="3D530A1B" w:rsidR="00E60345" w:rsidRDefault="00CD13E0" w:rsidP="00582C4F">
      <w:pPr>
        <w:pStyle w:val="BodyText"/>
      </w:pPr>
      <w:r>
        <w:t>The transition from the mining investment boom to broader-based growth is underway. This transition is occurring at the same time as our economy is reconciling the impacts of globalization, technological and environmental change.</w:t>
      </w:r>
    </w:p>
    <w:p w14:paraId="579E0887" w14:textId="1F4B167C" w:rsidR="00E60345" w:rsidRDefault="00CD13E0" w:rsidP="00582C4F">
      <w:pPr>
        <w:pStyle w:val="BodyText"/>
      </w:pPr>
      <w:r>
        <w:t>By its nature, the geography of our economic transition will not be</w:t>
      </w:r>
      <w:r w:rsidR="008D5D2E">
        <w:t xml:space="preserve"> consistent across the country.</w:t>
      </w:r>
    </w:p>
    <w:p w14:paraId="3C8678FA" w14:textId="0220D5AF" w:rsidR="00E60345" w:rsidRDefault="00CD13E0" w:rsidP="00582C4F">
      <w:pPr>
        <w:pStyle w:val="BodyText"/>
      </w:pPr>
      <w:r>
        <w:t>The combination of forces driving the transition of our economy will unavoidably create friction points in specific regional areas and localities across the country, while being the source of considerable growth and prosperity in others.</w:t>
      </w:r>
    </w:p>
    <w:p w14:paraId="13F07FD7" w14:textId="77777777" w:rsidR="00CD13E0" w:rsidRDefault="00CD13E0" w:rsidP="00582C4F">
      <w:pPr>
        <w:pStyle w:val="BodyText"/>
      </w:pPr>
      <w:r>
        <w:t>The different impacts across the geographic regions of the Australian economy occur because of variable factors such as endowments of natural resources and demographics. Some regions may also have limited capacity to respond to changes in economic conditions; for example, due to different policy or institutional settings.</w:t>
      </w:r>
    </w:p>
    <w:p w14:paraId="447778CB" w14:textId="1DE126AE" w:rsidR="00E60345" w:rsidRPr="00E60345" w:rsidRDefault="00CD13E0" w:rsidP="008D5D2E">
      <w:pPr>
        <w:pStyle w:val="Heading3"/>
      </w:pPr>
      <w:bookmarkStart w:id="10" w:name="_Toc479061020"/>
      <w:bookmarkStart w:id="11" w:name="_Toc479173526"/>
      <w:r w:rsidRPr="00187699">
        <w:t>Scope of the research study</w:t>
      </w:r>
      <w:bookmarkEnd w:id="10"/>
      <w:bookmarkEnd w:id="11"/>
    </w:p>
    <w:p w14:paraId="6AC61BC5" w14:textId="59649B0F" w:rsidR="00E60345" w:rsidRDefault="00CD13E0" w:rsidP="00582C4F">
      <w:pPr>
        <w:pStyle w:val="BodyText"/>
      </w:pPr>
      <w:r>
        <w:t>The purpose of this study is to examine the regional geography of Australia's economic transition, since the mining investment boom, to identify those regions and localities that face significant challenges in successfully transitioning to a more sustainable economic base and the factors which will influence their capacity to adapt to changes in economic circumstances.</w:t>
      </w:r>
    </w:p>
    <w:p w14:paraId="70459E1C" w14:textId="16E44CED" w:rsidR="00E60345" w:rsidRDefault="00CD13E0" w:rsidP="00582C4F">
      <w:pPr>
        <w:pStyle w:val="BodyText"/>
      </w:pPr>
      <w:r>
        <w:t>The study should also draw on analyses of previous transitions that have occurred in the Australian economy and policy responses as reference and guide to analysing our current transition.</w:t>
      </w:r>
      <w:r w:rsidRPr="009E4B43">
        <w:t xml:space="preserve"> </w:t>
      </w:r>
      <w:r>
        <w:t>The Commission should consult with statistical agencies and other experts.</w:t>
      </w:r>
    </w:p>
    <w:p w14:paraId="235CA60B" w14:textId="77777777" w:rsidR="00CD13E0" w:rsidRPr="00B06770" w:rsidRDefault="00CD13E0" w:rsidP="00582C4F">
      <w:pPr>
        <w:pStyle w:val="BodyText"/>
      </w:pPr>
      <w:r>
        <w:lastRenderedPageBreak/>
        <w:t xml:space="preserve">In undertaking the </w:t>
      </w:r>
      <w:r w:rsidRPr="00B06770">
        <w:t>study, the Commission</w:t>
      </w:r>
      <w:r w:rsidRPr="00B06770" w:rsidDel="00B95F10">
        <w:t xml:space="preserve"> </w:t>
      </w:r>
      <w:r w:rsidRPr="00B06770">
        <w:t>should:</w:t>
      </w:r>
    </w:p>
    <w:p w14:paraId="345AB3B0" w14:textId="77777777" w:rsidR="00CD13E0" w:rsidRPr="008F448A" w:rsidRDefault="00CD13E0" w:rsidP="00582C4F">
      <w:pPr>
        <w:pStyle w:val="ListNumber"/>
      </w:pPr>
      <w:r w:rsidRPr="008F448A">
        <w:t xml:space="preserve">Identify regions which are likely, from an examination of economic and social data, to </w:t>
      </w:r>
      <w:r>
        <w:t>make a less successful</w:t>
      </w:r>
      <w:r w:rsidRPr="008F448A">
        <w:t xml:space="preserve"> transition from the resources boom</w:t>
      </w:r>
      <w:r>
        <w:t xml:space="preserve"> than other parts of the country</w:t>
      </w:r>
      <w:r w:rsidRPr="008F448A">
        <w:t xml:space="preserve"> at a time when our economy is reconciling the impacts of globalization, technological </w:t>
      </w:r>
      <w:r>
        <w:t xml:space="preserve">and environmental </w:t>
      </w:r>
      <w:r w:rsidRPr="008F448A">
        <w:t>change.</w:t>
      </w:r>
    </w:p>
    <w:p w14:paraId="16AC298D" w14:textId="77777777" w:rsidR="00CD13E0" w:rsidRPr="008F448A" w:rsidRDefault="00CD13E0" w:rsidP="00582C4F">
      <w:pPr>
        <w:pStyle w:val="ListNumber"/>
      </w:pPr>
      <w:r w:rsidRPr="008F448A">
        <w:t xml:space="preserve">For each such region, identify the primary factors contributing to this performance. Identify distributional impacts as part of this analysis.  </w:t>
      </w:r>
    </w:p>
    <w:p w14:paraId="65C2CC0E" w14:textId="77777777" w:rsidR="00CD13E0" w:rsidRPr="008F448A" w:rsidRDefault="00CD13E0" w:rsidP="00582C4F">
      <w:pPr>
        <w:pStyle w:val="ListNumber"/>
      </w:pPr>
      <w:r w:rsidRPr="008F448A">
        <w:t xml:space="preserve">Establish an economic metric, combining a series of indicators to assess the degree of economic dislocation/engagement, transitional friction and local economic sustainability for regions across Australia and rank those regions to identify those most at risk of failing to adjust. </w:t>
      </w:r>
    </w:p>
    <w:p w14:paraId="7D1B1A03" w14:textId="77777777" w:rsidR="00CD13E0" w:rsidRPr="008F448A" w:rsidRDefault="00CD13E0" w:rsidP="00582C4F">
      <w:pPr>
        <w:pStyle w:val="ListNumber"/>
      </w:pPr>
      <w:r w:rsidRPr="008F448A">
        <w:t xml:space="preserve">Devise an analytical framework for assessing the scope for economic and social development in regions which share similar economic characteristics, including dependency on interrelationships between regions. </w:t>
      </w:r>
    </w:p>
    <w:p w14:paraId="13C1D8A2" w14:textId="77777777" w:rsidR="00CD13E0" w:rsidRPr="008F448A" w:rsidRDefault="00CD13E0" w:rsidP="00582C4F">
      <w:pPr>
        <w:pStyle w:val="ListNumber"/>
      </w:pPr>
      <w:r w:rsidRPr="008F448A">
        <w:t xml:space="preserve">Consider the relevance of geographic labour mobility including Fly-In/Fly-Out, Drive-In/Drive-Out and temporary migrant labour. </w:t>
      </w:r>
    </w:p>
    <w:p w14:paraId="0EA075ED" w14:textId="77777777" w:rsidR="00CD13E0" w:rsidRPr="007E5B43" w:rsidRDefault="00CD13E0" w:rsidP="00582C4F">
      <w:pPr>
        <w:pStyle w:val="ListNumber"/>
      </w:pPr>
      <w:r w:rsidRPr="008F448A">
        <w:t>Examine the prospects for change to the structure of each region’s economy and factors that may inhibit this or otherwise prevent a broad sharing of opportunity, consistent with the national growth outlook.</w:t>
      </w:r>
      <w:r>
        <w:t xml:space="preserve"> </w:t>
      </w:r>
    </w:p>
    <w:p w14:paraId="151EF70A" w14:textId="2770E009" w:rsidR="00E60345" w:rsidRPr="00E60345" w:rsidRDefault="00CD13E0" w:rsidP="008D5D2E">
      <w:pPr>
        <w:pStyle w:val="Heading3"/>
      </w:pPr>
      <w:bookmarkStart w:id="12" w:name="_Toc479061021"/>
      <w:bookmarkStart w:id="13" w:name="_Toc479173527"/>
      <w:r w:rsidRPr="003470A5">
        <w:t>Process</w:t>
      </w:r>
      <w:bookmarkEnd w:id="12"/>
      <w:bookmarkEnd w:id="13"/>
    </w:p>
    <w:p w14:paraId="15503F3E" w14:textId="3EAFA393" w:rsidR="00CD13E0" w:rsidRDefault="00CD13E0" w:rsidP="00582C4F">
      <w:pPr>
        <w:pStyle w:val="BodyText"/>
      </w:pPr>
      <w:r>
        <w:t>The Commission is to undertake an appropriate public consultation process including consultation with Commonwealth, State and Territory governments, as well as local government where appropriate.</w:t>
      </w:r>
    </w:p>
    <w:p w14:paraId="5FEA79DC" w14:textId="72B8A433" w:rsidR="00CD13E0" w:rsidRDefault="00CD13E0" w:rsidP="00582C4F">
      <w:pPr>
        <w:pStyle w:val="BodyText"/>
      </w:pPr>
      <w:r>
        <w:t>The final report should be provided within 12 months of the receipt of these terms of reference, with an initial report provided in April.</w:t>
      </w:r>
    </w:p>
    <w:p w14:paraId="7E08A18B" w14:textId="79632734" w:rsidR="00CD13E0" w:rsidRPr="008D5D2E" w:rsidRDefault="008468CA" w:rsidP="008D5D2E">
      <w:pPr>
        <w:pStyle w:val="BodyText"/>
        <w:spacing w:before="480"/>
        <w:jc w:val="left"/>
        <w:rPr>
          <w:b/>
        </w:rPr>
      </w:pPr>
      <w:r>
        <w:rPr>
          <w:b/>
        </w:rPr>
        <w:t>The Hon Scott Morrison MP</w:t>
      </w:r>
      <w:r w:rsidR="008D5D2E" w:rsidRPr="008D5D2E">
        <w:rPr>
          <w:b/>
        </w:rPr>
        <w:br/>
      </w:r>
      <w:r w:rsidR="00CD13E0" w:rsidRPr="008D5D2E">
        <w:rPr>
          <w:b/>
        </w:rPr>
        <w:t>Treasurer</w:t>
      </w:r>
    </w:p>
    <w:p w14:paraId="2E751DFD" w14:textId="671E5FA5" w:rsidR="005D4F83" w:rsidRDefault="008D5D2E" w:rsidP="00E72CAB">
      <w:pPr>
        <w:pStyle w:val="BodyText"/>
      </w:pPr>
      <w:r>
        <w:t>[Received 15 December 2016]</w:t>
      </w:r>
    </w:p>
    <w:p w14:paraId="2E751DFE" w14:textId="77777777" w:rsidR="005D4F83" w:rsidRDefault="005D4F83" w:rsidP="00E72CAB">
      <w:pPr>
        <w:pStyle w:val="BodyText"/>
        <w:sectPr w:rsidR="005D4F83" w:rsidSect="00E72CAB">
          <w:headerReference w:type="even" r:id="rId20"/>
          <w:headerReference w:type="default" r:id="rId21"/>
          <w:footerReference w:type="even" r:id="rId22"/>
          <w:footerReference w:type="default" r:id="rId23"/>
          <w:pgSz w:w="11907" w:h="16840" w:code="9"/>
          <w:pgMar w:top="1985" w:right="1304" w:bottom="1247" w:left="1814" w:header="1701" w:footer="397" w:gutter="0"/>
          <w:pgNumType w:fmt="lowerRoman"/>
          <w:cols w:space="720"/>
        </w:sectPr>
      </w:pPr>
    </w:p>
    <w:p w14:paraId="2CD3A57E" w14:textId="3B1F4395" w:rsidR="00F344B4" w:rsidRDefault="00735FEA" w:rsidP="008206EE">
      <w:pPr>
        <w:pStyle w:val="Heading1NotTOC"/>
        <w:rPr>
          <w:noProof/>
        </w:rPr>
      </w:pPr>
      <w:bookmarkStart w:id="14" w:name="Contents"/>
      <w:bookmarkEnd w:id="14"/>
      <w:r w:rsidRPr="00B153C3">
        <w:lastRenderedPageBreak/>
        <w:t>Contents</w:t>
      </w:r>
      <w:bookmarkStart w:id="15" w:name="InsertContents"/>
      <w:bookmarkEnd w:id="15"/>
    </w:p>
    <w:p w14:paraId="4E809E9A" w14:textId="7D13DB5E" w:rsidR="00F344B4" w:rsidRDefault="00F344B4">
      <w:pPr>
        <w:pStyle w:val="TOC1"/>
        <w:rPr>
          <w:rFonts w:asciiTheme="minorHAnsi" w:eastAsiaTheme="minorEastAsia" w:hAnsiTheme="minorHAnsi" w:cstheme="minorBidi"/>
          <w:b w:val="0"/>
          <w:noProof/>
          <w:sz w:val="22"/>
          <w:szCs w:val="22"/>
          <w:lang w:eastAsia="en-AU"/>
        </w:rPr>
      </w:pPr>
      <w:r>
        <w:rPr>
          <w:noProof/>
        </w:rPr>
        <w:t>Opportunity for further comment</w:t>
      </w:r>
      <w:r>
        <w:rPr>
          <w:noProof/>
        </w:rPr>
        <w:tab/>
        <w:t>iii</w:t>
      </w:r>
    </w:p>
    <w:p w14:paraId="37514CE4" w14:textId="530425D6" w:rsidR="00F344B4" w:rsidRDefault="00F344B4">
      <w:pPr>
        <w:pStyle w:val="TOC1"/>
        <w:rPr>
          <w:rFonts w:asciiTheme="minorHAnsi" w:eastAsiaTheme="minorEastAsia" w:hAnsiTheme="minorHAnsi" w:cstheme="minorBidi"/>
          <w:b w:val="0"/>
          <w:noProof/>
          <w:sz w:val="22"/>
          <w:szCs w:val="22"/>
          <w:lang w:eastAsia="en-AU"/>
        </w:rPr>
      </w:pPr>
      <w:r>
        <w:rPr>
          <w:noProof/>
        </w:rPr>
        <w:t>Terms of reference</w:t>
      </w:r>
      <w:r>
        <w:rPr>
          <w:noProof/>
        </w:rPr>
        <w:tab/>
        <w:t>iv</w:t>
      </w:r>
    </w:p>
    <w:p w14:paraId="56422ED9" w14:textId="2E1AF407" w:rsidR="00F344B4" w:rsidRDefault="00F344B4">
      <w:pPr>
        <w:pStyle w:val="TOC1"/>
        <w:rPr>
          <w:rFonts w:asciiTheme="minorHAnsi" w:eastAsiaTheme="minorEastAsia" w:hAnsiTheme="minorHAnsi" w:cstheme="minorBidi"/>
          <w:b w:val="0"/>
          <w:noProof/>
          <w:sz w:val="22"/>
          <w:szCs w:val="22"/>
          <w:lang w:eastAsia="en-AU"/>
        </w:rPr>
      </w:pPr>
      <w:r>
        <w:rPr>
          <w:noProof/>
        </w:rPr>
        <w:t>Abbreviations</w:t>
      </w:r>
      <w:r>
        <w:rPr>
          <w:noProof/>
        </w:rPr>
        <w:tab/>
      </w:r>
      <w:r w:rsidR="000A507B">
        <w:rPr>
          <w:noProof/>
        </w:rPr>
        <w:t>i</w:t>
      </w:r>
      <w:r>
        <w:rPr>
          <w:noProof/>
        </w:rPr>
        <w:t>x</w:t>
      </w:r>
    </w:p>
    <w:p w14:paraId="440C16B2" w14:textId="77777777" w:rsidR="00F344B4" w:rsidRDefault="00F344B4" w:rsidP="008D5D2E">
      <w:pPr>
        <w:pStyle w:val="TOC1"/>
        <w:spacing w:before="360"/>
        <w:rPr>
          <w:rFonts w:asciiTheme="minorHAnsi" w:eastAsiaTheme="minorEastAsia" w:hAnsiTheme="minorHAnsi" w:cstheme="minorBidi"/>
          <w:b w:val="0"/>
          <w:noProof/>
          <w:sz w:val="22"/>
          <w:szCs w:val="22"/>
          <w:lang w:eastAsia="en-AU"/>
        </w:rPr>
      </w:pPr>
      <w:r>
        <w:rPr>
          <w:noProof/>
        </w:rPr>
        <w:t>Overview</w:t>
      </w:r>
      <w:r>
        <w:rPr>
          <w:noProof/>
        </w:rPr>
        <w:tab/>
        <w:t>1</w:t>
      </w:r>
    </w:p>
    <w:p w14:paraId="1854EEF9" w14:textId="77777777" w:rsidR="00F344B4" w:rsidRDefault="00F344B4">
      <w:pPr>
        <w:pStyle w:val="TOC2"/>
        <w:rPr>
          <w:rFonts w:asciiTheme="minorHAnsi" w:eastAsiaTheme="minorEastAsia" w:hAnsiTheme="minorHAnsi" w:cstheme="minorBidi"/>
          <w:noProof/>
          <w:sz w:val="22"/>
          <w:szCs w:val="22"/>
          <w:lang w:eastAsia="en-AU"/>
        </w:rPr>
      </w:pPr>
      <w:r>
        <w:rPr>
          <w:noProof/>
        </w:rPr>
        <w:t>What the Commission has been asked to do</w:t>
      </w:r>
      <w:r>
        <w:rPr>
          <w:noProof/>
        </w:rPr>
        <w:tab/>
        <w:t>4</w:t>
      </w:r>
    </w:p>
    <w:p w14:paraId="0D607870" w14:textId="77777777" w:rsidR="00F344B4" w:rsidRDefault="00F344B4">
      <w:pPr>
        <w:pStyle w:val="TOC2"/>
        <w:rPr>
          <w:rFonts w:asciiTheme="minorHAnsi" w:eastAsiaTheme="minorEastAsia" w:hAnsiTheme="minorHAnsi" w:cstheme="minorBidi"/>
          <w:noProof/>
          <w:sz w:val="22"/>
          <w:szCs w:val="22"/>
          <w:lang w:eastAsia="en-AU"/>
        </w:rPr>
      </w:pPr>
      <w:r>
        <w:rPr>
          <w:noProof/>
        </w:rPr>
        <w:t>Framework for assessing adaptation and development</w:t>
      </w:r>
      <w:r>
        <w:rPr>
          <w:noProof/>
        </w:rPr>
        <w:tab/>
        <w:t>5</w:t>
      </w:r>
    </w:p>
    <w:p w14:paraId="48F91A15" w14:textId="77777777" w:rsidR="00F344B4" w:rsidRDefault="00F344B4">
      <w:pPr>
        <w:pStyle w:val="TOC2"/>
        <w:rPr>
          <w:rFonts w:asciiTheme="minorHAnsi" w:eastAsiaTheme="minorEastAsia" w:hAnsiTheme="minorHAnsi" w:cstheme="minorBidi"/>
          <w:noProof/>
          <w:sz w:val="22"/>
          <w:szCs w:val="22"/>
          <w:lang w:eastAsia="en-AU"/>
        </w:rPr>
      </w:pPr>
      <w:r>
        <w:rPr>
          <w:noProof/>
        </w:rPr>
        <w:t>A snapshot of regional growth and adaptive capacity</w:t>
      </w:r>
      <w:r>
        <w:rPr>
          <w:noProof/>
        </w:rPr>
        <w:tab/>
        <w:t>10</w:t>
      </w:r>
    </w:p>
    <w:p w14:paraId="176A76B7" w14:textId="77777777" w:rsidR="00F344B4" w:rsidRDefault="00F344B4">
      <w:pPr>
        <w:pStyle w:val="TOC2"/>
        <w:rPr>
          <w:rFonts w:asciiTheme="minorHAnsi" w:eastAsiaTheme="minorEastAsia" w:hAnsiTheme="minorHAnsi" w:cstheme="minorBidi"/>
          <w:noProof/>
          <w:sz w:val="22"/>
          <w:szCs w:val="22"/>
          <w:lang w:eastAsia="en-AU"/>
        </w:rPr>
      </w:pPr>
      <w:r>
        <w:rPr>
          <w:noProof/>
        </w:rPr>
        <w:t>Emerging themes of regional growth and adaptation</w:t>
      </w:r>
      <w:r>
        <w:rPr>
          <w:noProof/>
        </w:rPr>
        <w:tab/>
        <w:t>13</w:t>
      </w:r>
    </w:p>
    <w:p w14:paraId="6A591136" w14:textId="77777777" w:rsidR="00F344B4" w:rsidRDefault="00F344B4">
      <w:pPr>
        <w:pStyle w:val="TOC2"/>
        <w:rPr>
          <w:rFonts w:asciiTheme="minorHAnsi" w:eastAsiaTheme="minorEastAsia" w:hAnsiTheme="minorHAnsi" w:cstheme="minorBidi"/>
          <w:noProof/>
          <w:sz w:val="22"/>
          <w:szCs w:val="22"/>
          <w:lang w:eastAsia="en-AU"/>
        </w:rPr>
      </w:pPr>
      <w:r>
        <w:rPr>
          <w:noProof/>
        </w:rPr>
        <w:t>Strategies for successful transition and development</w:t>
      </w:r>
      <w:r>
        <w:rPr>
          <w:noProof/>
        </w:rPr>
        <w:tab/>
        <w:t>23</w:t>
      </w:r>
    </w:p>
    <w:p w14:paraId="75F63070" w14:textId="77777777" w:rsidR="00F344B4" w:rsidRDefault="00F344B4">
      <w:pPr>
        <w:pStyle w:val="TOC1"/>
        <w:rPr>
          <w:rFonts w:asciiTheme="minorHAnsi" w:eastAsiaTheme="minorEastAsia" w:hAnsiTheme="minorHAnsi" w:cstheme="minorBidi"/>
          <w:b w:val="0"/>
          <w:noProof/>
          <w:sz w:val="22"/>
          <w:szCs w:val="22"/>
          <w:lang w:eastAsia="en-AU"/>
        </w:rPr>
      </w:pPr>
      <w:r>
        <w:rPr>
          <w:noProof/>
        </w:rPr>
        <w:t>Initial findings</w:t>
      </w:r>
      <w:r>
        <w:rPr>
          <w:noProof/>
        </w:rPr>
        <w:tab/>
        <w:t>31</w:t>
      </w:r>
    </w:p>
    <w:p w14:paraId="2E751E01" w14:textId="143A7145" w:rsidR="004D3F58" w:rsidRPr="008D5D2E" w:rsidRDefault="004D3F58" w:rsidP="008D5D2E">
      <w:pPr>
        <w:pStyle w:val="BodyText"/>
        <w:rPr>
          <w:rStyle w:val="DraftingNote"/>
          <w:b w:val="0"/>
          <w:color w:val="auto"/>
          <w:u w:val="none"/>
        </w:rPr>
      </w:pPr>
    </w:p>
    <w:p w14:paraId="0350F716" w14:textId="77777777" w:rsidR="003B59A8" w:rsidRPr="008D5D2E" w:rsidRDefault="003B59A8" w:rsidP="008D5D2E">
      <w:pPr>
        <w:pStyle w:val="BodyText"/>
        <w:sectPr w:rsidR="003B59A8" w:rsidRPr="008D5D2E" w:rsidSect="007448F7">
          <w:headerReference w:type="even" r:id="rId24"/>
          <w:headerReference w:type="default" r:id="rId25"/>
          <w:footerReference w:type="even" r:id="rId26"/>
          <w:footerReference w:type="default" r:id="rId27"/>
          <w:type w:val="oddPage"/>
          <w:pgSz w:w="11907" w:h="16840" w:code="9"/>
          <w:pgMar w:top="1985" w:right="1304" w:bottom="1247" w:left="1814" w:header="1701" w:footer="397" w:gutter="0"/>
          <w:pgNumType w:fmt="lowerRoman"/>
          <w:cols w:space="720"/>
        </w:sectPr>
      </w:pPr>
    </w:p>
    <w:p w14:paraId="2E751E03" w14:textId="02855A34" w:rsidR="00735FEA" w:rsidRDefault="00EC048D" w:rsidP="00EC048D">
      <w:pPr>
        <w:pStyle w:val="Heading1"/>
      </w:pPr>
      <w:bookmarkStart w:id="16" w:name="Abbreviations"/>
      <w:bookmarkStart w:id="17" w:name="EndContents"/>
      <w:bookmarkStart w:id="18" w:name="RDnote"/>
      <w:bookmarkStart w:id="19" w:name="_Toc479061022"/>
      <w:bookmarkStart w:id="20" w:name="_Toc479173528"/>
      <w:bookmarkEnd w:id="16"/>
      <w:bookmarkEnd w:id="17"/>
      <w:bookmarkEnd w:id="18"/>
      <w:r>
        <w:lastRenderedPageBreak/>
        <w:t>Abbreviations</w:t>
      </w:r>
      <w:bookmarkEnd w:id="19"/>
      <w:bookmarkEnd w:id="20"/>
    </w:p>
    <w:tbl>
      <w:tblPr>
        <w:tblW w:w="0" w:type="auto"/>
        <w:tblCellMar>
          <w:left w:w="0" w:type="dxa"/>
          <w:right w:w="0" w:type="dxa"/>
        </w:tblCellMar>
        <w:tblLook w:val="0000" w:firstRow="0" w:lastRow="0" w:firstColumn="0" w:lastColumn="0" w:noHBand="0" w:noVBand="0"/>
        <w:tblDescription w:val="Table used for design layout."/>
      </w:tblPr>
      <w:tblGrid>
        <w:gridCol w:w="2410"/>
        <w:gridCol w:w="6379"/>
      </w:tblGrid>
      <w:tr w:rsidR="00CB4534" w14:paraId="53D7100C" w14:textId="77777777" w:rsidTr="00E72CAB">
        <w:tc>
          <w:tcPr>
            <w:tcW w:w="2410" w:type="dxa"/>
          </w:tcPr>
          <w:p w14:paraId="759CA980" w14:textId="5EFC1CF2" w:rsidR="00CB4534" w:rsidRDefault="00CB4534" w:rsidP="00E72CAB">
            <w:pPr>
              <w:pStyle w:val="BodyText"/>
              <w:spacing w:before="120"/>
              <w:ind w:right="6"/>
            </w:pPr>
            <w:r>
              <w:t>ABS</w:t>
            </w:r>
          </w:p>
        </w:tc>
        <w:tc>
          <w:tcPr>
            <w:tcW w:w="6379" w:type="dxa"/>
          </w:tcPr>
          <w:p w14:paraId="161F8FA9" w14:textId="7CDAF2FB" w:rsidR="00CB4534" w:rsidRDefault="00CB4534" w:rsidP="00C670DE">
            <w:pPr>
              <w:pStyle w:val="BodyText"/>
              <w:spacing w:before="120"/>
              <w:ind w:left="227" w:right="6"/>
            </w:pPr>
            <w:r>
              <w:t>Australian Bureau of Statistics</w:t>
            </w:r>
          </w:p>
        </w:tc>
      </w:tr>
      <w:tr w:rsidR="0016400F" w14:paraId="4223DF7E" w14:textId="77777777" w:rsidTr="00E72CAB">
        <w:tc>
          <w:tcPr>
            <w:tcW w:w="2410" w:type="dxa"/>
          </w:tcPr>
          <w:p w14:paraId="64334E07" w14:textId="6533E81D" w:rsidR="0016400F" w:rsidRDefault="0016400F" w:rsidP="00E72CAB">
            <w:pPr>
              <w:pStyle w:val="BodyText"/>
              <w:spacing w:before="120"/>
              <w:ind w:right="6"/>
            </w:pPr>
            <w:r>
              <w:t>ACT</w:t>
            </w:r>
          </w:p>
        </w:tc>
        <w:tc>
          <w:tcPr>
            <w:tcW w:w="6379" w:type="dxa"/>
          </w:tcPr>
          <w:p w14:paraId="1F4556E9" w14:textId="256EC27F" w:rsidR="0016400F" w:rsidRDefault="0016400F" w:rsidP="00C670DE">
            <w:pPr>
              <w:pStyle w:val="BodyText"/>
              <w:spacing w:before="120"/>
              <w:ind w:left="227" w:right="6"/>
            </w:pPr>
            <w:r>
              <w:t>Australian Capital Territory</w:t>
            </w:r>
          </w:p>
        </w:tc>
      </w:tr>
      <w:tr w:rsidR="0029370E" w14:paraId="28F81223" w14:textId="77777777" w:rsidTr="00E72CAB">
        <w:tc>
          <w:tcPr>
            <w:tcW w:w="2410" w:type="dxa"/>
          </w:tcPr>
          <w:p w14:paraId="3C1BE708" w14:textId="03CA41DF" w:rsidR="0029370E" w:rsidRDefault="0029370E" w:rsidP="00E72CAB">
            <w:pPr>
              <w:pStyle w:val="BodyText"/>
              <w:spacing w:before="120"/>
              <w:ind w:right="6"/>
            </w:pPr>
            <w:proofErr w:type="spellStart"/>
            <w:r>
              <w:t>APVMA</w:t>
            </w:r>
            <w:proofErr w:type="spellEnd"/>
          </w:p>
        </w:tc>
        <w:tc>
          <w:tcPr>
            <w:tcW w:w="6379" w:type="dxa"/>
          </w:tcPr>
          <w:p w14:paraId="157AF43A" w14:textId="03187A33" w:rsidR="0029370E" w:rsidRDefault="0029370E" w:rsidP="00C670DE">
            <w:pPr>
              <w:pStyle w:val="BodyText"/>
              <w:spacing w:before="120"/>
              <w:ind w:left="227" w:right="6"/>
            </w:pPr>
            <w:r>
              <w:t>Australian Pesticides and Veterinary Medicines Authority</w:t>
            </w:r>
          </w:p>
        </w:tc>
      </w:tr>
      <w:tr w:rsidR="0016400F" w14:paraId="649F0B43" w14:textId="77777777" w:rsidTr="00E72CAB">
        <w:tc>
          <w:tcPr>
            <w:tcW w:w="2410" w:type="dxa"/>
          </w:tcPr>
          <w:p w14:paraId="4C62C840" w14:textId="4D6B1722" w:rsidR="0016400F" w:rsidRDefault="0016400F" w:rsidP="00E72CAB">
            <w:pPr>
              <w:pStyle w:val="BodyText"/>
              <w:spacing w:before="120"/>
              <w:ind w:right="6"/>
            </w:pPr>
            <w:proofErr w:type="spellStart"/>
            <w:r>
              <w:t>ASIC</w:t>
            </w:r>
            <w:proofErr w:type="spellEnd"/>
          </w:p>
        </w:tc>
        <w:tc>
          <w:tcPr>
            <w:tcW w:w="6379" w:type="dxa"/>
          </w:tcPr>
          <w:p w14:paraId="04A90E87" w14:textId="37545DE4" w:rsidR="0016400F" w:rsidRDefault="0016400F" w:rsidP="00C670DE">
            <w:pPr>
              <w:pStyle w:val="BodyText"/>
              <w:spacing w:before="120"/>
              <w:ind w:left="227" w:right="6"/>
            </w:pPr>
            <w:r>
              <w:t>Australian Securities and Investments Commission</w:t>
            </w:r>
          </w:p>
        </w:tc>
      </w:tr>
      <w:tr w:rsidR="00EC048D" w14:paraId="66B14ED0" w14:textId="77777777" w:rsidTr="00E72CAB">
        <w:tc>
          <w:tcPr>
            <w:tcW w:w="2410" w:type="dxa"/>
          </w:tcPr>
          <w:p w14:paraId="1B7FF415" w14:textId="16AEC477" w:rsidR="00EC048D" w:rsidRDefault="00EC048D" w:rsidP="00E72CAB">
            <w:pPr>
              <w:pStyle w:val="BodyText"/>
              <w:spacing w:before="120"/>
              <w:ind w:right="6"/>
            </w:pPr>
            <w:r>
              <w:t>BLADE</w:t>
            </w:r>
          </w:p>
        </w:tc>
        <w:tc>
          <w:tcPr>
            <w:tcW w:w="6379" w:type="dxa"/>
          </w:tcPr>
          <w:p w14:paraId="16C38AD2" w14:textId="7EAD5472" w:rsidR="00EC048D" w:rsidRDefault="00EC048D" w:rsidP="00C670DE">
            <w:pPr>
              <w:pStyle w:val="BodyText"/>
              <w:spacing w:before="120"/>
              <w:ind w:left="227" w:right="6"/>
            </w:pPr>
            <w:r>
              <w:t>Business Longitudinal Analysis Data Environment</w:t>
            </w:r>
          </w:p>
        </w:tc>
      </w:tr>
      <w:tr w:rsidR="00E20F04" w14:paraId="0E9510E6" w14:textId="77777777" w:rsidTr="00E72CAB">
        <w:tc>
          <w:tcPr>
            <w:tcW w:w="2410" w:type="dxa"/>
          </w:tcPr>
          <w:p w14:paraId="64B3C0BA" w14:textId="05F3B03B" w:rsidR="00E20F04" w:rsidRDefault="00E20F04" w:rsidP="00E72CAB">
            <w:pPr>
              <w:pStyle w:val="BodyText"/>
              <w:spacing w:before="120"/>
              <w:ind w:right="6"/>
            </w:pPr>
            <w:proofErr w:type="spellStart"/>
            <w:r>
              <w:t>CBD</w:t>
            </w:r>
            <w:proofErr w:type="spellEnd"/>
          </w:p>
        </w:tc>
        <w:tc>
          <w:tcPr>
            <w:tcW w:w="6379" w:type="dxa"/>
          </w:tcPr>
          <w:p w14:paraId="5EF59655" w14:textId="241631C1" w:rsidR="00E20F04" w:rsidRDefault="00E20F04" w:rsidP="00C670DE">
            <w:pPr>
              <w:pStyle w:val="BodyText"/>
              <w:spacing w:before="120"/>
              <w:ind w:left="227" w:right="6"/>
            </w:pPr>
            <w:r>
              <w:t>central business district</w:t>
            </w:r>
          </w:p>
        </w:tc>
      </w:tr>
      <w:tr w:rsidR="0016400F" w14:paraId="197EDBAD" w14:textId="77777777" w:rsidTr="00E72CAB">
        <w:tc>
          <w:tcPr>
            <w:tcW w:w="2410" w:type="dxa"/>
          </w:tcPr>
          <w:p w14:paraId="495AB107" w14:textId="561A361B" w:rsidR="0016400F" w:rsidRDefault="0016400F" w:rsidP="00E72CAB">
            <w:pPr>
              <w:pStyle w:val="BodyText"/>
              <w:spacing w:before="120"/>
              <w:ind w:right="6"/>
            </w:pPr>
            <w:r>
              <w:t>COAG</w:t>
            </w:r>
          </w:p>
        </w:tc>
        <w:tc>
          <w:tcPr>
            <w:tcW w:w="6379" w:type="dxa"/>
          </w:tcPr>
          <w:p w14:paraId="37462825" w14:textId="0F23571B" w:rsidR="0016400F" w:rsidRDefault="0016400F" w:rsidP="00C670DE">
            <w:pPr>
              <w:pStyle w:val="BodyText"/>
              <w:spacing w:before="120"/>
              <w:ind w:left="227" w:right="6"/>
            </w:pPr>
            <w:r>
              <w:t>Council of Australian Governments</w:t>
            </w:r>
          </w:p>
        </w:tc>
      </w:tr>
      <w:tr w:rsidR="00CB4534" w14:paraId="73AB6B30" w14:textId="77777777" w:rsidTr="00E72CAB">
        <w:tc>
          <w:tcPr>
            <w:tcW w:w="2410" w:type="dxa"/>
          </w:tcPr>
          <w:p w14:paraId="03E668AD" w14:textId="19A9ADF6" w:rsidR="00CB4534" w:rsidRDefault="00CB4534" w:rsidP="00E72CAB">
            <w:pPr>
              <w:pStyle w:val="BodyText"/>
              <w:spacing w:before="120"/>
              <w:ind w:right="6"/>
            </w:pPr>
            <w:r>
              <w:t>FIFO</w:t>
            </w:r>
          </w:p>
        </w:tc>
        <w:tc>
          <w:tcPr>
            <w:tcW w:w="6379" w:type="dxa"/>
          </w:tcPr>
          <w:p w14:paraId="394A54FE" w14:textId="26E819EF" w:rsidR="00CB4534" w:rsidRDefault="00CB4534" w:rsidP="00C670DE">
            <w:pPr>
              <w:pStyle w:val="BodyText"/>
              <w:spacing w:before="120"/>
              <w:ind w:left="227" w:right="6"/>
            </w:pPr>
            <w:r>
              <w:t>fly-in, fly-out</w:t>
            </w:r>
          </w:p>
        </w:tc>
      </w:tr>
      <w:tr w:rsidR="001E59E7" w14:paraId="76144ED8" w14:textId="77777777" w:rsidTr="00E72CAB">
        <w:tc>
          <w:tcPr>
            <w:tcW w:w="2410" w:type="dxa"/>
          </w:tcPr>
          <w:p w14:paraId="0421CF00" w14:textId="5109EE7D" w:rsidR="001E59E7" w:rsidRDefault="001E59E7" w:rsidP="00E72CAB">
            <w:pPr>
              <w:pStyle w:val="BodyText"/>
              <w:spacing w:before="120"/>
              <w:ind w:right="6"/>
            </w:pPr>
            <w:r>
              <w:t>GDP</w:t>
            </w:r>
          </w:p>
        </w:tc>
        <w:tc>
          <w:tcPr>
            <w:tcW w:w="6379" w:type="dxa"/>
          </w:tcPr>
          <w:p w14:paraId="200EE282" w14:textId="034BC71C" w:rsidR="001E59E7" w:rsidRDefault="001E59E7" w:rsidP="00C670DE">
            <w:pPr>
              <w:pStyle w:val="BodyText"/>
              <w:spacing w:before="120"/>
              <w:ind w:left="227" w:right="6"/>
            </w:pPr>
            <w:r>
              <w:t>gross domestic product</w:t>
            </w:r>
          </w:p>
        </w:tc>
      </w:tr>
      <w:tr w:rsidR="0029370E" w14:paraId="2C1F42D0" w14:textId="77777777" w:rsidTr="00E72CAB">
        <w:tc>
          <w:tcPr>
            <w:tcW w:w="2410" w:type="dxa"/>
          </w:tcPr>
          <w:p w14:paraId="2B068BF6" w14:textId="2CFABC1B" w:rsidR="0029370E" w:rsidRDefault="0029370E" w:rsidP="00E72CAB">
            <w:pPr>
              <w:pStyle w:val="BodyText"/>
              <w:spacing w:before="120"/>
              <w:ind w:right="6"/>
            </w:pPr>
            <w:proofErr w:type="spellStart"/>
            <w:r>
              <w:t>GRP</w:t>
            </w:r>
            <w:proofErr w:type="spellEnd"/>
          </w:p>
        </w:tc>
        <w:tc>
          <w:tcPr>
            <w:tcW w:w="6379" w:type="dxa"/>
          </w:tcPr>
          <w:p w14:paraId="35342293" w14:textId="641FAA9D" w:rsidR="0029370E" w:rsidRDefault="0029370E" w:rsidP="00C670DE">
            <w:pPr>
              <w:pStyle w:val="BodyText"/>
              <w:spacing w:before="120"/>
              <w:ind w:left="227" w:right="6"/>
            </w:pPr>
            <w:r>
              <w:t>gross regional product</w:t>
            </w:r>
          </w:p>
        </w:tc>
      </w:tr>
      <w:tr w:rsidR="00C670DE" w14:paraId="2E751E06" w14:textId="77777777" w:rsidTr="00E72CAB">
        <w:tc>
          <w:tcPr>
            <w:tcW w:w="2410" w:type="dxa"/>
          </w:tcPr>
          <w:p w14:paraId="2E751E04" w14:textId="77777777" w:rsidR="00C670DE" w:rsidRDefault="00C670DE" w:rsidP="00E72CAB">
            <w:pPr>
              <w:pStyle w:val="BodyText"/>
              <w:spacing w:before="120"/>
              <w:ind w:right="6"/>
            </w:pPr>
            <w:proofErr w:type="spellStart"/>
            <w:r>
              <w:t>IAC</w:t>
            </w:r>
            <w:proofErr w:type="spellEnd"/>
          </w:p>
        </w:tc>
        <w:tc>
          <w:tcPr>
            <w:tcW w:w="6379" w:type="dxa"/>
          </w:tcPr>
          <w:p w14:paraId="2E751E05" w14:textId="77777777" w:rsidR="00C670DE" w:rsidRDefault="00C670DE" w:rsidP="00C670DE">
            <w:pPr>
              <w:pStyle w:val="BodyText"/>
              <w:spacing w:before="120"/>
              <w:ind w:left="227" w:right="6"/>
            </w:pPr>
            <w:r>
              <w:t>Industries Assistance Commission</w:t>
            </w:r>
          </w:p>
        </w:tc>
      </w:tr>
      <w:tr w:rsidR="00C670DE" w14:paraId="2E751E09" w14:textId="77777777" w:rsidTr="00E72CAB">
        <w:tc>
          <w:tcPr>
            <w:tcW w:w="2410" w:type="dxa"/>
          </w:tcPr>
          <w:p w14:paraId="2E751E07" w14:textId="77777777" w:rsidR="00C670DE" w:rsidRDefault="00C670DE" w:rsidP="00E72CAB">
            <w:pPr>
              <w:pStyle w:val="BodyText"/>
              <w:spacing w:before="120"/>
              <w:ind w:right="6"/>
            </w:pPr>
            <w:r>
              <w:t>IC</w:t>
            </w:r>
          </w:p>
        </w:tc>
        <w:tc>
          <w:tcPr>
            <w:tcW w:w="6379" w:type="dxa"/>
          </w:tcPr>
          <w:p w14:paraId="2E751E08" w14:textId="77777777" w:rsidR="00C670DE" w:rsidRDefault="00C670DE" w:rsidP="00C670DE">
            <w:pPr>
              <w:pStyle w:val="BodyText"/>
              <w:spacing w:before="120"/>
              <w:ind w:left="227" w:right="6"/>
            </w:pPr>
            <w:r>
              <w:t>Industry Commission</w:t>
            </w:r>
          </w:p>
        </w:tc>
      </w:tr>
      <w:tr w:rsidR="0016400F" w14:paraId="74D687DB" w14:textId="77777777" w:rsidTr="00E72CAB">
        <w:tc>
          <w:tcPr>
            <w:tcW w:w="2410" w:type="dxa"/>
          </w:tcPr>
          <w:p w14:paraId="5B931B84" w14:textId="6079EA55" w:rsidR="0016400F" w:rsidRDefault="0016400F" w:rsidP="00E72CAB">
            <w:pPr>
              <w:pStyle w:val="BodyText"/>
              <w:spacing w:before="120"/>
              <w:ind w:right="6"/>
            </w:pPr>
            <w:proofErr w:type="spellStart"/>
            <w:r>
              <w:t>NBN</w:t>
            </w:r>
            <w:proofErr w:type="spellEnd"/>
          </w:p>
        </w:tc>
        <w:tc>
          <w:tcPr>
            <w:tcW w:w="6379" w:type="dxa"/>
          </w:tcPr>
          <w:p w14:paraId="35937404" w14:textId="5EE5C72C" w:rsidR="0016400F" w:rsidRDefault="0016400F" w:rsidP="00C670DE">
            <w:pPr>
              <w:pStyle w:val="BodyText"/>
              <w:spacing w:before="120"/>
              <w:ind w:left="227" w:right="6"/>
            </w:pPr>
            <w:r>
              <w:t>National Broadband Network</w:t>
            </w:r>
          </w:p>
        </w:tc>
      </w:tr>
      <w:tr w:rsidR="00CB4534" w14:paraId="2C3BE971" w14:textId="77777777" w:rsidTr="00E72CAB">
        <w:tc>
          <w:tcPr>
            <w:tcW w:w="2410" w:type="dxa"/>
          </w:tcPr>
          <w:p w14:paraId="6723DA79" w14:textId="19F96F0A" w:rsidR="00CB4534" w:rsidRDefault="00CB4534" w:rsidP="00E72CAB">
            <w:pPr>
              <w:pStyle w:val="BodyText"/>
              <w:spacing w:before="120"/>
              <w:ind w:right="6"/>
            </w:pPr>
            <w:r>
              <w:t>OECD</w:t>
            </w:r>
          </w:p>
        </w:tc>
        <w:tc>
          <w:tcPr>
            <w:tcW w:w="6379" w:type="dxa"/>
          </w:tcPr>
          <w:p w14:paraId="65814B8A" w14:textId="38F45760" w:rsidR="00CB4534" w:rsidRDefault="00CB4534" w:rsidP="00C670DE">
            <w:pPr>
              <w:pStyle w:val="BodyText"/>
              <w:spacing w:before="120"/>
              <w:ind w:left="227" w:right="6"/>
            </w:pPr>
            <w:r>
              <w:t>Organisation for Economic Cooperation and Development</w:t>
            </w:r>
          </w:p>
        </w:tc>
      </w:tr>
      <w:tr w:rsidR="00C670DE" w14:paraId="2E751E0C" w14:textId="77777777" w:rsidTr="00E72CAB">
        <w:tc>
          <w:tcPr>
            <w:tcW w:w="2410" w:type="dxa"/>
          </w:tcPr>
          <w:p w14:paraId="2E751E0A" w14:textId="77777777" w:rsidR="00C670DE" w:rsidRDefault="00C670DE" w:rsidP="00E72CAB">
            <w:pPr>
              <w:pStyle w:val="BodyText"/>
              <w:spacing w:before="120"/>
              <w:ind w:right="6"/>
            </w:pPr>
            <w:r>
              <w:t>PC</w:t>
            </w:r>
          </w:p>
        </w:tc>
        <w:tc>
          <w:tcPr>
            <w:tcW w:w="6379" w:type="dxa"/>
          </w:tcPr>
          <w:p w14:paraId="2E751E0B" w14:textId="77777777" w:rsidR="00C670DE" w:rsidRDefault="00C670DE" w:rsidP="00C670DE">
            <w:pPr>
              <w:pStyle w:val="BodyText"/>
              <w:spacing w:before="120"/>
              <w:ind w:left="227" w:right="6"/>
            </w:pPr>
            <w:r>
              <w:t>Productivity Commission</w:t>
            </w:r>
          </w:p>
        </w:tc>
      </w:tr>
      <w:tr w:rsidR="00CB4534" w14:paraId="0BE4168E" w14:textId="77777777" w:rsidTr="00E72CAB">
        <w:tc>
          <w:tcPr>
            <w:tcW w:w="2410" w:type="dxa"/>
          </w:tcPr>
          <w:p w14:paraId="038DAD65" w14:textId="07FF333C" w:rsidR="00CB4534" w:rsidRDefault="00CB4534" w:rsidP="00E72CAB">
            <w:pPr>
              <w:pStyle w:val="BodyText"/>
              <w:spacing w:before="120"/>
              <w:ind w:right="6"/>
            </w:pPr>
            <w:proofErr w:type="spellStart"/>
            <w:r>
              <w:t>PCA</w:t>
            </w:r>
            <w:proofErr w:type="spellEnd"/>
          </w:p>
        </w:tc>
        <w:tc>
          <w:tcPr>
            <w:tcW w:w="6379" w:type="dxa"/>
          </w:tcPr>
          <w:p w14:paraId="6D41AF04" w14:textId="66898734" w:rsidR="00CB4534" w:rsidRDefault="00CB4534" w:rsidP="00C670DE">
            <w:pPr>
              <w:pStyle w:val="BodyText"/>
              <w:spacing w:before="120"/>
              <w:ind w:left="227" w:right="6"/>
            </w:pPr>
            <w:r>
              <w:t>Principal components analysis</w:t>
            </w:r>
          </w:p>
        </w:tc>
      </w:tr>
      <w:tr w:rsidR="0016400F" w14:paraId="2AA95AD9" w14:textId="77777777" w:rsidTr="00E72CAB">
        <w:tc>
          <w:tcPr>
            <w:tcW w:w="2410" w:type="dxa"/>
          </w:tcPr>
          <w:p w14:paraId="64414D56" w14:textId="3AF17913" w:rsidR="0016400F" w:rsidRDefault="0016400F" w:rsidP="00E72CAB">
            <w:pPr>
              <w:pStyle w:val="BodyText"/>
              <w:spacing w:before="120"/>
              <w:ind w:right="6"/>
            </w:pPr>
            <w:proofErr w:type="spellStart"/>
            <w:r>
              <w:t>RDA</w:t>
            </w:r>
            <w:proofErr w:type="spellEnd"/>
          </w:p>
        </w:tc>
        <w:tc>
          <w:tcPr>
            <w:tcW w:w="6379" w:type="dxa"/>
          </w:tcPr>
          <w:p w14:paraId="3840D7F3" w14:textId="3042FCEE" w:rsidR="0016400F" w:rsidRDefault="0016400F" w:rsidP="0029370E">
            <w:pPr>
              <w:pStyle w:val="BodyText"/>
              <w:spacing w:before="120"/>
              <w:ind w:left="227" w:right="6"/>
            </w:pPr>
            <w:r>
              <w:t>Regional Development Australia</w:t>
            </w:r>
          </w:p>
        </w:tc>
      </w:tr>
      <w:tr w:rsidR="0029370E" w14:paraId="415A3CAA" w14:textId="77777777" w:rsidTr="00E72CAB">
        <w:tc>
          <w:tcPr>
            <w:tcW w:w="2410" w:type="dxa"/>
          </w:tcPr>
          <w:p w14:paraId="38ED56AB" w14:textId="3DCC2A06" w:rsidR="0029370E" w:rsidRDefault="00EC048D" w:rsidP="00E72CAB">
            <w:pPr>
              <w:pStyle w:val="BodyText"/>
              <w:spacing w:before="120"/>
              <w:ind w:right="6"/>
            </w:pPr>
            <w:proofErr w:type="spellStart"/>
            <w:r>
              <w:t>RGF</w:t>
            </w:r>
            <w:proofErr w:type="spellEnd"/>
          </w:p>
        </w:tc>
        <w:tc>
          <w:tcPr>
            <w:tcW w:w="6379" w:type="dxa"/>
          </w:tcPr>
          <w:p w14:paraId="0422AD2D" w14:textId="078EC9CD" w:rsidR="0029370E" w:rsidRDefault="00EC048D" w:rsidP="0029370E">
            <w:pPr>
              <w:pStyle w:val="BodyText"/>
              <w:spacing w:before="120"/>
              <w:ind w:left="227" w:right="6"/>
            </w:pPr>
            <w:r>
              <w:t>Regional Growth Fund</w:t>
            </w:r>
          </w:p>
        </w:tc>
      </w:tr>
      <w:tr w:rsidR="0029370E" w14:paraId="60085852" w14:textId="77777777" w:rsidTr="00E72CAB">
        <w:tc>
          <w:tcPr>
            <w:tcW w:w="2410" w:type="dxa"/>
          </w:tcPr>
          <w:p w14:paraId="74FFEF3E" w14:textId="34A219BB" w:rsidR="0029370E" w:rsidRDefault="0029370E" w:rsidP="00E72CAB">
            <w:pPr>
              <w:pStyle w:val="BodyText"/>
              <w:spacing w:before="120"/>
              <w:ind w:right="6"/>
            </w:pPr>
            <w:proofErr w:type="spellStart"/>
            <w:r>
              <w:t>SA2</w:t>
            </w:r>
            <w:proofErr w:type="spellEnd"/>
          </w:p>
        </w:tc>
        <w:tc>
          <w:tcPr>
            <w:tcW w:w="6379" w:type="dxa"/>
          </w:tcPr>
          <w:p w14:paraId="198A0C58" w14:textId="1C8D305A" w:rsidR="0029370E" w:rsidRDefault="0029370E" w:rsidP="0029370E">
            <w:pPr>
              <w:pStyle w:val="BodyText"/>
              <w:spacing w:before="120"/>
              <w:ind w:left="227" w:right="6"/>
            </w:pPr>
            <w:r>
              <w:t>Statistical Area Level 2</w:t>
            </w:r>
          </w:p>
        </w:tc>
      </w:tr>
      <w:tr w:rsidR="0029370E" w14:paraId="3BC88F64" w14:textId="77777777" w:rsidTr="00E72CAB">
        <w:tc>
          <w:tcPr>
            <w:tcW w:w="2410" w:type="dxa"/>
          </w:tcPr>
          <w:p w14:paraId="6700E821" w14:textId="704E8170" w:rsidR="0029370E" w:rsidRDefault="0029370E" w:rsidP="00E72CAB">
            <w:pPr>
              <w:pStyle w:val="BodyText"/>
              <w:spacing w:before="120"/>
              <w:ind w:right="6"/>
            </w:pPr>
            <w:proofErr w:type="spellStart"/>
            <w:r>
              <w:t>SA4</w:t>
            </w:r>
            <w:proofErr w:type="spellEnd"/>
          </w:p>
        </w:tc>
        <w:tc>
          <w:tcPr>
            <w:tcW w:w="6379" w:type="dxa"/>
          </w:tcPr>
          <w:p w14:paraId="28D62EA7" w14:textId="7D9D3CE0" w:rsidR="0029370E" w:rsidRDefault="0029370E" w:rsidP="00C670DE">
            <w:pPr>
              <w:pStyle w:val="BodyText"/>
              <w:spacing w:before="120"/>
              <w:ind w:left="227" w:right="6"/>
            </w:pPr>
            <w:r>
              <w:t>Statistical Area Level 4</w:t>
            </w:r>
          </w:p>
        </w:tc>
      </w:tr>
      <w:tr w:rsidR="00CB4534" w14:paraId="30C9912A" w14:textId="77777777" w:rsidTr="00E72CAB">
        <w:tc>
          <w:tcPr>
            <w:tcW w:w="2410" w:type="dxa"/>
          </w:tcPr>
          <w:p w14:paraId="4E633D2E" w14:textId="2165AF0A" w:rsidR="00CB4534" w:rsidRDefault="00CB4534" w:rsidP="00E72CAB">
            <w:pPr>
              <w:pStyle w:val="BodyText"/>
              <w:spacing w:before="120"/>
              <w:ind w:right="6"/>
            </w:pPr>
            <w:proofErr w:type="spellStart"/>
            <w:r>
              <w:t>SEIFA</w:t>
            </w:r>
            <w:proofErr w:type="spellEnd"/>
          </w:p>
        </w:tc>
        <w:tc>
          <w:tcPr>
            <w:tcW w:w="6379" w:type="dxa"/>
          </w:tcPr>
          <w:p w14:paraId="502EDC63" w14:textId="256DFB0B" w:rsidR="00CB4534" w:rsidRDefault="00CB4534" w:rsidP="00C670DE">
            <w:pPr>
              <w:pStyle w:val="BodyText"/>
              <w:spacing w:before="120"/>
              <w:ind w:left="227" w:right="6"/>
            </w:pPr>
            <w:r>
              <w:t>Socio-Economic Indexes for Areas</w:t>
            </w:r>
          </w:p>
        </w:tc>
      </w:tr>
    </w:tbl>
    <w:p w14:paraId="1AB6B69C" w14:textId="77777777" w:rsidR="00E72CAB" w:rsidRPr="008D5D2E" w:rsidRDefault="00E72CAB" w:rsidP="008D5D2E">
      <w:pPr>
        <w:pStyle w:val="BodyText"/>
        <w:rPr>
          <w:rStyle w:val="CommentReference"/>
          <w:b w:val="0"/>
          <w:vanish w:val="0"/>
          <w:color w:val="auto"/>
          <w:sz w:val="24"/>
        </w:rPr>
      </w:pPr>
      <w:bookmarkStart w:id="21" w:name="Glossary"/>
      <w:bookmarkEnd w:id="21"/>
    </w:p>
    <w:sectPr w:rsidR="00E72CAB" w:rsidRPr="008D5D2E" w:rsidSect="00585B3F">
      <w:headerReference w:type="even" r:id="rId28"/>
      <w:headerReference w:type="default" r:id="rId29"/>
      <w:footerReference w:type="even" r:id="rId30"/>
      <w:footerReference w:type="default" r:id="rId31"/>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44DCCB" w14:textId="77777777" w:rsidR="00E72CAB" w:rsidRDefault="00E72CAB">
      <w:r>
        <w:separator/>
      </w:r>
    </w:p>
    <w:p w14:paraId="3BD71F01" w14:textId="77777777" w:rsidR="00E72CAB" w:rsidRDefault="00E72CAB"/>
    <w:p w14:paraId="46CD393D" w14:textId="77777777" w:rsidR="00E72CAB" w:rsidRDefault="00E72CAB"/>
  </w:endnote>
  <w:endnote w:type="continuationSeparator" w:id="0">
    <w:p w14:paraId="54D2B13E" w14:textId="77777777" w:rsidR="00E72CAB" w:rsidRDefault="00E72CAB">
      <w:r>
        <w:continuationSeparator/>
      </w:r>
    </w:p>
    <w:p w14:paraId="31E680A6" w14:textId="77777777" w:rsidR="00E72CAB" w:rsidRDefault="00E72CAB"/>
    <w:p w14:paraId="72E23412" w14:textId="77777777" w:rsidR="00E72CAB" w:rsidRDefault="00E72CAB"/>
  </w:endnote>
  <w:endnote w:type="continuationNotice" w:id="1">
    <w:p w14:paraId="37B3FAD8" w14:textId="77777777" w:rsidR="00F344B4" w:rsidRDefault="00F344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72CAB" w14:paraId="2E751E2B" w14:textId="77777777" w:rsidTr="00E72CAB">
      <w:trPr>
        <w:trHeight w:hRule="exact" w:val="567"/>
      </w:trPr>
      <w:tc>
        <w:tcPr>
          <w:tcW w:w="510" w:type="dxa"/>
        </w:tcPr>
        <w:p w14:paraId="2E751E28" w14:textId="77777777" w:rsidR="00E72CAB" w:rsidRDefault="00E72CAB" w:rsidP="00E72CA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CC5EF6">
            <w:rPr>
              <w:rStyle w:val="PageNumber"/>
              <w:noProof/>
            </w:rPr>
            <w:t>iv</w:t>
          </w:r>
          <w:r>
            <w:rPr>
              <w:rStyle w:val="PageNumber"/>
            </w:rPr>
            <w:fldChar w:fldCharType="end"/>
          </w:r>
        </w:p>
      </w:tc>
      <w:tc>
        <w:tcPr>
          <w:tcW w:w="7767" w:type="dxa"/>
        </w:tcPr>
        <w:p w14:paraId="2E751E29" w14:textId="77777777" w:rsidR="00E72CAB" w:rsidRPr="0013739A" w:rsidRDefault="00E72CAB" w:rsidP="00E72CAB">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Pr>
              <w:rFonts w:cs="Arial"/>
            </w:rPr>
            <w:t>Transitioning regional economies</w:t>
          </w:r>
          <w:r w:rsidRPr="00BA5B14">
            <w:rPr>
              <w:rFonts w:cs="Arial"/>
            </w:rPr>
            <w:fldChar w:fldCharType="end"/>
          </w:r>
        </w:p>
      </w:tc>
      <w:tc>
        <w:tcPr>
          <w:tcW w:w="510" w:type="dxa"/>
        </w:tcPr>
        <w:p w14:paraId="2E751E2A" w14:textId="77777777" w:rsidR="00E72CAB" w:rsidRDefault="00E72CAB" w:rsidP="00E72CAB">
          <w:pPr>
            <w:pStyle w:val="Footer"/>
          </w:pPr>
        </w:p>
      </w:tc>
    </w:tr>
  </w:tbl>
  <w:p w14:paraId="2E751E2C" w14:textId="77777777" w:rsidR="00E72CAB" w:rsidRDefault="00E72CAB" w:rsidP="00E72CAB">
    <w:pPr>
      <w:pStyle w:val="FooterEnd"/>
    </w:pPr>
  </w:p>
  <w:p w14:paraId="2E751E2D" w14:textId="77777777" w:rsidR="00E72CAB" w:rsidRDefault="00E72CA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72CAB" w14:paraId="2E751E31" w14:textId="77777777" w:rsidTr="00E72CAB">
      <w:trPr>
        <w:trHeight w:hRule="exact" w:val="567"/>
      </w:trPr>
      <w:tc>
        <w:tcPr>
          <w:tcW w:w="510" w:type="dxa"/>
        </w:tcPr>
        <w:p w14:paraId="2E751E2E" w14:textId="77777777" w:rsidR="00E72CAB" w:rsidRDefault="00E72CAB">
          <w:pPr>
            <w:pStyle w:val="Footer"/>
            <w:ind w:right="360" w:firstLine="360"/>
          </w:pPr>
        </w:p>
      </w:tc>
      <w:tc>
        <w:tcPr>
          <w:tcW w:w="7767" w:type="dxa"/>
        </w:tcPr>
        <w:p w14:paraId="02280F96" w14:textId="77777777" w:rsidR="00E72CAB" w:rsidRDefault="008D5D2E" w:rsidP="00E72CAB">
          <w:pPr>
            <w:pStyle w:val="Footer"/>
            <w:jc w:val="right"/>
            <w:rPr>
              <w:rFonts w:cs="Arial"/>
            </w:rPr>
          </w:pPr>
          <w:r w:rsidRPr="008D5D2E">
            <w:rPr>
              <w:bCs/>
              <w:noProof/>
              <w:lang w:val="en-US"/>
            </w:rPr>
            <w:t>Opportunity for further</w:t>
          </w:r>
          <w:r>
            <w:rPr>
              <w:noProof/>
            </w:rPr>
            <w:t xml:space="preserve"> comment</w:t>
          </w:r>
          <w:r w:rsidR="00E72CAB" w:rsidRPr="00C24C8B">
            <w:rPr>
              <w:rFonts w:cs="Arial"/>
            </w:rPr>
            <w:t xml:space="preserve"> </w:t>
          </w:r>
        </w:p>
        <w:p w14:paraId="2E751E2F" w14:textId="55EA99EC" w:rsidR="008D5D2E" w:rsidRPr="00C24C8B" w:rsidRDefault="008D5D2E" w:rsidP="008D5D2E">
          <w:pPr>
            <w:pStyle w:val="FooterDraftReport"/>
            <w:jc w:val="right"/>
          </w:pPr>
          <w:r>
            <w:t>initial report</w:t>
          </w:r>
        </w:p>
      </w:tc>
      <w:tc>
        <w:tcPr>
          <w:tcW w:w="510" w:type="dxa"/>
        </w:tcPr>
        <w:p w14:paraId="2E751E30" w14:textId="77777777" w:rsidR="00E72CAB" w:rsidRPr="00C24C8B" w:rsidRDefault="00E72CAB">
          <w:pPr>
            <w:pStyle w:val="Footer"/>
            <w:jc w:val="right"/>
            <w:rPr>
              <w:caps w:val="0"/>
            </w:rPr>
          </w:pPr>
          <w:r w:rsidRPr="00C24C8B">
            <w:rPr>
              <w:rStyle w:val="PageNumber"/>
              <w:caps w:val="0"/>
            </w:rPr>
            <w:fldChar w:fldCharType="begin"/>
          </w:r>
          <w:r w:rsidRPr="00C24C8B">
            <w:rPr>
              <w:rStyle w:val="PageNumber"/>
              <w:caps w:val="0"/>
            </w:rPr>
            <w:instrText xml:space="preserve">PAGE  </w:instrText>
          </w:r>
          <w:r w:rsidRPr="00C24C8B">
            <w:rPr>
              <w:rStyle w:val="PageNumber"/>
              <w:caps w:val="0"/>
            </w:rPr>
            <w:fldChar w:fldCharType="separate"/>
          </w:r>
          <w:r w:rsidR="00596B4F">
            <w:rPr>
              <w:rStyle w:val="PageNumber"/>
              <w:caps w:val="0"/>
              <w:noProof/>
            </w:rPr>
            <w:t>iii</w:t>
          </w:r>
          <w:r w:rsidRPr="00C24C8B">
            <w:rPr>
              <w:rStyle w:val="PageNumber"/>
              <w:caps w:val="0"/>
            </w:rPr>
            <w:fldChar w:fldCharType="end"/>
          </w:r>
        </w:p>
      </w:tc>
    </w:tr>
  </w:tbl>
  <w:p w14:paraId="2E751E32" w14:textId="77777777" w:rsidR="00E72CAB" w:rsidRDefault="00E72CAB">
    <w:pPr>
      <w:pStyle w:val="FooterEnd"/>
    </w:pPr>
  </w:p>
  <w:p w14:paraId="2E751E33" w14:textId="77777777" w:rsidR="00E72CAB" w:rsidRDefault="00E72CAB">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72CAB" w14:paraId="2E751E40" w14:textId="77777777" w:rsidTr="00E72CAB">
      <w:trPr>
        <w:trHeight w:hRule="exact" w:val="567"/>
      </w:trPr>
      <w:tc>
        <w:tcPr>
          <w:tcW w:w="510" w:type="dxa"/>
        </w:tcPr>
        <w:p w14:paraId="2E751E3D" w14:textId="77777777" w:rsidR="00E72CAB" w:rsidRPr="00752FFF" w:rsidRDefault="00E72CAB" w:rsidP="00E72CAB">
          <w:pPr>
            <w:pStyle w:val="Footer"/>
            <w:tabs>
              <w:tab w:val="left" w:pos="0"/>
            </w:tabs>
            <w:ind w:right="0"/>
            <w:rPr>
              <w:rStyle w:val="PageNumber"/>
              <w:caps w:val="0"/>
            </w:rPr>
          </w:pPr>
          <w:r w:rsidRPr="00752FFF">
            <w:rPr>
              <w:rStyle w:val="PageNumber"/>
              <w:caps w:val="0"/>
            </w:rPr>
            <w:fldChar w:fldCharType="begin"/>
          </w:r>
          <w:r w:rsidRPr="00752FFF">
            <w:rPr>
              <w:rStyle w:val="PageNumber"/>
              <w:caps w:val="0"/>
            </w:rPr>
            <w:instrText xml:space="preserve">PAGE  </w:instrText>
          </w:r>
          <w:r w:rsidRPr="00752FFF">
            <w:rPr>
              <w:rStyle w:val="PageNumber"/>
              <w:caps w:val="0"/>
            </w:rPr>
            <w:fldChar w:fldCharType="separate"/>
          </w:r>
          <w:r w:rsidR="00596B4F">
            <w:rPr>
              <w:rStyle w:val="PageNumber"/>
              <w:caps w:val="0"/>
              <w:noProof/>
            </w:rPr>
            <w:t>iv</w:t>
          </w:r>
          <w:r w:rsidRPr="00752FFF">
            <w:rPr>
              <w:rStyle w:val="PageNumber"/>
              <w:caps w:val="0"/>
            </w:rPr>
            <w:fldChar w:fldCharType="end"/>
          </w:r>
        </w:p>
      </w:tc>
      <w:tc>
        <w:tcPr>
          <w:tcW w:w="7767" w:type="dxa"/>
        </w:tcPr>
        <w:p w14:paraId="67A301A2" w14:textId="35029CF5" w:rsidR="00E72CAB" w:rsidRDefault="00E72CAB" w:rsidP="00E72CAB">
          <w:pPr>
            <w:pStyle w:val="Footer"/>
            <w:rPr>
              <w:rFonts w:cs="Arial"/>
            </w:rPr>
          </w:pPr>
          <w:r>
            <w:rPr>
              <w:rFonts w:cs="Arial"/>
            </w:rPr>
            <w:t>Transitioning regional economies</w:t>
          </w:r>
        </w:p>
        <w:p w14:paraId="2E751E3E" w14:textId="738299B6" w:rsidR="008D5D2E" w:rsidRPr="0013739A" w:rsidRDefault="008D5D2E" w:rsidP="008D5D2E">
          <w:pPr>
            <w:pStyle w:val="FooterDraftReport"/>
          </w:pPr>
          <w:r>
            <w:t>initial report</w:t>
          </w:r>
        </w:p>
      </w:tc>
      <w:tc>
        <w:tcPr>
          <w:tcW w:w="510" w:type="dxa"/>
        </w:tcPr>
        <w:p w14:paraId="2E751E3F" w14:textId="77777777" w:rsidR="00E72CAB" w:rsidRDefault="00E72CAB" w:rsidP="00E72CAB">
          <w:pPr>
            <w:pStyle w:val="Footer"/>
          </w:pPr>
        </w:p>
      </w:tc>
    </w:tr>
  </w:tbl>
  <w:p w14:paraId="2E751E41" w14:textId="77777777" w:rsidR="00E72CAB" w:rsidRDefault="00E72CAB" w:rsidP="00E72CAB">
    <w:pPr>
      <w:pStyle w:val="FooterEnd"/>
    </w:pPr>
  </w:p>
  <w:p w14:paraId="2E751E42" w14:textId="77777777" w:rsidR="00E72CAB" w:rsidRDefault="00E72CAB">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72CAB" w14:paraId="2E751E46" w14:textId="77777777" w:rsidTr="00E72CAB">
      <w:trPr>
        <w:trHeight w:hRule="exact" w:val="567"/>
      </w:trPr>
      <w:tc>
        <w:tcPr>
          <w:tcW w:w="510" w:type="dxa"/>
        </w:tcPr>
        <w:p w14:paraId="2E751E43" w14:textId="77777777" w:rsidR="00E72CAB" w:rsidRDefault="00E72CAB">
          <w:pPr>
            <w:pStyle w:val="Footer"/>
            <w:ind w:right="360" w:firstLine="360"/>
          </w:pPr>
        </w:p>
      </w:tc>
      <w:tc>
        <w:tcPr>
          <w:tcW w:w="7767" w:type="dxa"/>
        </w:tcPr>
        <w:p w14:paraId="347276C5" w14:textId="77777777" w:rsidR="00E72CAB" w:rsidRDefault="008D5D2E" w:rsidP="00E72CAB">
          <w:pPr>
            <w:pStyle w:val="Footer"/>
            <w:jc w:val="right"/>
            <w:rPr>
              <w:bCs/>
              <w:noProof/>
              <w:lang w:val="en-US"/>
            </w:rPr>
          </w:pPr>
          <w:r w:rsidRPr="008D5D2E">
            <w:rPr>
              <w:bCs/>
              <w:noProof/>
              <w:lang w:val="en-US"/>
            </w:rPr>
            <w:t>Terms of reference</w:t>
          </w:r>
        </w:p>
        <w:p w14:paraId="2E751E44" w14:textId="26432881" w:rsidR="008D5D2E" w:rsidRPr="00752FFF" w:rsidRDefault="008D5D2E" w:rsidP="008D5D2E">
          <w:pPr>
            <w:pStyle w:val="FooterDraftReport"/>
            <w:jc w:val="right"/>
          </w:pPr>
          <w:r>
            <w:t>initial report</w:t>
          </w:r>
        </w:p>
      </w:tc>
      <w:tc>
        <w:tcPr>
          <w:tcW w:w="510" w:type="dxa"/>
        </w:tcPr>
        <w:p w14:paraId="2E751E45" w14:textId="77777777" w:rsidR="00E72CAB" w:rsidRPr="00A24443" w:rsidRDefault="00E72CAB">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596B4F">
            <w:rPr>
              <w:rStyle w:val="PageNumber"/>
              <w:caps w:val="0"/>
              <w:noProof/>
            </w:rPr>
            <w:t>v</w:t>
          </w:r>
          <w:r w:rsidRPr="00A24443">
            <w:rPr>
              <w:rStyle w:val="PageNumber"/>
              <w:caps w:val="0"/>
            </w:rPr>
            <w:fldChar w:fldCharType="end"/>
          </w:r>
        </w:p>
      </w:tc>
    </w:tr>
  </w:tbl>
  <w:p w14:paraId="2E751E47" w14:textId="77777777" w:rsidR="00E72CAB" w:rsidRDefault="00E72CAB">
    <w:pPr>
      <w:pStyle w:val="FooterEnd"/>
    </w:pPr>
  </w:p>
  <w:p w14:paraId="2E751E48" w14:textId="77777777" w:rsidR="00E72CAB" w:rsidRPr="00D01645" w:rsidRDefault="00E72CAB" w:rsidP="00E72CAB">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72CAB" w14:paraId="2E751E54" w14:textId="77777777" w:rsidTr="00E72CAB">
      <w:trPr>
        <w:trHeight w:hRule="exact" w:val="567"/>
      </w:trPr>
      <w:tc>
        <w:tcPr>
          <w:tcW w:w="510" w:type="dxa"/>
        </w:tcPr>
        <w:p w14:paraId="2E751E51" w14:textId="77777777" w:rsidR="00E72CAB" w:rsidRPr="00A24443" w:rsidRDefault="00E72CAB" w:rsidP="00E72CA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596B4F">
            <w:rPr>
              <w:rStyle w:val="PageNumber"/>
              <w:caps w:val="0"/>
              <w:noProof/>
            </w:rPr>
            <w:t>vi</w:t>
          </w:r>
          <w:r w:rsidRPr="00A24443">
            <w:rPr>
              <w:rStyle w:val="PageNumber"/>
              <w:caps w:val="0"/>
            </w:rPr>
            <w:fldChar w:fldCharType="end"/>
          </w:r>
        </w:p>
      </w:tc>
      <w:tc>
        <w:tcPr>
          <w:tcW w:w="7767" w:type="dxa"/>
        </w:tcPr>
        <w:p w14:paraId="02034610" w14:textId="77777777" w:rsidR="00E72CAB" w:rsidRDefault="00E72CAB" w:rsidP="00E72CAB">
          <w:pPr>
            <w:pStyle w:val="Footer"/>
            <w:rPr>
              <w:rFonts w:cs="Arial"/>
            </w:rPr>
          </w:pPr>
          <w:r>
            <w:rPr>
              <w:rFonts w:cs="Arial"/>
            </w:rPr>
            <w:t>Transitioning regional economies</w:t>
          </w:r>
        </w:p>
        <w:p w14:paraId="2E751E52" w14:textId="52A390A7" w:rsidR="008D5D2E" w:rsidRPr="0013739A" w:rsidRDefault="008D5D2E" w:rsidP="008D5D2E">
          <w:pPr>
            <w:pStyle w:val="FooterDraftReport"/>
          </w:pPr>
          <w:r>
            <w:t>initial report</w:t>
          </w:r>
        </w:p>
      </w:tc>
      <w:tc>
        <w:tcPr>
          <w:tcW w:w="510" w:type="dxa"/>
        </w:tcPr>
        <w:p w14:paraId="2E751E53" w14:textId="77777777" w:rsidR="00E72CAB" w:rsidRDefault="00E72CAB" w:rsidP="00E72CAB">
          <w:pPr>
            <w:pStyle w:val="Footer"/>
          </w:pPr>
        </w:p>
      </w:tc>
    </w:tr>
  </w:tbl>
  <w:p w14:paraId="2E751E55" w14:textId="77777777" w:rsidR="00E72CAB" w:rsidRDefault="00E72CAB" w:rsidP="00E72CAB">
    <w:pPr>
      <w:pStyle w:val="FooterEnd"/>
    </w:pPr>
  </w:p>
  <w:p w14:paraId="2E751E56" w14:textId="77777777" w:rsidR="00E72CAB" w:rsidRDefault="00E72CAB">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72CAB" w14:paraId="2E751E5A" w14:textId="77777777" w:rsidTr="00E72CAB">
      <w:trPr>
        <w:trHeight w:hRule="exact" w:val="567"/>
      </w:trPr>
      <w:tc>
        <w:tcPr>
          <w:tcW w:w="510" w:type="dxa"/>
        </w:tcPr>
        <w:p w14:paraId="2E751E57" w14:textId="77777777" w:rsidR="00E72CAB" w:rsidRDefault="00E72CAB">
          <w:pPr>
            <w:pStyle w:val="Footer"/>
            <w:ind w:right="360" w:firstLine="360"/>
          </w:pPr>
        </w:p>
      </w:tc>
      <w:tc>
        <w:tcPr>
          <w:tcW w:w="7767" w:type="dxa"/>
        </w:tcPr>
        <w:p w14:paraId="7F80CA3D" w14:textId="77777777" w:rsidR="00E72CAB" w:rsidRDefault="00944ED9" w:rsidP="007448F7">
          <w:pPr>
            <w:pStyle w:val="Footer"/>
            <w:jc w:val="right"/>
            <w:rPr>
              <w:rFonts w:cs="Arial"/>
            </w:rPr>
          </w:pPr>
          <w:r>
            <w:rPr>
              <w:noProof/>
            </w:rPr>
            <w:t>Contents</w:t>
          </w:r>
          <w:r w:rsidR="00E72CAB">
            <w:rPr>
              <w:rFonts w:cs="Arial"/>
            </w:rPr>
            <w:t xml:space="preserve"> </w:t>
          </w:r>
        </w:p>
        <w:p w14:paraId="2E751E58" w14:textId="0ADB78CE" w:rsidR="00944ED9" w:rsidRPr="00BA5B14" w:rsidRDefault="00944ED9" w:rsidP="00944ED9">
          <w:pPr>
            <w:pStyle w:val="FooterDraftReport"/>
            <w:jc w:val="right"/>
          </w:pPr>
          <w:r>
            <w:t>initial report</w:t>
          </w:r>
        </w:p>
      </w:tc>
      <w:tc>
        <w:tcPr>
          <w:tcW w:w="510" w:type="dxa"/>
        </w:tcPr>
        <w:p w14:paraId="2E751E59" w14:textId="77777777" w:rsidR="00E72CAB" w:rsidRPr="007448F7" w:rsidRDefault="00E72CAB">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596B4F">
            <w:rPr>
              <w:rStyle w:val="PageNumber"/>
              <w:caps w:val="0"/>
              <w:noProof/>
            </w:rPr>
            <w:t>vii</w:t>
          </w:r>
          <w:r w:rsidRPr="007448F7">
            <w:rPr>
              <w:rStyle w:val="PageNumber"/>
              <w:caps w:val="0"/>
            </w:rPr>
            <w:fldChar w:fldCharType="end"/>
          </w:r>
        </w:p>
      </w:tc>
    </w:tr>
  </w:tbl>
  <w:p w14:paraId="2E751E5B" w14:textId="77777777" w:rsidR="00E72CAB" w:rsidRDefault="00E72CAB">
    <w:pPr>
      <w:pStyle w:val="FooterEnd"/>
    </w:pPr>
  </w:p>
  <w:p w14:paraId="2E751E5C" w14:textId="77777777" w:rsidR="00E72CAB" w:rsidRDefault="00E72CAB">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72CAB" w14:paraId="2E751E68" w14:textId="77777777" w:rsidTr="00E72CAB">
      <w:trPr>
        <w:trHeight w:hRule="exact" w:val="567"/>
      </w:trPr>
      <w:tc>
        <w:tcPr>
          <w:tcW w:w="510" w:type="dxa"/>
        </w:tcPr>
        <w:p w14:paraId="2E751E65" w14:textId="77777777" w:rsidR="00E72CAB" w:rsidRPr="007448F7" w:rsidRDefault="00E72CAB" w:rsidP="00E72CAB">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596B4F">
            <w:rPr>
              <w:rStyle w:val="PageNumber"/>
              <w:caps w:val="0"/>
              <w:noProof/>
            </w:rPr>
            <w:t>viii</w:t>
          </w:r>
          <w:r w:rsidRPr="007448F7">
            <w:rPr>
              <w:rStyle w:val="PageNumber"/>
              <w:caps w:val="0"/>
            </w:rPr>
            <w:fldChar w:fldCharType="end"/>
          </w:r>
        </w:p>
      </w:tc>
      <w:tc>
        <w:tcPr>
          <w:tcW w:w="7767" w:type="dxa"/>
        </w:tcPr>
        <w:p w14:paraId="2E751E66" w14:textId="77777777" w:rsidR="00E72CAB" w:rsidRPr="0013739A" w:rsidRDefault="00E72CAB" w:rsidP="00271B0C">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Pr>
              <w:rFonts w:cs="Arial"/>
            </w:rPr>
            <w:t>Transitioning regional economies</w:t>
          </w:r>
          <w:r w:rsidRPr="00BA5B14">
            <w:rPr>
              <w:rFonts w:cs="Arial"/>
            </w:rPr>
            <w:fldChar w:fldCharType="end"/>
          </w:r>
        </w:p>
      </w:tc>
      <w:tc>
        <w:tcPr>
          <w:tcW w:w="510" w:type="dxa"/>
        </w:tcPr>
        <w:p w14:paraId="2E751E67" w14:textId="77777777" w:rsidR="00E72CAB" w:rsidRDefault="00E72CAB" w:rsidP="00E72CAB">
          <w:pPr>
            <w:pStyle w:val="Footer"/>
          </w:pPr>
        </w:p>
      </w:tc>
    </w:tr>
  </w:tbl>
  <w:p w14:paraId="2E751E69" w14:textId="77777777" w:rsidR="00E72CAB" w:rsidRDefault="00E72CAB" w:rsidP="00E72CAB">
    <w:pPr>
      <w:pStyle w:val="FooterEnd"/>
    </w:pPr>
  </w:p>
  <w:p w14:paraId="2E751E6A" w14:textId="77777777" w:rsidR="00E72CAB" w:rsidRDefault="00E72CAB">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72CAB" w14:paraId="2E751E6E" w14:textId="77777777" w:rsidTr="00E72CAB">
      <w:trPr>
        <w:trHeight w:hRule="exact" w:val="567"/>
      </w:trPr>
      <w:tc>
        <w:tcPr>
          <w:tcW w:w="510" w:type="dxa"/>
        </w:tcPr>
        <w:p w14:paraId="2E751E6B" w14:textId="77777777" w:rsidR="00E72CAB" w:rsidRDefault="00E72CAB">
          <w:pPr>
            <w:pStyle w:val="Footer"/>
            <w:ind w:right="360" w:firstLine="360"/>
          </w:pPr>
        </w:p>
      </w:tc>
      <w:tc>
        <w:tcPr>
          <w:tcW w:w="7767" w:type="dxa"/>
        </w:tcPr>
        <w:p w14:paraId="4EC451B0" w14:textId="77777777" w:rsidR="00E72CAB" w:rsidRDefault="008D5D2E" w:rsidP="00340511">
          <w:pPr>
            <w:pStyle w:val="Footer"/>
            <w:jc w:val="right"/>
            <w:rPr>
              <w:bCs/>
              <w:noProof/>
              <w:lang w:val="en-US"/>
            </w:rPr>
          </w:pPr>
          <w:r w:rsidRPr="008D5D2E">
            <w:rPr>
              <w:bCs/>
              <w:noProof/>
              <w:lang w:val="en-US"/>
            </w:rPr>
            <w:t>Abbreviations</w:t>
          </w:r>
        </w:p>
        <w:p w14:paraId="2E751E6C" w14:textId="5C7EADAB" w:rsidR="008D5D2E" w:rsidRPr="00340511" w:rsidRDefault="008D5D2E" w:rsidP="008D5D2E">
          <w:pPr>
            <w:pStyle w:val="FooterDraftReport"/>
            <w:jc w:val="right"/>
          </w:pPr>
          <w:r>
            <w:t>initial report</w:t>
          </w:r>
        </w:p>
      </w:tc>
      <w:tc>
        <w:tcPr>
          <w:tcW w:w="510" w:type="dxa"/>
        </w:tcPr>
        <w:p w14:paraId="2E751E6D" w14:textId="77777777" w:rsidR="00E72CAB" w:rsidRPr="00A24443" w:rsidRDefault="00E72CAB">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231A2E">
            <w:rPr>
              <w:rStyle w:val="PageNumber"/>
              <w:caps w:val="0"/>
              <w:noProof/>
            </w:rPr>
            <w:t>ix</w:t>
          </w:r>
          <w:r w:rsidRPr="00A24443">
            <w:rPr>
              <w:rStyle w:val="PageNumber"/>
              <w:caps w:val="0"/>
            </w:rPr>
            <w:fldChar w:fldCharType="end"/>
          </w:r>
        </w:p>
      </w:tc>
    </w:tr>
  </w:tbl>
  <w:p w14:paraId="2E751E6F" w14:textId="77777777" w:rsidR="00E72CAB" w:rsidRDefault="00E72CAB">
    <w:pPr>
      <w:pStyle w:val="FooterEnd"/>
    </w:pPr>
  </w:p>
  <w:p w14:paraId="2E751E70" w14:textId="77777777" w:rsidR="00E72CAB" w:rsidRDefault="00E72CAB"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0C0ED5" w14:textId="77777777" w:rsidR="00E72CAB" w:rsidRDefault="00E72CAB">
      <w:r>
        <w:separator/>
      </w:r>
    </w:p>
    <w:p w14:paraId="1FA1D7C6" w14:textId="77777777" w:rsidR="00E72CAB" w:rsidRDefault="00E72CAB"/>
    <w:p w14:paraId="1EDF8AF8" w14:textId="77777777" w:rsidR="00E72CAB" w:rsidRDefault="00E72CAB"/>
  </w:footnote>
  <w:footnote w:type="continuationSeparator" w:id="0">
    <w:p w14:paraId="1F0BDA5E" w14:textId="77777777" w:rsidR="00E72CAB" w:rsidRDefault="00E72CAB">
      <w:r>
        <w:continuationSeparator/>
      </w:r>
    </w:p>
    <w:p w14:paraId="24C51C72" w14:textId="77777777" w:rsidR="00E72CAB" w:rsidRDefault="00E72CAB"/>
    <w:p w14:paraId="38E10DA8" w14:textId="77777777" w:rsidR="00E72CAB" w:rsidRDefault="00E72CAB"/>
  </w:footnote>
  <w:footnote w:type="continuationNotice" w:id="1">
    <w:p w14:paraId="714865B7" w14:textId="77777777" w:rsidR="00F344B4" w:rsidRDefault="00F344B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E72CAB" w14:paraId="2E751E22" w14:textId="77777777">
      <w:tc>
        <w:tcPr>
          <w:tcW w:w="2155" w:type="dxa"/>
          <w:tcBorders>
            <w:top w:val="single" w:sz="24" w:space="0" w:color="auto"/>
          </w:tcBorders>
        </w:tcPr>
        <w:p w14:paraId="2E751E20" w14:textId="77777777" w:rsidR="00E72CAB" w:rsidRDefault="00E72CAB">
          <w:pPr>
            <w:pStyle w:val="Header"/>
          </w:pPr>
        </w:p>
      </w:tc>
      <w:tc>
        <w:tcPr>
          <w:tcW w:w="6634" w:type="dxa"/>
          <w:tcBorders>
            <w:top w:val="single" w:sz="6" w:space="0" w:color="auto"/>
          </w:tcBorders>
        </w:tcPr>
        <w:p w14:paraId="2E751E21" w14:textId="77777777" w:rsidR="00E72CAB" w:rsidRDefault="00E72CAB">
          <w:pPr>
            <w:pStyle w:val="Header"/>
          </w:pPr>
        </w:p>
      </w:tc>
    </w:tr>
  </w:tbl>
  <w:p w14:paraId="2E751E23" w14:textId="77777777" w:rsidR="00E72CAB" w:rsidRDefault="00E72CA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72CAB" w14:paraId="2E751E26" w14:textId="77777777" w:rsidTr="005C68FE">
      <w:tc>
        <w:tcPr>
          <w:tcW w:w="6634" w:type="dxa"/>
          <w:tcBorders>
            <w:top w:val="single" w:sz="6" w:space="0" w:color="auto"/>
          </w:tcBorders>
        </w:tcPr>
        <w:p w14:paraId="2E751E24" w14:textId="77777777" w:rsidR="00E72CAB" w:rsidRDefault="00E72CAB" w:rsidP="005C68FE">
          <w:pPr>
            <w:pStyle w:val="HeaderOdd"/>
          </w:pPr>
        </w:p>
      </w:tc>
      <w:tc>
        <w:tcPr>
          <w:tcW w:w="2155" w:type="dxa"/>
          <w:tcBorders>
            <w:top w:val="single" w:sz="24" w:space="0" w:color="auto"/>
          </w:tcBorders>
        </w:tcPr>
        <w:p w14:paraId="2E751E25" w14:textId="77777777" w:rsidR="00E72CAB" w:rsidRDefault="00E72CAB" w:rsidP="005C68FE">
          <w:pPr>
            <w:pStyle w:val="HeaderOdd"/>
          </w:pPr>
        </w:p>
      </w:tc>
    </w:tr>
  </w:tbl>
  <w:p w14:paraId="2E751E27" w14:textId="77777777" w:rsidR="00E72CAB" w:rsidRPr="005C68FE" w:rsidRDefault="00E72CAB" w:rsidP="005C68FE">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E72CAB" w14:paraId="2E751E36" w14:textId="77777777">
      <w:tc>
        <w:tcPr>
          <w:tcW w:w="2155" w:type="dxa"/>
          <w:tcBorders>
            <w:top w:val="single" w:sz="24" w:space="0" w:color="auto"/>
          </w:tcBorders>
        </w:tcPr>
        <w:p w14:paraId="2E751E34" w14:textId="77777777" w:rsidR="00E72CAB" w:rsidRDefault="00E72CAB">
          <w:pPr>
            <w:pStyle w:val="Header"/>
          </w:pPr>
        </w:p>
      </w:tc>
      <w:tc>
        <w:tcPr>
          <w:tcW w:w="6634" w:type="dxa"/>
          <w:tcBorders>
            <w:top w:val="single" w:sz="6" w:space="0" w:color="auto"/>
          </w:tcBorders>
        </w:tcPr>
        <w:p w14:paraId="2E751E35" w14:textId="77777777" w:rsidR="00E72CAB" w:rsidRDefault="00E72CAB">
          <w:pPr>
            <w:pStyle w:val="Header"/>
          </w:pPr>
        </w:p>
      </w:tc>
    </w:tr>
  </w:tbl>
  <w:p w14:paraId="2E751E37" w14:textId="77777777" w:rsidR="00E72CAB" w:rsidRDefault="00E72CAB">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72CAB" w14:paraId="2E751E3A" w14:textId="77777777">
      <w:tc>
        <w:tcPr>
          <w:tcW w:w="6634" w:type="dxa"/>
          <w:tcBorders>
            <w:top w:val="single" w:sz="6" w:space="0" w:color="auto"/>
          </w:tcBorders>
        </w:tcPr>
        <w:p w14:paraId="2E751E38" w14:textId="77777777" w:rsidR="00E72CAB" w:rsidRDefault="00E72CAB" w:rsidP="00E72CAB">
          <w:pPr>
            <w:pStyle w:val="HeaderOdd"/>
          </w:pPr>
        </w:p>
      </w:tc>
      <w:tc>
        <w:tcPr>
          <w:tcW w:w="2155" w:type="dxa"/>
          <w:tcBorders>
            <w:top w:val="single" w:sz="24" w:space="0" w:color="auto"/>
          </w:tcBorders>
        </w:tcPr>
        <w:p w14:paraId="2E751E39" w14:textId="77777777" w:rsidR="00E72CAB" w:rsidRDefault="00E72CAB" w:rsidP="00E72CAB">
          <w:pPr>
            <w:pStyle w:val="HeaderOdd"/>
          </w:pPr>
        </w:p>
      </w:tc>
    </w:tr>
  </w:tbl>
  <w:p w14:paraId="2E751E3B" w14:textId="77777777" w:rsidR="00E72CAB" w:rsidRDefault="00E72CAB" w:rsidP="00E72CAB">
    <w:pPr>
      <w:pStyle w:val="HeaderEnd"/>
    </w:pPr>
  </w:p>
  <w:p w14:paraId="2E751E3C" w14:textId="77777777" w:rsidR="00E72CAB" w:rsidRPr="00D01645" w:rsidRDefault="00E72CAB" w:rsidP="00E72CAB">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E72CAB" w14:paraId="2E751E4B" w14:textId="77777777">
      <w:tc>
        <w:tcPr>
          <w:tcW w:w="2155" w:type="dxa"/>
          <w:tcBorders>
            <w:top w:val="single" w:sz="24" w:space="0" w:color="auto"/>
          </w:tcBorders>
        </w:tcPr>
        <w:p w14:paraId="2E751E49" w14:textId="77777777" w:rsidR="00E72CAB" w:rsidRDefault="00E72CAB">
          <w:pPr>
            <w:pStyle w:val="Header"/>
          </w:pPr>
        </w:p>
      </w:tc>
      <w:tc>
        <w:tcPr>
          <w:tcW w:w="6634" w:type="dxa"/>
          <w:tcBorders>
            <w:top w:val="single" w:sz="6" w:space="0" w:color="auto"/>
          </w:tcBorders>
        </w:tcPr>
        <w:p w14:paraId="2E751E4A" w14:textId="77777777" w:rsidR="00E72CAB" w:rsidRDefault="00E72CAB">
          <w:pPr>
            <w:pStyle w:val="Header"/>
          </w:pPr>
        </w:p>
      </w:tc>
    </w:tr>
  </w:tbl>
  <w:p w14:paraId="2E751E4C" w14:textId="77777777" w:rsidR="00E72CAB" w:rsidRDefault="00E72CAB">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72CAB" w14:paraId="2E751E4F" w14:textId="77777777" w:rsidTr="005C68FE">
      <w:tc>
        <w:tcPr>
          <w:tcW w:w="6634" w:type="dxa"/>
          <w:tcBorders>
            <w:top w:val="single" w:sz="6" w:space="0" w:color="auto"/>
          </w:tcBorders>
        </w:tcPr>
        <w:p w14:paraId="2E751E4D" w14:textId="77777777" w:rsidR="00E72CAB" w:rsidRDefault="00E72CAB" w:rsidP="005C68FE">
          <w:pPr>
            <w:pStyle w:val="HeaderOdd"/>
          </w:pPr>
        </w:p>
      </w:tc>
      <w:tc>
        <w:tcPr>
          <w:tcW w:w="2155" w:type="dxa"/>
          <w:tcBorders>
            <w:top w:val="single" w:sz="24" w:space="0" w:color="auto"/>
          </w:tcBorders>
        </w:tcPr>
        <w:p w14:paraId="2E751E4E" w14:textId="77777777" w:rsidR="00E72CAB" w:rsidRDefault="00E72CAB" w:rsidP="005C68FE">
          <w:pPr>
            <w:pStyle w:val="HeaderOdd"/>
          </w:pPr>
        </w:p>
      </w:tc>
    </w:tr>
  </w:tbl>
  <w:p w14:paraId="2E751E50" w14:textId="77777777" w:rsidR="00E72CAB" w:rsidRPr="005C68FE" w:rsidRDefault="00E72CAB" w:rsidP="005C68FE">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E72CAB" w14:paraId="2E751E5F" w14:textId="77777777" w:rsidTr="005C68FE">
      <w:tc>
        <w:tcPr>
          <w:tcW w:w="2155" w:type="dxa"/>
          <w:tcBorders>
            <w:top w:val="single" w:sz="24" w:space="0" w:color="auto"/>
          </w:tcBorders>
        </w:tcPr>
        <w:p w14:paraId="2E751E5D" w14:textId="77777777" w:rsidR="00E72CAB" w:rsidRDefault="00E72CAB" w:rsidP="005C68FE">
          <w:pPr>
            <w:pStyle w:val="HeaderEven"/>
          </w:pPr>
        </w:p>
      </w:tc>
      <w:tc>
        <w:tcPr>
          <w:tcW w:w="6634" w:type="dxa"/>
          <w:tcBorders>
            <w:top w:val="single" w:sz="6" w:space="0" w:color="auto"/>
          </w:tcBorders>
        </w:tcPr>
        <w:p w14:paraId="2E751E5E" w14:textId="77777777" w:rsidR="00E72CAB" w:rsidRDefault="00E72CAB" w:rsidP="005C68FE">
          <w:pPr>
            <w:pStyle w:val="HeaderEven"/>
          </w:pPr>
        </w:p>
      </w:tc>
    </w:tr>
  </w:tbl>
  <w:p w14:paraId="2E751E60" w14:textId="77777777" w:rsidR="00E72CAB" w:rsidRDefault="00E72CAB" w:rsidP="00D732FE">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72CAB" w14:paraId="2E751E63" w14:textId="77777777">
      <w:tc>
        <w:tcPr>
          <w:tcW w:w="6634" w:type="dxa"/>
          <w:tcBorders>
            <w:top w:val="single" w:sz="6" w:space="0" w:color="auto"/>
          </w:tcBorders>
        </w:tcPr>
        <w:p w14:paraId="2E751E61" w14:textId="77777777" w:rsidR="00E72CAB" w:rsidRDefault="00E72CAB">
          <w:pPr>
            <w:pStyle w:val="HeaderOdd"/>
          </w:pPr>
        </w:p>
      </w:tc>
      <w:tc>
        <w:tcPr>
          <w:tcW w:w="2155" w:type="dxa"/>
          <w:tcBorders>
            <w:top w:val="single" w:sz="24" w:space="0" w:color="auto"/>
          </w:tcBorders>
        </w:tcPr>
        <w:p w14:paraId="2E751E62" w14:textId="77777777" w:rsidR="00E72CAB" w:rsidRDefault="00E72CAB">
          <w:pPr>
            <w:pStyle w:val="HeaderOdd"/>
          </w:pPr>
        </w:p>
      </w:tc>
    </w:tr>
  </w:tbl>
  <w:p w14:paraId="2E751E64" w14:textId="77777777" w:rsidR="00E72CAB" w:rsidRDefault="00E72CAB"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4417976"/>
    <w:multiLevelType w:val="multilevel"/>
    <w:tmpl w:val="C142881C"/>
    <w:name w:val="StandardNumberedList"/>
    <w:lvl w:ilvl="0">
      <w:start w:val="1"/>
      <w:numFmt w:val="decimal"/>
      <w:pStyle w:val="OutlineNumbered1"/>
      <w:lvlText w:val="%1."/>
      <w:lvlJc w:val="left"/>
      <w:pPr>
        <w:tabs>
          <w:tab w:val="num" w:pos="567"/>
        </w:tabs>
        <w:ind w:left="567" w:hanging="567"/>
      </w:pPr>
      <w:rPr>
        <w:rFonts w:ascii="Times New Roman" w:hAnsi="Times New Roman" w:hint="default"/>
        <w:b w:val="0"/>
        <w:i w:val="0"/>
        <w:sz w:val="24"/>
      </w:rPr>
    </w:lvl>
    <w:lvl w:ilvl="1">
      <w:start w:val="1"/>
      <w:numFmt w:val="decimal"/>
      <w:pStyle w:val="OutlineNumbered2"/>
      <w:lvlText w:val="%1.%2."/>
      <w:lvlJc w:val="left"/>
      <w:pPr>
        <w:tabs>
          <w:tab w:val="num" w:pos="1134"/>
        </w:tabs>
        <w:ind w:left="1134" w:hanging="567"/>
      </w:pPr>
      <w:rPr>
        <w:rFonts w:cs="Times New Roman"/>
      </w:rPr>
    </w:lvl>
    <w:lvl w:ilvl="2">
      <w:start w:val="1"/>
      <w:numFmt w:val="decimal"/>
      <w:pStyle w:val="OutlineNumbered3"/>
      <w:lvlText w:val="%1.%2.%3."/>
      <w:lvlJc w:val="left"/>
      <w:pPr>
        <w:tabs>
          <w:tab w:val="num" w:pos="1701"/>
        </w:tabs>
        <w:ind w:left="1701" w:hanging="567"/>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6">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8">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0">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1">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2">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3">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4">
    <w:nsid w:val="6B740744"/>
    <w:multiLevelType w:val="singleLevel"/>
    <w:tmpl w:val="B4744B66"/>
    <w:lvl w:ilvl="0">
      <w:start w:val="1"/>
      <w:numFmt w:val="decimal"/>
      <w:lvlText w:val="%1."/>
      <w:legacy w:legacy="1" w:legacySpace="0" w:legacyIndent="340"/>
      <w:lvlJc w:val="left"/>
      <w:pPr>
        <w:ind w:left="340" w:hanging="340"/>
      </w:pPr>
    </w:lvl>
  </w:abstractNum>
  <w:abstractNum w:abstractNumId="2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4"/>
  </w:num>
  <w:num w:numId="13">
    <w:abstractNumId w:val="17"/>
  </w:num>
  <w:num w:numId="14">
    <w:abstractNumId w:val="8"/>
  </w:num>
  <w:num w:numId="15">
    <w:abstractNumId w:val="25"/>
  </w:num>
  <w:num w:numId="16">
    <w:abstractNumId w:val="19"/>
  </w:num>
  <w:num w:numId="17">
    <w:abstractNumId w:val="7"/>
  </w:num>
  <w:num w:numId="18">
    <w:abstractNumId w:val="23"/>
  </w:num>
  <w:num w:numId="19">
    <w:abstractNumId w:val="21"/>
  </w:num>
  <w:num w:numId="20">
    <w:abstractNumId w:val="26"/>
  </w:num>
  <w:num w:numId="21">
    <w:abstractNumId w:val="13"/>
  </w:num>
  <w:num w:numId="22">
    <w:abstractNumId w:val="11"/>
  </w:num>
  <w:num w:numId="23">
    <w:abstractNumId w:val="20"/>
  </w:num>
  <w:num w:numId="24">
    <w:abstractNumId w:val="12"/>
  </w:num>
  <w:num w:numId="25">
    <w:abstractNumId w:val="10"/>
  </w:num>
  <w:num w:numId="26">
    <w:abstractNumId w:val="10"/>
  </w:num>
  <w:num w:numId="27">
    <w:abstractNumId w:val="10"/>
  </w:num>
  <w:num w:numId="28">
    <w:abstractNumId w:val="10"/>
  </w:num>
  <w:num w:numId="29">
    <w:abstractNumId w:val="16"/>
  </w:num>
  <w:num w:numId="30">
    <w:abstractNumId w:val="9"/>
  </w:num>
  <w:num w:numId="31">
    <w:abstractNumId w:val="19"/>
  </w:num>
  <w:num w:numId="32">
    <w:abstractNumId w:val="17"/>
  </w:num>
  <w:num w:numId="33">
    <w:abstractNumId w:val="8"/>
  </w:num>
  <w:num w:numId="34">
    <w:abstractNumId w:val="23"/>
  </w:num>
  <w:num w:numId="35">
    <w:abstractNumId w:val="22"/>
  </w:num>
  <w:num w:numId="36">
    <w:abstractNumId w:val="9"/>
  </w:num>
  <w:num w:numId="37">
    <w:abstractNumId w:val="9"/>
  </w:num>
  <w:num w:numId="38">
    <w:abstractNumId w:val="15"/>
  </w:num>
  <w:num w:numId="39">
    <w:abstractNumId w:val="25"/>
  </w:num>
  <w:num w:numId="40">
    <w:abstractNumId w:val="19"/>
  </w:num>
  <w:num w:numId="41">
    <w:abstractNumId w:val="18"/>
  </w:num>
  <w:num w:numId="42">
    <w:abstractNumId w:val="7"/>
  </w:num>
  <w:num w:numId="43">
    <w:abstractNumId w:val="10"/>
  </w:num>
  <w:num w:numId="44">
    <w:abstractNumId w:val="10"/>
  </w:num>
  <w:num w:numId="45">
    <w:abstractNumId w:val="10"/>
  </w:num>
  <w:num w:numId="46">
    <w:abstractNumId w:val="21"/>
  </w:num>
  <w:num w:numId="47">
    <w:abstractNumId w:val="26"/>
  </w:num>
  <w:num w:numId="48">
    <w:abstractNumId w:val="20"/>
  </w:num>
  <w:num w:numId="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4F83"/>
    <w:rsid w:val="00017AFC"/>
    <w:rsid w:val="00025878"/>
    <w:rsid w:val="00026B38"/>
    <w:rsid w:val="00032384"/>
    <w:rsid w:val="00035F91"/>
    <w:rsid w:val="000502D3"/>
    <w:rsid w:val="00052CB2"/>
    <w:rsid w:val="000623BF"/>
    <w:rsid w:val="000779EB"/>
    <w:rsid w:val="00095EEA"/>
    <w:rsid w:val="00097C15"/>
    <w:rsid w:val="000A0A0E"/>
    <w:rsid w:val="000A507B"/>
    <w:rsid w:val="000A5E12"/>
    <w:rsid w:val="000B2D74"/>
    <w:rsid w:val="000B416E"/>
    <w:rsid w:val="000F185F"/>
    <w:rsid w:val="000F2F5F"/>
    <w:rsid w:val="00106041"/>
    <w:rsid w:val="0010611E"/>
    <w:rsid w:val="00122FE9"/>
    <w:rsid w:val="00131572"/>
    <w:rsid w:val="00131D4F"/>
    <w:rsid w:val="0013399B"/>
    <w:rsid w:val="0016400F"/>
    <w:rsid w:val="001764C7"/>
    <w:rsid w:val="00180515"/>
    <w:rsid w:val="00181F4B"/>
    <w:rsid w:val="00190919"/>
    <w:rsid w:val="00196FB3"/>
    <w:rsid w:val="001A5071"/>
    <w:rsid w:val="001B4E73"/>
    <w:rsid w:val="001B7F1E"/>
    <w:rsid w:val="001D4B1F"/>
    <w:rsid w:val="001D6629"/>
    <w:rsid w:val="001E3390"/>
    <w:rsid w:val="001E59E7"/>
    <w:rsid w:val="001F2270"/>
    <w:rsid w:val="00203B40"/>
    <w:rsid w:val="00205A82"/>
    <w:rsid w:val="00206C85"/>
    <w:rsid w:val="00211BEE"/>
    <w:rsid w:val="002179C6"/>
    <w:rsid w:val="00231A2E"/>
    <w:rsid w:val="00261607"/>
    <w:rsid w:val="00263DD1"/>
    <w:rsid w:val="00264D3B"/>
    <w:rsid w:val="00265685"/>
    <w:rsid w:val="00271B0C"/>
    <w:rsid w:val="00281D5F"/>
    <w:rsid w:val="002923AD"/>
    <w:rsid w:val="0029370E"/>
    <w:rsid w:val="00296592"/>
    <w:rsid w:val="002A0A4B"/>
    <w:rsid w:val="002A499E"/>
    <w:rsid w:val="002B636E"/>
    <w:rsid w:val="002B64D6"/>
    <w:rsid w:val="002C12F5"/>
    <w:rsid w:val="002D6FCE"/>
    <w:rsid w:val="00340511"/>
    <w:rsid w:val="0038647D"/>
    <w:rsid w:val="00393A49"/>
    <w:rsid w:val="003B41E0"/>
    <w:rsid w:val="003B59A8"/>
    <w:rsid w:val="003C3D73"/>
    <w:rsid w:val="003D58C7"/>
    <w:rsid w:val="003D624D"/>
    <w:rsid w:val="003D63F0"/>
    <w:rsid w:val="003E7802"/>
    <w:rsid w:val="003F7FD9"/>
    <w:rsid w:val="0042007A"/>
    <w:rsid w:val="00433C81"/>
    <w:rsid w:val="00446D6B"/>
    <w:rsid w:val="00457B3F"/>
    <w:rsid w:val="00463022"/>
    <w:rsid w:val="00481CF0"/>
    <w:rsid w:val="0049330D"/>
    <w:rsid w:val="004B492A"/>
    <w:rsid w:val="004C0B0C"/>
    <w:rsid w:val="004D3976"/>
    <w:rsid w:val="004D3F58"/>
    <w:rsid w:val="004E138D"/>
    <w:rsid w:val="004E52E2"/>
    <w:rsid w:val="004E6BB4"/>
    <w:rsid w:val="004E7D3C"/>
    <w:rsid w:val="00515D43"/>
    <w:rsid w:val="0052544D"/>
    <w:rsid w:val="00526B19"/>
    <w:rsid w:val="00551FB8"/>
    <w:rsid w:val="00552584"/>
    <w:rsid w:val="005537F6"/>
    <w:rsid w:val="00560F43"/>
    <w:rsid w:val="005654D0"/>
    <w:rsid w:val="00582C4F"/>
    <w:rsid w:val="00585B3F"/>
    <w:rsid w:val="00596B4F"/>
    <w:rsid w:val="005B17AB"/>
    <w:rsid w:val="005C020A"/>
    <w:rsid w:val="005C68FE"/>
    <w:rsid w:val="005D4F83"/>
    <w:rsid w:val="005F7D30"/>
    <w:rsid w:val="00602523"/>
    <w:rsid w:val="006040CB"/>
    <w:rsid w:val="00604351"/>
    <w:rsid w:val="00607D8A"/>
    <w:rsid w:val="0061590F"/>
    <w:rsid w:val="00625142"/>
    <w:rsid w:val="00636497"/>
    <w:rsid w:val="00641AE2"/>
    <w:rsid w:val="0064456A"/>
    <w:rsid w:val="00650DDA"/>
    <w:rsid w:val="0065126A"/>
    <w:rsid w:val="00653FA6"/>
    <w:rsid w:val="00663D69"/>
    <w:rsid w:val="0067557D"/>
    <w:rsid w:val="006802D4"/>
    <w:rsid w:val="00683849"/>
    <w:rsid w:val="00691AB5"/>
    <w:rsid w:val="006E1E6B"/>
    <w:rsid w:val="006F0EAC"/>
    <w:rsid w:val="006F6A85"/>
    <w:rsid w:val="0070328D"/>
    <w:rsid w:val="00716182"/>
    <w:rsid w:val="007276B3"/>
    <w:rsid w:val="00731F96"/>
    <w:rsid w:val="00734127"/>
    <w:rsid w:val="0073463B"/>
    <w:rsid w:val="00735FEA"/>
    <w:rsid w:val="00742360"/>
    <w:rsid w:val="00743460"/>
    <w:rsid w:val="00743A27"/>
    <w:rsid w:val="007448F7"/>
    <w:rsid w:val="00753DC6"/>
    <w:rsid w:val="0075578C"/>
    <w:rsid w:val="00766DFB"/>
    <w:rsid w:val="007734B5"/>
    <w:rsid w:val="007809B8"/>
    <w:rsid w:val="007813A6"/>
    <w:rsid w:val="00805FD7"/>
    <w:rsid w:val="00806E54"/>
    <w:rsid w:val="008206EE"/>
    <w:rsid w:val="008214B1"/>
    <w:rsid w:val="008273A9"/>
    <w:rsid w:val="00836ED7"/>
    <w:rsid w:val="0084355E"/>
    <w:rsid w:val="008453AC"/>
    <w:rsid w:val="008468CA"/>
    <w:rsid w:val="00860D09"/>
    <w:rsid w:val="00862044"/>
    <w:rsid w:val="00880BF7"/>
    <w:rsid w:val="00881A1C"/>
    <w:rsid w:val="0089269F"/>
    <w:rsid w:val="008A2133"/>
    <w:rsid w:val="008A3857"/>
    <w:rsid w:val="008A4465"/>
    <w:rsid w:val="008B2205"/>
    <w:rsid w:val="008C08EF"/>
    <w:rsid w:val="008C305F"/>
    <w:rsid w:val="008C3AD2"/>
    <w:rsid w:val="008C7C3D"/>
    <w:rsid w:val="008D5D2E"/>
    <w:rsid w:val="008D6F66"/>
    <w:rsid w:val="008E1BEA"/>
    <w:rsid w:val="008E242D"/>
    <w:rsid w:val="008E43D2"/>
    <w:rsid w:val="008E5248"/>
    <w:rsid w:val="008F04C9"/>
    <w:rsid w:val="008F7C50"/>
    <w:rsid w:val="008F7DB7"/>
    <w:rsid w:val="009064D3"/>
    <w:rsid w:val="00915300"/>
    <w:rsid w:val="00933B0C"/>
    <w:rsid w:val="00935676"/>
    <w:rsid w:val="00944ED9"/>
    <w:rsid w:val="0098401D"/>
    <w:rsid w:val="009A789F"/>
    <w:rsid w:val="009B12EF"/>
    <w:rsid w:val="009B48F7"/>
    <w:rsid w:val="009B6185"/>
    <w:rsid w:val="009C6C6D"/>
    <w:rsid w:val="009E1E78"/>
    <w:rsid w:val="00A1597D"/>
    <w:rsid w:val="00A46989"/>
    <w:rsid w:val="00A469AA"/>
    <w:rsid w:val="00A50CC4"/>
    <w:rsid w:val="00A55813"/>
    <w:rsid w:val="00A71CE9"/>
    <w:rsid w:val="00A72A19"/>
    <w:rsid w:val="00A75A30"/>
    <w:rsid w:val="00A93C82"/>
    <w:rsid w:val="00A947F3"/>
    <w:rsid w:val="00AB2A48"/>
    <w:rsid w:val="00AC3236"/>
    <w:rsid w:val="00AD4874"/>
    <w:rsid w:val="00AE1F8A"/>
    <w:rsid w:val="00B036B2"/>
    <w:rsid w:val="00B04D19"/>
    <w:rsid w:val="00B153C3"/>
    <w:rsid w:val="00B22087"/>
    <w:rsid w:val="00B3386D"/>
    <w:rsid w:val="00B66BEB"/>
    <w:rsid w:val="00B722F2"/>
    <w:rsid w:val="00B80355"/>
    <w:rsid w:val="00B90958"/>
    <w:rsid w:val="00B95339"/>
    <w:rsid w:val="00BA0B81"/>
    <w:rsid w:val="00BA311E"/>
    <w:rsid w:val="00BB334E"/>
    <w:rsid w:val="00BB5DCF"/>
    <w:rsid w:val="00BB7146"/>
    <w:rsid w:val="00BC2476"/>
    <w:rsid w:val="00BF59EA"/>
    <w:rsid w:val="00BF79CD"/>
    <w:rsid w:val="00C058AB"/>
    <w:rsid w:val="00C0721B"/>
    <w:rsid w:val="00C34C8C"/>
    <w:rsid w:val="00C50792"/>
    <w:rsid w:val="00C51371"/>
    <w:rsid w:val="00C55A45"/>
    <w:rsid w:val="00C65F7C"/>
    <w:rsid w:val="00C670DE"/>
    <w:rsid w:val="00C904D9"/>
    <w:rsid w:val="00C94C06"/>
    <w:rsid w:val="00CA48BF"/>
    <w:rsid w:val="00CB3ACC"/>
    <w:rsid w:val="00CB4534"/>
    <w:rsid w:val="00CB4745"/>
    <w:rsid w:val="00CC5EF6"/>
    <w:rsid w:val="00CD13E0"/>
    <w:rsid w:val="00CD2163"/>
    <w:rsid w:val="00CD4FE7"/>
    <w:rsid w:val="00CD5E6B"/>
    <w:rsid w:val="00CE4FBC"/>
    <w:rsid w:val="00CE5D96"/>
    <w:rsid w:val="00CE7344"/>
    <w:rsid w:val="00CF26EE"/>
    <w:rsid w:val="00D310F0"/>
    <w:rsid w:val="00D37AC2"/>
    <w:rsid w:val="00D500A9"/>
    <w:rsid w:val="00D61180"/>
    <w:rsid w:val="00D64121"/>
    <w:rsid w:val="00D67119"/>
    <w:rsid w:val="00D732FE"/>
    <w:rsid w:val="00D74E25"/>
    <w:rsid w:val="00D772E9"/>
    <w:rsid w:val="00D82E10"/>
    <w:rsid w:val="00D969AE"/>
    <w:rsid w:val="00DA31AB"/>
    <w:rsid w:val="00DA3281"/>
    <w:rsid w:val="00DA6D3E"/>
    <w:rsid w:val="00DB6A87"/>
    <w:rsid w:val="00DB7FEC"/>
    <w:rsid w:val="00DC02E8"/>
    <w:rsid w:val="00DC75C7"/>
    <w:rsid w:val="00DC78D3"/>
    <w:rsid w:val="00DD1077"/>
    <w:rsid w:val="00DF00FE"/>
    <w:rsid w:val="00DF2BBF"/>
    <w:rsid w:val="00DF4592"/>
    <w:rsid w:val="00E11C15"/>
    <w:rsid w:val="00E15FDC"/>
    <w:rsid w:val="00E20F04"/>
    <w:rsid w:val="00E2651B"/>
    <w:rsid w:val="00E30DDB"/>
    <w:rsid w:val="00E60345"/>
    <w:rsid w:val="00E6632E"/>
    <w:rsid w:val="00E72CAB"/>
    <w:rsid w:val="00E90CF2"/>
    <w:rsid w:val="00EC048D"/>
    <w:rsid w:val="00EC38C1"/>
    <w:rsid w:val="00EC628B"/>
    <w:rsid w:val="00ED0F61"/>
    <w:rsid w:val="00EE3F6D"/>
    <w:rsid w:val="00EE73E1"/>
    <w:rsid w:val="00F12107"/>
    <w:rsid w:val="00F13165"/>
    <w:rsid w:val="00F344B4"/>
    <w:rsid w:val="00F4234E"/>
    <w:rsid w:val="00F61429"/>
    <w:rsid w:val="00F7477E"/>
    <w:rsid w:val="00F74AE9"/>
    <w:rsid w:val="00F85393"/>
    <w:rsid w:val="00FA4A24"/>
    <w:rsid w:val="00FC41B4"/>
    <w:rsid w:val="00FC5A6B"/>
    <w:rsid w:val="00FD06C0"/>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2E751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uiPriority w:val="99"/>
    <w:semiHidden/>
    <w:rPr>
      <w:b/>
      <w:vanish/>
      <w:color w:val="FF00FF"/>
      <w:sz w:val="20"/>
    </w:rPr>
  </w:style>
  <w:style w:type="paragraph" w:styleId="CommentText">
    <w:name w:val="annotation text"/>
    <w:basedOn w:val="Normal"/>
    <w:link w:val="CommentTextChar"/>
    <w:uiPriority w:val="99"/>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5D4F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5D4F83"/>
    <w:rPr>
      <w:kern w:val="28"/>
      <w:sz w:val="52"/>
      <w:lang w:eastAsia="en-US"/>
    </w:rPr>
  </w:style>
  <w:style w:type="character" w:customStyle="1" w:styleId="Heading3Char">
    <w:name w:val="Heading 3 Char"/>
    <w:basedOn w:val="DefaultParagraphFont"/>
    <w:link w:val="Heading3"/>
    <w:rsid w:val="005D4F83"/>
    <w:rPr>
      <w:rFonts w:ascii="Arial" w:hAnsi="Arial"/>
      <w:b/>
      <w:sz w:val="26"/>
    </w:rPr>
  </w:style>
  <w:style w:type="paragraph" w:customStyle="1" w:styleId="OutlineNumbered1">
    <w:name w:val="Outline Numbered 1"/>
    <w:basedOn w:val="Normal"/>
    <w:link w:val="OutlineNumbered1Char"/>
    <w:rsid w:val="00CD13E0"/>
    <w:pPr>
      <w:numPr>
        <w:numId w:val="49"/>
      </w:numPr>
      <w:spacing w:before="100" w:beforeAutospacing="1" w:after="240"/>
    </w:pPr>
    <w:rPr>
      <w:rFonts w:ascii="Calibri" w:eastAsia="Calibri" w:hAnsi="Calibri"/>
      <w:color w:val="000000"/>
      <w:sz w:val="24"/>
      <w:szCs w:val="24"/>
      <w:lang w:val="en" w:eastAsia="en-AU"/>
    </w:rPr>
  </w:style>
  <w:style w:type="character" w:customStyle="1" w:styleId="OutlineNumbered1Char">
    <w:name w:val="Outline Numbered 1 Char"/>
    <w:basedOn w:val="DefaultParagraphFont"/>
    <w:link w:val="OutlineNumbered1"/>
    <w:locked/>
    <w:rsid w:val="00CD13E0"/>
    <w:rPr>
      <w:rFonts w:ascii="Calibri" w:eastAsia="Calibri" w:hAnsi="Calibri"/>
      <w:color w:val="000000"/>
      <w:sz w:val="24"/>
      <w:szCs w:val="24"/>
      <w:lang w:val="en"/>
    </w:rPr>
  </w:style>
  <w:style w:type="paragraph" w:customStyle="1" w:styleId="OutlineNumbered2">
    <w:name w:val="Outline Numbered 2"/>
    <w:basedOn w:val="Normal"/>
    <w:rsid w:val="00CD13E0"/>
    <w:pPr>
      <w:numPr>
        <w:ilvl w:val="1"/>
        <w:numId w:val="49"/>
      </w:numPr>
      <w:spacing w:before="100" w:beforeAutospacing="1" w:after="240"/>
    </w:pPr>
    <w:rPr>
      <w:rFonts w:ascii="Calibri" w:eastAsia="Calibri" w:hAnsi="Calibri"/>
      <w:color w:val="000000"/>
      <w:sz w:val="24"/>
      <w:szCs w:val="24"/>
      <w:lang w:val="en" w:eastAsia="en-AU"/>
    </w:rPr>
  </w:style>
  <w:style w:type="paragraph" w:customStyle="1" w:styleId="OutlineNumbered3">
    <w:name w:val="Outline Numbered 3"/>
    <w:basedOn w:val="Normal"/>
    <w:rsid w:val="00CD13E0"/>
    <w:pPr>
      <w:numPr>
        <w:ilvl w:val="2"/>
        <w:numId w:val="49"/>
      </w:numPr>
      <w:spacing w:before="100" w:beforeAutospacing="1" w:after="240"/>
    </w:pPr>
    <w:rPr>
      <w:rFonts w:ascii="Calibri" w:eastAsia="Calibri" w:hAnsi="Calibri"/>
      <w:color w:val="000000"/>
      <w:sz w:val="24"/>
      <w:szCs w:val="24"/>
      <w:lang w:val="en" w:eastAsia="en-AU"/>
    </w:rPr>
  </w:style>
  <w:style w:type="character" w:customStyle="1" w:styleId="CommentTextChar">
    <w:name w:val="Comment Text Char"/>
    <w:basedOn w:val="DefaultParagraphFont"/>
    <w:link w:val="CommentText"/>
    <w:uiPriority w:val="99"/>
    <w:rsid w:val="00CD13E0"/>
    <w:rPr>
      <w:lang w:eastAsia="en-US"/>
    </w:rPr>
  </w:style>
  <w:style w:type="paragraph" w:styleId="NormalWeb">
    <w:name w:val="Normal (Web)"/>
    <w:basedOn w:val="Normal"/>
    <w:uiPriority w:val="99"/>
    <w:semiHidden/>
    <w:unhideWhenUsed/>
    <w:rsid w:val="008D5D2E"/>
    <w:pPr>
      <w:spacing w:before="100" w:beforeAutospacing="1" w:after="100" w:afterAutospacing="1"/>
    </w:pPr>
    <w:rPr>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uiPriority w:val="99"/>
    <w:semiHidden/>
    <w:rPr>
      <w:b/>
      <w:vanish/>
      <w:color w:val="FF00FF"/>
      <w:sz w:val="20"/>
    </w:rPr>
  </w:style>
  <w:style w:type="paragraph" w:styleId="CommentText">
    <w:name w:val="annotation text"/>
    <w:basedOn w:val="Normal"/>
    <w:link w:val="CommentTextChar"/>
    <w:uiPriority w:val="99"/>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5D4F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5D4F83"/>
    <w:rPr>
      <w:kern w:val="28"/>
      <w:sz w:val="52"/>
      <w:lang w:eastAsia="en-US"/>
    </w:rPr>
  </w:style>
  <w:style w:type="character" w:customStyle="1" w:styleId="Heading3Char">
    <w:name w:val="Heading 3 Char"/>
    <w:basedOn w:val="DefaultParagraphFont"/>
    <w:link w:val="Heading3"/>
    <w:rsid w:val="005D4F83"/>
    <w:rPr>
      <w:rFonts w:ascii="Arial" w:hAnsi="Arial"/>
      <w:b/>
      <w:sz w:val="26"/>
    </w:rPr>
  </w:style>
  <w:style w:type="paragraph" w:customStyle="1" w:styleId="OutlineNumbered1">
    <w:name w:val="Outline Numbered 1"/>
    <w:basedOn w:val="Normal"/>
    <w:link w:val="OutlineNumbered1Char"/>
    <w:rsid w:val="00CD13E0"/>
    <w:pPr>
      <w:numPr>
        <w:numId w:val="49"/>
      </w:numPr>
      <w:spacing w:before="100" w:beforeAutospacing="1" w:after="240"/>
    </w:pPr>
    <w:rPr>
      <w:rFonts w:ascii="Calibri" w:eastAsia="Calibri" w:hAnsi="Calibri"/>
      <w:color w:val="000000"/>
      <w:sz w:val="24"/>
      <w:szCs w:val="24"/>
      <w:lang w:val="en" w:eastAsia="en-AU"/>
    </w:rPr>
  </w:style>
  <w:style w:type="character" w:customStyle="1" w:styleId="OutlineNumbered1Char">
    <w:name w:val="Outline Numbered 1 Char"/>
    <w:basedOn w:val="DefaultParagraphFont"/>
    <w:link w:val="OutlineNumbered1"/>
    <w:locked/>
    <w:rsid w:val="00CD13E0"/>
    <w:rPr>
      <w:rFonts w:ascii="Calibri" w:eastAsia="Calibri" w:hAnsi="Calibri"/>
      <w:color w:val="000000"/>
      <w:sz w:val="24"/>
      <w:szCs w:val="24"/>
      <w:lang w:val="en"/>
    </w:rPr>
  </w:style>
  <w:style w:type="paragraph" w:customStyle="1" w:styleId="OutlineNumbered2">
    <w:name w:val="Outline Numbered 2"/>
    <w:basedOn w:val="Normal"/>
    <w:rsid w:val="00CD13E0"/>
    <w:pPr>
      <w:numPr>
        <w:ilvl w:val="1"/>
        <w:numId w:val="49"/>
      </w:numPr>
      <w:spacing w:before="100" w:beforeAutospacing="1" w:after="240"/>
    </w:pPr>
    <w:rPr>
      <w:rFonts w:ascii="Calibri" w:eastAsia="Calibri" w:hAnsi="Calibri"/>
      <w:color w:val="000000"/>
      <w:sz w:val="24"/>
      <w:szCs w:val="24"/>
      <w:lang w:val="en" w:eastAsia="en-AU"/>
    </w:rPr>
  </w:style>
  <w:style w:type="paragraph" w:customStyle="1" w:styleId="OutlineNumbered3">
    <w:name w:val="Outline Numbered 3"/>
    <w:basedOn w:val="Normal"/>
    <w:rsid w:val="00CD13E0"/>
    <w:pPr>
      <w:numPr>
        <w:ilvl w:val="2"/>
        <w:numId w:val="49"/>
      </w:numPr>
      <w:spacing w:before="100" w:beforeAutospacing="1" w:after="240"/>
    </w:pPr>
    <w:rPr>
      <w:rFonts w:ascii="Calibri" w:eastAsia="Calibri" w:hAnsi="Calibri"/>
      <w:color w:val="000000"/>
      <w:sz w:val="24"/>
      <w:szCs w:val="24"/>
      <w:lang w:val="en" w:eastAsia="en-AU"/>
    </w:rPr>
  </w:style>
  <w:style w:type="character" w:customStyle="1" w:styleId="CommentTextChar">
    <w:name w:val="Comment Text Char"/>
    <w:basedOn w:val="DefaultParagraphFont"/>
    <w:link w:val="CommentText"/>
    <w:uiPriority w:val="99"/>
    <w:rsid w:val="00CD13E0"/>
    <w:rPr>
      <w:lang w:eastAsia="en-US"/>
    </w:rPr>
  </w:style>
  <w:style w:type="paragraph" w:styleId="NormalWeb">
    <w:name w:val="Normal (Web)"/>
    <w:basedOn w:val="Normal"/>
    <w:uiPriority w:val="99"/>
    <w:semiHidden/>
    <w:unhideWhenUsed/>
    <w:rsid w:val="008D5D2E"/>
    <w:pPr>
      <w:spacing w:before="100" w:beforeAutospacing="1" w:after="100" w:afterAutospacing="1"/>
    </w:pPr>
    <w:rPr>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 w:id="2131167327">
      <w:bodyDiv w:val="1"/>
      <w:marLeft w:val="0"/>
      <w:marRight w:val="0"/>
      <w:marTop w:val="0"/>
      <w:marBottom w:val="0"/>
      <w:divBdr>
        <w:top w:val="none" w:sz="0" w:space="0" w:color="auto"/>
        <w:left w:val="none" w:sz="0" w:space="0" w:color="auto"/>
        <w:bottom w:val="none" w:sz="0" w:space="0" w:color="auto"/>
        <w:right w:val="none" w:sz="0" w:space="0" w:color="auto"/>
      </w:divBdr>
      <w:divsChild>
        <w:div w:id="619383070">
          <w:marLeft w:val="0"/>
          <w:marRight w:val="0"/>
          <w:marTop w:val="0"/>
          <w:marBottom w:val="0"/>
          <w:divBdr>
            <w:top w:val="none" w:sz="0" w:space="0" w:color="auto"/>
            <w:left w:val="none" w:sz="0" w:space="0" w:color="auto"/>
            <w:bottom w:val="none" w:sz="0" w:space="0" w:color="auto"/>
            <w:right w:val="none" w:sz="0" w:space="0" w:color="auto"/>
          </w:divBdr>
          <w:divsChild>
            <w:div w:id="943919139">
              <w:marLeft w:val="0"/>
              <w:marRight w:val="0"/>
              <w:marTop w:val="0"/>
              <w:marBottom w:val="0"/>
              <w:divBdr>
                <w:top w:val="none" w:sz="0" w:space="0" w:color="auto"/>
                <w:left w:val="none" w:sz="0" w:space="0" w:color="auto"/>
                <w:bottom w:val="none" w:sz="0" w:space="0" w:color="auto"/>
                <w:right w:val="none" w:sz="0" w:space="0" w:color="auto"/>
              </w:divBdr>
              <w:divsChild>
                <w:div w:id="99380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sanhonour.gov.au/coat-arms/index.cfm" TargetMode="External"/><Relationship Id="rId18" Type="http://schemas.openxmlformats.org/officeDocument/2006/relationships/footer" Target="footer1.xm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hyperlink" Target="http://creativecommons.org/licenses/by/3.0/au" TargetMode="External"/><Relationship Id="rId17" Type="http://schemas.openxmlformats.org/officeDocument/2006/relationships/header" Target="header2.xml"/><Relationship Id="rId25" Type="http://schemas.openxmlformats.org/officeDocument/2006/relationships/header" Target="header6.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reativecommons.org/licenses/by/3.0/au" TargetMode="External"/><Relationship Id="rId24" Type="http://schemas.openxmlformats.org/officeDocument/2006/relationships/header" Target="header5.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pc.gov.au/inquiries/current/transitioning-regions/make-submission" TargetMode="External"/><Relationship Id="rId23" Type="http://schemas.openxmlformats.org/officeDocument/2006/relationships/footer" Target="footer4.xml"/><Relationship Id="rId28" Type="http://schemas.openxmlformats.org/officeDocument/2006/relationships/header" Target="header7.xml"/><Relationship Id="rId10" Type="http://schemas.openxmlformats.org/officeDocument/2006/relationships/image" Target="media/image2.png"/><Relationship Id="rId19" Type="http://schemas.openxmlformats.org/officeDocument/2006/relationships/footer" Target="footer2.xml"/><Relationship Id="rId31" Type="http://schemas.openxmlformats.org/officeDocument/2006/relationships/footer" Target="footer8.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itsanhonour.gov.au" TargetMode="External"/><Relationship Id="rId22" Type="http://schemas.openxmlformats.org/officeDocument/2006/relationships/footer" Target="footer3.xml"/><Relationship Id="rId27" Type="http://schemas.openxmlformats.org/officeDocument/2006/relationships/footer" Target="footer6.xml"/><Relationship Id="rId30" Type="http://schemas.openxmlformats.org/officeDocument/2006/relationships/footer" Target="footer7.xm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EED6CBA0-22DD-4764-ABB3-3E0FED6C2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1084</Words>
  <Characters>6892</Characters>
  <Application>Microsoft Office Word</Application>
  <DocSecurity>0</DocSecurity>
  <Lines>57</Lines>
  <Paragraphs>15</Paragraphs>
  <ScaleCrop>false</ScaleCrop>
  <HeadingPairs>
    <vt:vector size="2" baseType="variant">
      <vt:variant>
        <vt:lpstr>Title</vt:lpstr>
      </vt:variant>
      <vt:variant>
        <vt:i4>1</vt:i4>
      </vt:variant>
    </vt:vector>
  </HeadingPairs>
  <TitlesOfParts>
    <vt:vector size="1" baseType="lpstr">
      <vt:lpstr>Transitioning Regional Economies - Initial Report - Preliminaries</vt:lpstr>
    </vt:vector>
  </TitlesOfParts>
  <Company>Tertiary Education Quality and Standards Agency</Company>
  <LinksUpToDate>false</LinksUpToDate>
  <CharactersWithSpaces>7961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Transitioning Regional Economies - Initial Report - Preliminaries</dc:title>
  <dc:creator>Productivity Commission</dc:creator>
  <cp:lastModifiedBy>Productivity Commission</cp:lastModifiedBy>
  <cp:revision>5</cp:revision>
  <dcterms:created xsi:type="dcterms:W3CDTF">2017-04-07T02:01:00Z</dcterms:created>
  <dcterms:modified xsi:type="dcterms:W3CDTF">2017-04-07T03:44:00Z</dcterms:modified>
</cp:coreProperties>
</file>